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63965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F63965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63965">
            <w:pPr>
              <w:jc w:val="right"/>
            </w:pPr>
            <w:r w:rsidRPr="00E0753B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63965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63965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63965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6396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63965">
            <w:pPr>
              <w:pStyle w:val="Committee"/>
              <w:spacing w:line="240" w:lineRule="auto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63965">
            <w:pPr>
              <w:pStyle w:val="Docnumber"/>
              <w:ind w:left="-57"/>
            </w:pPr>
            <w:r>
              <w:t>Addendum 18 to</w:t>
            </w:r>
            <w:r>
              <w:br/>
              <w:t>Document 42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63965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63965">
            <w:pPr>
              <w:pStyle w:val="Docnumber"/>
              <w:ind w:left="-57"/>
            </w:pPr>
            <w:r w:rsidRPr="003251EA">
              <w:t>10 October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63965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63965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63965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63965">
            <w:pPr>
              <w:pStyle w:val="Source"/>
              <w:rPr>
                <w:highlight w:val="yellow"/>
              </w:rPr>
            </w:pPr>
            <w:r>
              <w:t>African Telecommunication Union 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C5046A">
            <w:pPr>
              <w:pStyle w:val="Title1"/>
              <w:rPr>
                <w:highlight w:val="yellow"/>
              </w:rPr>
            </w:pPr>
            <w:r>
              <w:t>DRAFT NEW RESOLUTION [AFCP-7]</w:t>
            </w:r>
            <w:r w:rsidR="00C95D3F">
              <w:t xml:space="preserve"> - Promoting Mobile Financial </w:t>
            </w:r>
            <w:r w:rsidR="00C95D3F" w:rsidRPr="00C5046A">
              <w:t>Services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C5046A" w:rsidRDefault="00BC7D84" w:rsidP="00C5046A">
            <w:pPr>
              <w:pStyle w:val="Title2"/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681984" w:rsidRDefault="00BC7D84" w:rsidP="00F63965">
            <w:pPr>
              <w:pStyle w:val="Agendaitem"/>
              <w:rPr>
                <w:lang w:val="en-US"/>
              </w:rPr>
            </w:pPr>
          </w:p>
        </w:tc>
      </w:tr>
    </w:tbl>
    <w:p w:rsidR="009E1967" w:rsidRDefault="009E1967" w:rsidP="00F63965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F63965" w:rsidRDefault="009E1967" w:rsidP="00F63965">
            <w:pPr>
              <w:rPr>
                <w:b/>
                <w:bCs/>
              </w:rPr>
            </w:pPr>
            <w:r w:rsidRPr="00F63965">
              <w:rPr>
                <w:b/>
                <w:bCs/>
              </w:rPr>
              <w:t>Abstract:</w:t>
            </w:r>
          </w:p>
        </w:tc>
        <w:tc>
          <w:tcPr>
            <w:tcW w:w="8079" w:type="dxa"/>
          </w:tcPr>
          <w:p w:rsidR="009E1967" w:rsidRPr="002957A7" w:rsidRDefault="00681984" w:rsidP="00C95D3F">
            <w:pPr>
              <w:rPr>
                <w:color w:val="000000" w:themeColor="text1"/>
              </w:rPr>
            </w:pPr>
            <w:r>
              <w:t xml:space="preserve">This draft </w:t>
            </w:r>
            <w:r w:rsidR="00C5046A">
              <w:t>r</w:t>
            </w:r>
            <w:r>
              <w:t xml:space="preserve">esolution takes account of the recent </w:t>
            </w:r>
            <w:r w:rsidRPr="00644551">
              <w:t xml:space="preserve">innovations in payments and delivery of </w:t>
            </w:r>
            <w:r w:rsidR="00C95D3F">
              <w:t>f</w:t>
            </w:r>
            <w:r w:rsidRPr="00644551">
              <w:t>inancial services via mobile technologies</w:t>
            </w:r>
            <w:r>
              <w:t xml:space="preserve"> that</w:t>
            </w:r>
            <w:r w:rsidR="00FB5600">
              <w:t xml:space="preserve"> occur</w:t>
            </w:r>
            <w:r w:rsidRPr="00644551">
              <w:t xml:space="preserve"> in both developed and developing countries</w:t>
            </w:r>
            <w:r>
              <w:t xml:space="preserve">. It encourages the concerned ITU-T Study Groups </w:t>
            </w:r>
            <w:r w:rsidR="00C5046A">
              <w:t xml:space="preserve">to </w:t>
            </w:r>
            <w:r>
              <w:t>study and to coordinate</w:t>
            </w:r>
            <w:r w:rsidR="00C5046A">
              <w:t xml:space="preserve"> </w:t>
            </w:r>
            <w:r w:rsidR="00C95D3F">
              <w:t>their</w:t>
            </w:r>
            <w:r w:rsidR="00C5046A">
              <w:t xml:space="preserve"> activities </w:t>
            </w:r>
            <w:r w:rsidR="00C95D3F">
              <w:t xml:space="preserve">for </w:t>
            </w:r>
            <w:r w:rsidR="00C5046A">
              <w:t>developing new r</w:t>
            </w:r>
            <w:r>
              <w:t>ecommendations regarding mobile money and digital financial services.</w:t>
            </w:r>
            <w:r w:rsidRPr="00565A9D">
              <w:t xml:space="preserve"> </w:t>
            </w:r>
          </w:p>
        </w:tc>
      </w:tr>
    </w:tbl>
    <w:p w:rsidR="00681984" w:rsidRPr="00681984" w:rsidRDefault="00681984" w:rsidP="00F63965">
      <w:pPr>
        <w:pStyle w:val="Heading1"/>
      </w:pPr>
      <w:r w:rsidRPr="00681984">
        <w:t>1</w:t>
      </w:r>
      <w:r w:rsidRPr="00681984">
        <w:tab/>
      </w:r>
      <w:r w:rsidRPr="00F63965">
        <w:t>Introduction</w:t>
      </w:r>
      <w:r w:rsidRPr="00681984">
        <w:t xml:space="preserve"> </w:t>
      </w:r>
    </w:p>
    <w:p w:rsidR="00681984" w:rsidRPr="009D3441" w:rsidRDefault="00681984" w:rsidP="00C95D3F">
      <w:pPr>
        <w:rPr>
          <w:rFonts w:eastAsia="Calibri"/>
          <w:color w:val="222222"/>
          <w:lang w:val="en" w:eastAsia="fr-FR"/>
        </w:rPr>
      </w:pPr>
      <w:r>
        <w:rPr>
          <w:rFonts w:eastAsia="Calibri"/>
          <w:lang w:val="en" w:eastAsia="fr-FR"/>
        </w:rPr>
        <w:t>Mobile mon</w:t>
      </w:r>
      <w:r w:rsidR="00C5046A">
        <w:rPr>
          <w:rFonts w:eastAsia="Calibri"/>
          <w:lang w:val="en" w:eastAsia="fr-FR"/>
        </w:rPr>
        <w:t>ey is becoming one of the main t</w:t>
      </w:r>
      <w:r>
        <w:rPr>
          <w:rFonts w:eastAsia="Calibri"/>
          <w:lang w:val="en" w:eastAsia="fr-FR"/>
        </w:rPr>
        <w:t>elecommunication/ICT for socioeconomic development of nations. T</w:t>
      </w:r>
      <w:r w:rsidRPr="005B2FAB">
        <w:rPr>
          <w:rFonts w:eastAsia="Calibri"/>
          <w:lang w:val="en" w:eastAsia="fr-FR"/>
        </w:rPr>
        <w:t>he use of mobile phones for mobile financial services offers tremendous opportunities to enhance growth and development.</w:t>
      </w:r>
      <w:r>
        <w:rPr>
          <w:rFonts w:eastAsia="Calibri"/>
          <w:lang w:val="en" w:eastAsia="fr-FR"/>
        </w:rPr>
        <w:t xml:space="preserve"> </w:t>
      </w:r>
      <w:r w:rsidRPr="005B2FAB">
        <w:rPr>
          <w:rFonts w:eastAsia="Calibri"/>
          <w:lang w:val="en" w:eastAsia="fr-FR"/>
        </w:rPr>
        <w:t xml:space="preserve">Mobile financial services can </w:t>
      </w:r>
      <w:r>
        <w:rPr>
          <w:rFonts w:eastAsia="Calibri"/>
          <w:lang w:val="en" w:eastAsia="fr-FR"/>
        </w:rPr>
        <w:t>provide tremendous benefits</w:t>
      </w:r>
      <w:r w:rsidRPr="005B2FAB">
        <w:rPr>
          <w:rFonts w:eastAsia="Calibri"/>
          <w:lang w:val="en" w:eastAsia="fr-FR"/>
        </w:rPr>
        <w:t xml:space="preserve"> </w:t>
      </w:r>
      <w:r>
        <w:rPr>
          <w:rFonts w:eastAsia="Calibri"/>
          <w:lang w:val="en" w:eastAsia="fr-FR"/>
        </w:rPr>
        <w:t>to</w:t>
      </w:r>
      <w:r w:rsidRPr="005B2FAB">
        <w:rPr>
          <w:rFonts w:eastAsia="Calibri"/>
          <w:lang w:val="en" w:eastAsia="fr-FR"/>
        </w:rPr>
        <w:t xml:space="preserve"> the telecommunication/ICT industry </w:t>
      </w:r>
      <w:r>
        <w:rPr>
          <w:rFonts w:eastAsia="Calibri"/>
          <w:lang w:val="en" w:eastAsia="fr-FR"/>
        </w:rPr>
        <w:t xml:space="preserve">and </w:t>
      </w:r>
      <w:r w:rsidR="00C95D3F">
        <w:rPr>
          <w:rFonts w:eastAsia="Calibri"/>
          <w:lang w:val="en" w:eastAsia="fr-FR"/>
        </w:rPr>
        <w:t>promote</w:t>
      </w:r>
      <w:r>
        <w:rPr>
          <w:rFonts w:eastAsia="Calibri"/>
          <w:lang w:val="en" w:eastAsia="fr-FR"/>
        </w:rPr>
        <w:t xml:space="preserve"> </w:t>
      </w:r>
      <w:r w:rsidRPr="005B2FAB">
        <w:rPr>
          <w:rFonts w:eastAsia="Calibri"/>
          <w:lang w:val="en" w:eastAsia="fr-FR"/>
        </w:rPr>
        <w:t>financial inclusion</w:t>
      </w:r>
      <w:r>
        <w:rPr>
          <w:rFonts w:eastAsia="Calibri"/>
          <w:lang w:val="en" w:eastAsia="fr-FR"/>
        </w:rPr>
        <w:t xml:space="preserve">. </w:t>
      </w:r>
      <w:r w:rsidRPr="005B2FAB">
        <w:rPr>
          <w:rFonts w:eastAsia="Calibri"/>
          <w:lang w:val="en" w:eastAsia="fr-FR"/>
        </w:rPr>
        <w:t xml:space="preserve"> </w:t>
      </w:r>
      <w:r>
        <w:rPr>
          <w:rFonts w:eastAsia="Calibri"/>
          <w:lang w:val="en" w:eastAsia="fr-FR"/>
        </w:rPr>
        <w:t>The</w:t>
      </w:r>
      <w:r w:rsidRPr="005B2FAB">
        <w:rPr>
          <w:rFonts w:eastAsia="Calibri"/>
          <w:lang w:val="en" w:eastAsia="fr-FR"/>
        </w:rPr>
        <w:t xml:space="preserve"> broad application of mobile financial service applications will require a system of deployable standards which are not yet in place</w:t>
      </w:r>
      <w:r>
        <w:rPr>
          <w:rFonts w:eastAsia="Calibri"/>
          <w:lang w:val="en" w:eastAsia="fr-FR"/>
        </w:rPr>
        <w:t>.</w:t>
      </w:r>
    </w:p>
    <w:p w:rsidR="00681984" w:rsidRPr="003C21C1" w:rsidRDefault="00681984" w:rsidP="00F63965">
      <w:pPr>
        <w:pStyle w:val="Heading1"/>
      </w:pPr>
      <w:r>
        <w:t>2</w:t>
      </w:r>
      <w:r>
        <w:tab/>
        <w:t>Proposal</w:t>
      </w:r>
    </w:p>
    <w:p w:rsidR="00681984" w:rsidRPr="009D3441" w:rsidRDefault="00681984" w:rsidP="00FB5600">
      <w:r w:rsidRPr="00381C73">
        <w:rPr>
          <w:rFonts w:eastAsia="Calibri"/>
          <w:lang w:val="en" w:eastAsia="fr-FR"/>
        </w:rPr>
        <w:t xml:space="preserve">Accordingly, </w:t>
      </w:r>
      <w:r w:rsidR="00C5046A">
        <w:rPr>
          <w:rFonts w:eastAsia="Calibri"/>
          <w:lang w:val="en" w:eastAsia="fr-FR"/>
        </w:rPr>
        <w:t xml:space="preserve">a </w:t>
      </w:r>
      <w:r w:rsidR="00FB5600">
        <w:rPr>
          <w:rFonts w:eastAsia="Calibri"/>
          <w:lang w:val="en" w:eastAsia="fr-FR"/>
        </w:rPr>
        <w:t xml:space="preserve">draft </w:t>
      </w:r>
      <w:r w:rsidR="00C5046A">
        <w:rPr>
          <w:rFonts w:eastAsia="Calibri"/>
          <w:lang w:val="en" w:eastAsia="fr-FR"/>
        </w:rPr>
        <w:t>new r</w:t>
      </w:r>
      <w:r>
        <w:rPr>
          <w:rFonts w:eastAsia="Calibri"/>
          <w:lang w:val="en" w:eastAsia="fr-FR"/>
        </w:rPr>
        <w:t>esolution is proposed to encourage ITU-</w:t>
      </w:r>
      <w:r w:rsidRPr="00381C73">
        <w:rPr>
          <w:rFonts w:eastAsia="Calibri"/>
          <w:lang w:val="en" w:eastAsia="fr-FR"/>
        </w:rPr>
        <w:t xml:space="preserve">T </w:t>
      </w:r>
      <w:r>
        <w:rPr>
          <w:rFonts w:eastAsia="Calibri"/>
          <w:lang w:val="en" w:eastAsia="fr-FR"/>
        </w:rPr>
        <w:t xml:space="preserve">to </w:t>
      </w:r>
      <w:r w:rsidRPr="00381C73">
        <w:rPr>
          <w:rFonts w:eastAsia="Calibri"/>
          <w:lang w:val="en" w:eastAsia="fr-FR"/>
        </w:rPr>
        <w:t>continue</w:t>
      </w:r>
      <w:r w:rsidR="00C5046A">
        <w:rPr>
          <w:rFonts w:eastAsia="Calibri"/>
          <w:lang w:val="en" w:eastAsia="fr-FR"/>
        </w:rPr>
        <w:t xml:space="preserve"> to develop the necessary r</w:t>
      </w:r>
      <w:r w:rsidRPr="00381C73">
        <w:rPr>
          <w:rFonts w:eastAsia="Calibri"/>
          <w:lang w:val="en" w:eastAsia="fr-FR"/>
        </w:rPr>
        <w:t>ecommendations on quality of service and quality of experience</w:t>
      </w:r>
      <w:r>
        <w:rPr>
          <w:rFonts w:eastAsia="Calibri"/>
          <w:lang w:val="en" w:eastAsia="fr-FR"/>
        </w:rPr>
        <w:t xml:space="preserve"> </w:t>
      </w:r>
      <w:r w:rsidRPr="00381C73">
        <w:rPr>
          <w:rFonts w:eastAsia="Calibri"/>
          <w:lang w:val="en" w:eastAsia="fr-FR"/>
        </w:rPr>
        <w:t>of multimedia applications and services</w:t>
      </w:r>
      <w:r>
        <w:rPr>
          <w:rFonts w:eastAsia="Calibri"/>
          <w:lang w:val="en" w:eastAsia="fr-FR"/>
        </w:rPr>
        <w:t xml:space="preserve">, and provide all the support and assistance to conduct these studies, to organize workshops, and to help in </w:t>
      </w:r>
      <w:r w:rsidRPr="00CE3EC7">
        <w:rPr>
          <w:rFonts w:eastAsia="Calibri"/>
          <w:lang w:val="en" w:eastAsia="fr-FR"/>
        </w:rPr>
        <w:t>elaborat</w:t>
      </w:r>
      <w:r w:rsidR="00C5046A">
        <w:rPr>
          <w:rFonts w:eastAsia="Calibri"/>
          <w:lang w:val="en" w:eastAsia="fr-FR"/>
        </w:rPr>
        <w:t>ing r</w:t>
      </w:r>
      <w:r w:rsidRPr="00CE3EC7">
        <w:rPr>
          <w:rFonts w:eastAsia="Calibri"/>
          <w:lang w:val="en" w:eastAsia="fr-FR"/>
        </w:rPr>
        <w:t>ecommendations</w:t>
      </w:r>
      <w:r>
        <w:rPr>
          <w:rFonts w:eastAsia="Calibri"/>
          <w:lang w:val="en" w:eastAsia="fr-FR"/>
        </w:rPr>
        <w:t xml:space="preserve"> that</w:t>
      </w:r>
      <w:r w:rsidRPr="00CE3EC7">
        <w:rPr>
          <w:rFonts w:eastAsia="Calibri"/>
          <w:lang w:val="en" w:eastAsia="fr-FR"/>
        </w:rPr>
        <w:t xml:space="preserve"> provid</w:t>
      </w:r>
      <w:r>
        <w:rPr>
          <w:rFonts w:eastAsia="Calibri"/>
          <w:lang w:val="en" w:eastAsia="fr-FR"/>
        </w:rPr>
        <w:t>e</w:t>
      </w:r>
      <w:r w:rsidRPr="00CE3EC7">
        <w:rPr>
          <w:rFonts w:eastAsia="Calibri"/>
          <w:lang w:val="en" w:eastAsia="fr-FR"/>
        </w:rPr>
        <w:t xml:space="preserve"> guidance to regulators in strategies to monitor and enforce quality of service and quality of experience of telecommunication services</w:t>
      </w:r>
      <w:r>
        <w:rPr>
          <w:rFonts w:eastAsia="Calibri"/>
          <w:lang w:val="en" w:eastAsia="fr-FR"/>
        </w:rPr>
        <w:t xml:space="preserve">. </w:t>
      </w:r>
    </w:p>
    <w:p w:rsidR="00083031" w:rsidRDefault="00424C13" w:rsidP="00F63965">
      <w:pPr>
        <w:pStyle w:val="Proposal"/>
      </w:pPr>
      <w:r>
        <w:lastRenderedPageBreak/>
        <w:t>ADD</w:t>
      </w:r>
      <w:r>
        <w:tab/>
        <w:t>AFCP/42A18/1</w:t>
      </w:r>
    </w:p>
    <w:p w:rsidR="00083031" w:rsidRDefault="00424C13" w:rsidP="00F63965">
      <w:pPr>
        <w:pStyle w:val="ResNo"/>
      </w:pPr>
      <w:r>
        <w:t>DRAFT NEW RESOLUTION [AFCP-7]</w:t>
      </w:r>
    </w:p>
    <w:p w:rsidR="00681984" w:rsidRPr="00F81B8E" w:rsidRDefault="00681984" w:rsidP="00F63965">
      <w:pPr>
        <w:pStyle w:val="Restitle"/>
        <w:rPr>
          <w:rFonts w:eastAsia="SimSun"/>
        </w:rPr>
      </w:pPr>
      <w:r>
        <w:rPr>
          <w:rFonts w:eastAsia="SimSun"/>
        </w:rPr>
        <w:t>Promoting</w:t>
      </w:r>
      <w:r w:rsidRPr="00F81B8E">
        <w:rPr>
          <w:rFonts w:eastAsia="SimSun"/>
        </w:rPr>
        <w:t xml:space="preserve"> </w:t>
      </w:r>
      <w:r>
        <w:rPr>
          <w:rFonts w:eastAsia="SimSun"/>
        </w:rPr>
        <w:t>Mobile Financial Services</w:t>
      </w:r>
    </w:p>
    <w:p w:rsidR="00681984" w:rsidRPr="00F81B8E" w:rsidRDefault="00681984" w:rsidP="00C5046A">
      <w:pPr>
        <w:pStyle w:val="Resref"/>
      </w:pPr>
      <w:r w:rsidRPr="00F81B8E">
        <w:t>(</w:t>
      </w:r>
      <w:r w:rsidRPr="00C5046A">
        <w:t>Hammamet</w:t>
      </w:r>
      <w:r w:rsidRPr="00F81B8E">
        <w:t>, 20</w:t>
      </w:r>
      <w:r w:rsidRPr="00F81B8E">
        <w:rPr>
          <w:lang w:eastAsia="ko-KR"/>
        </w:rPr>
        <w:t>1</w:t>
      </w:r>
      <w:r>
        <w:rPr>
          <w:lang w:eastAsia="ko-KR"/>
        </w:rPr>
        <w:t>6</w:t>
      </w:r>
      <w:r w:rsidRPr="00F81B8E">
        <w:t>)</w:t>
      </w:r>
    </w:p>
    <w:p w:rsidR="00681984" w:rsidRPr="00FB5600" w:rsidRDefault="00681984" w:rsidP="00FB5600">
      <w:pPr>
        <w:pStyle w:val="Normalaftertitle1"/>
        <w:rPr>
          <w:sz w:val="24"/>
          <w:szCs w:val="24"/>
          <w:rtl/>
        </w:rPr>
      </w:pPr>
      <w:r w:rsidRPr="00FB5600">
        <w:rPr>
          <w:sz w:val="24"/>
          <w:szCs w:val="24"/>
          <w:lang w:val="en-GB"/>
        </w:rPr>
        <w:t xml:space="preserve">The World Telecommunication </w:t>
      </w:r>
      <w:r w:rsidRPr="00C95D3F">
        <w:rPr>
          <w:sz w:val="24"/>
          <w:szCs w:val="24"/>
          <w:lang w:val="en-US"/>
        </w:rPr>
        <w:t>Standardization</w:t>
      </w:r>
      <w:r w:rsidRPr="00FB5600">
        <w:rPr>
          <w:sz w:val="24"/>
          <w:szCs w:val="24"/>
          <w:lang w:val="en-GB"/>
        </w:rPr>
        <w:t xml:space="preserve"> Assembly (Hammamet, 2016), </w:t>
      </w:r>
    </w:p>
    <w:p w:rsidR="00681984" w:rsidRDefault="00681984" w:rsidP="00F63965">
      <w:pPr>
        <w:pStyle w:val="Call"/>
      </w:pPr>
      <w:r w:rsidRPr="00F63965">
        <w:t>recognizing</w:t>
      </w:r>
    </w:p>
    <w:p w:rsidR="00681984" w:rsidRPr="009F54BE" w:rsidRDefault="00F63965" w:rsidP="008B687C">
      <w:pPr>
        <w:rPr>
          <w:rFonts w:eastAsia="SimSun"/>
        </w:rPr>
      </w:pPr>
      <w:bookmarkStart w:id="0" w:name="_GoBack"/>
      <w:r w:rsidRPr="00F63965">
        <w:rPr>
          <w:rFonts w:eastAsia="SimSun"/>
          <w:i/>
          <w:iCs/>
        </w:rPr>
        <w:t>a)</w:t>
      </w:r>
      <w:r>
        <w:rPr>
          <w:rFonts w:eastAsia="SimSun"/>
        </w:rPr>
        <w:tab/>
      </w:r>
      <w:r w:rsidR="00681984">
        <w:rPr>
          <w:rFonts w:eastAsia="SimSun"/>
        </w:rPr>
        <w:t>t</w:t>
      </w:r>
      <w:r w:rsidR="00681984" w:rsidRPr="009F54BE">
        <w:rPr>
          <w:rFonts w:eastAsia="SimSun"/>
        </w:rPr>
        <w:t xml:space="preserve">he establishment of </w:t>
      </w:r>
      <w:r>
        <w:rPr>
          <w:rFonts w:eastAsia="SimSun"/>
        </w:rPr>
        <w:t>t</w:t>
      </w:r>
      <w:r w:rsidR="00681984" w:rsidRPr="009F54BE">
        <w:rPr>
          <w:rFonts w:eastAsia="SimSun"/>
        </w:rPr>
        <w:t>he ITU-T Focus Group Digital Financial Services by ITU-T TSAG at its meeting in Geneva, 17-20 June 2014</w:t>
      </w:r>
      <w:r w:rsidR="00C5046A">
        <w:rPr>
          <w:rFonts w:eastAsia="SimSun"/>
        </w:rPr>
        <w:t>,</w:t>
      </w:r>
      <w:r w:rsidR="00681984" w:rsidRPr="009F54BE">
        <w:rPr>
          <w:rFonts w:eastAsia="SimSun"/>
        </w:rPr>
        <w:t xml:space="preserve"> </w:t>
      </w:r>
      <w:r w:rsidR="00C95D3F">
        <w:rPr>
          <w:rFonts w:eastAsia="SimSun"/>
        </w:rPr>
        <w:t>whose</w:t>
      </w:r>
      <w:r w:rsidR="00681984">
        <w:rPr>
          <w:rFonts w:eastAsia="SimSun"/>
        </w:rPr>
        <w:t xml:space="preserve"> mandate </w:t>
      </w:r>
      <w:r w:rsidR="00681984" w:rsidRPr="009F54BE">
        <w:rPr>
          <w:rFonts w:eastAsia="SimSun"/>
        </w:rPr>
        <w:t>focus</w:t>
      </w:r>
      <w:r w:rsidR="00C95D3F">
        <w:rPr>
          <w:rFonts w:eastAsia="SimSun"/>
        </w:rPr>
        <w:t>es</w:t>
      </w:r>
      <w:r w:rsidR="00681984" w:rsidRPr="009F54BE">
        <w:rPr>
          <w:rFonts w:eastAsia="SimSun"/>
        </w:rPr>
        <w:t xml:space="preserve"> on innovations in payments and delivery of </w:t>
      </w:r>
      <w:r w:rsidR="00072587">
        <w:rPr>
          <w:rFonts w:eastAsia="SimSun"/>
        </w:rPr>
        <w:t>f</w:t>
      </w:r>
      <w:r w:rsidR="00681984" w:rsidRPr="009F54BE">
        <w:rPr>
          <w:rFonts w:eastAsia="SimSun"/>
        </w:rPr>
        <w:t>inancial services via mobile technologies occurring in both dev</w:t>
      </w:r>
      <w:r w:rsidR="00681984">
        <w:rPr>
          <w:rFonts w:eastAsia="SimSun"/>
        </w:rPr>
        <w:t>eloped and developing countries;</w:t>
      </w:r>
    </w:p>
    <w:bookmarkEnd w:id="0"/>
    <w:p w:rsidR="00681984" w:rsidRPr="009F54BE" w:rsidRDefault="00F63965" w:rsidP="00F63965">
      <w:pPr>
        <w:rPr>
          <w:rFonts w:eastAsia="SimSun"/>
        </w:rPr>
      </w:pPr>
      <w:r>
        <w:rPr>
          <w:rFonts w:eastAsia="SimSun"/>
          <w:i/>
          <w:iCs/>
        </w:rPr>
        <w:t>b</w:t>
      </w:r>
      <w:r w:rsidRPr="00F63965">
        <w:rPr>
          <w:rFonts w:eastAsia="SimSun"/>
          <w:i/>
          <w:iCs/>
        </w:rPr>
        <w:t>)</w:t>
      </w:r>
      <w:r>
        <w:rPr>
          <w:rFonts w:eastAsia="SimSun"/>
        </w:rPr>
        <w:tab/>
      </w:r>
      <w:r w:rsidR="00681984" w:rsidRPr="009F54BE">
        <w:rPr>
          <w:rFonts w:eastAsia="SimSun"/>
        </w:rPr>
        <w:t>that ITU</w:t>
      </w:r>
      <w:r w:rsidR="00681984" w:rsidRPr="009F54BE">
        <w:rPr>
          <w:rFonts w:eastAsia="SimSun"/>
        </w:rPr>
        <w:noBreakHyphen/>
        <w:t xml:space="preserve">T Study Group 3 has been involved in the study of mobile financial services through its rapporteur </w:t>
      </w:r>
      <w:r w:rsidR="00681984">
        <w:rPr>
          <w:rFonts w:eastAsia="SimSun"/>
        </w:rPr>
        <w:t xml:space="preserve">group to develop standards in this regard in collaboration with relevant </w:t>
      </w:r>
      <w:r w:rsidR="00681984" w:rsidRPr="009F54BE">
        <w:rPr>
          <w:rFonts w:eastAsia="SimSun"/>
        </w:rPr>
        <w:t>standards development organizations (SDOs),</w:t>
      </w:r>
    </w:p>
    <w:p w:rsidR="00681984" w:rsidRPr="009F54BE" w:rsidRDefault="00681984" w:rsidP="00F63965">
      <w:pPr>
        <w:pStyle w:val="Call"/>
      </w:pPr>
      <w:r w:rsidRPr="00F63965">
        <w:t>considering</w:t>
      </w:r>
    </w:p>
    <w:p w:rsidR="00681984" w:rsidRPr="00954E20" w:rsidRDefault="00F63965" w:rsidP="00F63965">
      <w:pPr>
        <w:rPr>
          <w:rFonts w:eastAsia="SimSun"/>
        </w:rPr>
      </w:pPr>
      <w:r w:rsidRPr="00F63965">
        <w:rPr>
          <w:rFonts w:eastAsia="SimSun"/>
          <w:i/>
          <w:iCs/>
        </w:rPr>
        <w:t>a)</w:t>
      </w:r>
      <w:r>
        <w:rPr>
          <w:rFonts w:eastAsia="SimSun"/>
        </w:rPr>
        <w:tab/>
      </w:r>
      <w:r w:rsidR="00681984">
        <w:rPr>
          <w:rFonts w:eastAsia="SimSun"/>
        </w:rPr>
        <w:t>the use of</w:t>
      </w:r>
      <w:r w:rsidR="00681984" w:rsidRPr="00954E20">
        <w:rPr>
          <w:rFonts w:eastAsia="SimSun"/>
        </w:rPr>
        <w:t xml:space="preserve"> mobile phones for mobile financial services offers tremendous opportunities to </w:t>
      </w:r>
      <w:r w:rsidR="00681984">
        <w:rPr>
          <w:rFonts w:eastAsia="SimSun"/>
        </w:rPr>
        <w:t>enhance growth and development;</w:t>
      </w:r>
    </w:p>
    <w:p w:rsidR="00681984" w:rsidRPr="00F81B8E" w:rsidRDefault="00F63965" w:rsidP="00F63965">
      <w:pPr>
        <w:rPr>
          <w:rFonts w:eastAsia="SimSun"/>
          <w:lang w:eastAsia="zh-CN"/>
        </w:rPr>
      </w:pPr>
      <w:r>
        <w:rPr>
          <w:rFonts w:eastAsia="SimSun"/>
          <w:i/>
          <w:iCs/>
        </w:rPr>
        <w:t>b</w:t>
      </w:r>
      <w:r w:rsidRPr="00F63965">
        <w:rPr>
          <w:rFonts w:eastAsia="SimSun"/>
          <w:i/>
          <w:iCs/>
        </w:rPr>
        <w:t>)</w:t>
      </w:r>
      <w:r>
        <w:rPr>
          <w:rFonts w:eastAsia="SimSun"/>
        </w:rPr>
        <w:tab/>
      </w:r>
      <w:r w:rsidR="00681984" w:rsidRPr="00F81B8E">
        <w:rPr>
          <w:rFonts w:eastAsia="SimSun"/>
          <w:lang w:eastAsia="zh-CN"/>
        </w:rPr>
        <w:t xml:space="preserve">the multiple benefits that </w:t>
      </w:r>
      <w:r w:rsidR="00681984">
        <w:rPr>
          <w:rFonts w:eastAsia="SimSun"/>
          <w:lang w:eastAsia="zh-CN"/>
        </w:rPr>
        <w:t>mobile financial services</w:t>
      </w:r>
      <w:r w:rsidR="00681984" w:rsidRPr="00F81B8E">
        <w:rPr>
          <w:rFonts w:eastAsia="SimSun"/>
          <w:lang w:eastAsia="zh-CN"/>
        </w:rPr>
        <w:t xml:space="preserve"> can bring for the telecommunication/ICT industry</w:t>
      </w:r>
      <w:r w:rsidR="00681984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and f</w:t>
      </w:r>
      <w:r w:rsidR="00681984">
        <w:rPr>
          <w:rFonts w:eastAsia="SimSun"/>
          <w:lang w:eastAsia="zh-CN"/>
        </w:rPr>
        <w:t>inancial inclusion;</w:t>
      </w:r>
    </w:p>
    <w:p w:rsidR="00681984" w:rsidRDefault="00F63965" w:rsidP="00C95D3F">
      <w:r>
        <w:rPr>
          <w:rFonts w:eastAsia="SimSun"/>
          <w:i/>
          <w:iCs/>
        </w:rPr>
        <w:t>c</w:t>
      </w:r>
      <w:r w:rsidRPr="00F63965">
        <w:rPr>
          <w:rFonts w:eastAsia="SimSun"/>
          <w:i/>
          <w:iCs/>
        </w:rPr>
        <w:t>)</w:t>
      </w:r>
      <w:r>
        <w:rPr>
          <w:rFonts w:eastAsia="SimSun"/>
        </w:rPr>
        <w:tab/>
      </w:r>
      <w:r w:rsidR="00681984">
        <w:t>that</w:t>
      </w:r>
      <w:r w:rsidR="00681984" w:rsidRPr="00F81B8E">
        <w:t xml:space="preserve"> </w:t>
      </w:r>
      <w:r w:rsidR="00681984" w:rsidRPr="00F81B8E">
        <w:rPr>
          <w:rFonts w:eastAsia="SimSun"/>
          <w:lang w:eastAsia="zh-CN"/>
        </w:rPr>
        <w:t xml:space="preserve">a broad application of </w:t>
      </w:r>
      <w:r w:rsidR="00681984">
        <w:rPr>
          <w:rFonts w:eastAsia="SimSun"/>
          <w:lang w:eastAsia="zh-CN"/>
        </w:rPr>
        <w:t>mobile financial service applications</w:t>
      </w:r>
      <w:r w:rsidR="00681984" w:rsidRPr="00F81B8E">
        <w:rPr>
          <w:rFonts w:eastAsia="SimSun"/>
          <w:lang w:eastAsia="zh-CN"/>
        </w:rPr>
        <w:t xml:space="preserve"> will require a system of deployable standards </w:t>
      </w:r>
      <w:r w:rsidR="00C95D3F">
        <w:rPr>
          <w:rFonts w:eastAsia="SimSun"/>
          <w:lang w:eastAsia="zh-CN"/>
        </w:rPr>
        <w:t>that</w:t>
      </w:r>
      <w:r w:rsidR="00681984" w:rsidRPr="00F81B8E">
        <w:rPr>
          <w:rFonts w:eastAsia="SimSun"/>
          <w:lang w:eastAsia="zh-CN"/>
        </w:rPr>
        <w:t xml:space="preserve"> are not yet in place,</w:t>
      </w:r>
      <w:r w:rsidR="00681984" w:rsidRPr="00F81B8E">
        <w:t xml:space="preserve"> </w:t>
      </w:r>
    </w:p>
    <w:p w:rsidR="00681984" w:rsidRDefault="00681984" w:rsidP="00F63965">
      <w:pPr>
        <w:pStyle w:val="Call"/>
      </w:pPr>
      <w:r w:rsidRPr="00F63965">
        <w:t>noting</w:t>
      </w:r>
    </w:p>
    <w:p w:rsidR="00681984" w:rsidRPr="00644551" w:rsidRDefault="00F63965" w:rsidP="00F63965">
      <w:pPr>
        <w:rPr>
          <w:rFonts w:eastAsia="SimSun"/>
        </w:rPr>
      </w:pPr>
      <w:r w:rsidRPr="00F63965">
        <w:rPr>
          <w:rFonts w:eastAsia="SimSun"/>
          <w:i/>
          <w:iCs/>
        </w:rPr>
        <w:t>a)</w:t>
      </w:r>
      <w:r>
        <w:rPr>
          <w:rFonts w:eastAsia="SimSun"/>
        </w:rPr>
        <w:tab/>
      </w:r>
      <w:r w:rsidR="00681984" w:rsidRPr="00644551">
        <w:rPr>
          <w:rFonts w:eastAsia="SimSun"/>
        </w:rPr>
        <w:t>that the ITU Telecommunication Standardization Sector (</w:t>
      </w:r>
      <w:r w:rsidR="00681984" w:rsidRPr="00F81B8E">
        <w:rPr>
          <w:rFonts w:eastAsia="SimSun"/>
        </w:rPr>
        <w:t>ITU</w:t>
      </w:r>
      <w:r w:rsidR="00681984" w:rsidRPr="00F81B8E">
        <w:rPr>
          <w:rFonts w:eastAsia="SimSun"/>
        </w:rPr>
        <w:noBreakHyphen/>
        <w:t xml:space="preserve">T) should play a leading role in the development of </w:t>
      </w:r>
      <w:r w:rsidR="00681984">
        <w:rPr>
          <w:rFonts w:eastAsia="SimSun"/>
        </w:rPr>
        <w:t>the</w:t>
      </w:r>
      <w:r w:rsidR="00681984" w:rsidRPr="00F81B8E">
        <w:rPr>
          <w:rFonts w:eastAsia="SimSun"/>
        </w:rPr>
        <w:t xml:space="preserve"> deployable </w:t>
      </w:r>
      <w:r w:rsidR="00681984">
        <w:rPr>
          <w:rFonts w:eastAsia="SimSun"/>
        </w:rPr>
        <w:t>mobile financial services</w:t>
      </w:r>
      <w:r w:rsidR="00681984" w:rsidRPr="00F81B8E">
        <w:rPr>
          <w:rFonts w:eastAsia="SimSun"/>
        </w:rPr>
        <w:t xml:space="preserve"> standards</w:t>
      </w:r>
      <w:r w:rsidR="00681984">
        <w:rPr>
          <w:rFonts w:eastAsia="SimSun"/>
        </w:rPr>
        <w:t xml:space="preserve"> system</w:t>
      </w:r>
      <w:r w:rsidR="00681984" w:rsidRPr="00644551">
        <w:rPr>
          <w:rFonts w:eastAsia="SimSun"/>
        </w:rPr>
        <w:t>;</w:t>
      </w:r>
    </w:p>
    <w:p w:rsidR="00681984" w:rsidRPr="00644551" w:rsidRDefault="00F63965" w:rsidP="00C95D3F">
      <w:pPr>
        <w:rPr>
          <w:rFonts w:eastAsia="SimSun"/>
        </w:rPr>
      </w:pPr>
      <w:r>
        <w:rPr>
          <w:rFonts w:eastAsia="SimSun"/>
          <w:i/>
          <w:iCs/>
        </w:rPr>
        <w:t>b</w:t>
      </w:r>
      <w:r w:rsidRPr="00F63965">
        <w:rPr>
          <w:rFonts w:eastAsia="SimSun"/>
          <w:i/>
          <w:iCs/>
        </w:rPr>
        <w:t>)</w:t>
      </w:r>
      <w:r>
        <w:rPr>
          <w:rFonts w:eastAsia="SimSun"/>
        </w:rPr>
        <w:tab/>
      </w:r>
      <w:r w:rsidR="00C95D3F">
        <w:rPr>
          <w:rFonts w:eastAsia="SimSun"/>
        </w:rPr>
        <w:t>that</w:t>
      </w:r>
      <w:r w:rsidR="00681984" w:rsidRPr="00644551">
        <w:rPr>
          <w:rFonts w:eastAsia="SimSun"/>
        </w:rPr>
        <w:t xml:space="preserve"> ITU-T FG – DFS will develop a standardization roadmap for interoperable digital financial services and will work closely with ITU-D study groups and will also invite non ITU-T memb</w:t>
      </w:r>
      <w:r w:rsidR="00681984">
        <w:rPr>
          <w:rFonts w:eastAsia="SimSun"/>
        </w:rPr>
        <w:t>ers to participate in its work,</w:t>
      </w:r>
    </w:p>
    <w:p w:rsidR="00681984" w:rsidRDefault="00681984" w:rsidP="00F63965">
      <w:pPr>
        <w:pStyle w:val="Call"/>
        <w:rPr>
          <w:lang w:eastAsia="ko-KR"/>
        </w:rPr>
      </w:pPr>
      <w:r w:rsidRPr="00F81B8E">
        <w:t>resolves</w:t>
      </w:r>
      <w:r w:rsidRPr="00F81B8E">
        <w:rPr>
          <w:rFonts w:eastAsia="SimSun"/>
          <w:lang w:eastAsia="zh-CN"/>
        </w:rPr>
        <w:t xml:space="preserve"> t</w:t>
      </w:r>
      <w:r w:rsidRPr="00F81B8E">
        <w:rPr>
          <w:rFonts w:eastAsia="SimSun"/>
        </w:rPr>
        <w:t>o</w:t>
      </w:r>
      <w:r w:rsidRPr="00F81B8E">
        <w:rPr>
          <w:rFonts w:eastAsia="SimSun"/>
          <w:lang w:eastAsia="zh-CN"/>
        </w:rPr>
        <w:t xml:space="preserve"> </w:t>
      </w:r>
      <w:r w:rsidRPr="00F63965">
        <w:t>instruct</w:t>
      </w:r>
      <w:r w:rsidRPr="00F81B8E">
        <w:rPr>
          <w:lang w:eastAsia="ko-KR"/>
        </w:rPr>
        <w:t xml:space="preserve"> ITU-T Study Group 3</w:t>
      </w:r>
    </w:p>
    <w:p w:rsidR="00681984" w:rsidRPr="00F81B8E" w:rsidRDefault="00681984" w:rsidP="00572480">
      <w:pPr>
        <w:rPr>
          <w:lang w:eastAsia="ko-KR"/>
        </w:rPr>
      </w:pPr>
      <w:r w:rsidRPr="00F81B8E">
        <w:rPr>
          <w:lang w:eastAsia="ko-KR"/>
        </w:rPr>
        <w:t>1</w:t>
      </w:r>
      <w:r w:rsidRPr="00F81B8E">
        <w:rPr>
          <w:lang w:eastAsia="ko-KR"/>
        </w:rPr>
        <w:tab/>
        <w:t xml:space="preserve">to organize the necessary structures within Study Group 3 to expand and accelerate the work on </w:t>
      </w:r>
      <w:r>
        <w:rPr>
          <w:lang w:eastAsia="ko-KR"/>
        </w:rPr>
        <w:t>mobile financial services</w:t>
      </w:r>
      <w:r w:rsidRPr="00F81B8E">
        <w:rPr>
          <w:lang w:eastAsia="ko-KR"/>
        </w:rPr>
        <w:t>, starting with its first meeting in the next study period;</w:t>
      </w:r>
    </w:p>
    <w:p w:rsidR="00681984" w:rsidRDefault="00681984" w:rsidP="00A301A0">
      <w:pPr>
        <w:rPr>
          <w:lang w:eastAsia="ko-KR"/>
        </w:rPr>
      </w:pPr>
      <w:r w:rsidRPr="00F81B8E">
        <w:rPr>
          <w:lang w:eastAsia="ko-KR"/>
        </w:rPr>
        <w:t>2</w:t>
      </w:r>
      <w:r w:rsidRPr="00F81B8E">
        <w:rPr>
          <w:lang w:eastAsia="ko-KR"/>
        </w:rPr>
        <w:tab/>
        <w:t xml:space="preserve">to </w:t>
      </w:r>
      <w:r>
        <w:rPr>
          <w:lang w:eastAsia="ko-KR"/>
        </w:rPr>
        <w:t xml:space="preserve">coordinate and collaborate with other relevant ITU-T </w:t>
      </w:r>
      <w:r w:rsidR="00A301A0">
        <w:rPr>
          <w:lang w:eastAsia="ko-KR"/>
        </w:rPr>
        <w:t>s</w:t>
      </w:r>
      <w:r>
        <w:rPr>
          <w:lang w:eastAsia="ko-KR"/>
        </w:rPr>
        <w:t xml:space="preserve">tudy </w:t>
      </w:r>
      <w:r w:rsidR="00A301A0">
        <w:rPr>
          <w:lang w:eastAsia="ko-KR"/>
        </w:rPr>
        <w:t>g</w:t>
      </w:r>
      <w:r>
        <w:rPr>
          <w:lang w:eastAsia="ko-KR"/>
        </w:rPr>
        <w:t>roups</w:t>
      </w:r>
      <w:r w:rsidR="00C95D3F">
        <w:rPr>
          <w:lang w:eastAsia="ko-KR"/>
        </w:rPr>
        <w:t>,</w:t>
      </w:r>
      <w:r>
        <w:rPr>
          <w:lang w:eastAsia="ko-KR"/>
        </w:rPr>
        <w:t xml:space="preserve"> </w:t>
      </w:r>
      <w:r w:rsidR="00C95D3F">
        <w:rPr>
          <w:lang w:eastAsia="ko-KR"/>
        </w:rPr>
        <w:t>e</w:t>
      </w:r>
      <w:r>
        <w:rPr>
          <w:lang w:eastAsia="ko-KR"/>
        </w:rPr>
        <w:t>specially ITU-T Study Group 2, Study Group 13, Study Gro</w:t>
      </w:r>
      <w:r w:rsidR="00A301A0">
        <w:rPr>
          <w:lang w:eastAsia="ko-KR"/>
        </w:rPr>
        <w:t>up 16, and Study Group 17, and F</w:t>
      </w:r>
      <w:r>
        <w:rPr>
          <w:lang w:eastAsia="ko-KR"/>
        </w:rPr>
        <w:t>ocus Groups</w:t>
      </w:r>
      <w:r w:rsidR="00572480">
        <w:rPr>
          <w:lang w:eastAsia="ko-KR"/>
        </w:rPr>
        <w:t>,</w:t>
      </w:r>
    </w:p>
    <w:p w:rsidR="00681984" w:rsidRDefault="00681984" w:rsidP="00572480">
      <w:pPr>
        <w:pStyle w:val="Call"/>
        <w:rPr>
          <w:lang w:eastAsia="ko-KR"/>
        </w:rPr>
      </w:pPr>
      <w:r w:rsidRPr="00F81B8E">
        <w:rPr>
          <w:lang w:eastAsia="ko-KR"/>
        </w:rPr>
        <w:t xml:space="preserve">instructs the Telecommunication Standardization </w:t>
      </w:r>
      <w:r w:rsidRPr="00572480">
        <w:t>Advisory</w:t>
      </w:r>
      <w:r w:rsidRPr="00F81B8E">
        <w:rPr>
          <w:lang w:eastAsia="ko-KR"/>
        </w:rPr>
        <w:t xml:space="preserve"> Group</w:t>
      </w:r>
    </w:p>
    <w:p w:rsidR="00681984" w:rsidRPr="00F81B8E" w:rsidRDefault="00572480" w:rsidP="00572480">
      <w:pPr>
        <w:rPr>
          <w:rFonts w:eastAsia="SimSun"/>
          <w:lang w:eastAsia="zh-CN"/>
        </w:rPr>
      </w:pPr>
      <w:r>
        <w:t>1</w:t>
      </w:r>
      <w:r>
        <w:tab/>
      </w:r>
      <w:r w:rsidR="00681984" w:rsidRPr="00F81B8E">
        <w:t xml:space="preserve">to examine the matter, consider the input of Study Group 3 and other relevant study groups and take the necessary actions, as appropriate, with a view </w:t>
      </w:r>
      <w:r w:rsidR="00681984" w:rsidRPr="00F81B8E">
        <w:rPr>
          <w:rFonts w:eastAsia="SimSun"/>
          <w:lang w:eastAsia="zh-CN"/>
        </w:rPr>
        <w:t xml:space="preserve">to deciding </w:t>
      </w:r>
      <w:r w:rsidR="00681984" w:rsidRPr="00F81B8E">
        <w:t>on</w:t>
      </w:r>
      <w:r w:rsidR="00681984" w:rsidRPr="00F81B8E">
        <w:rPr>
          <w:rFonts w:eastAsia="SimSun"/>
          <w:lang w:eastAsia="zh-CN"/>
        </w:rPr>
        <w:t xml:space="preserve"> the necessary </w:t>
      </w:r>
      <w:r w:rsidR="00681984">
        <w:rPr>
          <w:rFonts w:eastAsia="SimSun"/>
          <w:lang w:eastAsia="zh-CN"/>
        </w:rPr>
        <w:t>mobile financial services</w:t>
      </w:r>
      <w:r w:rsidR="00681984" w:rsidRPr="00F81B8E">
        <w:rPr>
          <w:rFonts w:eastAsia="SimSun"/>
          <w:lang w:eastAsia="zh-CN"/>
        </w:rPr>
        <w:t xml:space="preserve"> standardization </w:t>
      </w:r>
      <w:r w:rsidR="00681984" w:rsidRPr="00F81B8E">
        <w:t>activities</w:t>
      </w:r>
      <w:r w:rsidR="00681984" w:rsidRPr="00F81B8E">
        <w:rPr>
          <w:rFonts w:eastAsia="SimSun"/>
          <w:lang w:eastAsia="zh-CN"/>
        </w:rPr>
        <w:t xml:space="preserve"> in ITU</w:t>
      </w:r>
      <w:r w:rsidR="00681984" w:rsidRPr="00F81B8E">
        <w:rPr>
          <w:rFonts w:eastAsia="SimSun"/>
          <w:lang w:eastAsia="zh-CN"/>
        </w:rPr>
        <w:noBreakHyphen/>
        <w:t>T,</w:t>
      </w:r>
      <w:r w:rsidR="00681984" w:rsidRPr="00F81B8E">
        <w:t xml:space="preserve"> with the following actions</w:t>
      </w:r>
      <w:r w:rsidR="00681984" w:rsidRPr="00F81B8E">
        <w:rPr>
          <w:rFonts w:eastAsia="SimSun"/>
          <w:lang w:eastAsia="zh-CN"/>
        </w:rPr>
        <w:t xml:space="preserve">: </w:t>
      </w:r>
    </w:p>
    <w:p w:rsidR="00681984" w:rsidRPr="00572480" w:rsidRDefault="00572480" w:rsidP="00572480">
      <w:pPr>
        <w:pStyle w:val="enumlev1"/>
        <w:rPr>
          <w:rFonts w:eastAsia="SimSun"/>
        </w:rPr>
      </w:pPr>
      <w:r>
        <w:rPr>
          <w:rFonts w:eastAsia="SimSun"/>
          <w:lang w:eastAsia="zh-CN"/>
        </w:rPr>
        <w:t>i)</w:t>
      </w:r>
      <w:r>
        <w:rPr>
          <w:rFonts w:eastAsia="SimSun"/>
          <w:lang w:eastAsia="zh-CN"/>
        </w:rPr>
        <w:tab/>
      </w:r>
      <w:r w:rsidR="00681984" w:rsidRPr="002D4415">
        <w:rPr>
          <w:rFonts w:eastAsia="SimSun"/>
          <w:lang w:eastAsia="zh-CN"/>
        </w:rPr>
        <w:t xml:space="preserve">identify the relevant study group(s) in which to follow up actions and establish a suitable </w:t>
      </w:r>
      <w:r w:rsidR="00681984" w:rsidRPr="00572480">
        <w:rPr>
          <w:rFonts w:eastAsia="SimSun"/>
        </w:rPr>
        <w:t xml:space="preserve">organizational arrangement on mobile financial services; </w:t>
      </w:r>
    </w:p>
    <w:p w:rsidR="00681984" w:rsidRPr="00572480" w:rsidRDefault="00572480" w:rsidP="00572480">
      <w:pPr>
        <w:pStyle w:val="enumlev1"/>
        <w:rPr>
          <w:rFonts w:eastAsia="SimSun"/>
        </w:rPr>
      </w:pPr>
      <w:r>
        <w:rPr>
          <w:rFonts w:eastAsia="SimSun"/>
          <w:lang w:eastAsia="zh-CN"/>
        </w:rPr>
        <w:lastRenderedPageBreak/>
        <w:t>ii)</w:t>
      </w:r>
      <w:r>
        <w:rPr>
          <w:rFonts w:eastAsia="SimSun"/>
          <w:lang w:eastAsia="zh-CN"/>
        </w:rPr>
        <w:tab/>
      </w:r>
      <w:r w:rsidR="00681984" w:rsidRPr="00572480">
        <w:rPr>
          <w:rFonts w:eastAsia="SimSun"/>
        </w:rPr>
        <w:t>coordinate the work on mobile financial services across the study groups according to their areas of expertise;</w:t>
      </w:r>
    </w:p>
    <w:p w:rsidR="00681984" w:rsidRPr="00572480" w:rsidRDefault="00572480" w:rsidP="00572480">
      <w:pPr>
        <w:pStyle w:val="enumlev1"/>
        <w:rPr>
          <w:rFonts w:eastAsia="SimSun"/>
        </w:rPr>
      </w:pPr>
      <w:r>
        <w:rPr>
          <w:rFonts w:eastAsia="SimSun"/>
          <w:lang w:eastAsia="zh-CN"/>
        </w:rPr>
        <w:t>iii)</w:t>
      </w:r>
      <w:r>
        <w:rPr>
          <w:rFonts w:eastAsia="SimSun"/>
          <w:lang w:eastAsia="zh-CN"/>
        </w:rPr>
        <w:tab/>
      </w:r>
      <w:r w:rsidR="00681984" w:rsidRPr="00572480">
        <w:rPr>
          <w:rFonts w:eastAsia="SimSun"/>
        </w:rPr>
        <w:t>promote collaboration with other mobile financial services related standards bodies and forums;</w:t>
      </w:r>
    </w:p>
    <w:p w:rsidR="00681984" w:rsidRPr="002D4415" w:rsidRDefault="00572480" w:rsidP="00572480">
      <w:pPr>
        <w:pStyle w:val="enumlev1"/>
        <w:rPr>
          <w:rFonts w:eastAsia="SimSun"/>
          <w:lang w:eastAsia="zh-CN"/>
        </w:rPr>
      </w:pPr>
      <w:r>
        <w:rPr>
          <w:rFonts w:eastAsia="SimSun"/>
          <w:lang w:eastAsia="zh-CN"/>
        </w:rPr>
        <w:t>iv)</w:t>
      </w:r>
      <w:r>
        <w:rPr>
          <w:rFonts w:eastAsia="SimSun"/>
          <w:lang w:eastAsia="zh-CN"/>
        </w:rPr>
        <w:tab/>
      </w:r>
      <w:r w:rsidR="00681984" w:rsidRPr="00572480">
        <w:rPr>
          <w:rFonts w:eastAsia="SimSun"/>
        </w:rPr>
        <w:t>define a cle</w:t>
      </w:r>
      <w:r w:rsidR="00681984" w:rsidRPr="002D4415">
        <w:rPr>
          <w:rFonts w:eastAsia="SimSun"/>
          <w:lang w:eastAsia="zh-CN"/>
        </w:rPr>
        <w:t>ar strategic vision for mobile financial services standardization and an important act</w:t>
      </w:r>
      <w:r w:rsidR="00C5046A">
        <w:rPr>
          <w:rFonts w:eastAsia="SimSun"/>
          <w:lang w:eastAsia="zh-CN"/>
        </w:rPr>
        <w:t>ive role that ITU</w:t>
      </w:r>
      <w:r w:rsidR="00C5046A">
        <w:rPr>
          <w:rFonts w:eastAsia="SimSun"/>
          <w:lang w:eastAsia="zh-CN"/>
        </w:rPr>
        <w:noBreakHyphen/>
        <w:t>T should play;</w:t>
      </w:r>
    </w:p>
    <w:p w:rsidR="00681984" w:rsidRDefault="00572480" w:rsidP="00572480">
      <w:r>
        <w:t>2</w:t>
      </w:r>
      <w:r>
        <w:tab/>
      </w:r>
      <w:r w:rsidR="00681984">
        <w:t>t</w:t>
      </w:r>
      <w:r w:rsidR="00681984" w:rsidRPr="008611EE">
        <w:t>o submit at the ITU Global Regulators Symposium, for endorsement, the creation of an enabling framework for Mobile Financial Services</w:t>
      </w:r>
      <w:r w:rsidR="00681984">
        <w:t>,</w:t>
      </w:r>
    </w:p>
    <w:p w:rsidR="00681984" w:rsidRDefault="00681984" w:rsidP="00572480">
      <w:pPr>
        <w:pStyle w:val="Call"/>
      </w:pPr>
      <w:r w:rsidRPr="00F81B8E">
        <w:t>instructs the Director of the Telecommunication Standardization Bureau</w:t>
      </w:r>
    </w:p>
    <w:p w:rsidR="00681984" w:rsidRDefault="00572480" w:rsidP="00572480">
      <w:r>
        <w:t>1</w:t>
      </w:r>
      <w:r>
        <w:tab/>
      </w:r>
      <w:r w:rsidR="00681984" w:rsidRPr="00F81B8E">
        <w:t>to</w:t>
      </w:r>
      <w:r w:rsidR="00681984" w:rsidRPr="00F81B8E">
        <w:rPr>
          <w:color w:val="000000"/>
          <w:szCs w:val="24"/>
        </w:rPr>
        <w:t> </w:t>
      </w:r>
      <w:r w:rsidR="00681984" w:rsidRPr="00F81B8E">
        <w:t>provide</w:t>
      </w:r>
      <w:r w:rsidR="00681984" w:rsidRPr="00F81B8E">
        <w:rPr>
          <w:color w:val="000000"/>
          <w:szCs w:val="24"/>
        </w:rPr>
        <w:t xml:space="preserve"> the </w:t>
      </w:r>
      <w:r w:rsidR="00681984" w:rsidRPr="00F81B8E">
        <w:t xml:space="preserve">necessary </w:t>
      </w:r>
      <w:r w:rsidR="00681984">
        <w:t>resources as appropriate;</w:t>
      </w:r>
    </w:p>
    <w:p w:rsidR="00681984" w:rsidRDefault="00572480" w:rsidP="00C95D3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2</w:t>
      </w:r>
      <w:r>
        <w:rPr>
          <w:rFonts w:eastAsia="SimSun"/>
          <w:lang w:eastAsia="zh-CN"/>
        </w:rPr>
        <w:tab/>
      </w:r>
      <w:r w:rsidR="00681984" w:rsidRPr="00F81B8E">
        <w:rPr>
          <w:rFonts w:eastAsia="SimSun"/>
          <w:lang w:eastAsia="zh-CN"/>
        </w:rPr>
        <w:t xml:space="preserve">to organize a workshop on </w:t>
      </w:r>
      <w:r w:rsidR="00C95D3F">
        <w:rPr>
          <w:rFonts w:eastAsia="SimSun"/>
          <w:lang w:eastAsia="zh-CN"/>
        </w:rPr>
        <w:t>m</w:t>
      </w:r>
      <w:r w:rsidR="00681984">
        <w:rPr>
          <w:rFonts w:eastAsia="SimSun"/>
          <w:lang w:eastAsia="zh-CN"/>
        </w:rPr>
        <w:t>obile financial services</w:t>
      </w:r>
      <w:r w:rsidR="00681984" w:rsidRPr="00F81B8E">
        <w:rPr>
          <w:rFonts w:eastAsia="SimSun"/>
          <w:lang w:eastAsia="zh-CN"/>
        </w:rPr>
        <w:t xml:space="preserve"> in 201</w:t>
      </w:r>
      <w:r w:rsidR="00681984">
        <w:rPr>
          <w:rFonts w:eastAsia="SimSun"/>
          <w:lang w:eastAsia="zh-CN"/>
        </w:rPr>
        <w:t>7</w:t>
      </w:r>
      <w:r w:rsidR="00681984" w:rsidRPr="00F81B8E">
        <w:rPr>
          <w:rFonts w:eastAsia="SimSun"/>
          <w:lang w:eastAsia="zh-CN"/>
        </w:rPr>
        <w:t xml:space="preserve"> in order to promote </w:t>
      </w:r>
      <w:r w:rsidR="00681984">
        <w:rPr>
          <w:rFonts w:eastAsia="SimSun"/>
          <w:lang w:eastAsia="zh-CN"/>
        </w:rPr>
        <w:t>the mobile financial services</w:t>
      </w:r>
      <w:r>
        <w:rPr>
          <w:rFonts w:eastAsia="SimSun"/>
          <w:lang w:eastAsia="zh-CN"/>
        </w:rPr>
        <w:t xml:space="preserve"> within ITU-T;</w:t>
      </w:r>
    </w:p>
    <w:p w:rsidR="00681984" w:rsidRPr="00097107" w:rsidRDefault="00572480" w:rsidP="00C95D3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3</w:t>
      </w:r>
      <w:r>
        <w:rPr>
          <w:rFonts w:eastAsia="SimSun"/>
          <w:lang w:eastAsia="zh-CN"/>
        </w:rPr>
        <w:tab/>
      </w:r>
      <w:r w:rsidR="00681984">
        <w:rPr>
          <w:rFonts w:eastAsia="SimSun"/>
          <w:lang w:eastAsia="zh-CN"/>
        </w:rPr>
        <w:t xml:space="preserve">to create a study </w:t>
      </w:r>
      <w:r w:rsidR="00681984" w:rsidRPr="00097107">
        <w:rPr>
          <w:rFonts w:eastAsia="SimSun"/>
          <w:lang w:eastAsia="zh-CN"/>
        </w:rPr>
        <w:t>describing and addressing the standardization gaps and identifying future standardization work for ITU-T study groups in the ar</w:t>
      </w:r>
      <w:r w:rsidR="00681984">
        <w:rPr>
          <w:rFonts w:eastAsia="SimSun"/>
          <w:lang w:eastAsia="zh-CN"/>
        </w:rPr>
        <w:t xml:space="preserve">ea of </w:t>
      </w:r>
      <w:r w:rsidR="00C95D3F">
        <w:rPr>
          <w:rFonts w:eastAsia="SimSun"/>
          <w:lang w:eastAsia="zh-CN"/>
        </w:rPr>
        <w:t>m</w:t>
      </w:r>
      <w:r w:rsidR="00681984">
        <w:rPr>
          <w:rFonts w:eastAsia="SimSun"/>
          <w:lang w:eastAsia="zh-CN"/>
        </w:rPr>
        <w:t>obile financial services,</w:t>
      </w:r>
    </w:p>
    <w:p w:rsidR="00681984" w:rsidRDefault="00681984" w:rsidP="00F63965">
      <w:pPr>
        <w:pStyle w:val="Call"/>
        <w:spacing w:before="120"/>
      </w:pPr>
      <w:r w:rsidRPr="00F81B8E">
        <w:t>invites Member States</w:t>
      </w:r>
      <w:r w:rsidRPr="00F81B8E">
        <w:rPr>
          <w:rFonts w:eastAsia="MS Mincho"/>
          <w:lang w:eastAsia="ja-JP"/>
        </w:rPr>
        <w:t>,</w:t>
      </w:r>
      <w:r w:rsidRPr="00F81B8E">
        <w:t xml:space="preserve"> Sector Members</w:t>
      </w:r>
      <w:r w:rsidRPr="00F81B8E">
        <w:rPr>
          <w:rFonts w:eastAsia="MS Mincho"/>
          <w:lang w:eastAsia="ja-JP"/>
        </w:rPr>
        <w:t xml:space="preserve">, Associates and </w:t>
      </w:r>
      <w:r>
        <w:rPr>
          <w:rFonts w:eastAsia="MS Mincho"/>
          <w:lang w:eastAsia="ja-JP"/>
        </w:rPr>
        <w:t>A</w:t>
      </w:r>
      <w:r w:rsidRPr="00F81B8E">
        <w:rPr>
          <w:rFonts w:eastAsia="MS Mincho"/>
          <w:lang w:eastAsia="ja-JP"/>
        </w:rPr>
        <w:t>cademia</w:t>
      </w:r>
      <w:r w:rsidRPr="00F81B8E">
        <w:t xml:space="preserve"> </w:t>
      </w:r>
    </w:p>
    <w:p w:rsidR="00681984" w:rsidRPr="00F81B8E" w:rsidRDefault="00681984" w:rsidP="00C95D3F">
      <w:pPr>
        <w:rPr>
          <w:rFonts w:eastAsia="SimSun"/>
          <w:lang w:eastAsia="zh-CN"/>
        </w:rPr>
      </w:pPr>
      <w:r w:rsidRPr="00F81B8E">
        <w:t xml:space="preserve">to submit contributions </w:t>
      </w:r>
      <w:r w:rsidRPr="00F81B8E">
        <w:rPr>
          <w:rFonts w:eastAsia="SimSun"/>
          <w:lang w:eastAsia="zh-CN"/>
        </w:rPr>
        <w:t xml:space="preserve">for developing </w:t>
      </w:r>
      <w:r w:rsidR="00C95D3F">
        <w:rPr>
          <w:rFonts w:eastAsia="SimSun"/>
          <w:lang w:eastAsia="zh-CN"/>
        </w:rPr>
        <w:t>m</w:t>
      </w:r>
      <w:r>
        <w:rPr>
          <w:rFonts w:eastAsia="SimSun"/>
          <w:lang w:eastAsia="zh-CN"/>
        </w:rPr>
        <w:t xml:space="preserve">obile </w:t>
      </w:r>
      <w:r w:rsidR="00C95D3F">
        <w:rPr>
          <w:rFonts w:eastAsia="SimSun"/>
          <w:lang w:eastAsia="zh-CN"/>
        </w:rPr>
        <w:t>f</w:t>
      </w:r>
      <w:r>
        <w:rPr>
          <w:rFonts w:eastAsia="SimSun"/>
          <w:lang w:eastAsia="zh-CN"/>
        </w:rPr>
        <w:t xml:space="preserve">inancial </w:t>
      </w:r>
      <w:r w:rsidR="00C95D3F">
        <w:rPr>
          <w:rFonts w:eastAsia="SimSun"/>
          <w:lang w:eastAsia="zh-CN"/>
        </w:rPr>
        <w:t>s</w:t>
      </w:r>
      <w:r>
        <w:rPr>
          <w:rFonts w:eastAsia="SimSun"/>
          <w:lang w:eastAsia="zh-CN"/>
        </w:rPr>
        <w:t>ervices</w:t>
      </w:r>
      <w:r w:rsidRPr="00F81B8E">
        <w:rPr>
          <w:rFonts w:eastAsia="SimSun"/>
          <w:lang w:eastAsia="zh-CN"/>
        </w:rPr>
        <w:t xml:space="preserve"> standardization in ITU</w:t>
      </w:r>
      <w:r w:rsidRPr="00F81B8E">
        <w:rPr>
          <w:rFonts w:eastAsia="SimSun"/>
          <w:lang w:eastAsia="zh-CN"/>
        </w:rPr>
        <w:noBreakHyphen/>
        <w:t>T.</w:t>
      </w:r>
    </w:p>
    <w:p w:rsidR="00681984" w:rsidRDefault="00681984" w:rsidP="00A301A0">
      <w:pPr>
        <w:pStyle w:val="Reasons"/>
      </w:pPr>
    </w:p>
    <w:p w:rsidR="00681984" w:rsidRDefault="00681984" w:rsidP="00F63965">
      <w:pPr>
        <w:jc w:val="center"/>
      </w:pPr>
      <w:r w:rsidRPr="0062299A">
        <w:rPr>
          <w:szCs w:val="24"/>
        </w:rPr>
        <w:t>_________________</w:t>
      </w:r>
    </w:p>
    <w:sectPr w:rsidR="00681984">
      <w:headerReference w:type="default" r:id="rId11"/>
      <w:footerReference w:type="even" r:id="rId12"/>
      <w:footerReference w:type="default" r:id="rId13"/>
      <w:footerReference w:type="first" r:id="rId14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13" w:rsidRDefault="00424C13">
      <w:r>
        <w:separator/>
      </w:r>
    </w:p>
  </w:endnote>
  <w:endnote w:type="continuationSeparator" w:id="0">
    <w:p w:rsidR="00424C13" w:rsidRDefault="004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687C">
      <w:rPr>
        <w:noProof/>
      </w:rPr>
      <w:t>13.10.16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F63965" w:rsidRDefault="00C72D5C" w:rsidP="00E94DBA">
    <w:pPr>
      <w:pStyle w:val="Footer"/>
      <w:rPr>
        <w:lang w:val="fr-CH"/>
      </w:rPr>
    </w:pPr>
    <w:r>
      <w:fldChar w:fldCharType="begin"/>
    </w:r>
    <w:r w:rsidRPr="00F63965">
      <w:rPr>
        <w:lang w:val="fr-CH"/>
      </w:rPr>
      <w:instrText xml:space="preserve"> FILENAME \p  \* MERGEFORMAT </w:instrText>
    </w:r>
    <w:r>
      <w:fldChar w:fldCharType="separate"/>
    </w:r>
    <w:r w:rsidR="00F63965" w:rsidRPr="00F63965">
      <w:rPr>
        <w:lang w:val="fr-CH"/>
      </w:rPr>
      <w:t>P:\ENG\ITU-T\CONF-T\WTSA16\000\042ADD18E.docx</w:t>
    </w:r>
    <w:r>
      <w:fldChar w:fldCharType="end"/>
    </w:r>
    <w:r w:rsidR="00F63965" w:rsidRPr="00F63965">
      <w:rPr>
        <w:lang w:val="fr-CH"/>
      </w:rPr>
      <w:t xml:space="preserve"> (406508)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F63965" w:rsidRDefault="00C72D5C" w:rsidP="00E94DBA">
    <w:pPr>
      <w:pStyle w:val="Footer"/>
      <w:rPr>
        <w:lang w:val="fr-CH"/>
      </w:rPr>
    </w:pPr>
    <w:r>
      <w:fldChar w:fldCharType="begin"/>
    </w:r>
    <w:r w:rsidRPr="00F63965">
      <w:rPr>
        <w:lang w:val="fr-CH"/>
      </w:rPr>
      <w:instrText xml:space="preserve"> FILENAME \p  \* MERGEFORMAT </w:instrText>
    </w:r>
    <w:r>
      <w:fldChar w:fldCharType="separate"/>
    </w:r>
    <w:r w:rsidR="00F63965" w:rsidRPr="00F63965">
      <w:rPr>
        <w:lang w:val="fr-CH"/>
      </w:rPr>
      <w:t>P:\ENG\ITU-T\CONF-T\WTSA16\000\042ADD18E.docx</w:t>
    </w:r>
    <w:r>
      <w:fldChar w:fldCharType="end"/>
    </w:r>
    <w:r w:rsidR="00F63965" w:rsidRPr="00F63965">
      <w:rPr>
        <w:lang w:val="fr-CH"/>
      </w:rPr>
      <w:t xml:space="preserve"> (406508)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13" w:rsidRDefault="00424C13">
      <w:r>
        <w:rPr>
          <w:b/>
        </w:rPr>
        <w:t>_______________</w:t>
      </w:r>
    </w:p>
  </w:footnote>
  <w:footnote w:type="continuationSeparator" w:id="0">
    <w:p w:rsidR="00424C13" w:rsidRDefault="00424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8B687C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42(Add.18)-E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F21D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4CF0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A4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882B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A8B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3835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3A1F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EE7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C4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5A6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9E9547B"/>
    <w:multiLevelType w:val="hybridMultilevel"/>
    <w:tmpl w:val="BB4A932A"/>
    <w:lvl w:ilvl="0" w:tplc="49049C0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C33BEF"/>
    <w:multiLevelType w:val="hybridMultilevel"/>
    <w:tmpl w:val="FEB4E86E"/>
    <w:lvl w:ilvl="0" w:tplc="EBFA85A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36B6C"/>
    <w:multiLevelType w:val="hybridMultilevel"/>
    <w:tmpl w:val="BB4A932A"/>
    <w:lvl w:ilvl="0" w:tplc="49049C0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1C42D9"/>
    <w:multiLevelType w:val="hybridMultilevel"/>
    <w:tmpl w:val="BB4A932A"/>
    <w:lvl w:ilvl="0" w:tplc="49049C0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C36434"/>
    <w:multiLevelType w:val="hybridMultilevel"/>
    <w:tmpl w:val="C4741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E72226"/>
    <w:multiLevelType w:val="hybridMultilevel"/>
    <w:tmpl w:val="84D0A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2587"/>
    <w:rsid w:val="00077239"/>
    <w:rsid w:val="000807E9"/>
    <w:rsid w:val="00083031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50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24C13"/>
    <w:rsid w:val="004373CA"/>
    <w:rsid w:val="004420C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72480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1984"/>
    <w:rsid w:val="00685313"/>
    <w:rsid w:val="00692833"/>
    <w:rsid w:val="006A6E9B"/>
    <w:rsid w:val="006A72A4"/>
    <w:rsid w:val="006B7C2A"/>
    <w:rsid w:val="006C23DA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87C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1A0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66520"/>
    <w:rsid w:val="00B817CD"/>
    <w:rsid w:val="00B94AD0"/>
    <w:rsid w:val="00BA5265"/>
    <w:rsid w:val="00BB3A95"/>
    <w:rsid w:val="00BB6222"/>
    <w:rsid w:val="00BC2FB6"/>
    <w:rsid w:val="00BC7D84"/>
    <w:rsid w:val="00BD4C88"/>
    <w:rsid w:val="00C0018F"/>
    <w:rsid w:val="00C0539A"/>
    <w:rsid w:val="00C16A5A"/>
    <w:rsid w:val="00C20466"/>
    <w:rsid w:val="00C214ED"/>
    <w:rsid w:val="00C234E6"/>
    <w:rsid w:val="00C324A8"/>
    <w:rsid w:val="00C479FD"/>
    <w:rsid w:val="00C5046A"/>
    <w:rsid w:val="00C54517"/>
    <w:rsid w:val="00C64CD8"/>
    <w:rsid w:val="00C72D5C"/>
    <w:rsid w:val="00C77E1A"/>
    <w:rsid w:val="00C95D3F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3965"/>
    <w:rsid w:val="00F65C19"/>
    <w:rsid w:val="00F7356B"/>
    <w:rsid w:val="00F77E61"/>
    <w:rsid w:val="00F80977"/>
    <w:rsid w:val="00F83F75"/>
    <w:rsid w:val="00FB5600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link w:val="RestitleChar"/>
    <w:uiPriority w:val="99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customStyle="1" w:styleId="enumlev1Char">
    <w:name w:val="enumlev1 Char"/>
    <w:link w:val="enumlev1"/>
    <w:rsid w:val="0068198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uiPriority w:val="99"/>
    <w:rsid w:val="00681984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uiPriority w:val="99"/>
    <w:rsid w:val="00681984"/>
    <w:rPr>
      <w:rFonts w:ascii="Times New Roman Bold" w:hAnsi="Times New Roman Bold" w:cs="Times New Roman Bold"/>
      <w:b/>
      <w:bCs/>
      <w:sz w:val="28"/>
      <w:lang w:val="en-GB" w:eastAsia="en-US"/>
    </w:rPr>
  </w:style>
  <w:style w:type="paragraph" w:customStyle="1" w:styleId="Normalaftertitle1">
    <w:name w:val="Normal_after_title"/>
    <w:basedOn w:val="Normal"/>
    <w:next w:val="Normal"/>
    <w:uiPriority w:val="99"/>
    <w:rsid w:val="0068198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  <w:jc w:val="both"/>
    </w:pPr>
    <w:rPr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1b72b4-9ed2-4958-a2f7-7260c205e584" targetNamespace="http://schemas.microsoft.com/office/2006/metadata/properties" ma:root="true" ma:fieldsID="d41af5c836d734370eb92e7ee5f83852" ns2:_="" ns3:_="">
    <xsd:import namespace="996b2e75-67fd-4955-a3b0-5ab9934cb50b"/>
    <xsd:import namespace="c61b72b4-9ed2-4958-a2f7-7260c205e5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b72b4-9ed2-4958-a2f7-7260c205e5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1b72b4-9ed2-4958-a2f7-7260c205e584">Documents Proposals Manager (DPM)</DPM_x0020_Author>
    <DPM_x0020_File_x0020_name xmlns="c61b72b4-9ed2-4958-a2f7-7260c205e584">T13-WTSA.16-C-0042!A18!MSW-E</DPM_x0020_File_x0020_name>
    <DPM_x0020_Version xmlns="c61b72b4-9ed2-4958-a2f7-7260c205e584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61b72b4-9ed2-4958-a2f7-7260c205e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61b72b4-9ed2-4958-a2f7-7260c205e584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742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T13-WTSA.16-C-0042!A18!MSW-E</vt:lpstr>
    </vt:vector>
  </TitlesOfParts>
  <Manager>General Secretariat - Pool</Manager>
  <Company>International Telecommunication Union (ITU)</Company>
  <LinksUpToDate>false</LinksUpToDate>
  <CharactersWithSpaces>5199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T13-WTSA.16-C-0042!A18!MSW-E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Janin</cp:lastModifiedBy>
  <cp:revision>11</cp:revision>
  <cp:lastPrinted>2016-06-06T07:49:00Z</cp:lastPrinted>
  <dcterms:created xsi:type="dcterms:W3CDTF">2016-10-11T10:03:00Z</dcterms:created>
  <dcterms:modified xsi:type="dcterms:W3CDTF">2016-10-13T06:24:00Z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