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85165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85165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851659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85165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851659" w:rsidRDefault="0022345D" w:rsidP="00752EE3">
            <w:pPr>
              <w:pStyle w:val="Adress"/>
              <w:framePr w:hSpace="0" w:wrap="auto" w:xAlign="left" w:yAlign="inline"/>
              <w:rPr>
                <w:rtl/>
              </w:rPr>
            </w:pPr>
            <w:r w:rsidRPr="00851659">
              <w:rPr>
                <w:rtl/>
              </w:rPr>
              <w:t>الإضافة</w:t>
            </w:r>
            <w:r w:rsidR="00752EE3">
              <w:rPr>
                <w:rFonts w:hint="eastAsia"/>
                <w:rtl/>
              </w:rPr>
              <w:t> </w:t>
            </w:r>
            <w:r w:rsidRPr="00851659">
              <w:t>17</w:t>
            </w:r>
            <w:r w:rsidRPr="00851659">
              <w:br/>
            </w:r>
            <w:r w:rsidRPr="00851659">
              <w:rPr>
                <w:rtl/>
              </w:rPr>
              <w:t>للوثيقة</w:t>
            </w:r>
            <w:r w:rsidR="00851659">
              <w:rPr>
                <w:rFonts w:hint="eastAsia"/>
                <w:rtl/>
              </w:rPr>
              <w:t> </w:t>
            </w:r>
            <w:r w:rsidRPr="00851659">
              <w:t>42-</w:t>
            </w:r>
            <w:r w:rsidR="00851659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851659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851659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851659">
              <w:rPr>
                <w:rFonts w:eastAsia="SimSun"/>
              </w:rPr>
              <w:t>10</w:t>
            </w:r>
            <w:r w:rsidRPr="00851659">
              <w:rPr>
                <w:rFonts w:eastAsia="SimSun"/>
                <w:rtl/>
              </w:rPr>
              <w:t xml:space="preserve"> أكتوبر </w:t>
            </w:r>
            <w:r w:rsidRPr="00851659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851659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851659" w:rsidRDefault="0022345D" w:rsidP="00196F9B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51659">
              <w:rPr>
                <w:rFonts w:eastAsia="SimSun"/>
                <w:rtl/>
              </w:rPr>
              <w:t>الأصل:</w:t>
            </w:r>
            <w:r w:rsidR="00196F9B">
              <w:rPr>
                <w:rFonts w:eastAsia="SimSun" w:hint="eastAsia"/>
                <w:rtl/>
              </w:rPr>
              <w:t> </w:t>
            </w:r>
            <w:r w:rsidRPr="00851659">
              <w:rPr>
                <w:rFonts w:eastAsia="SimSun"/>
                <w:rtl/>
              </w:rPr>
              <w:t>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851659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5F1CC8" w:rsidRDefault="00851659" w:rsidP="00196F9B">
            <w:pPr>
              <w:pStyle w:val="Title1"/>
              <w:rPr>
                <w:rtl/>
              </w:rPr>
            </w:pPr>
            <w:r w:rsidRPr="005F1CC8">
              <w:rPr>
                <w:rtl/>
              </w:rPr>
              <w:t xml:space="preserve">مشـروع </w:t>
            </w:r>
            <w:r w:rsidR="00303CAA">
              <w:rPr>
                <w:rFonts w:hint="cs"/>
                <w:rtl/>
              </w:rPr>
              <w:t>ال</w:t>
            </w:r>
            <w:r w:rsidRPr="005F1CC8">
              <w:rPr>
                <w:rtl/>
              </w:rPr>
              <w:t xml:space="preserve">قـرار </w:t>
            </w:r>
            <w:r w:rsidR="00303CAA">
              <w:rPr>
                <w:rFonts w:hint="cs"/>
                <w:rtl/>
              </w:rPr>
              <w:t>ال</w:t>
            </w:r>
            <w:r w:rsidRPr="005F1CC8">
              <w:rPr>
                <w:rtl/>
              </w:rPr>
              <w:t>جديـد</w:t>
            </w:r>
            <w:r w:rsidRPr="005F1CC8">
              <w:rPr>
                <w:rFonts w:hint="cs"/>
                <w:rtl/>
              </w:rPr>
              <w:t> </w:t>
            </w:r>
            <w:r w:rsidRPr="005F1CC8">
              <w:t>[AFCP-6]</w:t>
            </w:r>
            <w:r w:rsidR="00FD4698">
              <w:rPr>
                <w:rFonts w:hint="cs"/>
                <w:rtl/>
              </w:rPr>
              <w:t xml:space="preserve"> </w:t>
            </w:r>
            <w:r w:rsidR="00FD4698">
              <w:rPr>
                <w:rtl/>
              </w:rPr>
              <w:t>–</w:t>
            </w:r>
            <w:r w:rsidR="00FD4698">
              <w:rPr>
                <w:rFonts w:hint="cs"/>
                <w:rtl/>
              </w:rPr>
              <w:t xml:space="preserve"> مبادرات</w:t>
            </w:r>
            <w:r w:rsidR="00FD4698">
              <w:t xml:space="preserve"> </w:t>
            </w:r>
            <w:r w:rsidRPr="005F1CC8">
              <w:rPr>
                <w:rFonts w:hint="cs"/>
                <w:rtl/>
              </w:rPr>
              <w:t>قطاع تقييس الاتصالات لزيادة</w:t>
            </w:r>
            <w:r w:rsidR="00196F9B">
              <w:rPr>
                <w:rFonts w:hint="eastAsia"/>
                <w:rtl/>
              </w:rPr>
              <w:t> </w:t>
            </w:r>
            <w:r w:rsidRPr="005F1CC8">
              <w:rPr>
                <w:rFonts w:hint="cs"/>
                <w:rtl/>
              </w:rPr>
              <w:t>الوعي بشأن أفضل الممارسات والسياسات المتعلقة بجودة الخدمة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54E71" w:rsidRDefault="00654E71" w:rsidP="00654E71"/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851659">
        <w:trPr>
          <w:cantSplit/>
          <w:jc w:val="right"/>
        </w:trPr>
        <w:sdt>
          <w:sdtPr>
            <w:rPr>
              <w:rtl/>
            </w:rPr>
            <w:alias w:val="Abstract"/>
            <w:tag w:val="Abstract"/>
            <w:id w:val="-939903723"/>
            <w:placeholder>
              <w:docPart w:val="456CC73F53E643B5956215EB24B5ECF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506" w:type="dxa"/>
              </w:tcPr>
              <w:p w:rsidR="006157A3" w:rsidRPr="00303CAA" w:rsidRDefault="00303CAA" w:rsidP="00303CAA">
                <w:pPr>
                  <w:rPr>
                    <w:highlight w:val="yellow"/>
                  </w:rPr>
                </w:pPr>
                <w:r w:rsidRPr="00FD4698">
                  <w:rPr>
                    <w:rFonts w:hint="cs"/>
                    <w:rtl/>
                  </w:rPr>
                  <w:t xml:space="preserve">تقترح الدول الأعضاء الإفريقية مشروع قرار جديد بشأن جودة الخدمة كما هو موضح </w:t>
                </w:r>
                <w:r w:rsidR="00752EE3">
                  <w:rPr>
                    <w:rFonts w:hint="cs"/>
                    <w:rtl/>
                  </w:rPr>
                  <w:t>في </w:t>
                </w:r>
                <w:r w:rsidRPr="00FD4698">
                  <w:rPr>
                    <w:rFonts w:hint="cs"/>
                    <w:rtl/>
                  </w:rPr>
                  <w:t>هذه الوثيقة.</w:t>
                </w:r>
              </w:p>
            </w:tc>
          </w:sdtContent>
        </w:sdt>
        <w:tc>
          <w:tcPr>
            <w:tcW w:w="1058" w:type="dxa"/>
          </w:tcPr>
          <w:p w:rsidR="006157A3" w:rsidRPr="00E70E87" w:rsidRDefault="006157A3" w:rsidP="00654E7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="00654E71">
              <w:rPr>
                <w:rFonts w:hint="cs"/>
                <w:b/>
                <w:bCs/>
                <w:rtl/>
              </w:rPr>
              <w:t>:</w:t>
            </w:r>
          </w:p>
        </w:tc>
      </w:tr>
    </w:tbl>
    <w:p w:rsidR="00851659" w:rsidRDefault="00851659" w:rsidP="00851659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851659" w:rsidRPr="00196F9B" w:rsidRDefault="00DE3CAC" w:rsidP="00752EE3">
      <w:pPr>
        <w:rPr>
          <w:spacing w:val="-4"/>
          <w:rtl/>
          <w:lang w:bidi="ar-EG"/>
        </w:rPr>
      </w:pPr>
      <w:r w:rsidRPr="00196F9B">
        <w:rPr>
          <w:rFonts w:hint="cs"/>
          <w:spacing w:val="-4"/>
          <w:rtl/>
          <w:lang w:bidi="ar-EG"/>
        </w:rPr>
        <w:t xml:space="preserve">إقراراً بأهمية جودة الخدمة وجودة التجربة </w:t>
      </w:r>
      <w:r w:rsidR="00752EE3">
        <w:rPr>
          <w:rFonts w:hint="cs"/>
          <w:spacing w:val="-4"/>
          <w:rtl/>
          <w:lang w:bidi="ar-EG"/>
        </w:rPr>
        <w:t>في </w:t>
      </w:r>
      <w:r w:rsidRPr="00196F9B">
        <w:rPr>
          <w:rFonts w:hint="cs"/>
          <w:spacing w:val="-4"/>
          <w:rtl/>
          <w:lang w:bidi="ar-EG"/>
        </w:rPr>
        <w:t xml:space="preserve">شبكات الاتصالات وخدماتها، وأخذاً </w:t>
      </w:r>
      <w:r w:rsidR="00752EE3">
        <w:rPr>
          <w:rFonts w:hint="cs"/>
          <w:spacing w:val="-4"/>
          <w:rtl/>
          <w:lang w:bidi="ar-EG"/>
        </w:rPr>
        <w:t>في </w:t>
      </w:r>
      <w:r w:rsidRPr="00196F9B">
        <w:rPr>
          <w:rFonts w:hint="cs"/>
          <w:spacing w:val="-4"/>
          <w:rtl/>
          <w:lang w:bidi="ar-EG"/>
        </w:rPr>
        <w:t xml:space="preserve">الاعتبار أن </w:t>
      </w:r>
      <w:r w:rsidR="007C60B3" w:rsidRPr="00196F9B">
        <w:rPr>
          <w:rFonts w:hint="cs"/>
          <w:spacing w:val="-4"/>
          <w:rtl/>
          <w:lang w:bidi="ar-EG"/>
        </w:rPr>
        <w:t>ال</w:t>
      </w:r>
      <w:r w:rsidR="009437E9" w:rsidRPr="00196F9B">
        <w:rPr>
          <w:rFonts w:hint="cs"/>
          <w:spacing w:val="-4"/>
          <w:rtl/>
          <w:lang w:bidi="ar-EG"/>
        </w:rPr>
        <w:t>شفاف</w:t>
      </w:r>
      <w:r w:rsidR="007C60B3" w:rsidRPr="00196F9B">
        <w:rPr>
          <w:rFonts w:hint="cs"/>
          <w:spacing w:val="-4"/>
          <w:rtl/>
          <w:lang w:bidi="ar-EG"/>
        </w:rPr>
        <w:t>ية</w:t>
      </w:r>
      <w:r w:rsidR="009437E9" w:rsidRPr="00196F9B">
        <w:rPr>
          <w:rFonts w:hint="cs"/>
          <w:spacing w:val="-4"/>
          <w:rtl/>
          <w:lang w:bidi="ar-EG"/>
        </w:rPr>
        <w:t xml:space="preserve"> و</w:t>
      </w:r>
      <w:r w:rsidR="007C60B3" w:rsidRPr="00196F9B">
        <w:rPr>
          <w:rFonts w:hint="cs"/>
          <w:spacing w:val="-4"/>
          <w:rtl/>
          <w:lang w:bidi="ar-EG"/>
        </w:rPr>
        <w:t>التعاون</w:t>
      </w:r>
      <w:r w:rsidR="009437E9" w:rsidRPr="00196F9B">
        <w:rPr>
          <w:rFonts w:hint="cs"/>
          <w:spacing w:val="-4"/>
          <w:rtl/>
          <w:lang w:bidi="ar-EG"/>
        </w:rPr>
        <w:t xml:space="preserve"> </w:t>
      </w:r>
      <w:r w:rsidR="00FE756A" w:rsidRPr="00196F9B">
        <w:rPr>
          <w:rFonts w:hint="cs"/>
          <w:spacing w:val="-4"/>
          <w:rtl/>
          <w:lang w:bidi="ar-EG"/>
        </w:rPr>
        <w:t>في</w:t>
      </w:r>
      <w:r w:rsidR="00196F9B">
        <w:rPr>
          <w:rFonts w:hint="eastAsia"/>
          <w:spacing w:val="-4"/>
          <w:rtl/>
          <w:lang w:bidi="ar-EG"/>
        </w:rPr>
        <w:t> </w:t>
      </w:r>
      <w:r w:rsidR="009437E9" w:rsidRPr="00196F9B">
        <w:rPr>
          <w:rFonts w:hint="cs"/>
          <w:spacing w:val="-4"/>
          <w:rtl/>
          <w:lang w:bidi="ar-EG"/>
        </w:rPr>
        <w:t xml:space="preserve">جمع </w:t>
      </w:r>
      <w:r w:rsidR="00A60ABC" w:rsidRPr="00196F9B">
        <w:rPr>
          <w:rFonts w:hint="cs"/>
          <w:spacing w:val="-4"/>
          <w:rtl/>
          <w:lang w:bidi="ar-EG"/>
        </w:rPr>
        <w:t xml:space="preserve">ونشر </w:t>
      </w:r>
      <w:r w:rsidR="00FE756A" w:rsidRPr="00196F9B">
        <w:rPr>
          <w:rFonts w:hint="cs"/>
          <w:spacing w:val="-4"/>
          <w:rtl/>
          <w:lang w:bidi="ar-EG"/>
        </w:rPr>
        <w:t>ال</w:t>
      </w:r>
      <w:r w:rsidR="009437E9" w:rsidRPr="00196F9B">
        <w:rPr>
          <w:rFonts w:hint="cs"/>
          <w:spacing w:val="-4"/>
          <w:rtl/>
          <w:lang w:bidi="ar-EG"/>
        </w:rPr>
        <w:t>مؤشرات و</w:t>
      </w:r>
      <w:r w:rsidR="00FE756A" w:rsidRPr="00196F9B">
        <w:rPr>
          <w:rFonts w:hint="cs"/>
          <w:spacing w:val="-4"/>
          <w:rtl/>
          <w:lang w:bidi="ar-EG"/>
        </w:rPr>
        <w:t>ال</w:t>
      </w:r>
      <w:r w:rsidR="009437E9" w:rsidRPr="00196F9B">
        <w:rPr>
          <w:rFonts w:hint="cs"/>
          <w:spacing w:val="-4"/>
          <w:rtl/>
          <w:lang w:bidi="ar-EG"/>
        </w:rPr>
        <w:t xml:space="preserve">إحصاءات </w:t>
      </w:r>
      <w:r w:rsidR="00FE756A" w:rsidRPr="00196F9B">
        <w:rPr>
          <w:rFonts w:hint="cs"/>
          <w:spacing w:val="-4"/>
          <w:rtl/>
          <w:lang w:bidi="ar-EG"/>
        </w:rPr>
        <w:t>ال</w:t>
      </w:r>
      <w:r w:rsidR="009437E9" w:rsidRPr="00196F9B">
        <w:rPr>
          <w:rFonts w:hint="cs"/>
          <w:spacing w:val="-4"/>
          <w:rtl/>
          <w:lang w:bidi="ar-EG"/>
        </w:rPr>
        <w:t xml:space="preserve">جيدة </w:t>
      </w:r>
      <w:r w:rsidR="00FE756A" w:rsidRPr="00196F9B">
        <w:rPr>
          <w:rFonts w:hint="cs"/>
          <w:spacing w:val="-4"/>
          <w:rtl/>
          <w:lang w:bidi="ar-EG"/>
        </w:rPr>
        <w:t>التي تقيس</w:t>
      </w:r>
      <w:r w:rsidR="002D67F9" w:rsidRPr="00196F9B">
        <w:rPr>
          <w:rFonts w:hint="cs"/>
          <w:spacing w:val="-4"/>
          <w:rtl/>
          <w:lang w:bidi="ar-EG"/>
        </w:rPr>
        <w:t xml:space="preserve"> التقدم المحرز </w:t>
      </w:r>
      <w:r w:rsidR="00752EE3">
        <w:rPr>
          <w:rFonts w:hint="cs"/>
          <w:spacing w:val="-4"/>
          <w:rtl/>
          <w:lang w:bidi="ar-EG"/>
        </w:rPr>
        <w:t>في </w:t>
      </w:r>
      <w:r w:rsidR="002D67F9" w:rsidRPr="00196F9B">
        <w:rPr>
          <w:rFonts w:hint="cs"/>
          <w:spacing w:val="-4"/>
          <w:rtl/>
          <w:lang w:bidi="ar-EG"/>
        </w:rPr>
        <w:t xml:space="preserve">استعمال </w:t>
      </w:r>
      <w:r w:rsidR="00FE756A" w:rsidRPr="00196F9B">
        <w:rPr>
          <w:rFonts w:hint="cs"/>
          <w:spacing w:val="-4"/>
          <w:rtl/>
          <w:lang w:bidi="ar-EG"/>
        </w:rPr>
        <w:t>واعتماد تكنولوجيا</w:t>
      </w:r>
      <w:r w:rsidR="002D67F9" w:rsidRPr="00196F9B">
        <w:rPr>
          <w:rFonts w:hint="cs"/>
          <w:spacing w:val="-4"/>
          <w:rtl/>
          <w:lang w:bidi="ar-EG"/>
        </w:rPr>
        <w:t xml:space="preserve"> المعلومات والاتصالات</w:t>
      </w:r>
      <w:r w:rsidR="00B73BEF" w:rsidRPr="00196F9B">
        <w:rPr>
          <w:rFonts w:hint="cs"/>
          <w:spacing w:val="-4"/>
          <w:rtl/>
          <w:lang w:bidi="ar-EG"/>
        </w:rPr>
        <w:t xml:space="preserve"> </w:t>
      </w:r>
      <w:r w:rsidR="00FE756A" w:rsidRPr="00196F9B">
        <w:rPr>
          <w:rFonts w:hint="cs"/>
          <w:spacing w:val="-4"/>
          <w:rtl/>
          <w:lang w:bidi="ar-EG"/>
        </w:rPr>
        <w:t>وتوفر</w:t>
      </w:r>
      <w:r w:rsidR="002D67F9" w:rsidRPr="00196F9B">
        <w:rPr>
          <w:rFonts w:hint="cs"/>
          <w:spacing w:val="-4"/>
          <w:rtl/>
          <w:lang w:bidi="ar-EG"/>
        </w:rPr>
        <w:t xml:space="preserve"> تحليل</w:t>
      </w:r>
      <w:r w:rsidR="005302E8" w:rsidRPr="00196F9B">
        <w:rPr>
          <w:rFonts w:hint="cs"/>
          <w:spacing w:val="-4"/>
          <w:rtl/>
          <w:lang w:bidi="ar-EG"/>
        </w:rPr>
        <w:t>اً</w:t>
      </w:r>
      <w:r w:rsidR="002D67F9" w:rsidRPr="00196F9B">
        <w:rPr>
          <w:rFonts w:hint="cs"/>
          <w:spacing w:val="-4"/>
          <w:rtl/>
          <w:lang w:bidi="ar-EG"/>
        </w:rPr>
        <w:t xml:space="preserve"> مقارن</w:t>
      </w:r>
      <w:r w:rsidR="005302E8" w:rsidRPr="00196F9B">
        <w:rPr>
          <w:rFonts w:hint="cs"/>
          <w:spacing w:val="-4"/>
          <w:rtl/>
          <w:lang w:bidi="ar-EG"/>
        </w:rPr>
        <w:t>اً</w:t>
      </w:r>
      <w:r w:rsidR="002D67F9" w:rsidRPr="00196F9B">
        <w:rPr>
          <w:rFonts w:hint="cs"/>
          <w:spacing w:val="-4"/>
          <w:rtl/>
          <w:lang w:bidi="ar-EG"/>
        </w:rPr>
        <w:t xml:space="preserve"> </w:t>
      </w:r>
      <w:r w:rsidR="00F57F22" w:rsidRPr="00196F9B">
        <w:rPr>
          <w:rFonts w:hint="cs"/>
          <w:spacing w:val="-4"/>
          <w:rtl/>
        </w:rPr>
        <w:t>بشأنها</w:t>
      </w:r>
      <w:r w:rsidR="00F57F22" w:rsidRPr="00196F9B">
        <w:rPr>
          <w:spacing w:val="-4"/>
          <w:rtl/>
        </w:rPr>
        <w:t xml:space="preserve"> </w:t>
      </w:r>
      <w:r w:rsidR="00F57F22" w:rsidRPr="00196F9B">
        <w:rPr>
          <w:rFonts w:hint="cs"/>
          <w:spacing w:val="-4"/>
          <w:rtl/>
        </w:rPr>
        <w:t>لا</w:t>
      </w:r>
      <w:r w:rsidR="00752EE3">
        <w:rPr>
          <w:rFonts w:hint="eastAsia"/>
          <w:spacing w:val="-4"/>
          <w:rtl/>
        </w:rPr>
        <w:t> </w:t>
      </w:r>
      <w:r w:rsidR="00F57F22" w:rsidRPr="00196F9B">
        <w:rPr>
          <w:rFonts w:hint="cs"/>
          <w:spacing w:val="-4"/>
          <w:rtl/>
        </w:rPr>
        <w:t>يزالان</w:t>
      </w:r>
      <w:r w:rsidR="00F57F22" w:rsidRPr="00196F9B">
        <w:rPr>
          <w:spacing w:val="-4"/>
          <w:rtl/>
        </w:rPr>
        <w:t xml:space="preserve"> </w:t>
      </w:r>
      <w:proofErr w:type="spellStart"/>
      <w:r w:rsidR="00F57F22" w:rsidRPr="00196F9B">
        <w:rPr>
          <w:rFonts w:hint="cs"/>
          <w:spacing w:val="-4"/>
          <w:rtl/>
        </w:rPr>
        <w:t>ي‍مثلان</w:t>
      </w:r>
      <w:proofErr w:type="spellEnd"/>
      <w:r w:rsidR="00F57F22" w:rsidRPr="00196F9B">
        <w:rPr>
          <w:spacing w:val="-4"/>
          <w:rtl/>
        </w:rPr>
        <w:t xml:space="preserve"> </w:t>
      </w:r>
      <w:r w:rsidR="003D48B8" w:rsidRPr="00196F9B">
        <w:rPr>
          <w:rFonts w:hint="cs"/>
          <w:spacing w:val="-4"/>
          <w:rtl/>
          <w:lang w:bidi="ar-EG"/>
        </w:rPr>
        <w:t xml:space="preserve">عاملاً رئيسياً لدعم النمو الاجتماعي والاقتصادي؛ </w:t>
      </w:r>
      <w:r w:rsidR="002B3F8A" w:rsidRPr="00196F9B">
        <w:rPr>
          <w:rFonts w:hint="cs"/>
          <w:spacing w:val="-4"/>
          <w:rtl/>
          <w:lang w:bidi="ar-EG"/>
        </w:rPr>
        <w:t xml:space="preserve">كما أن ذلك يزود الحكومات وأصحاب المصلحة بآلية </w:t>
      </w:r>
      <w:r w:rsidR="008E5DC6" w:rsidRPr="00196F9B">
        <w:rPr>
          <w:rFonts w:hint="cs"/>
          <w:spacing w:val="-4"/>
          <w:rtl/>
          <w:lang w:bidi="ar-EG"/>
        </w:rPr>
        <w:t>ل</w:t>
      </w:r>
      <w:r w:rsidR="002B3F8A" w:rsidRPr="00196F9B">
        <w:rPr>
          <w:rFonts w:hint="cs"/>
          <w:spacing w:val="-4"/>
          <w:rtl/>
          <w:lang w:bidi="ar-EG"/>
        </w:rPr>
        <w:t xml:space="preserve">فهم </w:t>
      </w:r>
      <w:r w:rsidR="00A37058" w:rsidRPr="00196F9B">
        <w:rPr>
          <w:rFonts w:hint="cs"/>
          <w:spacing w:val="-4"/>
          <w:rtl/>
          <w:lang w:bidi="ar-EG"/>
        </w:rPr>
        <w:t>الدوافع</w:t>
      </w:r>
      <w:r w:rsidR="002B3F8A" w:rsidRPr="00196F9B">
        <w:rPr>
          <w:rFonts w:hint="cs"/>
          <w:spacing w:val="-4"/>
          <w:rtl/>
          <w:lang w:bidi="ar-EG"/>
        </w:rPr>
        <w:t xml:space="preserve"> الرئيسية ل</w:t>
      </w:r>
      <w:r w:rsidR="00A37058" w:rsidRPr="00196F9B">
        <w:rPr>
          <w:rFonts w:hint="cs"/>
          <w:spacing w:val="-4"/>
          <w:rtl/>
          <w:lang w:bidi="ar-EG"/>
        </w:rPr>
        <w:t>اعتماد ا</w:t>
      </w:r>
      <w:r w:rsidR="002B3F8A" w:rsidRPr="00196F9B">
        <w:rPr>
          <w:rFonts w:hint="cs"/>
          <w:spacing w:val="-4"/>
          <w:rtl/>
          <w:lang w:bidi="ar-EG"/>
        </w:rPr>
        <w:t xml:space="preserve">لاتصالات/تكنولوجيا المعلومات والاتصالات </w:t>
      </w:r>
      <w:r w:rsidR="00255AA0" w:rsidRPr="00196F9B">
        <w:rPr>
          <w:rFonts w:hint="cs"/>
          <w:spacing w:val="-4"/>
          <w:rtl/>
          <w:lang w:bidi="ar-EG"/>
        </w:rPr>
        <w:t xml:space="preserve">بشكل أفضل </w:t>
      </w:r>
      <w:r w:rsidR="00A37058" w:rsidRPr="00196F9B">
        <w:rPr>
          <w:rFonts w:hint="cs"/>
          <w:spacing w:val="-4"/>
          <w:rtl/>
          <w:lang w:bidi="ar-EG"/>
        </w:rPr>
        <w:t xml:space="preserve">وتساعد </w:t>
      </w:r>
      <w:r w:rsidR="00752EE3">
        <w:rPr>
          <w:rFonts w:hint="cs"/>
          <w:spacing w:val="-4"/>
          <w:rtl/>
          <w:lang w:bidi="ar-EG"/>
        </w:rPr>
        <w:t>في </w:t>
      </w:r>
      <w:r w:rsidR="00255AA0" w:rsidRPr="00196F9B">
        <w:rPr>
          <w:rFonts w:hint="cs"/>
          <w:spacing w:val="-4"/>
          <w:rtl/>
          <w:lang w:bidi="ar-EG"/>
        </w:rPr>
        <w:t xml:space="preserve">مواصلة </w:t>
      </w:r>
      <w:r w:rsidR="00A37058" w:rsidRPr="00196F9B">
        <w:rPr>
          <w:rFonts w:hint="cs"/>
          <w:spacing w:val="-4"/>
          <w:rtl/>
          <w:lang w:bidi="ar-EG"/>
        </w:rPr>
        <w:t>صياغة السياسات الوطنية</w:t>
      </w:r>
      <w:r w:rsidR="00196F9B" w:rsidRPr="00196F9B">
        <w:rPr>
          <w:rFonts w:hint="cs"/>
          <w:spacing w:val="-4"/>
          <w:rtl/>
          <w:lang w:bidi="ar-EG"/>
        </w:rPr>
        <w:t>.</w:t>
      </w:r>
    </w:p>
    <w:p w:rsidR="00851659" w:rsidRDefault="00851659" w:rsidP="00851659">
      <w:pPr>
        <w:pStyle w:val="Heading1"/>
        <w:rPr>
          <w:rtl/>
        </w:rPr>
      </w:pPr>
      <w:r>
        <w:t>2</w:t>
      </w:r>
      <w:r>
        <w:tab/>
      </w:r>
      <w:r>
        <w:rPr>
          <w:rFonts w:hint="cs"/>
          <w:rtl/>
        </w:rPr>
        <w:t>المقترح</w:t>
      </w:r>
    </w:p>
    <w:p w:rsidR="0058720E" w:rsidRDefault="009E4144" w:rsidP="00196F9B">
      <w:r>
        <w:rPr>
          <w:rFonts w:hint="cs"/>
          <w:rtl/>
          <w:lang w:bidi="ar-EG"/>
        </w:rPr>
        <w:t xml:space="preserve">بناءً على ذلك، يُقترح مشروع تقرير جديد لتشجيع قطاع تقييس الاتصالات على </w:t>
      </w:r>
      <w:r w:rsidR="00400A0B">
        <w:rPr>
          <w:rFonts w:hint="cs"/>
          <w:rtl/>
          <w:lang w:bidi="ar-EG"/>
        </w:rPr>
        <w:t>مواصلة</w:t>
      </w:r>
      <w:r>
        <w:rPr>
          <w:rFonts w:hint="cs"/>
          <w:rtl/>
          <w:lang w:bidi="ar-EG"/>
        </w:rPr>
        <w:t xml:space="preserve"> </w:t>
      </w:r>
      <w:r w:rsidR="00851659">
        <w:rPr>
          <w:rFonts w:hint="cs"/>
          <w:rtl/>
        </w:rPr>
        <w:t>وضع التوصيات اللازمة بشأن جودة الخدمة وجودة التجربة لتطبيقات الوسائط المتعددة</w:t>
      </w:r>
      <w:r w:rsidR="00851659">
        <w:rPr>
          <w:rFonts w:hint="eastAsia"/>
          <w:rtl/>
        </w:rPr>
        <w:t> </w:t>
      </w:r>
      <w:r w:rsidR="00400A0B">
        <w:rPr>
          <w:rFonts w:hint="cs"/>
          <w:rtl/>
        </w:rPr>
        <w:t xml:space="preserve">وخدماتها وتقديم كامل الدعم والمساعدة لإجراء هذه الدراسات </w:t>
      </w:r>
      <w:r w:rsidR="006C6158">
        <w:rPr>
          <w:rFonts w:hint="cs"/>
          <w:rtl/>
        </w:rPr>
        <w:t>والمساعدة في</w:t>
      </w:r>
      <w:r w:rsidR="00196F9B">
        <w:rPr>
          <w:rFonts w:hint="eastAsia"/>
          <w:rtl/>
        </w:rPr>
        <w:t> </w:t>
      </w:r>
      <w:r w:rsidR="006C6158">
        <w:rPr>
          <w:rFonts w:hint="cs"/>
          <w:rtl/>
        </w:rPr>
        <w:t xml:space="preserve">إعداد </w:t>
      </w:r>
      <w:r w:rsidR="0058720E" w:rsidRPr="006C6158">
        <w:rPr>
          <w:rFonts w:hint="cs"/>
          <w:rtl/>
          <w:lang w:bidi="ar-EG"/>
        </w:rPr>
        <w:t xml:space="preserve">توصيات </w:t>
      </w:r>
      <w:r w:rsidR="006C6158">
        <w:rPr>
          <w:rFonts w:hint="cs"/>
          <w:rtl/>
          <w:lang w:bidi="ar-EG"/>
        </w:rPr>
        <w:t>تسترشد بها</w:t>
      </w:r>
      <w:r w:rsidR="0058720E" w:rsidRPr="006C6158">
        <w:rPr>
          <w:rFonts w:hint="cs"/>
          <w:rtl/>
          <w:lang w:bidi="ar-EG"/>
        </w:rPr>
        <w:t xml:space="preserve"> هيئات التنظيم</w:t>
      </w:r>
      <w:r w:rsidR="00255AA0">
        <w:rPr>
          <w:rFonts w:hint="cs"/>
          <w:rtl/>
          <w:lang w:bidi="ar-EG"/>
        </w:rPr>
        <w:t xml:space="preserve"> </w:t>
      </w:r>
      <w:r w:rsidR="00752EE3">
        <w:rPr>
          <w:rFonts w:hint="cs"/>
          <w:rtl/>
          <w:lang w:bidi="ar-EG"/>
        </w:rPr>
        <w:t>في </w:t>
      </w:r>
      <w:r w:rsidR="0058720E" w:rsidRPr="006C6158">
        <w:rPr>
          <w:rFonts w:hint="cs"/>
          <w:rtl/>
          <w:lang w:bidi="ar-EG"/>
        </w:rPr>
        <w:t xml:space="preserve">استراتيجيات مراقبة </w:t>
      </w:r>
      <w:r w:rsidR="00255AA0">
        <w:rPr>
          <w:rFonts w:hint="cs"/>
          <w:rtl/>
          <w:lang w:bidi="ar-EG"/>
        </w:rPr>
        <w:t xml:space="preserve">وإنفاذ </w:t>
      </w:r>
      <w:r w:rsidR="0058720E" w:rsidRPr="006C6158">
        <w:rPr>
          <w:rFonts w:hint="cs"/>
          <w:rtl/>
          <w:lang w:bidi="ar-EG"/>
        </w:rPr>
        <w:t>جودة الخدمة وجودة التجربة في</w:t>
      </w:r>
      <w:r w:rsidR="0058720E" w:rsidRPr="006C6158">
        <w:rPr>
          <w:rFonts w:hint="eastAsia"/>
          <w:rtl/>
          <w:lang w:bidi="ar-EG"/>
        </w:rPr>
        <w:t> </w:t>
      </w:r>
      <w:r w:rsidR="0058720E" w:rsidRPr="006C6158">
        <w:rPr>
          <w:rFonts w:hint="cs"/>
          <w:rtl/>
          <w:lang w:bidi="ar-EG"/>
        </w:rPr>
        <w:t>خدمات الاتصالات</w:t>
      </w:r>
      <w:r w:rsidR="00906D6D">
        <w:rPr>
          <w:rFonts w:hint="cs"/>
          <w:rtl/>
        </w:rPr>
        <w:t>.</w:t>
      </w:r>
    </w:p>
    <w:p w:rsidR="00196F9B" w:rsidRDefault="00196F9B" w:rsidP="001458B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04085A" w:rsidRDefault="005F1CC8">
      <w:pPr>
        <w:pStyle w:val="Proposal"/>
      </w:pPr>
      <w:r>
        <w:lastRenderedPageBreak/>
        <w:t>ADD</w:t>
      </w:r>
      <w:r>
        <w:tab/>
        <w:t>AFCP/42A17/1</w:t>
      </w:r>
    </w:p>
    <w:p w:rsidR="0004085A" w:rsidRPr="00F51CEC" w:rsidRDefault="005F1CC8" w:rsidP="00F51CEC">
      <w:pPr>
        <w:pStyle w:val="ResNo"/>
      </w:pPr>
      <w:r w:rsidRPr="00F51CEC">
        <w:rPr>
          <w:rtl/>
        </w:rPr>
        <w:t xml:space="preserve">مشـروع </w:t>
      </w:r>
      <w:r w:rsidR="00313B67" w:rsidRPr="00F51CEC">
        <w:rPr>
          <w:rFonts w:hint="cs"/>
          <w:rtl/>
        </w:rPr>
        <w:t>ال</w:t>
      </w:r>
      <w:r w:rsidRPr="00F51CEC">
        <w:rPr>
          <w:rtl/>
        </w:rPr>
        <w:t xml:space="preserve">قـرار </w:t>
      </w:r>
      <w:r w:rsidR="00313B67" w:rsidRPr="00F51CEC">
        <w:rPr>
          <w:rFonts w:hint="cs"/>
          <w:rtl/>
        </w:rPr>
        <w:t>ال</w:t>
      </w:r>
      <w:r w:rsidRPr="00F51CEC">
        <w:rPr>
          <w:rtl/>
        </w:rPr>
        <w:t>جديـد</w:t>
      </w:r>
      <w:r w:rsidR="009A3D80" w:rsidRPr="00F51CEC">
        <w:rPr>
          <w:rFonts w:hint="cs"/>
          <w:rtl/>
        </w:rPr>
        <w:t> </w:t>
      </w:r>
      <w:r w:rsidRPr="00F51CEC">
        <w:t>[AFCP-6]</w:t>
      </w:r>
    </w:p>
    <w:p w:rsidR="0004085A" w:rsidRDefault="0058720E" w:rsidP="00654E71">
      <w:pPr>
        <w:pStyle w:val="Restitle"/>
      </w:pPr>
      <w:r>
        <w:rPr>
          <w:rFonts w:hint="cs"/>
          <w:rtl/>
          <w:lang w:val="en-GB"/>
        </w:rPr>
        <w:t>مبادرات قطاع تقييس الاتصالات لزيادة الوعي بشأن أفضل الممارسات</w:t>
      </w:r>
      <w:r w:rsidR="00654E71">
        <w:rPr>
          <w:rtl/>
          <w:lang w:val="en-GB"/>
        </w:rPr>
        <w:br/>
      </w:r>
      <w:r>
        <w:rPr>
          <w:rFonts w:hint="cs"/>
          <w:rtl/>
          <w:lang w:val="en-GB"/>
        </w:rPr>
        <w:t>والسياسات المتعلقة بجودة الخدمة</w:t>
      </w:r>
    </w:p>
    <w:p w:rsidR="0004085A" w:rsidRPr="00313B67" w:rsidRDefault="0058720E" w:rsidP="00313B67">
      <w:pPr>
        <w:pStyle w:val="Resref"/>
        <w:rPr>
          <w:rFonts w:ascii="Times New Roman italic" w:hAnsi="Times New Roman italic"/>
          <w:iCs/>
          <w:rtl/>
        </w:rPr>
      </w:pPr>
      <w:r w:rsidRPr="00313B67">
        <w:rPr>
          <w:rFonts w:ascii="Times New Roman italic" w:hAnsi="Times New Roman italic" w:hint="cs"/>
          <w:iCs/>
          <w:rtl/>
        </w:rPr>
        <w:t>(الحمامات، </w:t>
      </w:r>
      <w:r w:rsidRPr="00313B67">
        <w:rPr>
          <w:rFonts w:ascii="Times New Roman italic" w:hAnsi="Times New Roman italic"/>
          <w:iCs/>
        </w:rPr>
        <w:t>2016</w:t>
      </w:r>
      <w:r w:rsidRPr="00313B67">
        <w:rPr>
          <w:rFonts w:ascii="Times New Roman italic" w:hAnsi="Times New Roman italic" w:hint="cs"/>
          <w:iCs/>
          <w:rtl/>
        </w:rPr>
        <w:t>)</w:t>
      </w:r>
    </w:p>
    <w:p w:rsidR="0058720E" w:rsidRPr="006D4A4E" w:rsidRDefault="0058720E" w:rsidP="00313B67">
      <w:pPr>
        <w:pStyle w:val="Normalaftertitle"/>
        <w:rPr>
          <w:rtl/>
        </w:rPr>
      </w:pPr>
      <w:r w:rsidRPr="00B2598B">
        <w:rPr>
          <w:rFonts w:hint="eastAsia"/>
          <w:rtl/>
        </w:rPr>
        <w:t>إن</w:t>
      </w:r>
      <w:r w:rsidRPr="00B2598B">
        <w:rPr>
          <w:rtl/>
        </w:rPr>
        <w:t xml:space="preserve"> </w:t>
      </w:r>
      <w:r>
        <w:rPr>
          <w:rFonts w:hint="cs"/>
          <w:rtl/>
        </w:rPr>
        <w:t>الجمعية العالمية لتقييس الاتصالات</w:t>
      </w:r>
      <w:r w:rsidRPr="00B2598B">
        <w:rPr>
          <w:rtl/>
        </w:rPr>
        <w:t xml:space="preserve"> (</w:t>
      </w:r>
      <w:r>
        <w:rPr>
          <w:rFonts w:hint="cs"/>
          <w:rtl/>
        </w:rPr>
        <w:t>الحمامات</w:t>
      </w:r>
      <w:r w:rsidRPr="007B642C">
        <w:rPr>
          <w:rFonts w:hint="cs"/>
          <w:rtl/>
        </w:rPr>
        <w:t xml:space="preserve">، </w:t>
      </w:r>
      <w:r>
        <w:t>2016</w:t>
      </w:r>
      <w:r w:rsidRPr="007B642C">
        <w:rPr>
          <w:rtl/>
        </w:rPr>
        <w:t>)</w:t>
      </w:r>
      <w:r w:rsidRPr="00B2598B">
        <w:rPr>
          <w:rFonts w:hint="eastAsia"/>
          <w:rtl/>
        </w:rPr>
        <w:t>،</w:t>
      </w:r>
    </w:p>
    <w:p w:rsidR="0058720E" w:rsidRPr="007D6ABD" w:rsidRDefault="0058720E" w:rsidP="0058720E">
      <w:pPr>
        <w:pStyle w:val="Call"/>
        <w:rPr>
          <w:rtl/>
        </w:rPr>
      </w:pPr>
      <w:r w:rsidRPr="00B2598B">
        <w:rPr>
          <w:rtl/>
        </w:rPr>
        <w:t xml:space="preserve">إذ </w:t>
      </w:r>
      <w:r>
        <w:rPr>
          <w:rFonts w:hint="cs"/>
          <w:rtl/>
        </w:rPr>
        <w:t>تضع في اعتبارها</w:t>
      </w:r>
    </w:p>
    <w:p w:rsidR="0058720E" w:rsidRPr="00EF378E" w:rsidRDefault="0058720E" w:rsidP="00454559">
      <w:pPr>
        <w:rPr>
          <w:rtl/>
          <w:lang w:bidi="ar-EG"/>
        </w:rPr>
      </w:pPr>
      <w:r w:rsidRPr="00EF378E">
        <w:rPr>
          <w:i/>
          <w:iCs/>
          <w:rtl/>
        </w:rPr>
        <w:t xml:space="preserve"> أ )</w:t>
      </w:r>
      <w:r w:rsidRPr="00EF378E">
        <w:rPr>
          <w:rtl/>
        </w:rPr>
        <w:tab/>
      </w:r>
      <w:r>
        <w:rPr>
          <w:rFonts w:hint="cs"/>
          <w:rtl/>
        </w:rPr>
        <w:t>أنه طبقاً للرقم</w:t>
      </w:r>
      <w:r w:rsidR="00196F9B">
        <w:rPr>
          <w:rFonts w:hint="eastAsia"/>
          <w:rtl/>
        </w:rPr>
        <w:t> </w:t>
      </w:r>
      <w:r>
        <w:t>13</w:t>
      </w:r>
      <w:r>
        <w:rPr>
          <w:rFonts w:hint="cs"/>
          <w:rtl/>
          <w:lang w:bidi="ar-EG"/>
        </w:rPr>
        <w:t xml:space="preserve"> بالمادة</w:t>
      </w:r>
      <w:r w:rsidR="00454559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من دستور الاتحاد، يجب على الاتحاد بوجه خاص أن </w:t>
      </w:r>
      <w:r w:rsidRPr="00EF378E">
        <w:rPr>
          <w:rtl/>
        </w:rPr>
        <w:t>"</w:t>
      </w:r>
      <w:r w:rsidRPr="00D7634A">
        <w:rPr>
          <w:rtl/>
        </w:rPr>
        <w:t>يسهل تقييس الاتصالات على</w:t>
      </w:r>
      <w:r w:rsidR="00196F9B">
        <w:rPr>
          <w:rFonts w:hint="cs"/>
          <w:rtl/>
        </w:rPr>
        <w:t> </w:t>
      </w:r>
      <w:r w:rsidRPr="00D7634A">
        <w:rPr>
          <w:rtl/>
        </w:rPr>
        <w:t>الصعيد العالمي مع نوعية خدمة م</w:t>
      </w:r>
      <w:r>
        <w:rPr>
          <w:rFonts w:hint="cs"/>
          <w:rtl/>
        </w:rPr>
        <w:t>ُ</w:t>
      </w:r>
      <w:r w:rsidRPr="00D7634A">
        <w:rPr>
          <w:rtl/>
        </w:rPr>
        <w:t>رضية</w:t>
      </w:r>
      <w:r>
        <w:rPr>
          <w:rtl/>
        </w:rPr>
        <w:t>"</w:t>
      </w:r>
      <w:r w:rsidRPr="00EF378E">
        <w:rPr>
          <w:rtl/>
        </w:rPr>
        <w:t>؛</w:t>
      </w:r>
    </w:p>
    <w:p w:rsidR="0058720E" w:rsidRDefault="0058720E" w:rsidP="00752EE3">
      <w:pPr>
        <w:rPr>
          <w:rtl/>
        </w:rPr>
      </w:pPr>
      <w:r w:rsidRPr="00B2598B">
        <w:rPr>
          <w:i/>
          <w:iCs/>
          <w:rtl/>
        </w:rPr>
        <w:t>ب)</w:t>
      </w:r>
      <w:r w:rsidRPr="00B2598B">
        <w:rPr>
          <w:rtl/>
        </w:rPr>
        <w:tab/>
      </w:r>
      <w:r>
        <w:rPr>
          <w:rFonts w:hint="cs"/>
          <w:rtl/>
        </w:rPr>
        <w:t>أن الخطة الاستراتيجية للاتحاد للفترة</w:t>
      </w:r>
      <w:r w:rsidR="00196F9B">
        <w:rPr>
          <w:rFonts w:hint="eastAsia"/>
          <w:rtl/>
        </w:rPr>
        <w:t> </w:t>
      </w:r>
      <w:r>
        <w:t>2019</w:t>
      </w:r>
      <w:r>
        <w:noBreakHyphen/>
        <w:t>2016</w:t>
      </w:r>
      <w:r>
        <w:rPr>
          <w:rFonts w:hint="cs"/>
          <w:rtl/>
          <w:lang w:bidi="ar-EG"/>
        </w:rPr>
        <w:t>، الموافق عليها بموجب القرار</w:t>
      </w:r>
      <w:r w:rsidR="00196F9B">
        <w:rPr>
          <w:rFonts w:hint="eastAsia"/>
          <w:rtl/>
          <w:lang w:bidi="ar-EG"/>
        </w:rPr>
        <w:t> 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 (المراجَع</w:t>
      </w:r>
      <w:r w:rsidR="00196F9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في</w:t>
      </w:r>
      <w:r w:rsidR="00196F9B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بوسان،</w:t>
      </w:r>
      <w:r w:rsidR="00196F9B">
        <w:rPr>
          <w:rFonts w:hint="eastAsia"/>
          <w:rtl/>
          <w:lang w:bidi="ar-EG"/>
        </w:rPr>
        <w:t> 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>) لمؤتمر</w:t>
      </w:r>
      <w:r w:rsidR="005F1CC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المندوبين المفوضين تحدد من بين الأهداف الاستراتيجية للاتحاد، توفير ضمان التوصيلية وإمكانية التشغيل البيني في</w:t>
      </w:r>
      <w:r w:rsidR="005F1CC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العالم وتحسين الأداء والنوعية والقدرة على تحمل تكاليف الخدمة وتقديم الخدمة </w:t>
      </w:r>
      <w:r w:rsidR="00752EE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 xml:space="preserve">الوقت المناسب وتحقيق مردودية الأنظمة بشكل عام </w:t>
      </w:r>
      <w:r w:rsidR="00752EE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>مجال الاتصالات الراديوية، بما</w:t>
      </w:r>
      <w:r w:rsidR="00752EE3">
        <w:rPr>
          <w:rFonts w:hint="eastAsia"/>
          <w:rtl/>
          <w:lang w:bidi="ar-EG"/>
        </w:rPr>
        <w:t> </w:t>
      </w:r>
      <w:r w:rsidR="00752EE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>ذلك من خلال وضع المعايير الدولية</w:t>
      </w:r>
      <w:r w:rsidRPr="00B2598B">
        <w:rPr>
          <w:rtl/>
        </w:rPr>
        <w:t>؛</w:t>
      </w:r>
    </w:p>
    <w:p w:rsidR="0058720E" w:rsidRPr="00236616" w:rsidRDefault="0058720E" w:rsidP="00196F9B">
      <w:pPr>
        <w:rPr>
          <w:rtl/>
        </w:rPr>
      </w:pPr>
      <w:r w:rsidRPr="00236616">
        <w:rPr>
          <w:rFonts w:hint="cs"/>
          <w:i/>
          <w:iCs/>
          <w:rtl/>
        </w:rPr>
        <w:t>ج</w:t>
      </w:r>
      <w:r w:rsidRPr="00236616">
        <w:rPr>
          <w:i/>
          <w:iCs/>
          <w:rtl/>
        </w:rPr>
        <w:t>)</w:t>
      </w:r>
      <w:r w:rsidRPr="00236616">
        <w:rPr>
          <w:rtl/>
        </w:rPr>
        <w:tab/>
      </w:r>
      <w:r w:rsidRPr="00236616">
        <w:rPr>
          <w:rFonts w:hint="cs"/>
          <w:rtl/>
        </w:rPr>
        <w:t>أن الخطة الاستراتيجية للاتحاد للفترة</w:t>
      </w:r>
      <w:r w:rsidR="00196F9B">
        <w:rPr>
          <w:rFonts w:hint="eastAsia"/>
          <w:rtl/>
        </w:rPr>
        <w:t> </w:t>
      </w:r>
      <w:r w:rsidRPr="00236616">
        <w:t>2019</w:t>
      </w:r>
      <w:r w:rsidRPr="00236616">
        <w:noBreakHyphen/>
        <w:t>2016</w:t>
      </w:r>
      <w:r w:rsidRPr="00236616">
        <w:rPr>
          <w:rFonts w:hint="cs"/>
          <w:rtl/>
          <w:lang w:bidi="ar-EG"/>
        </w:rPr>
        <w:t>، الموافق عليها بموجب القرار</w:t>
      </w:r>
      <w:r w:rsidR="00196F9B">
        <w:rPr>
          <w:rFonts w:hint="eastAsia"/>
          <w:rtl/>
          <w:lang w:bidi="ar-EG"/>
        </w:rPr>
        <w:t> </w:t>
      </w:r>
      <w:r w:rsidRPr="00236616">
        <w:t>71</w:t>
      </w:r>
      <w:r w:rsidRPr="00236616">
        <w:rPr>
          <w:rFonts w:hint="cs"/>
          <w:rtl/>
          <w:lang w:bidi="ar-EG"/>
        </w:rPr>
        <w:t xml:space="preserve"> (المراجَع</w:t>
      </w:r>
      <w:r w:rsidR="00196F9B">
        <w:rPr>
          <w:rFonts w:hint="eastAsia"/>
          <w:rtl/>
          <w:lang w:bidi="ar-EG"/>
        </w:rPr>
        <w:t> </w:t>
      </w:r>
      <w:r w:rsidRPr="00236616">
        <w:rPr>
          <w:rFonts w:hint="cs"/>
          <w:rtl/>
          <w:lang w:bidi="ar-EG"/>
        </w:rPr>
        <w:t>في</w:t>
      </w:r>
      <w:r w:rsidR="00196F9B">
        <w:rPr>
          <w:rFonts w:hint="eastAsia"/>
          <w:rtl/>
          <w:lang w:bidi="ar-EG"/>
        </w:rPr>
        <w:t> </w:t>
      </w:r>
      <w:r w:rsidRPr="00236616">
        <w:rPr>
          <w:rFonts w:hint="cs"/>
          <w:rtl/>
          <w:lang w:bidi="ar-EG"/>
        </w:rPr>
        <w:t>بوسان،</w:t>
      </w:r>
      <w:r w:rsidR="00196F9B">
        <w:rPr>
          <w:rFonts w:hint="eastAsia"/>
          <w:rtl/>
          <w:lang w:bidi="ar-EG"/>
        </w:rPr>
        <w:t> </w:t>
      </w:r>
      <w:r w:rsidRPr="00236616">
        <w:t>2014</w:t>
      </w:r>
      <w:r w:rsidRPr="00236616">
        <w:rPr>
          <w:rFonts w:hint="cs"/>
          <w:rtl/>
          <w:lang w:bidi="ar-EG"/>
        </w:rPr>
        <w:t>) لمؤتمر</w:t>
      </w:r>
      <w:r w:rsidR="005F1CC8">
        <w:rPr>
          <w:rFonts w:hint="eastAsia"/>
          <w:rtl/>
          <w:lang w:bidi="ar-EG"/>
        </w:rPr>
        <w:t> </w:t>
      </w:r>
      <w:r w:rsidRPr="00236616">
        <w:rPr>
          <w:rFonts w:hint="cs"/>
          <w:rtl/>
          <w:lang w:bidi="ar-EG"/>
        </w:rPr>
        <w:t xml:space="preserve">المندوبين المفوضين تحدد من بين قيم الاتحاد الالتزام </w:t>
      </w:r>
      <w:r w:rsidRPr="00236616">
        <w:rPr>
          <w:rFonts w:hint="cs"/>
          <w:rtl/>
          <w:lang w:bidi="ar-SY"/>
        </w:rPr>
        <w:t>بمواصلة تقديم خدمات بجودة عالية وإرضاء المستفيدين وأصحاب المصلحة إلى أقصى</w:t>
      </w:r>
      <w:r w:rsidRPr="00236616">
        <w:rPr>
          <w:rFonts w:hint="eastAsia"/>
          <w:rtl/>
          <w:lang w:bidi="ar-SY"/>
        </w:rPr>
        <w:t> </w:t>
      </w:r>
      <w:r w:rsidRPr="00236616">
        <w:rPr>
          <w:rFonts w:hint="cs"/>
          <w:rtl/>
          <w:lang w:bidi="ar-SY"/>
        </w:rPr>
        <w:t>درجة،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t>و</w:t>
      </w:r>
      <w:r w:rsidRPr="00B2598B">
        <w:rPr>
          <w:rtl/>
        </w:rPr>
        <w:t xml:space="preserve">إذ </w:t>
      </w:r>
      <w:r>
        <w:rPr>
          <w:rFonts w:hint="cs"/>
          <w:rtl/>
        </w:rPr>
        <w:t>تذكِّر</w:t>
      </w:r>
    </w:p>
    <w:p w:rsidR="0058720E" w:rsidRPr="00C13266" w:rsidRDefault="0058720E" w:rsidP="00196F9B">
      <w:pPr>
        <w:rPr>
          <w:rtl/>
          <w:lang w:bidi="ar-EG"/>
        </w:rPr>
      </w:pPr>
      <w:r w:rsidRPr="00EF378E">
        <w:rPr>
          <w:i/>
          <w:iCs/>
          <w:rtl/>
        </w:rPr>
        <w:t xml:space="preserve"> أ )</w:t>
      </w:r>
      <w:r w:rsidRPr="00EF378E">
        <w:rPr>
          <w:rtl/>
        </w:rPr>
        <w:tab/>
      </w:r>
      <w:r>
        <w:rPr>
          <w:rFonts w:hint="cs"/>
          <w:rtl/>
          <w:lang w:bidi="ar-EG"/>
        </w:rPr>
        <w:t>ب</w:t>
      </w:r>
      <w:r>
        <w:rPr>
          <w:rFonts w:hint="cs"/>
          <w:rtl/>
        </w:rPr>
        <w:t>أن القرار</w:t>
      </w:r>
      <w:r w:rsidR="00196F9B">
        <w:rPr>
          <w:rFonts w:hint="eastAsia"/>
          <w:rtl/>
        </w:rPr>
        <w:t> </w:t>
      </w:r>
      <w:r>
        <w:t>200</w:t>
      </w:r>
      <w:r>
        <w:rPr>
          <w:rFonts w:hint="cs"/>
          <w:rtl/>
          <w:lang w:bidi="ar-EG"/>
        </w:rPr>
        <w:t xml:space="preserve"> (بوسان،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) لمؤتمر المندوبين المفوضين يحدد ضمن الغايات والمقاصد الرامية إلى التنمية العالمية للاتصالات/تكنولوجيا المعلومات والاتصالات </w:t>
      </w:r>
      <w:r w:rsidR="00752EE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 xml:space="preserve">إطار برنامج التوصيل </w:t>
      </w:r>
      <w:r w:rsidR="00752EE3">
        <w:rPr>
          <w:rFonts w:hint="cs"/>
          <w:rtl/>
          <w:lang w:bidi="ar-EG"/>
        </w:rPr>
        <w:t>في </w:t>
      </w:r>
      <w:r>
        <w:rPr>
          <w:lang w:bidi="ar-EG"/>
        </w:rPr>
        <w:t>2020</w:t>
      </w:r>
      <w:r>
        <w:rPr>
          <w:rFonts w:hint="cs"/>
          <w:rtl/>
          <w:lang w:bidi="ar-EG"/>
        </w:rPr>
        <w:t xml:space="preserve">، </w:t>
      </w:r>
      <w:r w:rsidRPr="00776251">
        <w:rPr>
          <w:rFonts w:hint="cs"/>
          <w:rtl/>
        </w:rPr>
        <w:t xml:space="preserve">الغاية </w:t>
      </w:r>
      <w:r w:rsidRPr="00776251">
        <w:t>2</w:t>
      </w:r>
      <w:r w:rsidRPr="00776251">
        <w:rPr>
          <w:rFonts w:hint="cs"/>
          <w:rtl/>
        </w:rPr>
        <w:t>: الشمول - سد الفجوة الرقمية وتوفير</w:t>
      </w:r>
      <w:r w:rsidR="00196F9B">
        <w:rPr>
          <w:rFonts w:hint="eastAsia"/>
          <w:rtl/>
        </w:rPr>
        <w:t> </w:t>
      </w:r>
      <w:r w:rsidRPr="00776251">
        <w:rPr>
          <w:rFonts w:hint="cs"/>
          <w:rtl/>
        </w:rPr>
        <w:t>النطاق العريض للجميع</w:t>
      </w:r>
      <w:r>
        <w:rPr>
          <w:rFonts w:hint="cs"/>
          <w:rtl/>
        </w:rPr>
        <w:t>؛</w:t>
      </w:r>
    </w:p>
    <w:p w:rsidR="0058720E" w:rsidRDefault="0058720E" w:rsidP="00196F9B">
      <w:pPr>
        <w:rPr>
          <w:rtl/>
          <w:lang w:bidi="ar-EG"/>
        </w:rPr>
      </w:pPr>
      <w:r w:rsidRPr="00B2598B">
        <w:rPr>
          <w:i/>
          <w:iCs/>
          <w:rtl/>
        </w:rPr>
        <w:t>ب)</w:t>
      </w:r>
      <w:r w:rsidRPr="00776251">
        <w:rPr>
          <w:rtl/>
          <w:lang w:bidi="ar-SY"/>
        </w:rPr>
        <w:tab/>
      </w:r>
      <w:r w:rsidR="00146EF6">
        <w:rPr>
          <w:rFonts w:hint="cs"/>
          <w:rtl/>
          <w:lang w:bidi="ar-SY"/>
        </w:rPr>
        <w:t>ب</w:t>
      </w:r>
      <w:r>
        <w:rPr>
          <w:rFonts w:hint="cs"/>
          <w:rtl/>
          <w:lang w:bidi="ar-SY"/>
        </w:rPr>
        <w:t>أن القرار</w:t>
      </w:r>
      <w:r w:rsidR="00196F9B">
        <w:rPr>
          <w:rFonts w:hint="eastAsia"/>
          <w:rtl/>
          <w:lang w:bidi="ar-SY"/>
        </w:rPr>
        <w:t> </w:t>
      </w:r>
      <w:r w:rsidRPr="005641D6">
        <w:rPr>
          <w:lang w:val="en-GB" w:bidi="ar-SY"/>
        </w:rPr>
        <w:t>196</w:t>
      </w:r>
      <w:r>
        <w:rPr>
          <w:rFonts w:hint="cs"/>
          <w:rtl/>
          <w:lang w:val="en-GB" w:bidi="ar-SY"/>
        </w:rPr>
        <w:t xml:space="preserve"> (بوسان</w:t>
      </w:r>
      <w:r>
        <w:rPr>
          <w:rFonts w:hint="cs"/>
          <w:rtl/>
          <w:lang w:val="en-GB" w:bidi="ar-EG"/>
        </w:rPr>
        <w:t>،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2014</w:t>
      </w:r>
      <w:r>
        <w:rPr>
          <w:rFonts w:hint="cs"/>
          <w:rtl/>
          <w:lang w:bidi="ar-EG"/>
        </w:rPr>
        <w:t xml:space="preserve">) لمؤتمر المندوبين المفوضين يكلف مدير مكتب تنمية الاتصالات </w:t>
      </w:r>
      <w:r w:rsidRPr="00776251">
        <w:rPr>
          <w:rFonts w:hint="cs"/>
          <w:rtl/>
        </w:rPr>
        <w:t>بتوجيه عناية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صانعي</w:t>
      </w:r>
      <w:r w:rsidR="00196F9B">
        <w:rPr>
          <w:rFonts w:hint="cs"/>
          <w:rtl/>
        </w:rPr>
        <w:t> </w:t>
      </w:r>
      <w:r w:rsidRPr="00776251">
        <w:rPr>
          <w:rFonts w:hint="cs"/>
          <w:rtl/>
        </w:rPr>
        <w:t>القرار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والسلطات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التنظيمية</w:t>
      </w:r>
      <w:r w:rsidRPr="00776251">
        <w:rPr>
          <w:rtl/>
        </w:rPr>
        <w:t xml:space="preserve"> </w:t>
      </w:r>
      <w:r>
        <w:rPr>
          <w:rFonts w:hint="cs"/>
          <w:rtl/>
        </w:rPr>
        <w:t xml:space="preserve">الوطنية </w:t>
      </w:r>
      <w:r w:rsidRPr="00776251">
        <w:rPr>
          <w:rFonts w:hint="cs"/>
          <w:rtl/>
        </w:rPr>
        <w:t>إلى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أهمية</w:t>
      </w:r>
      <w:r w:rsidRPr="00776251">
        <w:rPr>
          <w:rtl/>
        </w:rPr>
        <w:t xml:space="preserve"> الاستمرار في إطلاع المستعملين والمستهلكين </w:t>
      </w:r>
      <w:r>
        <w:rPr>
          <w:rFonts w:hint="cs"/>
          <w:rtl/>
        </w:rPr>
        <w:t xml:space="preserve">بشأن جودة الخدمات المختلفة </w:t>
      </w:r>
      <w:r w:rsidRPr="00776251">
        <w:rPr>
          <w:rtl/>
        </w:rPr>
        <w:t xml:space="preserve">التي يقدمها المشغلون، </w:t>
      </w:r>
      <w:r w:rsidRPr="00776251">
        <w:rPr>
          <w:rFonts w:hint="cs"/>
          <w:rtl/>
        </w:rPr>
        <w:t>و</w:t>
      </w:r>
      <w:r w:rsidRPr="00776251">
        <w:rPr>
          <w:rtl/>
        </w:rPr>
        <w:t>آليات</w:t>
      </w:r>
      <w:r w:rsidRPr="00776251">
        <w:rPr>
          <w:rFonts w:hint="cs"/>
          <w:rtl/>
        </w:rPr>
        <w:t xml:space="preserve"> الحماية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المعززة لحقوق</w:t>
      </w:r>
      <w:r w:rsidRPr="00776251">
        <w:rPr>
          <w:rtl/>
        </w:rPr>
        <w:t xml:space="preserve"> المستهلكين والمستعملين</w:t>
      </w:r>
      <w:r w:rsidRPr="00776251">
        <w:rPr>
          <w:rFonts w:hint="cs"/>
          <w:rtl/>
        </w:rPr>
        <w:t>؛</w:t>
      </w:r>
    </w:p>
    <w:p w:rsidR="0058720E" w:rsidRDefault="0058720E" w:rsidP="00196F9B">
      <w:pPr>
        <w:rPr>
          <w:rtl/>
          <w:lang w:bidi="ar-SY"/>
        </w:rPr>
      </w:pPr>
      <w:r>
        <w:rPr>
          <w:rFonts w:hint="cs"/>
          <w:i/>
          <w:iCs/>
          <w:spacing w:val="-2"/>
          <w:rtl/>
        </w:rPr>
        <w:t>ج</w:t>
      </w:r>
      <w:r w:rsidRPr="00EF378E">
        <w:rPr>
          <w:i/>
          <w:iCs/>
          <w:spacing w:val="-2"/>
          <w:rtl/>
        </w:rPr>
        <w:t>)</w:t>
      </w:r>
      <w:r w:rsidRPr="00EF378E">
        <w:rPr>
          <w:spacing w:val="-2"/>
          <w:rtl/>
        </w:rPr>
        <w:tab/>
      </w:r>
      <w:r w:rsidR="00146EF6">
        <w:rPr>
          <w:rFonts w:hint="cs"/>
          <w:spacing w:val="-2"/>
          <w:rtl/>
        </w:rPr>
        <w:t>ب</w:t>
      </w:r>
      <w:r w:rsidRPr="00353F53">
        <w:rPr>
          <w:rFonts w:hint="cs"/>
          <w:spacing w:val="-2"/>
          <w:rtl/>
          <w:lang w:bidi="ar-SY"/>
        </w:rPr>
        <w:t>أن القرار</w:t>
      </w:r>
      <w:r w:rsidR="00196F9B">
        <w:rPr>
          <w:rFonts w:hint="eastAsia"/>
          <w:spacing w:val="-2"/>
          <w:rtl/>
          <w:lang w:bidi="ar-SY"/>
        </w:rPr>
        <w:t> </w:t>
      </w:r>
      <w:r w:rsidRPr="00353F53">
        <w:rPr>
          <w:spacing w:val="-2"/>
          <w:lang w:val="en-GB"/>
        </w:rPr>
        <w:t>196</w:t>
      </w:r>
      <w:r w:rsidRPr="00353F53">
        <w:rPr>
          <w:rFonts w:hint="cs"/>
          <w:spacing w:val="-2"/>
          <w:rtl/>
          <w:lang w:bidi="ar-SY"/>
        </w:rPr>
        <w:t xml:space="preserve"> (بوسان</w:t>
      </w:r>
      <w:r w:rsidRPr="00353F53">
        <w:rPr>
          <w:rFonts w:hint="cs"/>
          <w:spacing w:val="-2"/>
          <w:rtl/>
          <w:lang w:bidi="ar-EG"/>
        </w:rPr>
        <w:t xml:space="preserve">، </w:t>
      </w:r>
      <w:r w:rsidRPr="00353F53">
        <w:rPr>
          <w:spacing w:val="-2"/>
        </w:rPr>
        <w:t>2014</w:t>
      </w:r>
      <w:r w:rsidRPr="00353F53">
        <w:rPr>
          <w:rFonts w:hint="cs"/>
          <w:spacing w:val="-2"/>
          <w:rtl/>
          <w:lang w:bidi="ar-EG"/>
        </w:rPr>
        <w:t>) لمؤتمر المندوبين المفوضين</w:t>
      </w:r>
      <w:r>
        <w:rPr>
          <w:rFonts w:hint="cs"/>
          <w:rtl/>
        </w:rPr>
        <w:t xml:space="preserve"> </w:t>
      </w:r>
      <w:r w:rsidRPr="00776251">
        <w:rPr>
          <w:rFonts w:hint="cs"/>
          <w:rtl/>
          <w:lang w:bidi="ar-SY"/>
        </w:rPr>
        <w:t>يدعو الدول الأعضاء وأعضاء القطاعات والمنتسبين</w:t>
      </w:r>
      <w:r w:rsidRPr="00F97668">
        <w:rPr>
          <w:rFonts w:hint="cs"/>
          <w:rtl/>
          <w:lang w:bidi="ar-SY"/>
        </w:rPr>
        <w:t xml:space="preserve"> إلى تقديم مساهمات تسمح بنشر أفضل الممارسات والسياسات المتصلة </w:t>
      </w:r>
      <w:r>
        <w:rPr>
          <w:rFonts w:hint="cs"/>
          <w:rtl/>
          <w:lang w:bidi="ar-SY"/>
        </w:rPr>
        <w:t>بجودة الخدمة؛</w:t>
      </w:r>
    </w:p>
    <w:p w:rsidR="0058720E" w:rsidRPr="00776251" w:rsidRDefault="0058720E" w:rsidP="00F51CEC">
      <w:pPr>
        <w:rPr>
          <w:rtl/>
        </w:rPr>
      </w:pPr>
      <w:r>
        <w:rPr>
          <w:rFonts w:hint="cs"/>
          <w:i/>
          <w:iCs/>
          <w:rtl/>
        </w:rPr>
        <w:t xml:space="preserve">د </w:t>
      </w:r>
      <w:r w:rsidRPr="00B2598B">
        <w:rPr>
          <w:i/>
          <w:iCs/>
          <w:rtl/>
        </w:rPr>
        <w:t>)</w:t>
      </w:r>
      <w:r w:rsidRPr="00776251">
        <w:rPr>
          <w:rtl/>
          <w:lang w:bidi="ar-SY"/>
        </w:rPr>
        <w:tab/>
      </w:r>
      <w:r w:rsidR="00146EF6">
        <w:rPr>
          <w:rFonts w:hint="cs"/>
          <w:rtl/>
          <w:lang w:bidi="ar-SY"/>
        </w:rPr>
        <w:t>ب</w:t>
      </w:r>
      <w:r w:rsidRPr="00130CF1">
        <w:rPr>
          <w:rFonts w:hint="cs"/>
          <w:rtl/>
          <w:lang w:bidi="ar-SY"/>
        </w:rPr>
        <w:t>أن القرار</w:t>
      </w:r>
      <w:r w:rsidR="00F51CEC">
        <w:rPr>
          <w:rFonts w:hint="eastAsia"/>
          <w:rtl/>
          <w:lang w:bidi="ar-SY"/>
        </w:rPr>
        <w:t> </w:t>
      </w:r>
      <w:r w:rsidRPr="00130CF1">
        <w:rPr>
          <w:lang w:val="en-GB" w:bidi="ar-SY"/>
        </w:rPr>
        <w:t>196</w:t>
      </w:r>
      <w:r w:rsidRPr="00130CF1">
        <w:rPr>
          <w:rFonts w:hint="cs"/>
          <w:rtl/>
          <w:lang w:bidi="ar-SY"/>
        </w:rPr>
        <w:t xml:space="preserve"> (بوسان</w:t>
      </w:r>
      <w:r w:rsidRPr="00130CF1">
        <w:rPr>
          <w:rFonts w:hint="cs"/>
          <w:rtl/>
          <w:lang w:bidi="ar-EG"/>
        </w:rPr>
        <w:t xml:space="preserve">، </w:t>
      </w:r>
      <w:r w:rsidRPr="00130CF1">
        <w:rPr>
          <w:lang w:bidi="ar-SY"/>
        </w:rPr>
        <w:t>2014</w:t>
      </w:r>
      <w:r w:rsidRPr="00130CF1">
        <w:rPr>
          <w:rFonts w:hint="cs"/>
          <w:rtl/>
          <w:lang w:bidi="ar-EG"/>
        </w:rPr>
        <w:t>) لمؤتمر المندوبين المفوضين</w:t>
      </w:r>
      <w:r>
        <w:rPr>
          <w:rFonts w:hint="cs"/>
          <w:rtl/>
          <w:lang w:bidi="ar-SY"/>
        </w:rPr>
        <w:t xml:space="preserve"> </w:t>
      </w:r>
      <w:r w:rsidRPr="00776251">
        <w:rPr>
          <w:rFonts w:hint="cs"/>
          <w:rtl/>
        </w:rPr>
        <w:t>يدعو الدول الأعضاء</w:t>
      </w:r>
      <w:r w:rsidRPr="00F97668">
        <w:rPr>
          <w:rFonts w:hint="cs"/>
          <w:rtl/>
          <w:lang w:bidi="ar-SY"/>
        </w:rPr>
        <w:t xml:space="preserve"> إلى تشجيع السياسات التي </w:t>
      </w:r>
      <w:r>
        <w:rPr>
          <w:rFonts w:hint="cs"/>
          <w:rtl/>
          <w:lang w:bidi="ar-SY"/>
        </w:rPr>
        <w:t>تعزز</w:t>
      </w:r>
      <w:r w:rsidRPr="00F97668">
        <w:rPr>
          <w:rFonts w:hint="cs"/>
          <w:rtl/>
          <w:lang w:bidi="ar-SY"/>
        </w:rPr>
        <w:t xml:space="preserve"> توفير خدمات الاتصالات على نحوٍ يوفر جودة مناسبة للمستعمل؛</w:t>
      </w:r>
    </w:p>
    <w:p w:rsidR="0058720E" w:rsidRPr="00776251" w:rsidRDefault="0058720E" w:rsidP="00F51CEC">
      <w:pPr>
        <w:rPr>
          <w:rtl/>
        </w:rPr>
      </w:pPr>
      <w:r>
        <w:rPr>
          <w:rFonts w:ascii="Traditional Arabic" w:hAnsi="Traditional Arabic"/>
          <w:i/>
          <w:iCs/>
          <w:rtl/>
        </w:rPr>
        <w:t>ه</w:t>
      </w:r>
      <w:r>
        <w:rPr>
          <w:rFonts w:hint="cs"/>
          <w:i/>
          <w:iCs/>
          <w:rtl/>
        </w:rPr>
        <w:t xml:space="preserve"> </w:t>
      </w:r>
      <w:r w:rsidRPr="00B2598B">
        <w:rPr>
          <w:i/>
          <w:iCs/>
          <w:rtl/>
        </w:rPr>
        <w:t>)</w:t>
      </w:r>
      <w:r w:rsidRPr="00776251">
        <w:rPr>
          <w:rtl/>
          <w:lang w:bidi="ar-SY"/>
        </w:rPr>
        <w:tab/>
      </w:r>
      <w:r w:rsidR="00146EF6">
        <w:rPr>
          <w:rFonts w:hint="cs"/>
          <w:rtl/>
          <w:lang w:bidi="ar-SY"/>
        </w:rPr>
        <w:t>ب</w:t>
      </w:r>
      <w:r>
        <w:rPr>
          <w:rFonts w:hint="cs"/>
          <w:rtl/>
          <w:lang w:bidi="ar-SY"/>
        </w:rPr>
        <w:t>أن القرار</w:t>
      </w:r>
      <w:r w:rsidR="00F51CEC">
        <w:rPr>
          <w:rFonts w:hint="eastAsia"/>
          <w:rtl/>
          <w:lang w:bidi="ar-SY"/>
        </w:rPr>
        <w:t> </w:t>
      </w:r>
      <w:r>
        <w:rPr>
          <w:lang w:bidi="ar-SY"/>
        </w:rPr>
        <w:t>131</w:t>
      </w:r>
      <w:r>
        <w:rPr>
          <w:rFonts w:hint="cs"/>
          <w:rtl/>
          <w:lang w:bidi="ar-EG"/>
        </w:rPr>
        <w:t xml:space="preserve"> (</w:t>
      </w:r>
      <w:r w:rsidRPr="00DE1DD2">
        <w:rPr>
          <w:rFonts w:hint="cs"/>
          <w:rtl/>
          <w:lang w:bidi="ar-EG"/>
        </w:rPr>
        <w:t xml:space="preserve">المراجَع </w:t>
      </w:r>
      <w:r w:rsidR="00752EE3">
        <w:rPr>
          <w:rFonts w:hint="cs"/>
          <w:rtl/>
          <w:lang w:bidi="ar-EG"/>
        </w:rPr>
        <w:t>في </w:t>
      </w:r>
      <w:r w:rsidRPr="00DE1DD2">
        <w:rPr>
          <w:rFonts w:hint="cs"/>
          <w:rtl/>
          <w:lang w:bidi="ar-EG"/>
        </w:rPr>
        <w:t xml:space="preserve">بوسان، </w:t>
      </w:r>
      <w:r w:rsidRPr="00DE1DD2">
        <w:rPr>
          <w:lang w:bidi="ar-SY"/>
        </w:rPr>
        <w:t>2014</w:t>
      </w:r>
      <w:r w:rsidRPr="00DE1DD2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SY"/>
        </w:rPr>
        <w:t>لمؤتمر المندوبين المفوضين يقرر</w:t>
      </w:r>
      <w:r>
        <w:rPr>
          <w:rFonts w:hint="cs"/>
          <w:rtl/>
        </w:rPr>
        <w:t xml:space="preserve"> </w:t>
      </w:r>
      <w:r w:rsidRPr="00776251">
        <w:rPr>
          <w:rFonts w:hint="cs"/>
          <w:rtl/>
        </w:rPr>
        <w:t>أنه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ينبغي للاتحاد أن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يعزز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تنسيقه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مع</w:t>
      </w:r>
      <w:r w:rsidR="00F51CEC">
        <w:rPr>
          <w:rFonts w:hint="cs"/>
          <w:rtl/>
        </w:rPr>
        <w:t> </w:t>
      </w:r>
      <w:r w:rsidRPr="00776251">
        <w:rPr>
          <w:rFonts w:hint="cs"/>
          <w:rtl/>
        </w:rPr>
        <w:t>المنظمات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الدولية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الأخرى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المشاركة</w:t>
      </w:r>
      <w:r w:rsidRPr="00776251">
        <w:rPr>
          <w:rtl/>
        </w:rPr>
        <w:t xml:space="preserve"> في </w:t>
      </w:r>
      <w:r w:rsidRPr="00776251">
        <w:rPr>
          <w:rFonts w:hint="cs"/>
          <w:rtl/>
        </w:rPr>
        <w:t>جمع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البيانات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عن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تكنولوجيا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الاتصالات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والمعلومات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وأن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يضع،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خلال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الشراكة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المعنية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بقياس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تكنولوجيا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المعلومات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والاتصالات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لأغراض التنمية، مجموعة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من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المؤشرات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الموحّدة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لتحسين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توفر ونوعية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البيانات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والمؤشرات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عن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تكنولوجيا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المعلومات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والاتصالات،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بما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يدعم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إعداد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استراتيجيات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وسياسات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عامة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وطنية</w:t>
      </w:r>
      <w:r w:rsidRPr="00776251">
        <w:rPr>
          <w:rtl/>
        </w:rPr>
        <w:t xml:space="preserve"> </w:t>
      </w:r>
      <w:r w:rsidRPr="00776251">
        <w:rPr>
          <w:rFonts w:hint="cs"/>
          <w:rtl/>
        </w:rPr>
        <w:t>وإقليمية ودولية،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lastRenderedPageBreak/>
        <w:t>و</w:t>
      </w:r>
      <w:r w:rsidRPr="00B2598B">
        <w:rPr>
          <w:rtl/>
        </w:rPr>
        <w:t xml:space="preserve">إذ </w:t>
      </w:r>
      <w:r>
        <w:rPr>
          <w:rFonts w:hint="cs"/>
          <w:rtl/>
        </w:rPr>
        <w:t>تدرك</w:t>
      </w:r>
    </w:p>
    <w:p w:rsidR="0058720E" w:rsidRPr="005F1CC8" w:rsidRDefault="0058720E" w:rsidP="00196F9B">
      <w:pPr>
        <w:rPr>
          <w:rtl/>
        </w:rPr>
      </w:pPr>
      <w:r w:rsidRPr="00EF378E">
        <w:rPr>
          <w:i/>
          <w:iCs/>
          <w:spacing w:val="-2"/>
          <w:rtl/>
        </w:rPr>
        <w:t xml:space="preserve"> أ )</w:t>
      </w:r>
      <w:r w:rsidRPr="00EF378E">
        <w:rPr>
          <w:spacing w:val="-2"/>
          <w:rtl/>
        </w:rPr>
        <w:tab/>
      </w:r>
      <w:r w:rsidRPr="005F1CC8">
        <w:rPr>
          <w:rFonts w:hint="cs"/>
          <w:rtl/>
        </w:rPr>
        <w:t>أن الشفافية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والتعاون</w:t>
      </w:r>
      <w:r w:rsidRPr="005F1CC8">
        <w:rPr>
          <w:rtl/>
        </w:rPr>
        <w:t xml:space="preserve"> في </w:t>
      </w:r>
      <w:r w:rsidRPr="005F1CC8">
        <w:rPr>
          <w:rFonts w:hint="cs"/>
          <w:rtl/>
        </w:rPr>
        <w:t>جمع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ونشر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المؤشرات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والإحصاءات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عالية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الجودة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التي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تقيس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التقدم</w:t>
      </w:r>
      <w:r w:rsidRPr="005F1CC8">
        <w:rPr>
          <w:rtl/>
        </w:rPr>
        <w:t xml:space="preserve"> في </w:t>
      </w:r>
      <w:r w:rsidRPr="005F1CC8">
        <w:rPr>
          <w:rFonts w:hint="cs"/>
          <w:rtl/>
        </w:rPr>
        <w:t>استعمال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واعتماد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تكنولوجيا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المعلومات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والاتصالات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وتوفر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تحليلات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مقارنة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بشأنها</w:t>
      </w:r>
      <w:r w:rsidRPr="005F1CC8">
        <w:rPr>
          <w:rtl/>
        </w:rPr>
        <w:t xml:space="preserve"> لا </w:t>
      </w:r>
      <w:r w:rsidRPr="005F1CC8">
        <w:rPr>
          <w:rFonts w:hint="cs"/>
          <w:rtl/>
        </w:rPr>
        <w:t>زالا</w:t>
      </w:r>
      <w:r w:rsidRPr="005F1CC8">
        <w:rPr>
          <w:rtl/>
        </w:rPr>
        <w:t xml:space="preserve"> </w:t>
      </w:r>
      <w:proofErr w:type="spellStart"/>
      <w:r w:rsidRPr="005F1CC8">
        <w:rPr>
          <w:rFonts w:hint="cs"/>
          <w:rtl/>
        </w:rPr>
        <w:t>ي‍مثلان</w:t>
      </w:r>
      <w:proofErr w:type="spellEnd"/>
      <w:r w:rsidRPr="005F1CC8">
        <w:rPr>
          <w:rtl/>
        </w:rPr>
        <w:t xml:space="preserve"> </w:t>
      </w:r>
      <w:r w:rsidRPr="005F1CC8">
        <w:rPr>
          <w:rFonts w:hint="cs"/>
          <w:rtl/>
        </w:rPr>
        <w:t>عاملاً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أساسياً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لدعم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النمو</w:t>
      </w:r>
      <w:r w:rsidRPr="005F1CC8">
        <w:rPr>
          <w:rtl/>
        </w:rPr>
        <w:t xml:space="preserve"> </w:t>
      </w:r>
      <w:r w:rsidRPr="005F1CC8">
        <w:rPr>
          <w:rFonts w:hint="cs"/>
          <w:rtl/>
        </w:rPr>
        <w:t>الاجتماعي</w:t>
      </w:r>
      <w:r w:rsidR="005F1CC8">
        <w:rPr>
          <w:rFonts w:hint="cs"/>
          <w:rtl/>
        </w:rPr>
        <w:t> </w:t>
      </w:r>
      <w:r w:rsidRPr="005F1CC8">
        <w:rPr>
          <w:rFonts w:hint="cs"/>
          <w:rtl/>
        </w:rPr>
        <w:t>والاقتصادي؛</w:t>
      </w:r>
    </w:p>
    <w:p w:rsidR="0058720E" w:rsidRPr="00342E4F" w:rsidRDefault="0058720E" w:rsidP="00196F9B">
      <w:pPr>
        <w:rPr>
          <w:rtl/>
        </w:rPr>
      </w:pPr>
      <w:r w:rsidRPr="00342E4F">
        <w:rPr>
          <w:rFonts w:hint="cs"/>
          <w:i/>
          <w:iCs/>
          <w:rtl/>
        </w:rPr>
        <w:t>ب)</w:t>
      </w:r>
      <w:r w:rsidRPr="00342E4F">
        <w:rPr>
          <w:rFonts w:hint="cs"/>
          <w:rtl/>
        </w:rPr>
        <w:tab/>
        <w:t>أن مؤشرات الجودة</w:t>
      </w:r>
      <w:r w:rsidRPr="00342E4F">
        <w:rPr>
          <w:rFonts w:hint="cs"/>
          <w:i/>
          <w:iCs/>
          <w:rtl/>
        </w:rPr>
        <w:t xml:space="preserve"> </w:t>
      </w:r>
      <w:r w:rsidRPr="00342E4F">
        <w:rPr>
          <w:rFonts w:hint="cs"/>
          <w:rtl/>
        </w:rPr>
        <w:t>وتحليلاتها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تزود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الحكومات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وأصحاب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المصلحة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بآلية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لفهم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الدوافع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الرئيسية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لاعتماد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الاتصالات/تكنولوجيا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المعلومات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والاتصالات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بشكل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أفضل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وتساعد</w:t>
      </w:r>
      <w:r w:rsidRPr="00342E4F">
        <w:rPr>
          <w:rtl/>
        </w:rPr>
        <w:t xml:space="preserve"> في </w:t>
      </w:r>
      <w:r w:rsidRPr="00342E4F">
        <w:rPr>
          <w:rFonts w:hint="cs"/>
          <w:rtl/>
        </w:rPr>
        <w:t>مواصلة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صياغة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السياسات</w:t>
      </w:r>
      <w:r w:rsidRPr="00342E4F">
        <w:rPr>
          <w:rtl/>
        </w:rPr>
        <w:t xml:space="preserve"> </w:t>
      </w:r>
      <w:r w:rsidRPr="00342E4F">
        <w:rPr>
          <w:rFonts w:hint="cs"/>
          <w:rtl/>
        </w:rPr>
        <w:t>الوطنية،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t>و</w:t>
      </w:r>
      <w:r w:rsidRPr="00B2598B">
        <w:rPr>
          <w:rtl/>
        </w:rPr>
        <w:t xml:space="preserve">إذ </w:t>
      </w:r>
      <w:r>
        <w:rPr>
          <w:rFonts w:hint="cs"/>
          <w:rtl/>
        </w:rPr>
        <w:t>تأخذ في الاعتبار</w:t>
      </w:r>
    </w:p>
    <w:p w:rsidR="0058720E" w:rsidRDefault="0058720E" w:rsidP="00F51CEC">
      <w:pPr>
        <w:rPr>
          <w:rtl/>
        </w:rPr>
      </w:pPr>
      <w:r>
        <w:rPr>
          <w:rFonts w:hint="cs"/>
          <w:i/>
          <w:iCs/>
          <w:spacing w:val="-2"/>
          <w:rtl/>
        </w:rPr>
        <w:t xml:space="preserve"> </w:t>
      </w:r>
      <w:r w:rsidRPr="00EF378E">
        <w:rPr>
          <w:i/>
          <w:iCs/>
          <w:spacing w:val="-2"/>
          <w:rtl/>
        </w:rPr>
        <w:t>أ )</w:t>
      </w:r>
      <w:r w:rsidRPr="00EF378E">
        <w:rPr>
          <w:spacing w:val="-2"/>
          <w:rtl/>
        </w:rPr>
        <w:tab/>
      </w:r>
      <w:r>
        <w:rPr>
          <w:rFonts w:hint="cs"/>
          <w:spacing w:val="-2"/>
          <w:rtl/>
        </w:rPr>
        <w:t>القرار</w:t>
      </w:r>
      <w:r w:rsidR="00F51CEC">
        <w:rPr>
          <w:rFonts w:hint="eastAsia"/>
          <w:spacing w:val="-2"/>
          <w:rtl/>
        </w:rPr>
        <w:t> </w:t>
      </w:r>
      <w:r>
        <w:rPr>
          <w:spacing w:val="-2"/>
        </w:rPr>
        <w:t>101</w:t>
      </w:r>
      <w:r>
        <w:rPr>
          <w:rFonts w:hint="cs"/>
          <w:spacing w:val="-2"/>
          <w:rtl/>
        </w:rPr>
        <w:t xml:space="preserve"> (المراجَع </w:t>
      </w:r>
      <w:r w:rsidR="00752EE3">
        <w:rPr>
          <w:rFonts w:hint="cs"/>
          <w:spacing w:val="-2"/>
          <w:rtl/>
        </w:rPr>
        <w:t>في </w:t>
      </w:r>
      <w:r>
        <w:rPr>
          <w:rFonts w:hint="cs"/>
          <w:spacing w:val="-2"/>
          <w:rtl/>
        </w:rPr>
        <w:t xml:space="preserve">بوسان، </w:t>
      </w:r>
      <w:r>
        <w:rPr>
          <w:spacing w:val="-2"/>
        </w:rPr>
        <w:t>2014</w:t>
      </w:r>
      <w:r>
        <w:rPr>
          <w:rFonts w:hint="cs"/>
          <w:spacing w:val="-2"/>
          <w:rtl/>
        </w:rPr>
        <w:t xml:space="preserve">) </w:t>
      </w:r>
      <w:r>
        <w:rPr>
          <w:rFonts w:hint="cs"/>
          <w:rtl/>
        </w:rPr>
        <w:t>لمؤتمر المندوبين المفوضين</w:t>
      </w:r>
      <w:r>
        <w:rPr>
          <w:rFonts w:hint="cs"/>
          <w:spacing w:val="-2"/>
          <w:rtl/>
        </w:rPr>
        <w:t xml:space="preserve"> - </w:t>
      </w:r>
      <w:bookmarkStart w:id="0" w:name="_Toc280260273"/>
      <w:bookmarkStart w:id="1" w:name="_Toc414526727"/>
      <w:bookmarkStart w:id="2" w:name="_Toc415560147"/>
      <w:r w:rsidRPr="00333AAB">
        <w:rPr>
          <w:rtl/>
        </w:rPr>
        <w:t xml:space="preserve">الشبكات </w:t>
      </w:r>
      <w:r w:rsidRPr="00F0450B">
        <w:rPr>
          <w:rtl/>
        </w:rPr>
        <w:t>القائمة</w:t>
      </w:r>
      <w:r w:rsidRPr="00333AAB">
        <w:rPr>
          <w:rtl/>
        </w:rPr>
        <w:t xml:space="preserve"> على بروتوكول الإنترنت</w:t>
      </w:r>
      <w:bookmarkEnd w:id="0"/>
      <w:bookmarkEnd w:id="1"/>
      <w:bookmarkEnd w:id="2"/>
      <w:r>
        <w:rPr>
          <w:rFonts w:hint="cs"/>
          <w:rtl/>
        </w:rPr>
        <w:t>؛</w:t>
      </w:r>
    </w:p>
    <w:p w:rsidR="0058720E" w:rsidRPr="00847DE9" w:rsidRDefault="0058720E" w:rsidP="00F51CEC">
      <w:pPr>
        <w:rPr>
          <w:rtl/>
        </w:rPr>
      </w:pPr>
      <w:r w:rsidRPr="005F1CC8">
        <w:rPr>
          <w:rFonts w:hint="cs"/>
          <w:i/>
          <w:iCs/>
          <w:rtl/>
        </w:rPr>
        <w:t>ب</w:t>
      </w:r>
      <w:r w:rsidRPr="005F1CC8">
        <w:rPr>
          <w:i/>
          <w:iCs/>
          <w:rtl/>
        </w:rPr>
        <w:t>)</w:t>
      </w:r>
      <w:r w:rsidRPr="005F1CC8">
        <w:rPr>
          <w:rtl/>
        </w:rPr>
        <w:tab/>
      </w:r>
      <w:r w:rsidRPr="00386142">
        <w:rPr>
          <w:rFonts w:hint="eastAsia"/>
          <w:rtl/>
          <w:lang w:val="en-GB"/>
          <w:rPrChange w:id="3" w:author="Author">
            <w:rPr>
              <w:rFonts w:hint="eastAsia"/>
              <w:rtl/>
            </w:rPr>
          </w:rPrChange>
        </w:rPr>
        <w:t>إعلان</w:t>
      </w:r>
      <w:r w:rsidRPr="00386142">
        <w:rPr>
          <w:rtl/>
          <w:lang w:val="en-GB"/>
          <w:rPrChange w:id="4" w:author="Author">
            <w:rPr>
              <w:rtl/>
            </w:rPr>
          </w:rPrChange>
        </w:rPr>
        <w:t xml:space="preserve"> </w:t>
      </w:r>
      <w:r w:rsidRPr="00386142">
        <w:rPr>
          <w:rFonts w:hint="eastAsia"/>
          <w:rtl/>
          <w:lang w:val="en-GB"/>
          <w:rPrChange w:id="5" w:author="Author">
            <w:rPr>
              <w:rFonts w:hint="eastAsia"/>
              <w:rtl/>
            </w:rPr>
          </w:rPrChange>
        </w:rPr>
        <w:t>دبي</w:t>
      </w:r>
      <w:r w:rsidRPr="00386142">
        <w:rPr>
          <w:rtl/>
          <w:lang w:val="en-GB"/>
          <w:rPrChange w:id="6" w:author="Author">
            <w:rPr>
              <w:rtl/>
            </w:rPr>
          </w:rPrChange>
        </w:rPr>
        <w:t xml:space="preserve"> </w:t>
      </w:r>
      <w:r w:rsidRPr="00386142">
        <w:rPr>
          <w:rFonts w:hint="eastAsia"/>
          <w:rtl/>
          <w:lang w:val="en-GB"/>
          <w:rPrChange w:id="7" w:author="Author">
            <w:rPr>
              <w:rFonts w:hint="eastAsia"/>
              <w:rtl/>
            </w:rPr>
          </w:rPrChange>
        </w:rPr>
        <w:t>المعتمد</w:t>
      </w:r>
      <w:r w:rsidRPr="00386142">
        <w:rPr>
          <w:rtl/>
          <w:lang w:val="en-GB"/>
          <w:rPrChange w:id="8" w:author="Author">
            <w:rPr>
              <w:rtl/>
            </w:rPr>
          </w:rPrChange>
        </w:rPr>
        <w:t xml:space="preserve"> </w:t>
      </w:r>
      <w:r w:rsidR="00752EE3">
        <w:rPr>
          <w:rFonts w:hint="eastAsia"/>
          <w:rtl/>
          <w:lang w:val="en-GB"/>
        </w:rPr>
        <w:t>في </w:t>
      </w:r>
      <w:r w:rsidRPr="00386142">
        <w:rPr>
          <w:rFonts w:hint="eastAsia"/>
          <w:rtl/>
          <w:lang w:val="en-GB"/>
          <w:rPrChange w:id="9" w:author="Author">
            <w:rPr>
              <w:rFonts w:hint="eastAsia"/>
              <w:rtl/>
            </w:rPr>
          </w:rPrChange>
        </w:rPr>
        <w:t>المؤتمر</w:t>
      </w:r>
      <w:r w:rsidRPr="00386142">
        <w:rPr>
          <w:rtl/>
          <w:lang w:val="en-GB"/>
          <w:rPrChange w:id="10" w:author="Author">
            <w:rPr>
              <w:rtl/>
            </w:rPr>
          </w:rPrChange>
        </w:rPr>
        <w:t xml:space="preserve"> </w:t>
      </w:r>
      <w:r w:rsidRPr="00386142">
        <w:rPr>
          <w:rFonts w:hint="eastAsia"/>
          <w:rtl/>
          <w:lang w:val="en-GB"/>
          <w:rPrChange w:id="11" w:author="Author">
            <w:rPr>
              <w:rFonts w:hint="eastAsia"/>
              <w:rtl/>
            </w:rPr>
          </w:rPrChange>
        </w:rPr>
        <w:t>العالمي</w:t>
      </w:r>
      <w:r w:rsidRPr="00386142">
        <w:rPr>
          <w:rtl/>
          <w:lang w:val="en-GB"/>
          <w:rPrChange w:id="12" w:author="Author">
            <w:rPr>
              <w:rtl/>
            </w:rPr>
          </w:rPrChange>
        </w:rPr>
        <w:t xml:space="preserve"> </w:t>
      </w:r>
      <w:r w:rsidRPr="00386142">
        <w:rPr>
          <w:rFonts w:hint="eastAsia"/>
          <w:rtl/>
          <w:lang w:val="en-GB"/>
          <w:rPrChange w:id="13" w:author="Author">
            <w:rPr>
              <w:rFonts w:hint="eastAsia"/>
              <w:rtl/>
            </w:rPr>
          </w:rPrChange>
        </w:rPr>
        <w:t>لتنمية</w:t>
      </w:r>
      <w:r w:rsidRPr="00386142">
        <w:rPr>
          <w:rtl/>
          <w:lang w:val="en-GB"/>
          <w:rPrChange w:id="14" w:author="Author">
            <w:rPr>
              <w:rtl/>
            </w:rPr>
          </w:rPrChange>
        </w:rPr>
        <w:t xml:space="preserve"> </w:t>
      </w:r>
      <w:r w:rsidRPr="00386142">
        <w:rPr>
          <w:rFonts w:hint="eastAsia"/>
          <w:rtl/>
          <w:lang w:val="en-GB"/>
          <w:rPrChange w:id="15" w:author="Author">
            <w:rPr>
              <w:rFonts w:hint="eastAsia"/>
              <w:rtl/>
            </w:rPr>
          </w:rPrChange>
        </w:rPr>
        <w:t>الاتصالات</w:t>
      </w:r>
      <w:r w:rsidRPr="00386142">
        <w:rPr>
          <w:rtl/>
          <w:lang w:val="en-GB"/>
          <w:rPrChange w:id="16" w:author="Author">
            <w:rPr>
              <w:rtl/>
            </w:rPr>
          </w:rPrChange>
        </w:rPr>
        <w:t xml:space="preserve"> </w:t>
      </w:r>
      <w:r w:rsidRPr="00386142">
        <w:rPr>
          <w:rFonts w:hint="cs"/>
          <w:rtl/>
        </w:rPr>
        <w:t>لعام</w:t>
      </w:r>
      <w:r w:rsidR="00F51CEC">
        <w:rPr>
          <w:rFonts w:hint="eastAsia"/>
          <w:rtl/>
        </w:rPr>
        <w:t> </w:t>
      </w:r>
      <w:r w:rsidRPr="00386142">
        <w:t>2014</w:t>
      </w:r>
      <w:r w:rsidRPr="00386142">
        <w:rPr>
          <w:rFonts w:hint="cs"/>
          <w:rtl/>
        </w:rPr>
        <w:t xml:space="preserve">، </w:t>
      </w:r>
      <w:r w:rsidRPr="00386142">
        <w:rPr>
          <w:rFonts w:ascii="Calibri" w:hAnsi="Calibri"/>
          <w:rtl/>
          <w:rPrChange w:id="17" w:author="Author">
            <w:rPr>
              <w:rFonts w:ascii="Segoe UI" w:hAnsi="Segoe UI" w:cs="Segoe UI"/>
              <w:color w:val="000000"/>
              <w:sz w:val="20"/>
              <w:szCs w:val="20"/>
              <w:shd w:val="clear" w:color="auto" w:fill="FFFFFF"/>
              <w:rtl/>
            </w:rPr>
          </w:rPrChange>
        </w:rPr>
        <w:t xml:space="preserve">تحت </w:t>
      </w:r>
      <w:r w:rsidRPr="00386142">
        <w:rPr>
          <w:rFonts w:ascii="Calibri" w:hAnsi="Calibri" w:hint="cs"/>
          <w:rtl/>
        </w:rPr>
        <w:t>موضوع</w:t>
      </w:r>
      <w:r w:rsidRPr="00386142">
        <w:rPr>
          <w:rFonts w:ascii="Calibri" w:hAnsi="Calibri"/>
          <w:rtl/>
          <w:rPrChange w:id="18" w:author="Author">
            <w:rPr>
              <w:rFonts w:ascii="Segoe UI" w:hAnsi="Segoe UI" w:cs="Segoe UI"/>
              <w:color w:val="000000"/>
              <w:sz w:val="20"/>
              <w:szCs w:val="20"/>
              <w:shd w:val="clear" w:color="auto" w:fill="FFFFFF"/>
              <w:rtl/>
            </w:rPr>
          </w:rPrChange>
        </w:rPr>
        <w:t xml:space="preserve"> "النطاق العريض من</w:t>
      </w:r>
      <w:r w:rsidR="00F51CEC">
        <w:rPr>
          <w:rFonts w:ascii="Calibri" w:hAnsi="Calibri" w:hint="cs"/>
          <w:rtl/>
        </w:rPr>
        <w:t> </w:t>
      </w:r>
      <w:r w:rsidRPr="00386142">
        <w:rPr>
          <w:rFonts w:ascii="Calibri" w:hAnsi="Calibri"/>
          <w:rtl/>
          <w:rPrChange w:id="19" w:author="Author">
            <w:rPr>
              <w:rFonts w:ascii="Segoe UI" w:hAnsi="Segoe UI" w:cs="Segoe UI"/>
              <w:color w:val="000000"/>
              <w:sz w:val="20"/>
              <w:szCs w:val="20"/>
              <w:shd w:val="clear" w:color="auto" w:fill="FFFFFF"/>
              <w:rtl/>
            </w:rPr>
          </w:rPrChange>
        </w:rPr>
        <w:t>أجل التنمية</w:t>
      </w:r>
      <w:r w:rsidRPr="00386142">
        <w:rPr>
          <w:rFonts w:ascii="Calibri" w:hAnsi="Calibri" w:hint="cs"/>
          <w:rtl/>
        </w:rPr>
        <w:t> </w:t>
      </w:r>
      <w:r w:rsidRPr="00386142">
        <w:rPr>
          <w:rFonts w:ascii="Calibri" w:hAnsi="Calibri"/>
          <w:rtl/>
          <w:rPrChange w:id="20" w:author="Author">
            <w:rPr>
              <w:rFonts w:ascii="Segoe UI" w:hAnsi="Segoe UI" w:cs="Segoe UI"/>
              <w:color w:val="000000"/>
              <w:sz w:val="20"/>
              <w:szCs w:val="20"/>
              <w:shd w:val="clear" w:color="auto" w:fill="FFFFFF"/>
              <w:rtl/>
            </w:rPr>
          </w:rPrChange>
        </w:rPr>
        <w:t>المستدامة</w:t>
      </w:r>
      <w:r w:rsidRPr="00386142">
        <w:rPr>
          <w:rFonts w:hint="cs"/>
          <w:rtl/>
        </w:rPr>
        <w:t>"؛</w:t>
      </w:r>
    </w:p>
    <w:p w:rsidR="0058720E" w:rsidRDefault="0058720E" w:rsidP="00F51CEC">
      <w:pPr>
        <w:rPr>
          <w:spacing w:val="-2"/>
          <w:rtl/>
          <w:lang w:bidi="ar-EG"/>
        </w:rPr>
      </w:pPr>
      <w:r>
        <w:rPr>
          <w:rFonts w:hint="cs"/>
          <w:i/>
          <w:iCs/>
          <w:spacing w:val="-2"/>
          <w:rtl/>
        </w:rPr>
        <w:t>ج)</w:t>
      </w:r>
      <w:r>
        <w:rPr>
          <w:rFonts w:hint="cs"/>
          <w:i/>
          <w:iCs/>
          <w:spacing w:val="-2"/>
          <w:rtl/>
        </w:rPr>
        <w:tab/>
      </w:r>
      <w:r>
        <w:rPr>
          <w:rtl/>
          <w:lang w:bidi="ar-EG"/>
        </w:rPr>
        <w:t>القرار </w:t>
      </w:r>
      <w:r>
        <w:rPr>
          <w:lang w:val="en-GB" w:bidi="ar-EG"/>
        </w:rPr>
        <w:t>140</w:t>
      </w:r>
      <w:r>
        <w:rPr>
          <w:rtl/>
          <w:lang w:bidi="ar-EG"/>
        </w:rPr>
        <w:t xml:space="preserve"> (المراجَع </w:t>
      </w:r>
      <w:r w:rsidR="00752EE3">
        <w:rPr>
          <w:rtl/>
          <w:lang w:bidi="ar-EG"/>
        </w:rPr>
        <w:t>في </w:t>
      </w:r>
      <w:r>
        <w:rPr>
          <w:rtl/>
          <w:lang w:bidi="ar-EG"/>
        </w:rPr>
        <w:t xml:space="preserve">بوسان، </w:t>
      </w:r>
      <w:r>
        <w:rPr>
          <w:lang w:val="en-GB" w:bidi="ar-EG"/>
        </w:rPr>
        <w:t>2014</w:t>
      </w:r>
      <w:r>
        <w:rPr>
          <w:rtl/>
          <w:lang w:bidi="ar-EG"/>
        </w:rPr>
        <w:t xml:space="preserve">) لمؤتمر المندوبين المفوضين </w:t>
      </w: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 xml:space="preserve"> دور الاتحاد في تنفيذ نواتج القمة العالمية لمجتمع</w:t>
      </w:r>
      <w:r w:rsidR="00F51CEC">
        <w:rPr>
          <w:rFonts w:hint="cs"/>
          <w:rtl/>
          <w:lang w:bidi="ar-EG"/>
        </w:rPr>
        <w:t> </w:t>
      </w:r>
      <w:r>
        <w:rPr>
          <w:rtl/>
          <w:lang w:bidi="ar-EG"/>
        </w:rPr>
        <w:t>المعلومات والاستعراض الشامل للجمعية العامة للأمم المتحدة لتنفيذها</w:t>
      </w:r>
      <w:r>
        <w:rPr>
          <w:rFonts w:hint="cs"/>
          <w:spacing w:val="-2"/>
          <w:rtl/>
          <w:lang w:bidi="ar-EG"/>
        </w:rPr>
        <w:t>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t>و</w:t>
      </w:r>
      <w:r w:rsidRPr="00B2598B">
        <w:rPr>
          <w:rtl/>
        </w:rPr>
        <w:t xml:space="preserve">إذ </w:t>
      </w:r>
      <w:r>
        <w:rPr>
          <w:rFonts w:hint="cs"/>
          <w:rtl/>
        </w:rPr>
        <w:t>تلاحظ</w:t>
      </w:r>
    </w:p>
    <w:p w:rsidR="0058720E" w:rsidRDefault="0058720E" w:rsidP="00196F9B">
      <w:pPr>
        <w:rPr>
          <w:rtl/>
        </w:rPr>
      </w:pPr>
      <w:r>
        <w:rPr>
          <w:rFonts w:hint="cs"/>
          <w:i/>
          <w:iCs/>
          <w:spacing w:val="-2"/>
          <w:rtl/>
        </w:rPr>
        <w:t xml:space="preserve"> </w:t>
      </w:r>
      <w:r w:rsidRPr="00EF378E">
        <w:rPr>
          <w:i/>
          <w:iCs/>
          <w:spacing w:val="-2"/>
          <w:rtl/>
        </w:rPr>
        <w:t>أ )</w:t>
      </w:r>
      <w:r w:rsidRPr="00EF378E">
        <w:rPr>
          <w:spacing w:val="-2"/>
          <w:rtl/>
        </w:rPr>
        <w:tab/>
      </w:r>
      <w:r w:rsidRPr="00575EC2">
        <w:rPr>
          <w:rtl/>
          <w:lang w:bidi="ar-EG"/>
        </w:rPr>
        <w:t>أن لجنة الدراسات </w:t>
      </w:r>
      <w:r w:rsidRPr="00575EC2">
        <w:rPr>
          <w:lang w:bidi="ar-EG"/>
        </w:rPr>
        <w:t>12</w:t>
      </w:r>
      <w:r w:rsidRPr="00575EC2">
        <w:rPr>
          <w:rtl/>
          <w:lang w:bidi="ar-EG"/>
        </w:rPr>
        <w:t xml:space="preserve"> هي اللجنة الرئيسية الم</w:t>
      </w:r>
      <w:r>
        <w:rPr>
          <w:rtl/>
          <w:lang w:bidi="ar-EG"/>
        </w:rPr>
        <w:t>عنية بجودة الخدمة وجودة التجربة</w:t>
      </w:r>
      <w:r>
        <w:rPr>
          <w:rFonts w:hint="cs"/>
          <w:rtl/>
          <w:lang w:bidi="ar-EG"/>
        </w:rPr>
        <w:t xml:space="preserve">، والمكلفة بالتنسيق </w:t>
      </w:r>
      <w:r w:rsidRPr="00575EC2">
        <w:rPr>
          <w:rtl/>
          <w:lang w:bidi="ar-EG"/>
        </w:rPr>
        <w:t xml:space="preserve">بين الأنشطة المتعلقة بجودة الخدمة وجودة التجربة داخل قطاع التقييس، وأيضاً مع منظمات التقييس الأخرى والمحافل المعنية </w:t>
      </w:r>
      <w:r>
        <w:rPr>
          <w:rtl/>
          <w:lang w:bidi="ar-EG"/>
        </w:rPr>
        <w:t>وتقوم بوضع الأطر لتحسين التعاون</w:t>
      </w:r>
      <w:r>
        <w:rPr>
          <w:rFonts w:hint="cs"/>
          <w:rtl/>
        </w:rPr>
        <w:t>؛</w:t>
      </w:r>
    </w:p>
    <w:p w:rsidR="0058720E" w:rsidRDefault="0058720E" w:rsidP="00F51CEC">
      <w:pPr>
        <w:rPr>
          <w:rtl/>
          <w:lang w:bidi="ar-EG"/>
        </w:rPr>
      </w:pPr>
      <w:r>
        <w:rPr>
          <w:rFonts w:hint="cs"/>
          <w:i/>
          <w:iCs/>
          <w:spacing w:val="-2"/>
          <w:rtl/>
        </w:rPr>
        <w:t>ب</w:t>
      </w:r>
      <w:r w:rsidRPr="00EF378E">
        <w:rPr>
          <w:i/>
          <w:iCs/>
          <w:spacing w:val="-2"/>
          <w:rtl/>
        </w:rPr>
        <w:t>)</w:t>
      </w:r>
      <w:r w:rsidRPr="00EF378E">
        <w:rPr>
          <w:spacing w:val="-2"/>
          <w:rtl/>
        </w:rPr>
        <w:tab/>
      </w:r>
      <w:r>
        <w:rPr>
          <w:rFonts w:hint="cs"/>
          <w:spacing w:val="-2"/>
          <w:rtl/>
        </w:rPr>
        <w:t>أ</w:t>
      </w:r>
      <w:r w:rsidRPr="00575EC2">
        <w:rPr>
          <w:rtl/>
          <w:lang w:bidi="ar-EG"/>
        </w:rPr>
        <w:t>ن لجنة الدراسات </w:t>
      </w:r>
      <w:r w:rsidRPr="00575EC2">
        <w:rPr>
          <w:lang w:bidi="ar-EG"/>
        </w:rPr>
        <w:t>12</w:t>
      </w:r>
      <w:r w:rsidRPr="00575EC2">
        <w:rPr>
          <w:rtl/>
          <w:lang w:bidi="ar-EG"/>
        </w:rPr>
        <w:t xml:space="preserve"> هي اللجنة الرئيسية التي ينتمي إليها فريق تطوير جودة الخدمة</w:t>
      </w:r>
      <w:r w:rsidR="00F51CEC">
        <w:rPr>
          <w:rFonts w:hint="cs"/>
          <w:rtl/>
          <w:lang w:bidi="ar-EG"/>
        </w:rPr>
        <w:t> </w:t>
      </w:r>
      <w:r w:rsidRPr="00575EC2">
        <w:rPr>
          <w:lang w:bidi="ar-EG"/>
        </w:rPr>
        <w:t>(QSDG)</w:t>
      </w:r>
      <w:r>
        <w:rPr>
          <w:rFonts w:hint="cs"/>
          <w:rtl/>
          <w:lang w:bidi="ar-EG"/>
        </w:rPr>
        <w:t>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t>وإذ تقر</w:t>
      </w:r>
    </w:p>
    <w:p w:rsidR="0058720E" w:rsidRDefault="0058720E" w:rsidP="00F51CEC">
      <w:pPr>
        <w:rPr>
          <w:rtl/>
        </w:rPr>
      </w:pPr>
      <w:r w:rsidRPr="00386142">
        <w:rPr>
          <w:rFonts w:hint="cs"/>
          <w:rtl/>
          <w:lang w:bidi="ar-EG"/>
        </w:rPr>
        <w:t xml:space="preserve">بالعمل ذي الصلة الجاري </w:t>
      </w:r>
      <w:r w:rsidR="00752EE3">
        <w:rPr>
          <w:rFonts w:hint="cs"/>
          <w:rtl/>
          <w:lang w:bidi="ar-EG"/>
        </w:rPr>
        <w:t>في </w:t>
      </w:r>
      <w:r w:rsidRPr="00386142">
        <w:rPr>
          <w:rFonts w:hint="cs"/>
          <w:rtl/>
          <w:lang w:bidi="ar-EG"/>
        </w:rPr>
        <w:t>فريق تطوير جودة الخدمة بشأن المناقشات التشغيلية والتنظيمية لجودة الخدمة</w:t>
      </w:r>
      <w:r w:rsidRPr="005F1CC8">
        <w:rPr>
          <w:rFonts w:hint="cs"/>
          <w:rtl/>
          <w:lang w:bidi="ar-EG"/>
        </w:rPr>
        <w:t xml:space="preserve"> وجودة التجربة ودورها الهام في</w:t>
      </w:r>
      <w:r w:rsidR="00F51CEC">
        <w:rPr>
          <w:rFonts w:hint="eastAsia"/>
          <w:rtl/>
          <w:lang w:bidi="ar-EG"/>
        </w:rPr>
        <w:t> </w:t>
      </w:r>
      <w:r w:rsidRPr="005F1CC8">
        <w:rPr>
          <w:rFonts w:hint="cs"/>
          <w:rtl/>
          <w:lang w:bidi="ar-EG"/>
        </w:rPr>
        <w:t>تعزيز التعاون بين المشغلين وموردي الحلول التقنية وهيئات التنظيم من خلال مناقشة مفتوحة بشأن الاستراتيجيات الجديدة لتوفير الخدمات للمستعملين النهائيين بجودة أفضل</w:t>
      </w:r>
      <w:r w:rsidRPr="005F1CC8">
        <w:rPr>
          <w:rFonts w:hint="cs"/>
          <w:rtl/>
        </w:rPr>
        <w:t>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t>تقرر</w:t>
      </w:r>
    </w:p>
    <w:p w:rsidR="0058720E" w:rsidRDefault="0058720E" w:rsidP="00196F9B">
      <w:pPr>
        <w:rPr>
          <w:rtl/>
        </w:rPr>
      </w:pPr>
      <w:r>
        <w:rPr>
          <w:spacing w:val="-2"/>
        </w:rPr>
        <w:t>1</w:t>
      </w:r>
      <w:r w:rsidRPr="00EF378E">
        <w:rPr>
          <w:spacing w:val="-2"/>
          <w:rtl/>
        </w:rPr>
        <w:tab/>
      </w:r>
      <w:r w:rsidRPr="005F1CC8">
        <w:rPr>
          <w:rFonts w:hint="cs"/>
          <w:rtl/>
        </w:rPr>
        <w:t xml:space="preserve">أن يواصل </w:t>
      </w:r>
      <w:r w:rsidRPr="00D31F7A">
        <w:rPr>
          <w:rFonts w:hint="cs"/>
          <w:rtl/>
        </w:rPr>
        <w:t>قطاع تقييس الاتصالات</w:t>
      </w:r>
      <w:r w:rsidRPr="005F1CC8">
        <w:rPr>
          <w:rFonts w:hint="cs"/>
          <w:rtl/>
        </w:rPr>
        <w:t xml:space="preserve"> وضع التوصيات اللازمة بشأن جودة الخدمة وجودة التجربة لتطبيقات الوسائط المتعددة</w:t>
      </w:r>
      <w:r w:rsidRPr="005F1CC8">
        <w:rPr>
          <w:rFonts w:hint="eastAsia"/>
          <w:rtl/>
        </w:rPr>
        <w:t> </w:t>
      </w:r>
      <w:r w:rsidRPr="005F1CC8">
        <w:rPr>
          <w:rFonts w:hint="cs"/>
          <w:rtl/>
        </w:rPr>
        <w:t>وخدماتها؛</w:t>
      </w:r>
    </w:p>
    <w:p w:rsidR="0058720E" w:rsidRPr="00F51CEC" w:rsidRDefault="0058720E" w:rsidP="00380A87">
      <w:pPr>
        <w:rPr>
          <w:rtl/>
        </w:rPr>
      </w:pPr>
      <w:r w:rsidRPr="00F51CEC">
        <w:t>2</w:t>
      </w:r>
      <w:r w:rsidRPr="00F51CEC">
        <w:rPr>
          <w:rtl/>
        </w:rPr>
        <w:tab/>
      </w:r>
      <w:r w:rsidRPr="00F51CEC">
        <w:rPr>
          <w:rFonts w:hint="cs"/>
          <w:rtl/>
          <w:lang w:bidi="ar-EG"/>
        </w:rPr>
        <w:t>أن تواصل لجنة الدراسات</w:t>
      </w:r>
      <w:r w:rsidR="00F51CEC" w:rsidRPr="00F51CEC">
        <w:rPr>
          <w:rFonts w:hint="eastAsia"/>
          <w:rtl/>
          <w:lang w:bidi="ar-EG"/>
        </w:rPr>
        <w:t> </w:t>
      </w:r>
      <w:r w:rsidRPr="00F51CEC">
        <w:rPr>
          <w:lang w:bidi="ar-EG"/>
        </w:rPr>
        <w:t>12</w:t>
      </w:r>
      <w:r w:rsidRPr="00F51CEC">
        <w:rPr>
          <w:rFonts w:hint="cs"/>
          <w:rtl/>
          <w:lang w:bidi="ar-EG"/>
        </w:rPr>
        <w:t xml:space="preserve"> </w:t>
      </w:r>
      <w:r w:rsidR="00380A87">
        <w:rPr>
          <w:rFonts w:hint="cs"/>
          <w:rtl/>
          <w:lang w:bidi="ar-EG"/>
        </w:rPr>
        <w:t>ل</w:t>
      </w:r>
      <w:r w:rsidRPr="00F51CEC">
        <w:rPr>
          <w:rFonts w:hint="cs"/>
          <w:rtl/>
          <w:lang w:bidi="ar-EG"/>
        </w:rPr>
        <w:t>قطاع تقييس الاتصالات تنسيق أنشطة القطاع ذات الصلة بجودة الخدمة وجودة</w:t>
      </w:r>
      <w:r w:rsidR="00313B67" w:rsidRPr="00F51CEC">
        <w:rPr>
          <w:rFonts w:hint="eastAsia"/>
          <w:rtl/>
          <w:lang w:bidi="ar-EG"/>
        </w:rPr>
        <w:t> </w:t>
      </w:r>
      <w:r w:rsidRPr="00F51CEC">
        <w:rPr>
          <w:rFonts w:hint="cs"/>
          <w:rtl/>
          <w:lang w:bidi="ar-EG"/>
        </w:rPr>
        <w:t>التجربة</w:t>
      </w:r>
      <w:r w:rsidRPr="00F51CEC">
        <w:rPr>
          <w:rFonts w:hint="cs"/>
          <w:rtl/>
        </w:rPr>
        <w:t>؛</w:t>
      </w:r>
    </w:p>
    <w:p w:rsidR="0058720E" w:rsidRDefault="0058720E" w:rsidP="00196F9B">
      <w:pPr>
        <w:rPr>
          <w:rtl/>
        </w:rPr>
      </w:pPr>
      <w:r>
        <w:rPr>
          <w:spacing w:val="-2"/>
        </w:rPr>
        <w:t>3</w:t>
      </w:r>
      <w:r w:rsidRPr="00EF378E">
        <w:rPr>
          <w:spacing w:val="-2"/>
          <w:rtl/>
        </w:rPr>
        <w:tab/>
      </w:r>
      <w:r>
        <w:rPr>
          <w:rFonts w:hint="cs"/>
          <w:rtl/>
          <w:lang w:bidi="ar-EG"/>
        </w:rPr>
        <w:t>أن يطلق قطاع تقييس الاتصالات، بالتعاون الوثيق مع قطاع تنمية الاتصالات</w:t>
      </w:r>
      <w:r w:rsidR="00380A87">
        <w:rPr>
          <w:rFonts w:hint="cs"/>
          <w:rtl/>
          <w:lang w:bidi="ar-EG"/>
        </w:rPr>
        <w:t xml:space="preserve"> </w:t>
      </w:r>
      <w:r w:rsidR="00380A87">
        <w:rPr>
          <w:lang w:bidi="ar-EG"/>
        </w:rPr>
        <w:t>(ITU</w:t>
      </w:r>
      <w:r w:rsidR="00380A87">
        <w:rPr>
          <w:lang w:bidi="ar-EG"/>
        </w:rPr>
        <w:noBreakHyphen/>
        <w:t>D)</w:t>
      </w:r>
      <w:r>
        <w:rPr>
          <w:rFonts w:hint="cs"/>
          <w:rtl/>
          <w:lang w:bidi="ar-EG"/>
        </w:rPr>
        <w:t xml:space="preserve"> مبادرات لزيادة الوعي بأهمية إطلاع المستعملين والمستهلكين باستمرار عن جودة الخدمات التي يقدمها إليهم المشغلون</w:t>
      </w:r>
      <w:r>
        <w:rPr>
          <w:rFonts w:hint="cs"/>
          <w:rtl/>
        </w:rPr>
        <w:t>؛</w:t>
      </w:r>
    </w:p>
    <w:p w:rsidR="0058720E" w:rsidRDefault="0058720E" w:rsidP="00F51CEC">
      <w:pPr>
        <w:rPr>
          <w:rtl/>
        </w:rPr>
      </w:pPr>
      <w:r w:rsidRPr="005F1CC8">
        <w:rPr>
          <w:spacing w:val="-2"/>
        </w:rPr>
        <w:t>4</w:t>
      </w:r>
      <w:r w:rsidRPr="005F1CC8">
        <w:rPr>
          <w:spacing w:val="-2"/>
          <w:rtl/>
        </w:rPr>
        <w:tab/>
      </w:r>
      <w:r w:rsidRPr="005F1CC8">
        <w:rPr>
          <w:rFonts w:hint="cs"/>
          <w:rtl/>
          <w:lang w:bidi="ar-EG"/>
        </w:rPr>
        <w:t xml:space="preserve">أن </w:t>
      </w:r>
      <w:r w:rsidRPr="00D31F7A">
        <w:rPr>
          <w:rFonts w:hint="cs"/>
          <w:rtl/>
          <w:lang w:bidi="ar-EG"/>
        </w:rPr>
        <w:t>يساعد قطاع تقييس الاتصالات</w:t>
      </w:r>
      <w:r w:rsidRPr="005F1CC8">
        <w:rPr>
          <w:rFonts w:hint="cs"/>
          <w:rtl/>
          <w:lang w:bidi="ar-EG"/>
        </w:rPr>
        <w:t xml:space="preserve"> بالتعاون الوثيق مع قطاع تنمية الاتصالات </w:t>
      </w:r>
      <w:r w:rsidR="00380A87">
        <w:rPr>
          <w:lang w:bidi="ar-EG"/>
        </w:rPr>
        <w:t>(ITU</w:t>
      </w:r>
      <w:r w:rsidR="00380A87">
        <w:rPr>
          <w:lang w:bidi="ar-EG"/>
        </w:rPr>
        <w:noBreakHyphen/>
        <w:t>D)</w:t>
      </w:r>
      <w:r w:rsidR="00380A87">
        <w:rPr>
          <w:rFonts w:hint="cs"/>
          <w:rtl/>
          <w:lang w:bidi="ar-EG"/>
        </w:rPr>
        <w:t xml:space="preserve"> </w:t>
      </w:r>
      <w:r w:rsidRPr="005F1CC8">
        <w:rPr>
          <w:rFonts w:hint="cs"/>
          <w:rtl/>
          <w:lang w:bidi="ar-EG"/>
        </w:rPr>
        <w:t>والمكاتب الإقليمية للاتحاد، هيئات</w:t>
      </w:r>
      <w:r w:rsidR="00F51CEC">
        <w:rPr>
          <w:rFonts w:hint="eastAsia"/>
          <w:rtl/>
          <w:lang w:bidi="ar-EG"/>
        </w:rPr>
        <w:t> </w:t>
      </w:r>
      <w:r w:rsidRPr="005F1CC8">
        <w:rPr>
          <w:rFonts w:hint="cs"/>
          <w:rtl/>
          <w:lang w:bidi="ar-EG"/>
        </w:rPr>
        <w:t xml:space="preserve">التنظيم </w:t>
      </w:r>
      <w:r w:rsidR="00752EE3">
        <w:rPr>
          <w:rFonts w:hint="cs"/>
          <w:rtl/>
          <w:lang w:bidi="ar-EG"/>
        </w:rPr>
        <w:t>في </w:t>
      </w:r>
      <w:r w:rsidRPr="005F1CC8">
        <w:rPr>
          <w:rFonts w:hint="cs"/>
          <w:rtl/>
          <w:lang w:bidi="ar-EG"/>
        </w:rPr>
        <w:t xml:space="preserve">البلدان النامية وأقل البلدان نمواً </w:t>
      </w:r>
      <w:r w:rsidR="00752EE3">
        <w:rPr>
          <w:rFonts w:hint="cs"/>
          <w:rtl/>
          <w:lang w:bidi="ar-EG"/>
        </w:rPr>
        <w:t>في </w:t>
      </w:r>
      <w:r w:rsidRPr="005F1CC8">
        <w:rPr>
          <w:rFonts w:hint="cs"/>
          <w:rtl/>
          <w:lang w:bidi="ar-EG"/>
        </w:rPr>
        <w:t>وضع إطار وطني لقياس الجودة يناسب إجراء قياسات جودة الخدمة وجودة</w:t>
      </w:r>
      <w:r w:rsidR="00F51CEC">
        <w:rPr>
          <w:rFonts w:hint="eastAsia"/>
          <w:rtl/>
          <w:lang w:bidi="ar-EG"/>
        </w:rPr>
        <w:t> </w:t>
      </w:r>
      <w:r w:rsidRPr="005F1CC8">
        <w:rPr>
          <w:rFonts w:hint="cs"/>
          <w:rtl/>
          <w:lang w:bidi="ar-EG"/>
        </w:rPr>
        <w:t>التجربة ويوفر الشفافية فيما يتعلق بنتائج تدابير الجودة لتشجيع الاستثمارات من أجل توفير خدمات للمستعملين النهائيين بجودة أفضل وإتاحة الفرصة لهم لإجراء المقارنات</w:t>
      </w:r>
      <w:r w:rsidRPr="005F1CC8">
        <w:rPr>
          <w:rFonts w:hint="cs"/>
          <w:rtl/>
        </w:rPr>
        <w:t>؛</w:t>
      </w:r>
    </w:p>
    <w:p w:rsidR="0058720E" w:rsidRPr="005F1CC8" w:rsidRDefault="0058720E" w:rsidP="00F51CEC">
      <w:pPr>
        <w:rPr>
          <w:rtl/>
        </w:rPr>
      </w:pPr>
      <w:r w:rsidRPr="005F1CC8">
        <w:rPr>
          <w:spacing w:val="-2"/>
        </w:rPr>
        <w:lastRenderedPageBreak/>
        <w:t>5</w:t>
      </w:r>
      <w:r w:rsidRPr="005F1CC8">
        <w:rPr>
          <w:spacing w:val="-2"/>
          <w:rtl/>
        </w:rPr>
        <w:tab/>
      </w:r>
      <w:r w:rsidRPr="00D31F7A">
        <w:rPr>
          <w:rFonts w:hint="cs"/>
          <w:rtl/>
          <w:lang w:bidi="ar-EG"/>
        </w:rPr>
        <w:t>أن ينظم قطاع تقييس الاتصالات ورش العمل وبرامج تدريبية ومزيد</w:t>
      </w:r>
      <w:r w:rsidR="00EB3A4E">
        <w:rPr>
          <w:rFonts w:hint="cs"/>
          <w:rtl/>
          <w:lang w:bidi="ar-EG"/>
        </w:rPr>
        <w:t>اً</w:t>
      </w:r>
      <w:r w:rsidRPr="00D31F7A">
        <w:rPr>
          <w:rFonts w:hint="cs"/>
          <w:rtl/>
          <w:lang w:bidi="ar-EG"/>
        </w:rPr>
        <w:t xml:space="preserve"> من المبادرات لتشجيع المشاركة الأوسع لهيئات</w:t>
      </w:r>
      <w:r w:rsidR="00F51CEC">
        <w:rPr>
          <w:rFonts w:hint="eastAsia"/>
          <w:rtl/>
          <w:lang w:bidi="ar-EG"/>
        </w:rPr>
        <w:t> </w:t>
      </w:r>
      <w:r w:rsidRPr="00D31F7A">
        <w:rPr>
          <w:rFonts w:hint="cs"/>
          <w:rtl/>
          <w:lang w:bidi="ar-EG"/>
        </w:rPr>
        <w:t xml:space="preserve">التنظيم والمشغلين والموردين </w:t>
      </w:r>
      <w:r w:rsidR="00752EE3">
        <w:rPr>
          <w:rFonts w:hint="cs"/>
          <w:rtl/>
          <w:lang w:bidi="ar-EG"/>
        </w:rPr>
        <w:t>في </w:t>
      </w:r>
      <w:r w:rsidRPr="00D31F7A">
        <w:rPr>
          <w:rFonts w:hint="cs"/>
          <w:rtl/>
          <w:lang w:bidi="ar-EG"/>
        </w:rPr>
        <w:t>المناقشة الدولية بشأن جودة الخدمة وزيادة الوعي بأهمية قياس جودة الخدمة وجودة</w:t>
      </w:r>
      <w:r w:rsidR="005F1CC8" w:rsidRPr="00D31F7A">
        <w:rPr>
          <w:rFonts w:hint="eastAsia"/>
          <w:rtl/>
          <w:lang w:bidi="ar-EG"/>
        </w:rPr>
        <w:t> </w:t>
      </w:r>
      <w:r w:rsidRPr="00D31F7A">
        <w:rPr>
          <w:rFonts w:hint="cs"/>
          <w:rtl/>
          <w:lang w:bidi="ar-EG"/>
        </w:rPr>
        <w:t>التجربة،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t>تكلّف مدير مكتب تقييس الاتصالات</w:t>
      </w:r>
    </w:p>
    <w:p w:rsidR="0058720E" w:rsidRPr="009A1018" w:rsidRDefault="0058720E" w:rsidP="00F51CEC">
      <w:pPr>
        <w:rPr>
          <w:spacing w:val="-2"/>
          <w:rtl/>
        </w:rPr>
      </w:pPr>
      <w:r w:rsidRPr="009A1018">
        <w:rPr>
          <w:rFonts w:hint="cs"/>
          <w:spacing w:val="-2"/>
          <w:rtl/>
          <w:lang w:bidi="ar-EG"/>
        </w:rPr>
        <w:t>بأن يواصل، تنفيذاً للفقرتين</w:t>
      </w:r>
      <w:r w:rsidR="00F51CEC" w:rsidRPr="009A1018">
        <w:rPr>
          <w:rFonts w:hint="eastAsia"/>
          <w:spacing w:val="-2"/>
          <w:rtl/>
          <w:lang w:bidi="ar-EG"/>
        </w:rPr>
        <w:t> </w:t>
      </w:r>
      <w:r w:rsidRPr="009A1018">
        <w:rPr>
          <w:spacing w:val="-2"/>
          <w:lang w:bidi="ar-EG"/>
        </w:rPr>
        <w:t>3</w:t>
      </w:r>
      <w:r w:rsidRPr="009A1018">
        <w:rPr>
          <w:rFonts w:hint="cs"/>
          <w:spacing w:val="-2"/>
          <w:rtl/>
          <w:lang w:bidi="ar-EG"/>
        </w:rPr>
        <w:t xml:space="preserve"> و</w:t>
      </w:r>
      <w:r w:rsidRPr="009A1018">
        <w:rPr>
          <w:spacing w:val="-2"/>
          <w:lang w:bidi="ar-EG"/>
        </w:rPr>
        <w:t>5</w:t>
      </w:r>
      <w:r w:rsidRPr="009A1018">
        <w:rPr>
          <w:rFonts w:hint="cs"/>
          <w:spacing w:val="-2"/>
          <w:rtl/>
          <w:lang w:bidi="ar-EG"/>
        </w:rPr>
        <w:t xml:space="preserve"> من </w:t>
      </w:r>
      <w:r w:rsidRPr="009A1018">
        <w:rPr>
          <w:rFonts w:hint="cs"/>
          <w:i/>
          <w:iCs/>
          <w:spacing w:val="-2"/>
          <w:rtl/>
          <w:lang w:bidi="ar-EG"/>
        </w:rPr>
        <w:t>تقرر</w:t>
      </w:r>
      <w:r w:rsidRPr="009A1018">
        <w:rPr>
          <w:rFonts w:hint="cs"/>
          <w:spacing w:val="-2"/>
          <w:rtl/>
          <w:lang w:bidi="ar-EG"/>
        </w:rPr>
        <w:t xml:space="preserve"> أعلاه، دعم أنشطة فريق تطوير جودة الخدمة كمنتدى لمناقشات تشغيلية وتنظيمية مفتوحة بين هيئات التنظيم والمشغلين والموردين بشأن الاستراتيجيات الجديدة لتوفير جودة خدمة وجودة تجربة أفضل للمستعملين</w:t>
      </w:r>
      <w:r w:rsidR="00B7005C" w:rsidRPr="009A1018">
        <w:rPr>
          <w:rFonts w:hint="eastAsia"/>
          <w:spacing w:val="-2"/>
          <w:rtl/>
          <w:lang w:bidi="ar-EG"/>
        </w:rPr>
        <w:t> </w:t>
      </w:r>
      <w:r w:rsidRPr="009A1018">
        <w:rPr>
          <w:rFonts w:hint="cs"/>
          <w:spacing w:val="-2"/>
          <w:rtl/>
          <w:lang w:bidi="ar-EG"/>
        </w:rPr>
        <w:t>النهائيين</w:t>
      </w:r>
      <w:r w:rsidRPr="009A1018">
        <w:rPr>
          <w:rFonts w:hint="cs"/>
          <w:spacing w:val="-2"/>
          <w:rtl/>
        </w:rPr>
        <w:t>،</w:t>
      </w:r>
    </w:p>
    <w:p w:rsidR="0058720E" w:rsidRDefault="0058720E" w:rsidP="009A1018">
      <w:pPr>
        <w:pStyle w:val="Call"/>
      </w:pPr>
      <w:r>
        <w:rPr>
          <w:rFonts w:hint="cs"/>
          <w:rtl/>
        </w:rPr>
        <w:t>تكلّف مدير مكتب تقييس الاتصالات، بالتعاون الوثيق مع مدير مكتب تنمية الاتصالات</w:t>
      </w:r>
      <w:r w:rsidR="009A1018">
        <w:rPr>
          <w:rFonts w:hint="cs"/>
          <w:rtl/>
        </w:rPr>
        <w:t xml:space="preserve"> </w:t>
      </w:r>
      <w:r w:rsidR="009A1018">
        <w:t>(BDT)</w:t>
      </w:r>
    </w:p>
    <w:p w:rsidR="0058720E" w:rsidRPr="00B727F9" w:rsidRDefault="0058720E" w:rsidP="00F51CEC">
      <w:pPr>
        <w:rPr>
          <w:rtl/>
          <w:lang w:bidi="ar-EG"/>
        </w:rPr>
      </w:pPr>
      <w:r>
        <w:rPr>
          <w:rFonts w:hint="cs"/>
        </w:rPr>
        <w:t>1</w:t>
      </w:r>
      <w:r>
        <w:rPr>
          <w:rFonts w:hint="cs"/>
        </w:rPr>
        <w:tab/>
      </w:r>
      <w:r>
        <w:rPr>
          <w:rFonts w:hint="cs"/>
          <w:rtl/>
          <w:lang w:bidi="ar-EG"/>
        </w:rPr>
        <w:t>بتنفيذ برنامج للاتحاد بشأن جودة الخدمة وجودة التجربة من أجل دعم تنفيذ الفقرة</w:t>
      </w:r>
      <w:r w:rsidR="00F51CEC">
        <w:rPr>
          <w:rFonts w:hint="eastAsia"/>
          <w:rtl/>
          <w:lang w:bidi="ar-EG"/>
        </w:rPr>
        <w:t> </w:t>
      </w:r>
      <w:r>
        <w:rPr>
          <w:lang w:bidi="ar-EG"/>
        </w:rPr>
        <w:t>4</w:t>
      </w:r>
      <w:r>
        <w:rPr>
          <w:rFonts w:hint="cs"/>
          <w:rtl/>
          <w:lang w:bidi="ar-EG"/>
        </w:rPr>
        <w:t xml:space="preserve"> من </w:t>
      </w:r>
      <w:r w:rsidRPr="00BA3357">
        <w:rPr>
          <w:rFonts w:hint="cs"/>
          <w:i/>
          <w:iCs/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أعلاه؛</w:t>
      </w:r>
    </w:p>
    <w:p w:rsidR="0058720E" w:rsidRPr="00FA77BD" w:rsidRDefault="0058720E" w:rsidP="00196F9B">
      <w:pPr>
        <w:rPr>
          <w:noProof/>
          <w:rtl/>
          <w:lang w:bidi="ar-EG"/>
        </w:rPr>
      </w:pPr>
      <w:r>
        <w:rPr>
          <w:spacing w:val="-2"/>
        </w:rPr>
        <w:t>2</w:t>
      </w:r>
      <w:r w:rsidRPr="00EF378E">
        <w:rPr>
          <w:spacing w:val="-2"/>
          <w:rtl/>
        </w:rPr>
        <w:tab/>
      </w:r>
      <w:r>
        <w:rPr>
          <w:rFonts w:hint="cs"/>
          <w:noProof/>
          <w:rtl/>
          <w:lang w:bidi="ar-EG"/>
        </w:rPr>
        <w:t>بم</w:t>
      </w:r>
      <w:r w:rsidRPr="00FD72B1">
        <w:rPr>
          <w:noProof/>
          <w:rtl/>
          <w:lang w:bidi="ar-EG"/>
        </w:rPr>
        <w:t>ساعدة البلدان النامية</w:t>
      </w:r>
      <w:r w:rsidRPr="00FD72B1">
        <w:rPr>
          <w:rFonts w:hint="cs"/>
          <w:noProof/>
          <w:rtl/>
          <w:lang w:bidi="ar-EG"/>
        </w:rPr>
        <w:t xml:space="preserve"> </w:t>
      </w:r>
      <w:r w:rsidRPr="00BA3357">
        <w:rPr>
          <w:rFonts w:hint="cs"/>
          <w:noProof/>
          <w:rtl/>
          <w:lang w:bidi="ar-EG"/>
        </w:rPr>
        <w:t>وأقل البلدان نمواً</w:t>
      </w:r>
      <w:r w:rsidRPr="00FD72B1">
        <w:rPr>
          <w:noProof/>
          <w:rtl/>
          <w:lang w:bidi="ar-EG"/>
        </w:rPr>
        <w:t xml:space="preserve"> </w:t>
      </w:r>
      <w:r w:rsidR="00752EE3">
        <w:rPr>
          <w:noProof/>
          <w:rtl/>
          <w:lang w:bidi="ar-EG"/>
        </w:rPr>
        <w:t>في </w:t>
      </w:r>
      <w:r w:rsidRPr="00FD72B1">
        <w:rPr>
          <w:noProof/>
          <w:rtl/>
          <w:lang w:bidi="ar-EG"/>
        </w:rPr>
        <w:t xml:space="preserve">تحديد فرص بناء القدرات البشرية والمؤسسية والتدريب </w:t>
      </w:r>
      <w:r w:rsidRPr="00FD72B1">
        <w:rPr>
          <w:rFonts w:hint="cs"/>
          <w:noProof/>
          <w:rtl/>
          <w:lang w:bidi="ar-EG"/>
        </w:rPr>
        <w:t>من أجل وضع إطار وطني لقياس الجودة</w:t>
      </w:r>
      <w:r w:rsidRPr="00FD72B1">
        <w:rPr>
          <w:noProof/>
          <w:rtl/>
          <w:lang w:bidi="ar-EG"/>
        </w:rPr>
        <w:t>؛</w:t>
      </w:r>
    </w:p>
    <w:p w:rsidR="0058720E" w:rsidRPr="00FA77BD" w:rsidRDefault="0058720E" w:rsidP="00196F9B">
      <w:pPr>
        <w:rPr>
          <w:noProof/>
          <w:rtl/>
          <w:lang w:bidi="ar-EG"/>
        </w:rPr>
      </w:pPr>
      <w:r>
        <w:rPr>
          <w:spacing w:val="-2"/>
        </w:rPr>
        <w:t>3</w:t>
      </w:r>
      <w:r w:rsidRPr="00EF378E">
        <w:rPr>
          <w:spacing w:val="-2"/>
          <w:rtl/>
        </w:rPr>
        <w:tab/>
      </w:r>
      <w:r>
        <w:rPr>
          <w:rFonts w:hint="cs"/>
          <w:rtl/>
          <w:lang w:bidi="ar-EG"/>
        </w:rPr>
        <w:t>ب</w:t>
      </w:r>
      <w:r>
        <w:rPr>
          <w:rFonts w:hint="cs"/>
          <w:noProof/>
          <w:rtl/>
          <w:lang w:bidi="ar-EG"/>
        </w:rPr>
        <w:t xml:space="preserve">إجراء </w:t>
      </w:r>
      <w:r w:rsidRPr="00FA77BD">
        <w:rPr>
          <w:noProof/>
          <w:rtl/>
          <w:lang w:bidi="ar-EG"/>
        </w:rPr>
        <w:t xml:space="preserve">أنشطة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كل منطقة لتحديد المشاكل التي تواجهها البلدان النامية</w:t>
      </w:r>
      <w:r>
        <w:rPr>
          <w:rFonts w:hint="cs"/>
          <w:noProof/>
          <w:rtl/>
          <w:lang w:bidi="ar-EG"/>
        </w:rPr>
        <w:t xml:space="preserve"> وأقل البلدان نمواً</w:t>
      </w:r>
      <w:r>
        <w:rPr>
          <w:noProof/>
          <w:rtl/>
          <w:lang w:bidi="ar-EG"/>
        </w:rPr>
        <w:t xml:space="preserve"> ووضع أولوياتها فيما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 xml:space="preserve">يتعلق </w:t>
      </w:r>
      <w:r>
        <w:rPr>
          <w:rFonts w:hint="cs"/>
          <w:noProof/>
          <w:rtl/>
          <w:lang w:bidi="ar-EG"/>
        </w:rPr>
        <w:t>بتوفير خدمات بجودة عالية للمستعملين النهائيين</w:t>
      </w:r>
      <w:r w:rsidRPr="00FA77BD">
        <w:rPr>
          <w:noProof/>
          <w:rtl/>
          <w:lang w:bidi="ar-EG"/>
        </w:rPr>
        <w:t>؛</w:t>
      </w:r>
    </w:p>
    <w:p w:rsidR="0058720E" w:rsidRDefault="0058720E" w:rsidP="00196F9B">
      <w:pPr>
        <w:rPr>
          <w:rtl/>
          <w:lang w:bidi="ar-EG"/>
        </w:rPr>
      </w:pPr>
      <w: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استناداً إلى نتائج الفقرة 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من </w:t>
      </w:r>
      <w:r w:rsidRPr="002F6647">
        <w:rPr>
          <w:rFonts w:hint="cs"/>
          <w:i/>
          <w:iCs/>
          <w:rtl/>
          <w:lang w:bidi="ar-EG"/>
        </w:rPr>
        <w:t>تكلف</w:t>
      </w:r>
      <w:r>
        <w:rPr>
          <w:rFonts w:hint="cs"/>
          <w:rtl/>
          <w:lang w:bidi="ar-EG"/>
        </w:rPr>
        <w:t xml:space="preserve"> أعلاه، بمساعدة البلدان النامية وأقل البلدان نمواً </w:t>
      </w:r>
      <w:r w:rsidR="00752EE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>تحديد إجراءات لتحسين جودة الخدمة وتنفيذها،</w:t>
      </w:r>
    </w:p>
    <w:p w:rsidR="0058720E" w:rsidRPr="007D6ABD" w:rsidRDefault="0058720E" w:rsidP="00F51CEC">
      <w:pPr>
        <w:pStyle w:val="Call"/>
      </w:pPr>
      <w:r>
        <w:rPr>
          <w:rFonts w:hint="cs"/>
          <w:rtl/>
        </w:rPr>
        <w:t>تكلّف لجنة الدراسات</w:t>
      </w:r>
      <w:r w:rsidR="00F51CEC">
        <w:rPr>
          <w:rFonts w:hint="eastAsia"/>
          <w:rtl/>
        </w:rPr>
        <w:t> </w:t>
      </w:r>
      <w:r>
        <w:t>12</w:t>
      </w:r>
    </w:p>
    <w:p w:rsidR="0058720E" w:rsidRDefault="0058720E" w:rsidP="00196F9B">
      <w:pPr>
        <w:rPr>
          <w:rtl/>
        </w:rPr>
      </w:pPr>
      <w:r>
        <w:rPr>
          <w:spacing w:val="-2"/>
        </w:rPr>
        <w:t>1</w:t>
      </w:r>
      <w:r w:rsidRPr="00EF378E">
        <w:rPr>
          <w:spacing w:val="-2"/>
          <w:rtl/>
        </w:rPr>
        <w:tab/>
      </w:r>
      <w:r>
        <w:rPr>
          <w:rFonts w:hint="cs"/>
          <w:rtl/>
          <w:lang w:bidi="ar-EG"/>
        </w:rPr>
        <w:t>بوضع توصيات توفر توجيهات لهيئات التنظيم بخصوص استراتيجيات مراقبة وإنفاذ جودة الخدمة وجودة التجربة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خدمات الاتصالات</w:t>
      </w:r>
      <w:r>
        <w:rPr>
          <w:rFonts w:hint="cs"/>
          <w:rtl/>
        </w:rPr>
        <w:t>؛</w:t>
      </w:r>
    </w:p>
    <w:p w:rsidR="0058720E" w:rsidRPr="00FA77BD" w:rsidRDefault="0058720E" w:rsidP="00F51CEC">
      <w:pPr>
        <w:rPr>
          <w:noProof/>
          <w:rtl/>
          <w:lang w:bidi="ar-EG"/>
        </w:rPr>
      </w:pPr>
      <w:r>
        <w:rPr>
          <w:spacing w:val="-2"/>
        </w:rPr>
        <w:t>2</w:t>
      </w:r>
      <w:r w:rsidRPr="00EF378E">
        <w:rPr>
          <w:spacing w:val="-2"/>
          <w:rtl/>
        </w:rPr>
        <w:tab/>
      </w:r>
      <w:r>
        <w:rPr>
          <w:rFonts w:hint="cs"/>
          <w:rtl/>
          <w:lang w:bidi="ar-EG"/>
        </w:rPr>
        <w:t>بدراسة سيناريوهات تطوير جودة الخدمة وجودة التجربة واستراتيجيات قياسهما وأدوات اختبارهما التي يتعين</w:t>
      </w:r>
      <w:r w:rsidR="00F51CE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على هيئات التنظيم والمشغلين اعتمادها</w:t>
      </w:r>
      <w:r w:rsidRPr="00FA77BD">
        <w:rPr>
          <w:noProof/>
          <w:rtl/>
          <w:lang w:bidi="ar-EG"/>
        </w:rPr>
        <w:t>؛</w:t>
      </w:r>
    </w:p>
    <w:p w:rsidR="0058720E" w:rsidRPr="00FA77BD" w:rsidRDefault="0058720E" w:rsidP="00196F9B">
      <w:pPr>
        <w:rPr>
          <w:noProof/>
          <w:rtl/>
          <w:lang w:bidi="ar-EG"/>
        </w:rPr>
      </w:pPr>
      <w:r>
        <w:rPr>
          <w:spacing w:val="-2"/>
        </w:rPr>
        <w:t>3</w:t>
      </w:r>
      <w:r w:rsidRPr="00EF378E">
        <w:rPr>
          <w:spacing w:val="-2"/>
          <w:rtl/>
        </w:rPr>
        <w:tab/>
      </w:r>
      <w:r w:rsidRPr="00813B60">
        <w:rPr>
          <w:rFonts w:hint="cs"/>
          <w:rtl/>
          <w:lang w:bidi="ar-EG"/>
        </w:rPr>
        <w:t>ب</w:t>
      </w:r>
      <w:r w:rsidR="00813B60">
        <w:rPr>
          <w:rFonts w:hint="cs"/>
          <w:rtl/>
          <w:lang w:bidi="ar-EG"/>
        </w:rPr>
        <w:t>توفير مراجع لهيئات التنظيم بشأن</w:t>
      </w:r>
      <w:r w:rsidRPr="00813B60">
        <w:rPr>
          <w:rFonts w:hint="cs"/>
          <w:rtl/>
          <w:lang w:bidi="ar-EG"/>
        </w:rPr>
        <w:t xml:space="preserve"> مؤشرات الأداء الرئيسية ومؤشرات الجودة الرئيسية </w:t>
      </w:r>
      <w:r w:rsidR="007C60B3">
        <w:rPr>
          <w:rFonts w:hint="cs"/>
          <w:rtl/>
          <w:lang w:bidi="ar-EG"/>
        </w:rPr>
        <w:t>التي توفر</w:t>
      </w:r>
      <w:r w:rsidRPr="00813B60">
        <w:rPr>
          <w:rFonts w:hint="cs"/>
          <w:rtl/>
          <w:lang w:bidi="ar-EG"/>
        </w:rPr>
        <w:t xml:space="preserve"> الحد الأدنى من الرضا لتقييم جودة خدمات الاتصالات، بما </w:t>
      </w:r>
      <w:r w:rsidR="00752EE3">
        <w:rPr>
          <w:rFonts w:hint="cs"/>
          <w:rtl/>
          <w:lang w:bidi="ar-EG"/>
        </w:rPr>
        <w:t>في </w:t>
      </w:r>
      <w:r w:rsidRPr="00813B60">
        <w:rPr>
          <w:rFonts w:hint="cs"/>
          <w:rtl/>
          <w:lang w:bidi="ar-EG"/>
        </w:rPr>
        <w:t>ذلك خدمات الإنترنت عريض النطاق</w:t>
      </w:r>
      <w:r w:rsidRPr="00813B60">
        <w:rPr>
          <w:noProof/>
          <w:rtl/>
          <w:lang w:bidi="ar-EG"/>
        </w:rPr>
        <w:t>؛</w:t>
      </w:r>
    </w:p>
    <w:p w:rsidR="0058720E" w:rsidRDefault="0058720E" w:rsidP="00196F9B">
      <w:pPr>
        <w:rPr>
          <w:rtl/>
        </w:rPr>
      </w:pPr>
      <w:r>
        <w:rPr>
          <w:spacing w:val="-2"/>
        </w:rPr>
        <w:t>4</w:t>
      </w:r>
      <w:r w:rsidRPr="00EF378E">
        <w:rPr>
          <w:spacing w:val="-2"/>
          <w:rtl/>
        </w:rPr>
        <w:tab/>
      </w:r>
      <w:r>
        <w:rPr>
          <w:rFonts w:hint="cs"/>
          <w:rtl/>
          <w:lang w:bidi="ar-EG"/>
        </w:rPr>
        <w:t>بت</w:t>
      </w:r>
      <w:r w:rsidRPr="00905C43">
        <w:rPr>
          <w:rFonts w:hint="cs"/>
          <w:rtl/>
          <w:lang w:bidi="ar-EG"/>
        </w:rPr>
        <w:t xml:space="preserve">نفيذ استراتيجيات لزيادة مشاركة البلدان النامية والمتقدمة من جميع المناطق </w:t>
      </w:r>
      <w:r w:rsidR="00752EE3">
        <w:rPr>
          <w:rFonts w:hint="cs"/>
          <w:rtl/>
          <w:lang w:bidi="ar-EG"/>
        </w:rPr>
        <w:t>في </w:t>
      </w:r>
      <w:r w:rsidRPr="00905C43">
        <w:rPr>
          <w:rFonts w:hint="cs"/>
          <w:rtl/>
          <w:lang w:bidi="ar-EG"/>
        </w:rPr>
        <w:t>المناقشة الدولية بشأن توفير جودة الخدمة</w:t>
      </w:r>
      <w:r>
        <w:rPr>
          <w:rFonts w:hint="cs"/>
          <w:rtl/>
          <w:lang w:bidi="ar-EG"/>
        </w:rPr>
        <w:t>،</w:t>
      </w:r>
      <w:r w:rsidRPr="00905C43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وإتاحة</w:t>
      </w:r>
      <w:r w:rsidRPr="00905C43">
        <w:rPr>
          <w:rFonts w:hint="cs"/>
          <w:rtl/>
          <w:lang w:bidi="ar-EG"/>
        </w:rPr>
        <w:t xml:space="preserve"> إجراء مقارنة للنتائج على الصعيدين الوطني والدولي</w:t>
      </w:r>
      <w:r>
        <w:rPr>
          <w:rFonts w:hint="cs"/>
          <w:rtl/>
          <w:lang w:bidi="ar-EG"/>
        </w:rPr>
        <w:t>،</w:t>
      </w:r>
    </w:p>
    <w:p w:rsidR="0058720E" w:rsidRPr="007D6ABD" w:rsidRDefault="0058720E" w:rsidP="0058720E">
      <w:pPr>
        <w:pStyle w:val="Call"/>
        <w:rPr>
          <w:rtl/>
        </w:rPr>
      </w:pPr>
      <w:r>
        <w:rPr>
          <w:rFonts w:hint="cs"/>
          <w:rtl/>
        </w:rPr>
        <w:t>تدعو جميع الأعضاء إلى</w:t>
      </w:r>
    </w:p>
    <w:p w:rsidR="0058720E" w:rsidRDefault="0058720E" w:rsidP="00196F9B">
      <w:pPr>
        <w:rPr>
          <w:rtl/>
        </w:rPr>
      </w:pPr>
      <w:r w:rsidRPr="005F1CC8">
        <w:rPr>
          <w:spacing w:val="-2"/>
        </w:rPr>
        <w:t>1</w:t>
      </w:r>
      <w:r w:rsidRPr="005F1CC8">
        <w:rPr>
          <w:spacing w:val="-2"/>
          <w:rtl/>
        </w:rPr>
        <w:tab/>
      </w:r>
      <w:r w:rsidRPr="005F1CC8">
        <w:rPr>
          <w:rFonts w:hint="cs"/>
          <w:rtl/>
          <w:lang w:bidi="ar-EG"/>
        </w:rPr>
        <w:t xml:space="preserve">التعاون مع </w:t>
      </w:r>
      <w:r w:rsidRPr="007C60B3">
        <w:rPr>
          <w:rFonts w:hint="cs"/>
          <w:rtl/>
          <w:lang w:bidi="ar-EG"/>
        </w:rPr>
        <w:t xml:space="preserve">قطاع تقييس الاتصالات </w:t>
      </w:r>
      <w:r w:rsidR="00752EE3">
        <w:rPr>
          <w:rFonts w:hint="cs"/>
          <w:rtl/>
          <w:lang w:bidi="ar-EG"/>
        </w:rPr>
        <w:t>في </w:t>
      </w:r>
      <w:r w:rsidRPr="005F1CC8">
        <w:rPr>
          <w:rFonts w:hint="cs"/>
          <w:rtl/>
          <w:lang w:bidi="ar-EG"/>
        </w:rPr>
        <w:t>تنفيذ هذا القرار</w:t>
      </w:r>
      <w:r w:rsidRPr="005F1CC8">
        <w:rPr>
          <w:rFonts w:hint="cs"/>
          <w:rtl/>
        </w:rPr>
        <w:t>؛</w:t>
      </w:r>
    </w:p>
    <w:p w:rsidR="0058720E" w:rsidRDefault="0058720E" w:rsidP="00F51CEC">
      <w:pPr>
        <w:rPr>
          <w:noProof/>
          <w:rtl/>
          <w:lang w:bidi="ar-EG"/>
        </w:rPr>
      </w:pPr>
      <w:r>
        <w:rPr>
          <w:spacing w:val="-2"/>
        </w:rPr>
        <w:t>2</w:t>
      </w:r>
      <w:r w:rsidRPr="00EF378E">
        <w:rPr>
          <w:spacing w:val="-2"/>
          <w:rtl/>
        </w:rPr>
        <w:tab/>
      </w:r>
      <w:r>
        <w:rPr>
          <w:rFonts w:hint="cs"/>
          <w:rtl/>
          <w:lang w:bidi="ar-EG"/>
        </w:rPr>
        <w:t xml:space="preserve">المشاركة </w:t>
      </w:r>
      <w:r w:rsidR="00752EE3">
        <w:rPr>
          <w:rFonts w:hint="cs"/>
          <w:rtl/>
          <w:lang w:bidi="ar-EG"/>
        </w:rPr>
        <w:t>في </w:t>
      </w:r>
      <w:r>
        <w:rPr>
          <w:rFonts w:hint="cs"/>
          <w:rtl/>
          <w:lang w:bidi="ar-EG"/>
        </w:rPr>
        <w:t>مبادرات فريق تطوير جودة الخدمة ولجنة الدراسات</w:t>
      </w:r>
      <w:r w:rsidR="00F51CEC">
        <w:rPr>
          <w:rFonts w:hint="eastAsia"/>
          <w:rtl/>
          <w:lang w:bidi="ar-EG"/>
        </w:rPr>
        <w:t> </w:t>
      </w:r>
      <w:r>
        <w:rPr>
          <w:lang w:bidi="ar-EG"/>
        </w:rPr>
        <w:t>12</w:t>
      </w:r>
      <w:r>
        <w:rPr>
          <w:rFonts w:hint="cs"/>
          <w:rtl/>
          <w:lang w:bidi="ar-EG"/>
        </w:rPr>
        <w:t xml:space="preserve"> من خلال تقديم المساهمات والخبرات والمعارف والتجارب العملية بشأن الإطار التنظيمي لجودة الخدمة والجوانب التشغيلية</w:t>
      </w:r>
      <w:r>
        <w:rPr>
          <w:rFonts w:hint="cs"/>
          <w:noProof/>
          <w:rtl/>
          <w:lang w:bidi="ar-EG"/>
        </w:rPr>
        <w:t>.</w:t>
      </w:r>
    </w:p>
    <w:p w:rsidR="0058720E" w:rsidRPr="005E1BD0" w:rsidRDefault="0058720E" w:rsidP="0058720E">
      <w:pPr>
        <w:pStyle w:val="Reasons"/>
        <w:rPr>
          <w:rFonts w:hint="cs"/>
          <w:rtl/>
          <w:lang w:bidi="ar-EG"/>
        </w:rPr>
      </w:pPr>
      <w:bookmarkStart w:id="21" w:name="_GoBack"/>
      <w:bookmarkEnd w:id="21"/>
    </w:p>
    <w:p w:rsidR="0058720E" w:rsidRDefault="00F51CEC" w:rsidP="00F7105C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58720E" w:rsidSect="00E07379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9A3D80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9A3D8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E1487B">
      <w:rPr>
        <w:rFonts w:cs="Times New Roman"/>
        <w:noProof/>
        <w:sz w:val="16"/>
        <w:szCs w:val="16"/>
        <w:lang w:val="fr-CH"/>
      </w:rPr>
      <w:t>P:\ARA\ITU-T\CONF-T\WTSA16\000\042ADD17A.docx</w:t>
    </w:r>
    <w:r w:rsidRPr="00E07379">
      <w:rPr>
        <w:rFonts w:cs="Times New Roman"/>
        <w:sz w:val="16"/>
        <w:szCs w:val="16"/>
      </w:rPr>
      <w:fldChar w:fldCharType="end"/>
    </w:r>
    <w:r w:rsidR="009A3D80" w:rsidRPr="009A3D80">
      <w:rPr>
        <w:rFonts w:cs="Times New Roman"/>
        <w:sz w:val="16"/>
        <w:szCs w:val="16"/>
        <w:lang w:val="fr-CH"/>
      </w:rPr>
      <w:t xml:space="preserve">   (</w:t>
    </w:r>
    <w:r w:rsidR="009A3D80">
      <w:rPr>
        <w:rFonts w:cs="Times New Roman"/>
        <w:sz w:val="16"/>
        <w:szCs w:val="16"/>
        <w:lang w:val="fr-CH"/>
      </w:rPr>
      <w:t>406506</w:t>
    </w:r>
    <w:r w:rsidR="009A3D80" w:rsidRPr="009A3D80">
      <w:rPr>
        <w:rFonts w:cs="Times New Roman"/>
        <w:sz w:val="16"/>
        <w:szCs w:val="16"/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9B" w:rsidRPr="009A3D80" w:rsidRDefault="00196F9B" w:rsidP="00196F9B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9A3D80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E1487B">
      <w:rPr>
        <w:rFonts w:cs="Times New Roman"/>
        <w:noProof/>
        <w:sz w:val="16"/>
        <w:szCs w:val="16"/>
        <w:lang w:val="fr-CH"/>
      </w:rPr>
      <w:t>P:\ARA\ITU-T\CONF-T\WTSA16\000\042ADD17A.docx</w:t>
    </w:r>
    <w:r w:rsidRPr="00E07379">
      <w:rPr>
        <w:rFonts w:cs="Times New Roman"/>
        <w:sz w:val="16"/>
        <w:szCs w:val="16"/>
      </w:rPr>
      <w:fldChar w:fldCharType="end"/>
    </w:r>
    <w:r w:rsidRPr="009A3D80">
      <w:rPr>
        <w:rFonts w:cs="Times New Roman"/>
        <w:sz w:val="16"/>
        <w:szCs w:val="16"/>
        <w:lang w:val="fr-CH"/>
      </w:rPr>
      <w:t xml:space="preserve">   (</w:t>
    </w:r>
    <w:r>
      <w:rPr>
        <w:rFonts w:cs="Times New Roman"/>
        <w:sz w:val="16"/>
        <w:szCs w:val="16"/>
        <w:lang w:val="fr-CH"/>
      </w:rPr>
      <w:t>406506</w:t>
    </w:r>
    <w:r w:rsidRPr="009A3D80">
      <w:rPr>
        <w:rFonts w:cs="Times New Roman"/>
        <w:sz w:val="16"/>
        <w:szCs w:val="16"/>
        <w:lang w:val="fr-CH"/>
      </w:rPr>
      <w:t>)</w:t>
    </w:r>
  </w:p>
  <w:p w:rsidR="00E07379" w:rsidRPr="00196F9B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F7105C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WTSA16/42(Add.17)-A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4085A"/>
    <w:rsid w:val="00046444"/>
    <w:rsid w:val="00057034"/>
    <w:rsid w:val="0006023B"/>
    <w:rsid w:val="0008638B"/>
    <w:rsid w:val="00090574"/>
    <w:rsid w:val="00092FC2"/>
    <w:rsid w:val="000A1677"/>
    <w:rsid w:val="000B407F"/>
    <w:rsid w:val="000F0B1C"/>
    <w:rsid w:val="000F1D42"/>
    <w:rsid w:val="000F4D07"/>
    <w:rsid w:val="00102A03"/>
    <w:rsid w:val="001040A3"/>
    <w:rsid w:val="001458BB"/>
    <w:rsid w:val="00146EF6"/>
    <w:rsid w:val="00173915"/>
    <w:rsid w:val="00196F9B"/>
    <w:rsid w:val="0022345D"/>
    <w:rsid w:val="00225854"/>
    <w:rsid w:val="0023283D"/>
    <w:rsid w:val="00252E0C"/>
    <w:rsid w:val="00255AA0"/>
    <w:rsid w:val="00276881"/>
    <w:rsid w:val="002978F4"/>
    <w:rsid w:val="002B028D"/>
    <w:rsid w:val="002B3F8A"/>
    <w:rsid w:val="002B435E"/>
    <w:rsid w:val="002C4DAE"/>
    <w:rsid w:val="002D67F9"/>
    <w:rsid w:val="002E6541"/>
    <w:rsid w:val="002F5560"/>
    <w:rsid w:val="00303CAA"/>
    <w:rsid w:val="0030486B"/>
    <w:rsid w:val="00313B67"/>
    <w:rsid w:val="003231B9"/>
    <w:rsid w:val="003275AC"/>
    <w:rsid w:val="00333D29"/>
    <w:rsid w:val="003409F4"/>
    <w:rsid w:val="00357185"/>
    <w:rsid w:val="00380A87"/>
    <w:rsid w:val="00386142"/>
    <w:rsid w:val="003C475F"/>
    <w:rsid w:val="003D48B8"/>
    <w:rsid w:val="003D7A52"/>
    <w:rsid w:val="003E4132"/>
    <w:rsid w:val="003E69F9"/>
    <w:rsid w:val="003F678F"/>
    <w:rsid w:val="00400A0B"/>
    <w:rsid w:val="0042686F"/>
    <w:rsid w:val="004367CE"/>
    <w:rsid w:val="00443869"/>
    <w:rsid w:val="00454559"/>
    <w:rsid w:val="004712C6"/>
    <w:rsid w:val="00497703"/>
    <w:rsid w:val="004F0F06"/>
    <w:rsid w:val="00501E0E"/>
    <w:rsid w:val="005169C9"/>
    <w:rsid w:val="005204D7"/>
    <w:rsid w:val="005302E8"/>
    <w:rsid w:val="00533135"/>
    <w:rsid w:val="00552BC5"/>
    <w:rsid w:val="0055516A"/>
    <w:rsid w:val="0056374C"/>
    <w:rsid w:val="0056614F"/>
    <w:rsid w:val="0057656F"/>
    <w:rsid w:val="00576731"/>
    <w:rsid w:val="0058720E"/>
    <w:rsid w:val="0059285F"/>
    <w:rsid w:val="005A24B1"/>
    <w:rsid w:val="005B7B8A"/>
    <w:rsid w:val="005D6476"/>
    <w:rsid w:val="005D6C0D"/>
    <w:rsid w:val="005E5283"/>
    <w:rsid w:val="005E58F5"/>
    <w:rsid w:val="005F1CC8"/>
    <w:rsid w:val="00606660"/>
    <w:rsid w:val="006157A3"/>
    <w:rsid w:val="00620E60"/>
    <w:rsid w:val="0063315A"/>
    <w:rsid w:val="00654E71"/>
    <w:rsid w:val="0065591D"/>
    <w:rsid w:val="00662C5A"/>
    <w:rsid w:val="00670AF5"/>
    <w:rsid w:val="006C1556"/>
    <w:rsid w:val="006C6158"/>
    <w:rsid w:val="006F267F"/>
    <w:rsid w:val="006F63F7"/>
    <w:rsid w:val="006F6F03"/>
    <w:rsid w:val="00706D7A"/>
    <w:rsid w:val="00726AEC"/>
    <w:rsid w:val="00752EE3"/>
    <w:rsid w:val="007530CA"/>
    <w:rsid w:val="00791398"/>
    <w:rsid w:val="0079553D"/>
    <w:rsid w:val="007B01CC"/>
    <w:rsid w:val="007C60B3"/>
    <w:rsid w:val="007F646C"/>
    <w:rsid w:val="00801FCD"/>
    <w:rsid w:val="00803D7E"/>
    <w:rsid w:val="00803F08"/>
    <w:rsid w:val="00813B60"/>
    <w:rsid w:val="008235CD"/>
    <w:rsid w:val="00823A07"/>
    <w:rsid w:val="00835FEC"/>
    <w:rsid w:val="008513CB"/>
    <w:rsid w:val="00851659"/>
    <w:rsid w:val="00874D9C"/>
    <w:rsid w:val="008A1810"/>
    <w:rsid w:val="008E5DC6"/>
    <w:rsid w:val="00906D6D"/>
    <w:rsid w:val="00917694"/>
    <w:rsid w:val="009263CD"/>
    <w:rsid w:val="00930E6D"/>
    <w:rsid w:val="009437E9"/>
    <w:rsid w:val="00972CA2"/>
    <w:rsid w:val="00982B28"/>
    <w:rsid w:val="00984EA5"/>
    <w:rsid w:val="00992593"/>
    <w:rsid w:val="009A1018"/>
    <w:rsid w:val="009A3D80"/>
    <w:rsid w:val="009C17E1"/>
    <w:rsid w:val="009C35ED"/>
    <w:rsid w:val="009E307B"/>
    <w:rsid w:val="009E4144"/>
    <w:rsid w:val="009F1C12"/>
    <w:rsid w:val="00A25A43"/>
    <w:rsid w:val="00A3295B"/>
    <w:rsid w:val="00A37058"/>
    <w:rsid w:val="00A42AE5"/>
    <w:rsid w:val="00A52B61"/>
    <w:rsid w:val="00A60ABC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34707"/>
    <w:rsid w:val="00B66B9A"/>
    <w:rsid w:val="00B7005C"/>
    <w:rsid w:val="00B73BEF"/>
    <w:rsid w:val="00B82089"/>
    <w:rsid w:val="00B970AE"/>
    <w:rsid w:val="00BA1427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00F"/>
    <w:rsid w:val="00CA2A38"/>
    <w:rsid w:val="00CA50FF"/>
    <w:rsid w:val="00CC3CD2"/>
    <w:rsid w:val="00CC43BE"/>
    <w:rsid w:val="00CD123C"/>
    <w:rsid w:val="00CD2085"/>
    <w:rsid w:val="00CE2EE1"/>
    <w:rsid w:val="00CF0A9D"/>
    <w:rsid w:val="00CF3FFD"/>
    <w:rsid w:val="00D0494C"/>
    <w:rsid w:val="00D14BEB"/>
    <w:rsid w:val="00D21C89"/>
    <w:rsid w:val="00D31F7A"/>
    <w:rsid w:val="00D45542"/>
    <w:rsid w:val="00D539B9"/>
    <w:rsid w:val="00D77D0F"/>
    <w:rsid w:val="00DA1CF0"/>
    <w:rsid w:val="00DB2271"/>
    <w:rsid w:val="00DB5659"/>
    <w:rsid w:val="00DC24B4"/>
    <w:rsid w:val="00DD7A05"/>
    <w:rsid w:val="00DE3CAC"/>
    <w:rsid w:val="00DF16DC"/>
    <w:rsid w:val="00DF5361"/>
    <w:rsid w:val="00E009A1"/>
    <w:rsid w:val="00E00D15"/>
    <w:rsid w:val="00E071BE"/>
    <w:rsid w:val="00E07379"/>
    <w:rsid w:val="00E14494"/>
    <w:rsid w:val="00E1487B"/>
    <w:rsid w:val="00E17033"/>
    <w:rsid w:val="00E32189"/>
    <w:rsid w:val="00E45211"/>
    <w:rsid w:val="00E7380C"/>
    <w:rsid w:val="00E74BE7"/>
    <w:rsid w:val="00E86CC9"/>
    <w:rsid w:val="00E96624"/>
    <w:rsid w:val="00EB3A4E"/>
    <w:rsid w:val="00F126F1"/>
    <w:rsid w:val="00F2106A"/>
    <w:rsid w:val="00F36D8B"/>
    <w:rsid w:val="00F401D0"/>
    <w:rsid w:val="00F45F2B"/>
    <w:rsid w:val="00F51CEC"/>
    <w:rsid w:val="00F57AE4"/>
    <w:rsid w:val="00F57F22"/>
    <w:rsid w:val="00F67150"/>
    <w:rsid w:val="00F7105C"/>
    <w:rsid w:val="00F84366"/>
    <w:rsid w:val="00F85089"/>
    <w:rsid w:val="00F85564"/>
    <w:rsid w:val="00F86CFA"/>
    <w:rsid w:val="00FD4698"/>
    <w:rsid w:val="00FD58BD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6CC73F53E643B5956215EB24B5E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4087-EB70-408D-8E22-C7803FC4DF36}"/>
      </w:docPartPr>
      <w:docPartBody>
        <w:p w:rsidR="00EC2D0A" w:rsidRDefault="00607E6F" w:rsidP="00607E6F">
          <w:pPr>
            <w:pStyle w:val="456CC73F53E643B5956215EB24B5ECFA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E6F"/>
    <w:rsid w:val="003A0EA4"/>
    <w:rsid w:val="00571E4A"/>
    <w:rsid w:val="00607E6F"/>
    <w:rsid w:val="007C4934"/>
    <w:rsid w:val="00820FC4"/>
    <w:rsid w:val="00A45CF0"/>
    <w:rsid w:val="00B93E8B"/>
    <w:rsid w:val="00C86757"/>
    <w:rsid w:val="00D21850"/>
    <w:rsid w:val="00D94A21"/>
    <w:rsid w:val="00DB71BC"/>
    <w:rsid w:val="00E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E6F"/>
    <w:rPr>
      <w:color w:val="808080"/>
    </w:rPr>
  </w:style>
  <w:style w:type="paragraph" w:customStyle="1" w:styleId="456CC73F53E643B5956215EB24B5ECFA">
    <w:name w:val="456CC73F53E643B5956215EB24B5ECFA"/>
    <w:rsid w:val="00607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c341181-b165-4097-ba9c-1f3c1478447a" targetNamespace="http://schemas.microsoft.com/office/2006/metadata/properties" ma:root="true" ma:fieldsID="d41af5c836d734370eb92e7ee5f83852" ns2:_="" ns3:_="">
    <xsd:import namespace="996b2e75-67fd-4955-a3b0-5ab9934cb50b"/>
    <xsd:import namespace="ec341181-b165-4097-ba9c-1f3c1478447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1181-b165-4097-ba9c-1f3c1478447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c341181-b165-4097-ba9c-1f3c1478447a">Documents Proposals Manager (DPM)</DPM_x0020_Author>
    <DPM_x0020_File_x0020_name xmlns="ec341181-b165-4097-ba9c-1f3c1478447a">T13-WTSA.16-C-0042!A17!MSW-A</DPM_x0020_File_x0020_name>
    <DPM_x0020_Version xmlns="ec341181-b165-4097-ba9c-1f3c1478447a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c341181-b165-4097-ba9c-1f3c14784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ec341181-b165-4097-ba9c-1f3c1478447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5567851F-AE7E-4749-8832-CD60E16B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T13-WTSA.16-C-0042!A17!MSW-A</vt:lpstr>
    </vt:vector>
  </TitlesOfParts>
  <Company>International Telecommunication Union (ITU)</Company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T13-WTSA.16-C-0042!A17!MSW-A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Awad, Samy</cp:lastModifiedBy>
  <cp:revision>15</cp:revision>
  <cp:lastPrinted>2016-10-17T08:45:00Z</cp:lastPrinted>
  <dcterms:created xsi:type="dcterms:W3CDTF">2016-10-17T08:23:00Z</dcterms:created>
  <dcterms:modified xsi:type="dcterms:W3CDTF">2016-10-17T10:22:00Z</dcterms:modified>
  <cp:category>Conference document</cp:category>
</cp:coreProperties>
</file>