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Tr="00530525">
        <w:trPr>
          <w:cantSplit/>
        </w:trPr>
        <w:tc>
          <w:tcPr>
            <w:tcW w:w="1382" w:type="dxa"/>
            <w:vAlign w:val="center"/>
          </w:tcPr>
          <w:p w:rsidR="00CF1E9D" w:rsidRPr="00566A5B" w:rsidRDefault="00CF1E9D" w:rsidP="00985BF8">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9F63E2" w:rsidRDefault="001D581B" w:rsidP="00985BF8">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985BF8">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3"/>
            <w:tcBorders>
              <w:bottom w:val="single" w:sz="12" w:space="0" w:color="auto"/>
            </w:tcBorders>
          </w:tcPr>
          <w:p w:rsidR="00595780" w:rsidRDefault="00595780" w:rsidP="00985BF8">
            <w:pPr>
              <w:spacing w:before="0"/>
            </w:pPr>
          </w:p>
        </w:tc>
        <w:tc>
          <w:tcPr>
            <w:tcW w:w="3007" w:type="dxa"/>
            <w:gridSpan w:val="2"/>
            <w:tcBorders>
              <w:bottom w:val="single" w:sz="12" w:space="0" w:color="auto"/>
            </w:tcBorders>
          </w:tcPr>
          <w:p w:rsidR="00595780" w:rsidRDefault="00595780" w:rsidP="00985BF8">
            <w:pPr>
              <w:spacing w:before="0"/>
            </w:pPr>
          </w:p>
        </w:tc>
      </w:tr>
      <w:tr w:rsidR="001D581B" w:rsidTr="00530525">
        <w:trPr>
          <w:cantSplit/>
        </w:trPr>
        <w:tc>
          <w:tcPr>
            <w:tcW w:w="6804" w:type="dxa"/>
            <w:gridSpan w:val="3"/>
            <w:tcBorders>
              <w:top w:val="single" w:sz="12" w:space="0" w:color="auto"/>
            </w:tcBorders>
          </w:tcPr>
          <w:p w:rsidR="00595780" w:rsidRDefault="00595780" w:rsidP="00985BF8">
            <w:pPr>
              <w:spacing w:before="0"/>
            </w:pPr>
          </w:p>
        </w:tc>
        <w:tc>
          <w:tcPr>
            <w:tcW w:w="3007" w:type="dxa"/>
            <w:gridSpan w:val="2"/>
          </w:tcPr>
          <w:p w:rsidR="00595780" w:rsidRPr="002074EC" w:rsidRDefault="00595780" w:rsidP="00985BF8">
            <w:pPr>
              <w:spacing w:before="0"/>
              <w:rPr>
                <w:rFonts w:ascii="Verdana" w:hAnsi="Verdana"/>
                <w:b/>
                <w:bCs/>
                <w:sz w:val="20"/>
              </w:rPr>
            </w:pPr>
          </w:p>
        </w:tc>
      </w:tr>
      <w:tr w:rsidR="00C26BA2" w:rsidTr="00530525">
        <w:trPr>
          <w:cantSplit/>
        </w:trPr>
        <w:tc>
          <w:tcPr>
            <w:tcW w:w="6804" w:type="dxa"/>
            <w:gridSpan w:val="3"/>
          </w:tcPr>
          <w:p w:rsidR="00C26BA2" w:rsidRDefault="00C26BA2" w:rsidP="00985BF8">
            <w:pPr>
              <w:spacing w:before="0"/>
            </w:pPr>
            <w:r w:rsidRPr="00930FFD">
              <w:rPr>
                <w:rFonts w:ascii="Verdana" w:hAnsi="Verdana"/>
                <w:b/>
                <w:sz w:val="20"/>
                <w:lang w:val="en-US"/>
              </w:rPr>
              <w:t>SÉANCE PLÉNIÈRE</w:t>
            </w:r>
          </w:p>
        </w:tc>
        <w:tc>
          <w:tcPr>
            <w:tcW w:w="3007" w:type="dxa"/>
            <w:gridSpan w:val="2"/>
          </w:tcPr>
          <w:p w:rsidR="00C26BA2" w:rsidRPr="002A6F8F" w:rsidRDefault="00C26BA2" w:rsidP="00985BF8">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42</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3"/>
          </w:tcPr>
          <w:p w:rsidR="00595780" w:rsidRDefault="00595780" w:rsidP="00985BF8">
            <w:pPr>
              <w:spacing w:before="0"/>
            </w:pPr>
          </w:p>
        </w:tc>
        <w:tc>
          <w:tcPr>
            <w:tcW w:w="3007" w:type="dxa"/>
            <w:gridSpan w:val="2"/>
          </w:tcPr>
          <w:p w:rsidR="00595780" w:rsidRDefault="00C26BA2" w:rsidP="00985BF8">
            <w:pPr>
              <w:spacing w:before="0"/>
            </w:pPr>
            <w:r w:rsidRPr="002A6F8F">
              <w:rPr>
                <w:rFonts w:ascii="Verdana" w:hAnsi="Verdana"/>
                <w:b/>
                <w:sz w:val="20"/>
                <w:lang w:val="en-US"/>
              </w:rPr>
              <w:t xml:space="preserve">10 </w:t>
            </w:r>
            <w:r w:rsidRPr="00985BF8">
              <w:rPr>
                <w:rFonts w:ascii="Verdana" w:hAnsi="Verdana"/>
                <w:b/>
                <w:sz w:val="20"/>
                <w:lang w:val="fr-CH"/>
              </w:rPr>
              <w:t>octobre</w:t>
            </w:r>
            <w:r w:rsidRPr="002A6F8F">
              <w:rPr>
                <w:rFonts w:ascii="Verdana" w:hAnsi="Verdana"/>
                <w:b/>
                <w:sz w:val="20"/>
                <w:lang w:val="en-US"/>
              </w:rPr>
              <w:t xml:space="preserve"> 2016</w:t>
            </w:r>
          </w:p>
        </w:tc>
      </w:tr>
      <w:tr w:rsidR="001D581B" w:rsidTr="00530525">
        <w:trPr>
          <w:cantSplit/>
        </w:trPr>
        <w:tc>
          <w:tcPr>
            <w:tcW w:w="6804" w:type="dxa"/>
            <w:gridSpan w:val="3"/>
          </w:tcPr>
          <w:p w:rsidR="00595780" w:rsidRDefault="00595780" w:rsidP="00985BF8">
            <w:pPr>
              <w:spacing w:before="0"/>
            </w:pPr>
          </w:p>
        </w:tc>
        <w:tc>
          <w:tcPr>
            <w:tcW w:w="3007" w:type="dxa"/>
            <w:gridSpan w:val="2"/>
          </w:tcPr>
          <w:p w:rsidR="00595780" w:rsidRDefault="00C26BA2" w:rsidP="00985BF8">
            <w:pPr>
              <w:spacing w:before="0"/>
            </w:pPr>
            <w:r w:rsidRPr="002A6F8F">
              <w:rPr>
                <w:rFonts w:ascii="Verdana" w:hAnsi="Verdana"/>
                <w:b/>
                <w:sz w:val="20"/>
                <w:lang w:val="en-US"/>
              </w:rPr>
              <w:t>Original: anglais</w:t>
            </w:r>
          </w:p>
        </w:tc>
      </w:tr>
      <w:tr w:rsidR="000032AD" w:rsidTr="00530525">
        <w:trPr>
          <w:cantSplit/>
        </w:trPr>
        <w:tc>
          <w:tcPr>
            <w:tcW w:w="9811" w:type="dxa"/>
            <w:gridSpan w:val="5"/>
          </w:tcPr>
          <w:p w:rsidR="000032AD" w:rsidRPr="002074EC" w:rsidRDefault="000032AD" w:rsidP="00985BF8">
            <w:pPr>
              <w:spacing w:before="0"/>
              <w:rPr>
                <w:rFonts w:ascii="Verdana" w:hAnsi="Verdana"/>
                <w:b/>
                <w:bCs/>
                <w:sz w:val="20"/>
              </w:rPr>
            </w:pPr>
          </w:p>
        </w:tc>
      </w:tr>
      <w:tr w:rsidR="00595780" w:rsidRPr="00E63611" w:rsidTr="00530525">
        <w:trPr>
          <w:cantSplit/>
        </w:trPr>
        <w:tc>
          <w:tcPr>
            <w:tcW w:w="9811" w:type="dxa"/>
            <w:gridSpan w:val="5"/>
          </w:tcPr>
          <w:p w:rsidR="00595780" w:rsidRPr="00464A96" w:rsidRDefault="00C26BA2" w:rsidP="00985BF8">
            <w:pPr>
              <w:pStyle w:val="Source"/>
              <w:rPr>
                <w:lang w:val="fr-FR"/>
              </w:rPr>
            </w:pPr>
            <w:r w:rsidRPr="00464A96">
              <w:rPr>
                <w:lang w:val="fr-FR"/>
              </w:rPr>
              <w:t>Administrations des pays membres de l'Union africaine des télécommunications</w:t>
            </w:r>
          </w:p>
        </w:tc>
      </w:tr>
      <w:tr w:rsidR="00595780" w:rsidRPr="00E63611" w:rsidTr="00530525">
        <w:trPr>
          <w:cantSplit/>
        </w:trPr>
        <w:tc>
          <w:tcPr>
            <w:tcW w:w="9811" w:type="dxa"/>
            <w:gridSpan w:val="5"/>
          </w:tcPr>
          <w:p w:rsidR="00595780" w:rsidRPr="00F50A21" w:rsidRDefault="00F50A21" w:rsidP="00985BF8">
            <w:pPr>
              <w:pStyle w:val="Title1"/>
              <w:rPr>
                <w:lang w:val="fr-CH"/>
              </w:rPr>
            </w:pPr>
            <w:r w:rsidRPr="00F50A21">
              <w:rPr>
                <w:lang w:val="fr-CH"/>
              </w:rPr>
              <w:t>PROJET de nouvelle</w:t>
            </w:r>
            <w:r w:rsidR="00943CB9">
              <w:rPr>
                <w:lang w:val="fr-CH"/>
              </w:rPr>
              <w:t xml:space="preserve"> </w:t>
            </w:r>
            <w:r w:rsidRPr="00F50A21">
              <w:rPr>
                <w:lang w:val="fr-CH"/>
              </w:rPr>
              <w:t>r</w:t>
            </w:r>
            <w:r w:rsidR="00943CB9">
              <w:rPr>
                <w:lang w:val="fr-CH"/>
              </w:rPr>
              <w:t>é</w:t>
            </w:r>
            <w:r w:rsidRPr="00F50A21">
              <w:rPr>
                <w:lang w:val="fr-CH"/>
              </w:rPr>
              <w:t>solution</w:t>
            </w:r>
            <w:r w:rsidR="00C26BA2" w:rsidRPr="00F50A21">
              <w:rPr>
                <w:lang w:val="fr-CH"/>
              </w:rPr>
              <w:t xml:space="preserve"> [AFCP-2] </w:t>
            </w:r>
            <w:r w:rsidRPr="00F50A21">
              <w:rPr>
                <w:lang w:val="fr-CH"/>
              </w:rPr>
              <w:t>–</w:t>
            </w:r>
            <w:r w:rsidR="00C26BA2" w:rsidRPr="00F50A21">
              <w:rPr>
                <w:lang w:val="fr-CH"/>
              </w:rPr>
              <w:t xml:space="preserve"> U</w:t>
            </w:r>
            <w:r w:rsidR="00943CB9">
              <w:rPr>
                <w:lang w:val="fr-CH"/>
              </w:rPr>
              <w:t xml:space="preserve">tiliser les tic </w:t>
            </w:r>
            <w:r w:rsidR="00E63611">
              <w:rPr>
                <w:lang w:val="fr-CH"/>
              </w:rPr>
              <w:br/>
            </w:r>
            <w:r w:rsidR="00943CB9">
              <w:rPr>
                <w:lang w:val="fr-CH"/>
              </w:rPr>
              <w:t>pour réduire l'é</w:t>
            </w:r>
            <w:r w:rsidRPr="00F50A21">
              <w:rPr>
                <w:lang w:val="fr-CH"/>
              </w:rPr>
              <w:t>c</w:t>
            </w:r>
            <w:r w:rsidR="00943CB9">
              <w:rPr>
                <w:lang w:val="fr-CH"/>
              </w:rPr>
              <w:t>art en matiè</w:t>
            </w:r>
            <w:r>
              <w:rPr>
                <w:lang w:val="fr-CH"/>
              </w:rPr>
              <w:t>re d'inclusion financière</w:t>
            </w:r>
          </w:p>
        </w:tc>
      </w:tr>
      <w:tr w:rsidR="00595780" w:rsidRPr="00E63611" w:rsidTr="00530525">
        <w:trPr>
          <w:cantSplit/>
        </w:trPr>
        <w:tc>
          <w:tcPr>
            <w:tcW w:w="9811" w:type="dxa"/>
            <w:gridSpan w:val="5"/>
          </w:tcPr>
          <w:p w:rsidR="00595780" w:rsidRPr="00F50A21" w:rsidRDefault="00595780" w:rsidP="00985BF8">
            <w:pPr>
              <w:pStyle w:val="Title2"/>
              <w:rPr>
                <w:lang w:val="fr-CH"/>
              </w:rPr>
            </w:pPr>
          </w:p>
        </w:tc>
      </w:tr>
      <w:tr w:rsidR="00E11197" w:rsidRPr="00E63611" w:rsidTr="00464A96">
        <w:trPr>
          <w:cantSplit/>
        </w:trPr>
        <w:tc>
          <w:tcPr>
            <w:tcW w:w="1912" w:type="dxa"/>
            <w:gridSpan w:val="2"/>
          </w:tcPr>
          <w:p w:rsidR="00E11197" w:rsidRPr="00426748" w:rsidRDefault="00E11197" w:rsidP="00985BF8">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C309CB" w:rsidRDefault="00F50A21" w:rsidP="00E63611">
                <w:pPr>
                  <w:rPr>
                    <w:color w:val="000000" w:themeColor="text1"/>
                    <w:lang w:val="fr-CH"/>
                  </w:rPr>
                </w:pPr>
                <w:r w:rsidRPr="00C309CB">
                  <w:rPr>
                    <w:lang w:val="fr-CH"/>
                  </w:rPr>
                  <w:t xml:space="preserve">Conscients du fait que l'inclusion financière joue un rôle </w:t>
                </w:r>
                <w:r w:rsidR="00943CB9">
                  <w:rPr>
                    <w:lang w:val="fr-CH"/>
                  </w:rPr>
                  <w:t xml:space="preserve">déterminant </w:t>
                </w:r>
                <w:r w:rsidRPr="00C309CB">
                  <w:rPr>
                    <w:lang w:val="fr-CH"/>
                  </w:rPr>
                  <w:t xml:space="preserve">pour faire reculer la pauvreté et stimuler la prospérité et que l'accès aux ressources financières est un </w:t>
                </w:r>
                <w:r w:rsidR="00943CB9">
                  <w:rPr>
                    <w:lang w:val="fr-CH"/>
                  </w:rPr>
                  <w:t xml:space="preserve">problème d'envergure mondiale </w:t>
                </w:r>
                <w:r w:rsidRPr="00C309CB">
                  <w:rPr>
                    <w:lang w:val="fr-CH"/>
                  </w:rPr>
                  <w:t>qu</w:t>
                </w:r>
                <w:r w:rsidR="00943CB9">
                  <w:rPr>
                    <w:lang w:val="fr-CH"/>
                  </w:rPr>
                  <w:t>i nécessite la collaboration de tous les</w:t>
                </w:r>
                <w:r w:rsidRPr="00C309CB">
                  <w:rPr>
                    <w:lang w:val="fr-CH"/>
                  </w:rPr>
                  <w:t xml:space="preserve"> pays</w:t>
                </w:r>
                <w:r w:rsidR="00943CB9">
                  <w:rPr>
                    <w:lang w:val="fr-CH"/>
                  </w:rPr>
                  <w:t>, les E</w:t>
                </w:r>
                <w:r w:rsidRPr="00C309CB">
                  <w:rPr>
                    <w:lang w:val="fr-CH"/>
                  </w:rPr>
                  <w:t>tats africains, dans la prés</w:t>
                </w:r>
                <w:r w:rsidR="00943CB9">
                  <w:rPr>
                    <w:lang w:val="fr-CH"/>
                  </w:rPr>
                  <w:t xml:space="preserve">ente Résolution, encouragent </w:t>
                </w:r>
                <w:r w:rsidRPr="00C309CB">
                  <w:rPr>
                    <w:lang w:val="fr-CH"/>
                  </w:rPr>
                  <w:t xml:space="preserve">l'adoption de Recommandations </w:t>
                </w:r>
                <w:r w:rsidR="00C309CB" w:rsidRPr="00C309CB">
                  <w:rPr>
                    <w:lang w:val="fr-CH"/>
                  </w:rPr>
                  <w:t>visant à renforcer l'utilisa</w:t>
                </w:r>
                <w:r w:rsidR="00943CB9">
                  <w:rPr>
                    <w:lang w:val="fr-CH"/>
                  </w:rPr>
                  <w:t>tion des TIC en tant que moyen pour améliorer l'inclusion financière et</w:t>
                </w:r>
                <w:r w:rsidR="00C309CB" w:rsidRPr="00C309CB">
                  <w:rPr>
                    <w:lang w:val="fr-CH"/>
                  </w:rPr>
                  <w:t xml:space="preserve"> numériser les paiements des administrations publiqu</w:t>
                </w:r>
                <w:r w:rsidR="00943CB9">
                  <w:rPr>
                    <w:lang w:val="fr-CH"/>
                  </w:rPr>
                  <w:t>es et à améliorer la</w:t>
                </w:r>
                <w:r w:rsidR="00C309CB" w:rsidRPr="00C309CB">
                  <w:rPr>
                    <w:lang w:val="fr-CH"/>
                  </w:rPr>
                  <w:t xml:space="preserve"> gestion </w:t>
                </w:r>
                <w:r w:rsidR="00943CB9">
                  <w:rPr>
                    <w:lang w:val="fr-CH"/>
                  </w:rPr>
                  <w:t xml:space="preserve">de ces technologies </w:t>
                </w:r>
                <w:r w:rsidR="00C309CB" w:rsidRPr="00C309CB">
                  <w:rPr>
                    <w:lang w:val="fr-CH"/>
                  </w:rPr>
                  <w:t xml:space="preserve">dans </w:t>
                </w:r>
                <w:r w:rsidR="00E63611">
                  <w:rPr>
                    <w:lang w:val="fr-CH"/>
                  </w:rPr>
                  <w:t xml:space="preserve">toutes </w:t>
                </w:r>
                <w:r w:rsidR="00943CB9">
                  <w:rPr>
                    <w:lang w:val="fr-CH"/>
                  </w:rPr>
                  <w:t xml:space="preserve">les </w:t>
                </w:r>
                <w:r w:rsidR="00C309CB" w:rsidRPr="00C309CB">
                  <w:rPr>
                    <w:lang w:val="fr-CH"/>
                  </w:rPr>
                  <w:t>activités économiques et sociales.</w:t>
                </w:r>
              </w:p>
            </w:tc>
          </w:sdtContent>
        </w:sdt>
      </w:tr>
    </w:tbl>
    <w:p w:rsidR="00464A96" w:rsidRPr="00C309CB" w:rsidRDefault="00464A96" w:rsidP="00985BF8">
      <w:pPr>
        <w:tabs>
          <w:tab w:val="clear" w:pos="1134"/>
          <w:tab w:val="clear" w:pos="1871"/>
          <w:tab w:val="clear" w:pos="2268"/>
        </w:tabs>
        <w:overflowPunct/>
        <w:autoSpaceDE/>
        <w:autoSpaceDN/>
        <w:adjustRightInd/>
        <w:spacing w:before="0"/>
        <w:textAlignment w:val="auto"/>
        <w:rPr>
          <w:lang w:val="fr-CH"/>
        </w:rPr>
      </w:pPr>
    </w:p>
    <w:p w:rsidR="00464A96" w:rsidRPr="00943CB9" w:rsidRDefault="00464A96" w:rsidP="00985BF8">
      <w:pPr>
        <w:pStyle w:val="Heading1"/>
        <w:rPr>
          <w:lang w:val="fr-FR"/>
        </w:rPr>
      </w:pPr>
      <w:r w:rsidRPr="00943CB9">
        <w:rPr>
          <w:lang w:val="fr-FR"/>
        </w:rPr>
        <w:t>1</w:t>
      </w:r>
      <w:r w:rsidRPr="00943CB9">
        <w:rPr>
          <w:lang w:val="fr-FR"/>
        </w:rPr>
        <w:tab/>
        <w:t xml:space="preserve">Introduction </w:t>
      </w:r>
    </w:p>
    <w:p w:rsidR="00F776DF" w:rsidRPr="00C309CB" w:rsidRDefault="00C309CB" w:rsidP="00985BF8">
      <w:pPr>
        <w:rPr>
          <w:lang w:val="fr-CH"/>
        </w:rPr>
      </w:pPr>
      <w:r w:rsidRPr="00C309CB">
        <w:rPr>
          <w:lang w:val="fr-CH"/>
        </w:rPr>
        <w:t xml:space="preserve">L'inclusion financière joue un rôle </w:t>
      </w:r>
      <w:r w:rsidR="001B0D9E">
        <w:rPr>
          <w:lang w:val="fr-CH"/>
        </w:rPr>
        <w:t xml:space="preserve">déterminent </w:t>
      </w:r>
      <w:r w:rsidRPr="00C309CB">
        <w:rPr>
          <w:lang w:val="fr-CH"/>
        </w:rPr>
        <w:t xml:space="preserve">pour faire reculer la pauvreté et stimuler la prospérité et l'accès aux ressources financières est un </w:t>
      </w:r>
      <w:r w:rsidR="001B0D9E">
        <w:rPr>
          <w:lang w:val="fr-CH"/>
        </w:rPr>
        <w:t>problème d'envergure</w:t>
      </w:r>
      <w:r>
        <w:rPr>
          <w:lang w:val="fr-CH"/>
        </w:rPr>
        <w:t xml:space="preserve"> mondiale qui nécessite une collaboration mondiale. </w:t>
      </w:r>
      <w:r w:rsidRPr="00C309CB">
        <w:rPr>
          <w:lang w:val="fr-CH"/>
        </w:rPr>
        <w:t xml:space="preserve">Les TIC, en particulier les technologies des téléphones mobiles, </w:t>
      </w:r>
      <w:r w:rsidR="001B0D9E">
        <w:rPr>
          <w:lang w:val="fr-CH"/>
        </w:rPr>
        <w:t>offrent un moyen de</w:t>
      </w:r>
      <w:r w:rsidRPr="00C309CB">
        <w:rPr>
          <w:lang w:val="fr-CH"/>
        </w:rPr>
        <w:t xml:space="preserve"> réduire l'écart en matière </w:t>
      </w:r>
      <w:r>
        <w:rPr>
          <w:lang w:val="fr-CH"/>
        </w:rPr>
        <w:t xml:space="preserve">d'inclusion financière. </w:t>
      </w:r>
      <w:r w:rsidR="001B0D9E">
        <w:rPr>
          <w:lang w:val="fr-CH"/>
        </w:rPr>
        <w:t>Les régulateurs du secteur</w:t>
      </w:r>
      <w:r w:rsidRPr="00C309CB">
        <w:rPr>
          <w:lang w:val="fr-CH"/>
        </w:rPr>
        <w:t xml:space="preserve"> de</w:t>
      </w:r>
      <w:r w:rsidR="001B0D9E">
        <w:rPr>
          <w:lang w:val="fr-CH"/>
        </w:rPr>
        <w:t>s</w:t>
      </w:r>
      <w:r w:rsidRPr="00C309CB">
        <w:rPr>
          <w:lang w:val="fr-CH"/>
        </w:rPr>
        <w:t xml:space="preserve"> télécommunications et </w:t>
      </w:r>
      <w:r w:rsidR="00F21FE2">
        <w:rPr>
          <w:lang w:val="fr-CH"/>
        </w:rPr>
        <w:t xml:space="preserve">du secteur </w:t>
      </w:r>
      <w:r w:rsidRPr="00C309CB">
        <w:rPr>
          <w:lang w:val="fr-CH"/>
        </w:rPr>
        <w:t xml:space="preserve">des services financiers doivent collaborer et échanger de bonnes pratiques </w:t>
      </w:r>
      <w:r>
        <w:rPr>
          <w:lang w:val="fr-CH"/>
        </w:rPr>
        <w:t xml:space="preserve">car les services financiers numériques couvrent des domaines qui relèvent de la </w:t>
      </w:r>
      <w:r w:rsidR="00F21FE2">
        <w:rPr>
          <w:lang w:val="fr-CH"/>
        </w:rPr>
        <w:t>compétence des deux régulateurs</w:t>
      </w:r>
      <w:r w:rsidR="00464A96" w:rsidRPr="00C309CB">
        <w:rPr>
          <w:lang w:val="fr-CH"/>
        </w:rPr>
        <w:t>.</w:t>
      </w:r>
    </w:p>
    <w:p w:rsidR="00464A96" w:rsidRPr="00943CB9" w:rsidRDefault="00464A96" w:rsidP="00985BF8">
      <w:pPr>
        <w:pStyle w:val="Heading1"/>
        <w:rPr>
          <w:lang w:val="fr-FR"/>
        </w:rPr>
      </w:pPr>
      <w:r w:rsidRPr="00943CB9">
        <w:rPr>
          <w:lang w:val="fr-FR"/>
        </w:rPr>
        <w:t>2</w:t>
      </w:r>
      <w:r w:rsidRPr="00943CB9">
        <w:rPr>
          <w:lang w:val="fr-FR"/>
        </w:rPr>
        <w:tab/>
      </w:r>
      <w:r w:rsidR="00C309CB" w:rsidRPr="00943CB9">
        <w:rPr>
          <w:lang w:val="fr-FR"/>
        </w:rPr>
        <w:t>Proposition</w:t>
      </w:r>
    </w:p>
    <w:p w:rsidR="00F776DF" w:rsidRPr="00C309CB" w:rsidRDefault="00C309CB" w:rsidP="00E63611">
      <w:pPr>
        <w:rPr>
          <w:lang w:val="fr-CH"/>
        </w:rPr>
      </w:pPr>
      <w:r w:rsidRPr="00C309CB">
        <w:rPr>
          <w:lang w:val="fr-CH"/>
        </w:rPr>
        <w:t>Le projet de nouvelle Résolution, en annexe,</w:t>
      </w:r>
      <w:r w:rsidR="00FE6621">
        <w:rPr>
          <w:lang w:val="fr-CH"/>
        </w:rPr>
        <w:t xml:space="preserve"> vise à</w:t>
      </w:r>
      <w:r w:rsidRPr="00C309CB">
        <w:rPr>
          <w:lang w:val="fr-CH"/>
        </w:rPr>
        <w:t xml:space="preserve"> encourage</w:t>
      </w:r>
      <w:r w:rsidR="00FE6621">
        <w:rPr>
          <w:lang w:val="fr-CH"/>
        </w:rPr>
        <w:t>r</w:t>
      </w:r>
      <w:r w:rsidRPr="00C309CB">
        <w:rPr>
          <w:lang w:val="fr-CH"/>
        </w:rPr>
        <w:t xml:space="preserve"> l'adop</w:t>
      </w:r>
      <w:r w:rsidR="00FE6621">
        <w:rPr>
          <w:lang w:val="fr-CH"/>
        </w:rPr>
        <w:t>tion de Recommandations pour</w:t>
      </w:r>
      <w:r w:rsidRPr="00C309CB">
        <w:rPr>
          <w:lang w:val="fr-CH"/>
        </w:rPr>
        <w:t xml:space="preserve"> accroître l'utilisa</w:t>
      </w:r>
      <w:r w:rsidR="00FE6621">
        <w:rPr>
          <w:lang w:val="fr-CH"/>
        </w:rPr>
        <w:t>tion des TIC en tant que moyen d'améliorer l</w:t>
      </w:r>
      <w:r w:rsidRPr="00C309CB">
        <w:rPr>
          <w:lang w:val="fr-CH"/>
        </w:rPr>
        <w:t xml:space="preserve">'inclusion financière </w:t>
      </w:r>
      <w:r w:rsidR="00FE6621">
        <w:rPr>
          <w:lang w:val="fr-CH"/>
        </w:rPr>
        <w:t>et de</w:t>
      </w:r>
      <w:r w:rsidRPr="00C309CB">
        <w:rPr>
          <w:lang w:val="fr-CH"/>
        </w:rPr>
        <w:t xml:space="preserve"> numériser les paiements des administrations publiques</w:t>
      </w:r>
      <w:r w:rsidR="00FE6621">
        <w:rPr>
          <w:lang w:val="fr-CH"/>
        </w:rPr>
        <w:t>, et améliorer la</w:t>
      </w:r>
      <w:r w:rsidRPr="00C309CB">
        <w:rPr>
          <w:lang w:val="fr-CH"/>
        </w:rPr>
        <w:t xml:space="preserve"> gestion</w:t>
      </w:r>
      <w:r w:rsidR="00FE6621">
        <w:rPr>
          <w:lang w:val="fr-CH"/>
        </w:rPr>
        <w:t xml:space="preserve"> de ces technologies dans toutes les </w:t>
      </w:r>
      <w:r w:rsidRPr="00C309CB">
        <w:rPr>
          <w:lang w:val="fr-CH"/>
        </w:rPr>
        <w:t>activités écon</w:t>
      </w:r>
      <w:r w:rsidR="00FE6621">
        <w:rPr>
          <w:lang w:val="fr-CH"/>
        </w:rPr>
        <w:t>omiques et sociales. Il vise</w:t>
      </w:r>
      <w:r w:rsidRPr="00C309CB">
        <w:rPr>
          <w:lang w:val="fr-CH"/>
        </w:rPr>
        <w:t xml:space="preserve"> enfin à élaborer des normes et des lignes directrices </w:t>
      </w:r>
      <w:r>
        <w:rPr>
          <w:lang w:val="fr-CH"/>
        </w:rPr>
        <w:t>dans les domaines de l'interopérabilité</w:t>
      </w:r>
      <w:r w:rsidR="00FE6621">
        <w:rPr>
          <w:lang w:val="fr-CH"/>
        </w:rPr>
        <w:t>,</w:t>
      </w:r>
      <w:r>
        <w:rPr>
          <w:lang w:val="fr-CH"/>
        </w:rPr>
        <w:t xml:space="preserve"> de la numérisation des paiements et de la sécurité des transactions des services financiers numériques.</w:t>
      </w:r>
      <w:r w:rsidR="007172E0" w:rsidRPr="00C309CB">
        <w:rPr>
          <w:lang w:val="fr-CH"/>
        </w:rPr>
        <w:t xml:space="preserve"> </w:t>
      </w:r>
      <w:r w:rsidR="00F776DF" w:rsidRPr="00C309CB">
        <w:rPr>
          <w:lang w:val="fr-CH"/>
        </w:rPr>
        <w:br w:type="page"/>
      </w:r>
    </w:p>
    <w:p w:rsidR="006C375F" w:rsidRPr="00464A96" w:rsidRDefault="00474F66" w:rsidP="00985BF8">
      <w:pPr>
        <w:pStyle w:val="Proposal"/>
        <w:rPr>
          <w:lang w:val="fr-FR"/>
        </w:rPr>
      </w:pPr>
      <w:r w:rsidRPr="00464A96">
        <w:rPr>
          <w:lang w:val="fr-FR"/>
        </w:rPr>
        <w:lastRenderedPageBreak/>
        <w:t>ADD</w:t>
      </w:r>
      <w:r w:rsidRPr="00464A96">
        <w:rPr>
          <w:lang w:val="fr-FR"/>
        </w:rPr>
        <w:tab/>
        <w:t>AFCP/42A13/1</w:t>
      </w:r>
    </w:p>
    <w:p w:rsidR="006C375F" w:rsidRPr="00464A96" w:rsidRDefault="00BF66E0" w:rsidP="00985BF8">
      <w:pPr>
        <w:pStyle w:val="ResNo"/>
        <w:rPr>
          <w:lang w:val="fr-FR"/>
        </w:rPr>
      </w:pPr>
      <w:r>
        <w:rPr>
          <w:lang w:val="fr-FR"/>
        </w:rPr>
        <w:t>PROJET DE NOUVELLE Ré</w:t>
      </w:r>
      <w:r w:rsidR="00474F66" w:rsidRPr="00464A96">
        <w:rPr>
          <w:lang w:val="fr-FR"/>
        </w:rPr>
        <w:t>SOLUTION [AFCP-2]</w:t>
      </w:r>
    </w:p>
    <w:p w:rsidR="006C375F" w:rsidRPr="00C309CB" w:rsidRDefault="00E63611" w:rsidP="00E63611">
      <w:pPr>
        <w:pStyle w:val="Restitle"/>
        <w:rPr>
          <w:lang w:val="fr-CH"/>
        </w:rPr>
      </w:pPr>
      <w:r>
        <w:rPr>
          <w:lang w:val="fr-CH"/>
        </w:rPr>
        <w:t>"</w:t>
      </w:r>
      <w:r w:rsidR="00C309CB" w:rsidRPr="00C309CB">
        <w:rPr>
          <w:lang w:val="fr-CH"/>
        </w:rPr>
        <w:t>Utiliser les TIC pour r</w:t>
      </w:r>
      <w:r w:rsidR="00C309CB" w:rsidRPr="00C309CB">
        <w:rPr>
          <w:lang w:val="fr-CH"/>
        </w:rPr>
        <w:t>é</w:t>
      </w:r>
      <w:r w:rsidR="00C309CB" w:rsidRPr="00C309CB">
        <w:rPr>
          <w:lang w:val="fr-CH"/>
        </w:rPr>
        <w:t>duire l'</w:t>
      </w:r>
      <w:r w:rsidR="00C309CB" w:rsidRPr="00C309CB">
        <w:rPr>
          <w:lang w:val="fr-CH"/>
        </w:rPr>
        <w:t>é</w:t>
      </w:r>
      <w:r w:rsidR="00C309CB" w:rsidRPr="00C309CB">
        <w:rPr>
          <w:lang w:val="fr-CH"/>
        </w:rPr>
        <w:t>cart en mati</w:t>
      </w:r>
      <w:r w:rsidR="00C309CB" w:rsidRPr="00C309CB">
        <w:rPr>
          <w:lang w:val="fr-CH"/>
        </w:rPr>
        <w:t>è</w:t>
      </w:r>
      <w:r w:rsidR="00C309CB" w:rsidRPr="00C309CB">
        <w:rPr>
          <w:lang w:val="fr-CH"/>
        </w:rPr>
        <w:t xml:space="preserve">re d'inclusion </w:t>
      </w:r>
      <w:r w:rsidR="00C309CB">
        <w:rPr>
          <w:lang w:val="fr-CH"/>
        </w:rPr>
        <w:t>financi</w:t>
      </w:r>
      <w:r w:rsidR="00C309CB">
        <w:rPr>
          <w:lang w:val="fr-CH"/>
        </w:rPr>
        <w:t>è</w:t>
      </w:r>
      <w:r w:rsidR="00C309CB">
        <w:rPr>
          <w:lang w:val="fr-CH"/>
        </w:rPr>
        <w:t>re</w:t>
      </w:r>
      <w:r>
        <w:rPr>
          <w:lang w:val="fr-CH"/>
        </w:rPr>
        <w:t>"</w:t>
      </w:r>
    </w:p>
    <w:p w:rsidR="00464A96" w:rsidRPr="00943CB9" w:rsidRDefault="00464A96" w:rsidP="00985BF8">
      <w:pPr>
        <w:pStyle w:val="Resref"/>
      </w:pPr>
      <w:r w:rsidRPr="00943CB9">
        <w:t>(Hammamet, 2016)</w:t>
      </w:r>
    </w:p>
    <w:p w:rsidR="00464A96" w:rsidRPr="00C309CB" w:rsidRDefault="00C309CB" w:rsidP="00985BF8">
      <w:pPr>
        <w:pStyle w:val="Normalaftertitle"/>
        <w:rPr>
          <w:lang w:val="fr-CH"/>
        </w:rPr>
      </w:pPr>
      <w:r w:rsidRPr="00C309CB">
        <w:rPr>
          <w:lang w:val="fr-CH"/>
        </w:rPr>
        <w:t>L'Assemblée mondiale de norma</w:t>
      </w:r>
      <w:r w:rsidR="008B59DC">
        <w:rPr>
          <w:lang w:val="fr-CH"/>
        </w:rPr>
        <w:t>lisation des télécommunications</w:t>
      </w:r>
      <w:r w:rsidR="00464A96" w:rsidRPr="00C309CB">
        <w:rPr>
          <w:lang w:val="fr-CH"/>
        </w:rPr>
        <w:t xml:space="preserve"> (Hammamet, 2016), </w:t>
      </w:r>
    </w:p>
    <w:p w:rsidR="00EF1FE4" w:rsidRPr="00FE6621" w:rsidRDefault="00EF1FE4" w:rsidP="00985BF8">
      <w:pPr>
        <w:pStyle w:val="Call"/>
        <w:rPr>
          <w:lang w:val="fr-CH"/>
        </w:rPr>
      </w:pPr>
      <w:r w:rsidRPr="00FE6621">
        <w:rPr>
          <w:lang w:val="fr-CH"/>
        </w:rPr>
        <w:t>rappelant</w:t>
      </w:r>
    </w:p>
    <w:p w:rsidR="00464A96" w:rsidRPr="009A76BB" w:rsidRDefault="00867D84" w:rsidP="00E63611">
      <w:pPr>
        <w:rPr>
          <w:lang w:val="fr-CH"/>
        </w:rPr>
      </w:pPr>
      <w:r w:rsidRPr="00867D84">
        <w:rPr>
          <w:i/>
          <w:iCs/>
          <w:lang w:val="fr-CH"/>
        </w:rPr>
        <w:t>a)</w:t>
      </w:r>
      <w:r>
        <w:rPr>
          <w:lang w:val="fr-CH"/>
        </w:rPr>
        <w:tab/>
      </w:r>
      <w:r w:rsidR="00C309CB" w:rsidRPr="00C309CB">
        <w:rPr>
          <w:lang w:val="fr-CH"/>
        </w:rPr>
        <w:t xml:space="preserve">que l'inclusion financière joue un rôle essentiel pour faire reculer la pauvreté et </w:t>
      </w:r>
      <w:r w:rsidR="00C309CB">
        <w:rPr>
          <w:lang w:val="fr-CH"/>
        </w:rPr>
        <w:t xml:space="preserve">pour stimuler la prospérité. Près de </w:t>
      </w:r>
      <w:r w:rsidR="00E63611">
        <w:rPr>
          <w:lang w:val="fr-CH"/>
        </w:rPr>
        <w:t>deux</w:t>
      </w:r>
      <w:r w:rsidR="00C309CB">
        <w:rPr>
          <w:lang w:val="fr-CH"/>
        </w:rPr>
        <w:t xml:space="preserve"> milliards d'individus dans le monde n'ont pas accès </w:t>
      </w:r>
      <w:r w:rsidR="0006618A">
        <w:rPr>
          <w:lang w:val="fr-CH"/>
        </w:rPr>
        <w:t>aux</w:t>
      </w:r>
      <w:r w:rsidR="00C309CB">
        <w:rPr>
          <w:lang w:val="fr-CH"/>
        </w:rPr>
        <w:t xml:space="preserve"> services financiers</w:t>
      </w:r>
      <w:r w:rsidR="0006618A">
        <w:rPr>
          <w:lang w:val="fr-CH"/>
        </w:rPr>
        <w:t xml:space="preserve"> classiques</w:t>
      </w:r>
      <w:r w:rsidR="007172E0">
        <w:rPr>
          <w:lang w:val="fr-CH"/>
        </w:rPr>
        <w:t xml:space="preserve"> et plus de 50</w:t>
      </w:r>
      <w:r w:rsidR="009A76BB">
        <w:rPr>
          <w:lang w:val="fr-CH"/>
        </w:rPr>
        <w:t xml:space="preserve">% des adultes dans les </w:t>
      </w:r>
      <w:r w:rsidR="00B44246">
        <w:rPr>
          <w:lang w:val="fr-CH"/>
        </w:rPr>
        <w:t>ménages</w:t>
      </w:r>
      <w:r w:rsidR="009A76BB">
        <w:rPr>
          <w:lang w:val="fr-CH"/>
        </w:rPr>
        <w:t xml:space="preserve"> les plus pauvres n'ont pas de compte bancaire</w:t>
      </w:r>
      <w:r w:rsidR="00464A96" w:rsidRPr="009A76BB">
        <w:rPr>
          <w:lang w:val="fr-CH"/>
        </w:rPr>
        <w:t xml:space="preserve">; </w:t>
      </w:r>
    </w:p>
    <w:p w:rsidR="00153741" w:rsidRPr="00822AFE" w:rsidRDefault="00867D84" w:rsidP="00985BF8">
      <w:pPr>
        <w:rPr>
          <w:lang w:val="fr-CH"/>
        </w:rPr>
      </w:pPr>
      <w:r w:rsidRPr="00867D84">
        <w:rPr>
          <w:i/>
          <w:iCs/>
          <w:lang w:val="fr-CH"/>
        </w:rPr>
        <w:t>b)</w:t>
      </w:r>
      <w:r>
        <w:rPr>
          <w:lang w:val="fr-CH"/>
        </w:rPr>
        <w:tab/>
      </w:r>
      <w:r w:rsidR="009A76BB" w:rsidRPr="00B44246">
        <w:rPr>
          <w:lang w:val="fr-CH"/>
        </w:rPr>
        <w:t>que, selon</w:t>
      </w:r>
      <w:r w:rsidR="00B44246" w:rsidRPr="00B44246">
        <w:rPr>
          <w:lang w:val="fr-CH"/>
        </w:rPr>
        <w:t xml:space="preserve"> la base de données </w:t>
      </w:r>
      <w:r w:rsidR="00153741" w:rsidRPr="00B44246">
        <w:rPr>
          <w:lang w:val="fr-CH"/>
        </w:rPr>
        <w:t>Global Findex</w:t>
      </w:r>
      <w:r w:rsidR="009A76BB" w:rsidRPr="00B44246">
        <w:rPr>
          <w:lang w:val="fr-CH"/>
        </w:rPr>
        <w:t xml:space="preserve"> de la Banque mondiale</w:t>
      </w:r>
      <w:r w:rsidR="00B44246" w:rsidRPr="00B44246">
        <w:rPr>
          <w:lang w:val="fr-CH"/>
        </w:rPr>
        <w:t>, pl</w:t>
      </w:r>
      <w:r>
        <w:rPr>
          <w:lang w:val="fr-CH"/>
        </w:rPr>
        <w:t>us de la moitié des adultes parmi</w:t>
      </w:r>
      <w:r w:rsidR="007172E0">
        <w:rPr>
          <w:lang w:val="fr-CH"/>
        </w:rPr>
        <w:t xml:space="preserve"> les 40</w:t>
      </w:r>
      <w:r w:rsidR="00B44246" w:rsidRPr="00B44246">
        <w:rPr>
          <w:lang w:val="fr-CH"/>
        </w:rPr>
        <w:t xml:space="preserve">% des ménages les plus </w:t>
      </w:r>
      <w:r w:rsidR="00B44246">
        <w:rPr>
          <w:lang w:val="fr-CH"/>
        </w:rPr>
        <w:t xml:space="preserve">pauvres des pays en développement </w:t>
      </w:r>
      <w:r w:rsidR="00822AFE">
        <w:rPr>
          <w:lang w:val="fr-CH"/>
        </w:rPr>
        <w:t xml:space="preserve">n'avaient toujours pas de compte en banque en 2014. </w:t>
      </w:r>
      <w:r w:rsidR="00822AFE" w:rsidRPr="00822AFE">
        <w:rPr>
          <w:lang w:val="fr-CH"/>
        </w:rPr>
        <w:t xml:space="preserve">En outre, l'écart entre les femmes et les hommes, pour ce qui est de la possession d'un compte en banque, </w:t>
      </w:r>
      <w:r>
        <w:rPr>
          <w:lang w:val="fr-CH"/>
        </w:rPr>
        <w:t>ne se réduit pas sensiblement</w:t>
      </w:r>
      <w:r w:rsidR="00822AFE">
        <w:rPr>
          <w:lang w:val="fr-CH"/>
        </w:rPr>
        <w:t>: en 2011</w:t>
      </w:r>
      <w:r>
        <w:rPr>
          <w:lang w:val="fr-CH"/>
        </w:rPr>
        <w:t>, 47% des femmes et 54</w:t>
      </w:r>
      <w:r w:rsidR="00822AFE">
        <w:rPr>
          <w:lang w:val="fr-CH"/>
        </w:rPr>
        <w:t>% des hommes avaient un compte en ba</w:t>
      </w:r>
      <w:r>
        <w:rPr>
          <w:lang w:val="fr-CH"/>
        </w:rPr>
        <w:t>nque; en 2014, 58</w:t>
      </w:r>
      <w:r w:rsidR="00822AFE">
        <w:rPr>
          <w:lang w:val="fr-CH"/>
        </w:rPr>
        <w:t>% des femmes avaien</w:t>
      </w:r>
      <w:r>
        <w:rPr>
          <w:lang w:val="fr-CH"/>
        </w:rPr>
        <w:t>t un compte en banque contre 65</w:t>
      </w:r>
      <w:r w:rsidR="00822AFE">
        <w:rPr>
          <w:lang w:val="fr-CH"/>
        </w:rPr>
        <w:t xml:space="preserve">% pour les hommes. </w:t>
      </w:r>
      <w:r w:rsidR="00822AFE" w:rsidRPr="00822AFE">
        <w:rPr>
          <w:lang w:val="fr-CH"/>
        </w:rPr>
        <w:t>Au niveau régional, c'est en Asie du Sud que l'écart</w:t>
      </w:r>
      <w:r>
        <w:rPr>
          <w:lang w:val="fr-CH"/>
        </w:rPr>
        <w:t xml:space="preserve"> entre les femmes et les homme </w:t>
      </w:r>
      <w:r w:rsidR="00822AFE" w:rsidRPr="00822AFE">
        <w:rPr>
          <w:lang w:val="fr-CH"/>
        </w:rPr>
        <w:t>e</w:t>
      </w:r>
      <w:r>
        <w:rPr>
          <w:lang w:val="fr-CH"/>
        </w:rPr>
        <w:t>st le plus important puisque 37</w:t>
      </w:r>
      <w:r w:rsidR="00822AFE" w:rsidRPr="00822AFE">
        <w:rPr>
          <w:lang w:val="fr-CH"/>
        </w:rPr>
        <w:t>% des femmes ont un compte en banque</w:t>
      </w:r>
      <w:r>
        <w:rPr>
          <w:lang w:val="fr-CH"/>
        </w:rPr>
        <w:t xml:space="preserve"> contre 55% pour les hommes</w:t>
      </w:r>
      <w:r w:rsidR="00153741" w:rsidRPr="00822AFE">
        <w:rPr>
          <w:lang w:val="fr-CH"/>
        </w:rPr>
        <w:t>;</w:t>
      </w:r>
    </w:p>
    <w:p w:rsidR="00464A96" w:rsidRPr="00822AFE" w:rsidRDefault="00EF1FE4" w:rsidP="00985BF8">
      <w:pPr>
        <w:rPr>
          <w:lang w:val="fr-CH"/>
        </w:rPr>
      </w:pPr>
      <w:r w:rsidRPr="00822AFE">
        <w:rPr>
          <w:i/>
          <w:iCs/>
          <w:lang w:val="fr-CH"/>
        </w:rPr>
        <w:t>c)</w:t>
      </w:r>
      <w:r w:rsidRPr="00822AFE">
        <w:rPr>
          <w:lang w:val="fr-CH"/>
        </w:rPr>
        <w:tab/>
      </w:r>
      <w:r w:rsidR="00822AFE">
        <w:rPr>
          <w:lang w:val="fr-CH"/>
        </w:rPr>
        <w:t xml:space="preserve">que l'utilisation des TIC, en particulier des technologies des téléphones mobiles, est </w:t>
      </w:r>
      <w:r w:rsidR="00867D84">
        <w:rPr>
          <w:lang w:val="fr-CH"/>
        </w:rPr>
        <w:t>un moyen</w:t>
      </w:r>
      <w:r w:rsidR="00822AFE" w:rsidRPr="00822AFE">
        <w:rPr>
          <w:lang w:val="fr-CH"/>
        </w:rPr>
        <w:t xml:space="preserve"> de réduire </w:t>
      </w:r>
      <w:r w:rsidR="00822AFE">
        <w:rPr>
          <w:lang w:val="fr-CH"/>
        </w:rPr>
        <w:t>l'écart en m</w:t>
      </w:r>
      <w:r w:rsidR="00867D84">
        <w:rPr>
          <w:lang w:val="fr-CH"/>
        </w:rPr>
        <w:t>atière d'inclusion financière. A</w:t>
      </w:r>
      <w:r w:rsidR="007D097E">
        <w:rPr>
          <w:lang w:val="fr-CH"/>
        </w:rPr>
        <w:t xml:space="preserve"> l'heure actuelle, </w:t>
      </w:r>
      <w:r w:rsidR="00822AFE">
        <w:rPr>
          <w:lang w:val="fr-CH"/>
        </w:rPr>
        <w:t xml:space="preserve">l'Afrique subsaharienne est la seule région </w:t>
      </w:r>
      <w:r w:rsidR="00867D84">
        <w:rPr>
          <w:lang w:val="fr-CH"/>
        </w:rPr>
        <w:t xml:space="preserve">où, </w:t>
      </w:r>
      <w:r w:rsidR="00822AFE">
        <w:rPr>
          <w:lang w:val="fr-CH"/>
        </w:rPr>
        <w:t>en moyenne</w:t>
      </w:r>
      <w:r w:rsidR="00867D84">
        <w:rPr>
          <w:lang w:val="fr-CH"/>
        </w:rPr>
        <w:t>, plus de 10% des adultes déclar</w:t>
      </w:r>
      <w:r w:rsidR="00822AFE">
        <w:rPr>
          <w:lang w:val="fr-CH"/>
        </w:rPr>
        <w:t>ent avoir un compte auprès d'un opérateur de téléphonie mobile</w:t>
      </w:r>
      <w:r w:rsidR="00FE09B1" w:rsidRPr="00822AFE">
        <w:rPr>
          <w:lang w:val="fr-CH"/>
        </w:rPr>
        <w:t>;</w:t>
      </w:r>
    </w:p>
    <w:p w:rsidR="00EF1FE4" w:rsidRPr="00FE6621" w:rsidRDefault="00EF1FE4" w:rsidP="00985BF8">
      <w:pPr>
        <w:rPr>
          <w:lang w:val="fr-CH"/>
        </w:rPr>
      </w:pPr>
      <w:r w:rsidRPr="00EF1FE4">
        <w:rPr>
          <w:i/>
          <w:iCs/>
          <w:lang w:val="fr-FR"/>
        </w:rPr>
        <w:t>d)</w:t>
      </w:r>
      <w:r>
        <w:rPr>
          <w:lang w:val="fr-FR"/>
        </w:rPr>
        <w:tab/>
      </w:r>
      <w:r w:rsidRPr="00FE6621">
        <w:rPr>
          <w:lang w:val="fr-CH"/>
        </w:rPr>
        <w:t>l'objet de l'Union, qui est de favoriser la collaboration entre ses membres en vue d'assurer le développement harmonieux des télécommunications et de permettre la fourniture des services à des prix aussi bas que possible;</w:t>
      </w:r>
    </w:p>
    <w:p w:rsidR="00EF1FE4" w:rsidRPr="00FE6621" w:rsidRDefault="00EF1FE4" w:rsidP="00985BF8">
      <w:pPr>
        <w:rPr>
          <w:lang w:val="fr-CH"/>
        </w:rPr>
      </w:pPr>
      <w:r w:rsidRPr="00EF1FE4">
        <w:rPr>
          <w:i/>
          <w:iCs/>
          <w:lang w:val="fr-CH"/>
        </w:rPr>
        <w:t>e)</w:t>
      </w:r>
      <w:r>
        <w:rPr>
          <w:lang w:val="fr-CH"/>
        </w:rPr>
        <w:tab/>
      </w:r>
      <w:r w:rsidRPr="00FE6621">
        <w:rPr>
          <w:lang w:val="fr-CH"/>
        </w:rPr>
        <w:t>la Résolution 1353 adoptée par le Conseil à sa session de 2012, par laquelle il est reconnu que les télécommunications et les TIC sont des éléments essentiels pour permettre aux pays développés et aux pays en développement de parvenir au développement durable et aux termes de laquelle le Secrétaire général est chargé, en collaboration avec les Directeurs des Bureaux, de définir les activités nouvelles que l'UIT devra entreprendre pour aider les pays en développement à assurer un développement durable grâce aux télécommunications et aux TIC,</w:t>
      </w:r>
    </w:p>
    <w:p w:rsidR="00EF1FE4" w:rsidRDefault="00EF1FE4" w:rsidP="00985BF8">
      <w:pPr>
        <w:pStyle w:val="Call"/>
        <w:rPr>
          <w:lang w:val="fr-CH"/>
        </w:rPr>
      </w:pPr>
      <w:r>
        <w:rPr>
          <w:lang w:val="fr-CH"/>
        </w:rPr>
        <w:t>c</w:t>
      </w:r>
      <w:r w:rsidRPr="00EF1FE4">
        <w:rPr>
          <w:lang w:val="fr-CH"/>
        </w:rPr>
        <w:t>onsidérant</w:t>
      </w:r>
    </w:p>
    <w:p w:rsidR="00612104" w:rsidRPr="00FE6621" w:rsidRDefault="00EF1FE4" w:rsidP="00985BF8">
      <w:pPr>
        <w:rPr>
          <w:lang w:val="fr-CH"/>
        </w:rPr>
      </w:pPr>
      <w:r w:rsidRPr="00EF1FE4">
        <w:rPr>
          <w:i/>
          <w:iCs/>
          <w:lang w:val="fr-CH"/>
        </w:rPr>
        <w:t>a)</w:t>
      </w:r>
      <w:r>
        <w:rPr>
          <w:lang w:val="fr-CH"/>
        </w:rPr>
        <w:tab/>
      </w:r>
      <w:r w:rsidR="00867D84">
        <w:rPr>
          <w:lang w:val="fr-CH"/>
        </w:rPr>
        <w:t>que la question de</w:t>
      </w:r>
      <w:r w:rsidRPr="00FE6621">
        <w:rPr>
          <w:lang w:val="fr-CH"/>
        </w:rPr>
        <w:t xml:space="preserve"> </w:t>
      </w:r>
      <w:r w:rsidR="00867D84">
        <w:rPr>
          <w:lang w:val="fr-CH"/>
        </w:rPr>
        <w:t xml:space="preserve">l'accès aux ressources financières est un sujet de préoccupation </w:t>
      </w:r>
      <w:r w:rsidRPr="00FE6621">
        <w:rPr>
          <w:lang w:val="fr-CH"/>
        </w:rPr>
        <w:t>mondial appelant une collaboration au niveau planétaire;</w:t>
      </w:r>
    </w:p>
    <w:p w:rsidR="00612104" w:rsidRPr="00FE6621" w:rsidRDefault="00612104" w:rsidP="00E63611">
      <w:pPr>
        <w:rPr>
          <w:lang w:val="fr-CH"/>
        </w:rPr>
      </w:pPr>
      <w:r w:rsidRPr="002D519C">
        <w:rPr>
          <w:i/>
          <w:iCs/>
          <w:lang w:val="fr-FR"/>
        </w:rPr>
        <w:t>b)</w:t>
      </w:r>
      <w:r w:rsidRPr="002D519C">
        <w:rPr>
          <w:lang w:val="fr-FR"/>
        </w:rPr>
        <w:tab/>
      </w:r>
      <w:r w:rsidR="00822AFE" w:rsidRPr="00FE6621">
        <w:rPr>
          <w:lang w:val="fr-CH"/>
        </w:rPr>
        <w:t xml:space="preserve">la Résolution </w:t>
      </w:r>
      <w:r w:rsidRPr="00FE6621">
        <w:rPr>
          <w:lang w:val="fr-CH"/>
        </w:rPr>
        <w:t>70/1</w:t>
      </w:r>
      <w:r w:rsidR="00822AFE" w:rsidRPr="00FE6621">
        <w:rPr>
          <w:lang w:val="fr-CH"/>
        </w:rPr>
        <w:t xml:space="preserve"> de l'Assemblée générale des Nations Unies, en date du 25</w:t>
      </w:r>
      <w:r w:rsidR="00E63611">
        <w:rPr>
          <w:lang w:val="fr-CH"/>
        </w:rPr>
        <w:t> </w:t>
      </w:r>
      <w:r w:rsidR="00822AFE" w:rsidRPr="00FE6621">
        <w:rPr>
          <w:lang w:val="fr-CH"/>
        </w:rPr>
        <w:t>septembre</w:t>
      </w:r>
      <w:r w:rsidR="00E63611">
        <w:rPr>
          <w:lang w:val="fr-CH"/>
        </w:rPr>
        <w:t> </w:t>
      </w:r>
      <w:r w:rsidR="00822AFE" w:rsidRPr="00FE6621">
        <w:rPr>
          <w:lang w:val="fr-CH"/>
        </w:rPr>
        <w:t>2015, intitulée</w:t>
      </w:r>
      <w:r w:rsidRPr="00FE6621">
        <w:rPr>
          <w:lang w:val="fr-CH"/>
        </w:rPr>
        <w:t xml:space="preserve"> </w:t>
      </w:r>
      <w:r w:rsidR="00E63611">
        <w:rPr>
          <w:lang w:val="fr-CH"/>
        </w:rPr>
        <w:t>"</w:t>
      </w:r>
      <w:r w:rsidR="00D12C49" w:rsidRPr="00FE6621">
        <w:rPr>
          <w:lang w:val="fr-CH"/>
        </w:rPr>
        <w:t>Transformer notre monde: le Programme de développement durable à l</w:t>
      </w:r>
      <w:r w:rsidR="00E63611">
        <w:rPr>
          <w:lang w:val="fr-CH"/>
        </w:rPr>
        <w:t>'</w:t>
      </w:r>
      <w:r w:rsidR="00D12C49" w:rsidRPr="00FE6621">
        <w:rPr>
          <w:lang w:val="fr-CH"/>
        </w:rPr>
        <w:t>horizon 2030</w:t>
      </w:r>
      <w:r w:rsidR="00E63611">
        <w:rPr>
          <w:lang w:val="fr-CH"/>
        </w:rPr>
        <w:t>"</w:t>
      </w:r>
      <w:r w:rsidRPr="00FE6621">
        <w:rPr>
          <w:lang w:val="fr-CH"/>
        </w:rPr>
        <w:t xml:space="preserve">, </w:t>
      </w:r>
      <w:r w:rsidR="002D519C" w:rsidRPr="00FE6621">
        <w:rPr>
          <w:lang w:val="fr-CH"/>
        </w:rPr>
        <w:t>qui s'inscrit dans le prolongement des Objectifs du Millénaire pour le développement et vise à réaliser ce que ce</w:t>
      </w:r>
      <w:r w:rsidR="00867D84">
        <w:rPr>
          <w:lang w:val="fr-CH"/>
        </w:rPr>
        <w:t>ux-ci n'ont pas permis de faire</w:t>
      </w:r>
      <w:r w:rsidR="002D519C" w:rsidRPr="00FE6621">
        <w:rPr>
          <w:lang w:val="fr-CH"/>
        </w:rPr>
        <w:t xml:space="preserve">; elle souligne </w:t>
      </w:r>
      <w:r w:rsidR="00867D84">
        <w:rPr>
          <w:lang w:val="fr-CH"/>
        </w:rPr>
        <w:t xml:space="preserve">par ailleurs </w:t>
      </w:r>
      <w:r w:rsidR="002D519C" w:rsidRPr="00FE6621">
        <w:rPr>
          <w:lang w:val="fr-CH"/>
        </w:rPr>
        <w:t>l'importance de la mise en œuvre de ce nouveau Programme ambitieux qui fait de</w:t>
      </w:r>
      <w:r w:rsidR="00337501">
        <w:rPr>
          <w:lang w:val="fr-CH"/>
        </w:rPr>
        <w:t xml:space="preserve"> l'élimination de la pauvreté une priorité </w:t>
      </w:r>
      <w:r w:rsidR="00337501">
        <w:rPr>
          <w:lang w:val="fr-CH"/>
        </w:rPr>
        <w:lastRenderedPageBreak/>
        <w:t>absolue et vise à promo</w:t>
      </w:r>
      <w:r w:rsidR="00985BF8">
        <w:rPr>
          <w:lang w:val="fr-CH"/>
        </w:rPr>
        <w:t>u</w:t>
      </w:r>
      <w:r w:rsidR="00337501">
        <w:rPr>
          <w:lang w:val="fr-CH"/>
        </w:rPr>
        <w:t>voir</w:t>
      </w:r>
      <w:r w:rsidR="002D519C" w:rsidRPr="00FE6621">
        <w:rPr>
          <w:lang w:val="fr-CH"/>
        </w:rPr>
        <w:t xml:space="preserve"> les dimensions sociale, économique et environnementale du développement durable</w:t>
      </w:r>
      <w:r w:rsidRPr="00FE6621">
        <w:rPr>
          <w:lang w:val="fr-CH"/>
        </w:rPr>
        <w:t>;</w:t>
      </w:r>
    </w:p>
    <w:p w:rsidR="00612104" w:rsidRPr="00FE6621" w:rsidRDefault="00612104" w:rsidP="00985BF8">
      <w:pPr>
        <w:rPr>
          <w:lang w:val="fr-CH"/>
        </w:rPr>
      </w:pPr>
      <w:r w:rsidRPr="002D519C">
        <w:rPr>
          <w:i/>
          <w:iCs/>
          <w:szCs w:val="24"/>
          <w:lang w:val="fr-FR"/>
        </w:rPr>
        <w:t>c)</w:t>
      </w:r>
      <w:r w:rsidRPr="002D519C">
        <w:rPr>
          <w:szCs w:val="24"/>
          <w:lang w:val="fr-FR"/>
        </w:rPr>
        <w:tab/>
      </w:r>
      <w:r w:rsidR="002D519C" w:rsidRPr="00FE6621">
        <w:rPr>
          <w:lang w:val="fr-CH"/>
        </w:rPr>
        <w:t>que ce nouveau Programme vise, entre autres choses, à adopter et à mettre en œuvre des politiques destinées à améliorer l'inclusion financière et, par conséquent, intègre l'inclusion financière dans plusieurs des cibles associées aux Objectifs de développement durable</w:t>
      </w:r>
      <w:r w:rsidR="00337501">
        <w:rPr>
          <w:lang w:val="fr-CH"/>
        </w:rPr>
        <w:t xml:space="preserve"> et aux moyens de leur mise en oe</w:t>
      </w:r>
      <w:r w:rsidR="002D519C" w:rsidRPr="00FE6621">
        <w:rPr>
          <w:lang w:val="fr-CH"/>
        </w:rPr>
        <w:t>uvre</w:t>
      </w:r>
      <w:r w:rsidRPr="00FE6621">
        <w:rPr>
          <w:lang w:val="fr-CH"/>
        </w:rPr>
        <w:t>;</w:t>
      </w:r>
    </w:p>
    <w:p w:rsidR="00612104" w:rsidRPr="00FE6621" w:rsidRDefault="00612104" w:rsidP="00985BF8">
      <w:pPr>
        <w:rPr>
          <w:lang w:val="fr-CH"/>
        </w:rPr>
      </w:pPr>
      <w:r w:rsidRPr="002D519C">
        <w:rPr>
          <w:i/>
          <w:iCs/>
          <w:szCs w:val="24"/>
          <w:lang w:val="fr-FR"/>
        </w:rPr>
        <w:t>d)</w:t>
      </w:r>
      <w:r w:rsidRPr="002D519C">
        <w:rPr>
          <w:szCs w:val="24"/>
          <w:lang w:val="fr-FR"/>
        </w:rPr>
        <w:tab/>
      </w:r>
      <w:r w:rsidR="002D519C" w:rsidRPr="00FE6621">
        <w:rPr>
          <w:lang w:val="fr-CH"/>
        </w:rPr>
        <w:t xml:space="preserve">qu'il est nécessaire que les régulateurs des services de télécommunication et </w:t>
      </w:r>
      <w:r w:rsidR="00836E5C">
        <w:rPr>
          <w:lang w:val="fr-CH"/>
        </w:rPr>
        <w:t xml:space="preserve">les régulateurs </w:t>
      </w:r>
      <w:r w:rsidR="002D519C" w:rsidRPr="00FE6621">
        <w:rPr>
          <w:lang w:val="fr-CH"/>
        </w:rPr>
        <w:t>des services financiers collaborent et partagent de bonnes pratiques</w:t>
      </w:r>
      <w:r w:rsidR="00836E5C">
        <w:rPr>
          <w:lang w:val="fr-CH"/>
        </w:rPr>
        <w:t>,</w:t>
      </w:r>
      <w:r w:rsidR="002D519C" w:rsidRPr="00FE6621">
        <w:rPr>
          <w:lang w:val="fr-CH"/>
        </w:rPr>
        <w:t xml:space="preserve"> car les services financiers numériques couvrent des domaines qui relèvent de la compétence des deux régulateurs</w:t>
      </w:r>
      <w:r w:rsidRPr="00FE6621">
        <w:rPr>
          <w:lang w:val="fr-CH"/>
        </w:rPr>
        <w:t>,</w:t>
      </w:r>
    </w:p>
    <w:p w:rsidR="00612104" w:rsidRPr="00943CB9" w:rsidRDefault="00612104" w:rsidP="00985BF8">
      <w:pPr>
        <w:pStyle w:val="Call"/>
        <w:rPr>
          <w:lang w:val="fr-FR"/>
        </w:rPr>
      </w:pPr>
      <w:r w:rsidRPr="00943CB9">
        <w:rPr>
          <w:lang w:val="fr-FR"/>
        </w:rPr>
        <w:t>notant</w:t>
      </w:r>
    </w:p>
    <w:p w:rsidR="00612104" w:rsidRPr="00FE6621" w:rsidRDefault="00612104" w:rsidP="00E63611">
      <w:pPr>
        <w:rPr>
          <w:lang w:val="fr-CH"/>
        </w:rPr>
      </w:pPr>
      <w:r w:rsidRPr="00776B01">
        <w:rPr>
          <w:i/>
          <w:iCs/>
          <w:lang w:val="fr-CH"/>
        </w:rPr>
        <w:t>a)</w:t>
      </w:r>
      <w:r w:rsidRPr="00776B01">
        <w:rPr>
          <w:lang w:val="fr-CH"/>
        </w:rPr>
        <w:tab/>
      </w:r>
      <w:r w:rsidR="00776B01" w:rsidRPr="00FE6621">
        <w:rPr>
          <w:lang w:val="fr-CH"/>
        </w:rPr>
        <w:t xml:space="preserve">l'objectif de </w:t>
      </w:r>
      <w:r w:rsidR="00836E5C">
        <w:rPr>
          <w:lang w:val="fr-CH"/>
        </w:rPr>
        <w:t>parvenir à l'horizon 2020 à un accès</w:t>
      </w:r>
      <w:r w:rsidR="00776B01" w:rsidRPr="00FE6621">
        <w:rPr>
          <w:lang w:val="fr-CH"/>
        </w:rPr>
        <w:t xml:space="preserve"> aux services financiers </w:t>
      </w:r>
      <w:r w:rsidR="00836E5C">
        <w:rPr>
          <w:lang w:val="fr-CH"/>
        </w:rPr>
        <w:t>universel qui a été fixé</w:t>
      </w:r>
      <w:r w:rsidR="00776B01" w:rsidRPr="00FE6621">
        <w:rPr>
          <w:lang w:val="fr-CH"/>
        </w:rPr>
        <w:t xml:space="preserve"> par la Banque mondiale</w:t>
      </w:r>
      <w:r w:rsidR="00836E5C">
        <w:rPr>
          <w:lang w:val="fr-CH"/>
        </w:rPr>
        <w:t xml:space="preserve">, </w:t>
      </w:r>
      <w:r w:rsidR="00776B01" w:rsidRPr="00FE6621">
        <w:rPr>
          <w:lang w:val="fr-CH"/>
        </w:rPr>
        <w:t xml:space="preserve">objectif </w:t>
      </w:r>
      <w:r w:rsidR="00836E5C">
        <w:rPr>
          <w:lang w:val="fr-CH"/>
        </w:rPr>
        <w:t xml:space="preserve">qui </w:t>
      </w:r>
      <w:r w:rsidR="00776B01" w:rsidRPr="00FE6621">
        <w:rPr>
          <w:lang w:val="fr-CH"/>
        </w:rPr>
        <w:t>sera a</w:t>
      </w:r>
      <w:r w:rsidR="00836E5C">
        <w:rPr>
          <w:lang w:val="fr-CH"/>
        </w:rPr>
        <w:t>tteint à l'échelle mondiale si tout un chacun peut</w:t>
      </w:r>
      <w:r w:rsidR="00776B01" w:rsidRPr="00FE6621">
        <w:rPr>
          <w:lang w:val="fr-CH"/>
        </w:rPr>
        <w:t xml:space="preserve"> avoir accès à un compte ou à un instrument électronique pour stocker de l'argent, envoyer des paiements et recevoir des dépôts</w:t>
      </w:r>
      <w:r w:rsidR="00836E5C">
        <w:rPr>
          <w:lang w:val="fr-CH"/>
        </w:rPr>
        <w:t>, et ainsi</w:t>
      </w:r>
      <w:r w:rsidR="00B6379B" w:rsidRPr="00FE6621">
        <w:rPr>
          <w:lang w:val="fr-CH"/>
        </w:rPr>
        <w:t xml:space="preserve"> mieux gérer sa vie au niveau financier</w:t>
      </w:r>
      <w:r w:rsidRPr="00FE6621">
        <w:rPr>
          <w:lang w:val="fr-CH"/>
        </w:rPr>
        <w:t>;</w:t>
      </w:r>
    </w:p>
    <w:p w:rsidR="00612104" w:rsidRPr="00FE6621" w:rsidRDefault="00612104" w:rsidP="00985BF8">
      <w:pPr>
        <w:rPr>
          <w:lang w:val="fr-CH"/>
        </w:rPr>
      </w:pPr>
      <w:r w:rsidRPr="00DA60AA">
        <w:rPr>
          <w:i/>
          <w:iCs/>
          <w:lang w:val="fr-CH"/>
        </w:rPr>
        <w:t>b)</w:t>
      </w:r>
      <w:r w:rsidRPr="00DA60AA">
        <w:rPr>
          <w:lang w:val="fr-CH"/>
        </w:rPr>
        <w:tab/>
      </w:r>
      <w:r w:rsidR="00B6379B" w:rsidRPr="00FE6621">
        <w:rPr>
          <w:lang w:val="fr-CH"/>
        </w:rPr>
        <w:t xml:space="preserve">que le </w:t>
      </w:r>
      <w:r w:rsidR="00DA60AA" w:rsidRPr="00FE6621">
        <w:rPr>
          <w:lang w:val="fr-CH"/>
        </w:rPr>
        <w:t>Groupe de la Banque mondiale s'est engagé à ce qu'un milliard de personnes puisse avoir accès à un compte courant, moyennant des interventions ciblées</w:t>
      </w:r>
      <w:r w:rsidRPr="00FE6621">
        <w:rPr>
          <w:lang w:val="fr-CH"/>
        </w:rPr>
        <w:t>;</w:t>
      </w:r>
    </w:p>
    <w:p w:rsidR="00612104" w:rsidRPr="00FE6621" w:rsidRDefault="00612104" w:rsidP="00E63611">
      <w:pPr>
        <w:rPr>
          <w:lang w:val="fr-CH"/>
        </w:rPr>
      </w:pPr>
      <w:r w:rsidRPr="00DA60AA">
        <w:rPr>
          <w:i/>
          <w:iCs/>
          <w:lang w:val="fr-CH"/>
        </w:rPr>
        <w:t>c)</w:t>
      </w:r>
      <w:r w:rsidRPr="00DA60AA">
        <w:rPr>
          <w:lang w:val="fr-CH"/>
        </w:rPr>
        <w:tab/>
      </w:r>
      <w:r w:rsidR="00DA60AA" w:rsidRPr="00FE6621">
        <w:rPr>
          <w:lang w:val="fr-CH"/>
        </w:rPr>
        <w:t xml:space="preserve">que l'interopérabilité permet </w:t>
      </w:r>
      <w:r w:rsidR="00836E5C">
        <w:rPr>
          <w:lang w:val="fr-CH"/>
        </w:rPr>
        <w:t xml:space="preserve">à des utilisateurs </w:t>
      </w:r>
      <w:r w:rsidR="00DA60AA" w:rsidRPr="00FE6621">
        <w:rPr>
          <w:lang w:val="fr-CH"/>
        </w:rPr>
        <w:t xml:space="preserve">du monde entier d'effectuer des paiements électroniques de manière pratique, peu coûteuse, rapide, fluide et sécurisée, à l'aide d'un compte courant. La nécessité de l'interopérabilité a été l'une des conclusions du Groupe d'action sur les </w:t>
      </w:r>
      <w:r w:rsidR="00C65977" w:rsidRPr="00FE6621">
        <w:rPr>
          <w:lang w:val="fr-CH"/>
        </w:rPr>
        <w:t>a</w:t>
      </w:r>
      <w:r w:rsidR="004639D0">
        <w:rPr>
          <w:lang w:val="fr-CH"/>
        </w:rPr>
        <w:t>s</w:t>
      </w:r>
      <w:r w:rsidR="00C65977" w:rsidRPr="00FE6621">
        <w:rPr>
          <w:lang w:val="fr-CH"/>
        </w:rPr>
        <w:t xml:space="preserve">pects </w:t>
      </w:r>
      <w:r w:rsidR="00E63611">
        <w:rPr>
          <w:lang w:val="fr-CH"/>
        </w:rPr>
        <w:t>de l'inclusion financière</w:t>
      </w:r>
      <w:bookmarkStart w:id="0" w:name="_GoBack"/>
      <w:bookmarkEnd w:id="0"/>
      <w:r w:rsidR="00836E5C">
        <w:rPr>
          <w:lang w:val="fr-CH"/>
        </w:rPr>
        <w:t xml:space="preserve"> liés aux paiements</w:t>
      </w:r>
      <w:r w:rsidR="00C65977" w:rsidRPr="00FE6621">
        <w:rPr>
          <w:lang w:val="fr-CH"/>
        </w:rPr>
        <w:t xml:space="preserve"> (PAFI) du Groupe de la Banque mondiale</w:t>
      </w:r>
      <w:r w:rsidR="00E63611">
        <w:rPr>
          <w:lang w:val="fr-CH"/>
        </w:rPr>
        <w:t>-</w:t>
      </w:r>
      <w:r w:rsidR="00836E5C">
        <w:rPr>
          <w:lang w:val="fr-CH"/>
        </w:rPr>
        <w:t>Comité sur les paiements et les infrastructures de marché</w:t>
      </w:r>
      <w:r w:rsidR="00D62C6A">
        <w:rPr>
          <w:lang w:val="fr-CH"/>
        </w:rPr>
        <w:t xml:space="preserve"> </w:t>
      </w:r>
      <w:r w:rsidR="00E369A1">
        <w:rPr>
          <w:lang w:val="fr-CH"/>
        </w:rPr>
        <w:t>(</w:t>
      </w:r>
      <w:r w:rsidR="00C65977" w:rsidRPr="00FE6621">
        <w:rPr>
          <w:lang w:val="fr-CH"/>
        </w:rPr>
        <w:t>CPMI</w:t>
      </w:r>
      <w:r w:rsidR="00E369A1">
        <w:rPr>
          <w:lang w:val="fr-CH"/>
        </w:rPr>
        <w:t>), lequel</w:t>
      </w:r>
      <w:r w:rsidR="00E63611">
        <w:rPr>
          <w:lang w:val="fr-CH"/>
        </w:rPr>
        <w:t xml:space="preserve"> </w:t>
      </w:r>
      <w:r w:rsidR="00C65977" w:rsidRPr="00FE6621">
        <w:rPr>
          <w:lang w:val="fr-CH"/>
        </w:rPr>
        <w:t xml:space="preserve">a identifié les améliorations à apporter aux systèmes et aux services de paiement pour </w:t>
      </w:r>
      <w:r w:rsidR="00E369A1">
        <w:rPr>
          <w:lang w:val="fr-CH"/>
        </w:rPr>
        <w:t xml:space="preserve">améliorer </w:t>
      </w:r>
      <w:r w:rsidR="00C65977" w:rsidRPr="00FE6621">
        <w:rPr>
          <w:lang w:val="fr-CH"/>
        </w:rPr>
        <w:t>encore l'inclusion financière</w:t>
      </w:r>
      <w:r w:rsidRPr="00FE6621">
        <w:rPr>
          <w:lang w:val="fr-CH"/>
        </w:rPr>
        <w:t>;</w:t>
      </w:r>
    </w:p>
    <w:p w:rsidR="00612104" w:rsidRPr="00FE6621" w:rsidRDefault="00612104" w:rsidP="00985BF8">
      <w:pPr>
        <w:rPr>
          <w:lang w:val="fr-CH"/>
        </w:rPr>
      </w:pPr>
      <w:r w:rsidRPr="00C65977">
        <w:rPr>
          <w:i/>
          <w:iCs/>
          <w:szCs w:val="24"/>
          <w:lang w:val="fr-CH"/>
        </w:rPr>
        <w:t>d)</w:t>
      </w:r>
      <w:r w:rsidRPr="00C65977">
        <w:rPr>
          <w:szCs w:val="24"/>
          <w:lang w:val="fr-CH"/>
        </w:rPr>
        <w:tab/>
      </w:r>
      <w:r w:rsidR="00C65977" w:rsidRPr="00FE6621">
        <w:rPr>
          <w:lang w:val="fr-CH"/>
        </w:rPr>
        <w:t>que, ma</w:t>
      </w:r>
      <w:r w:rsidR="008B59DC">
        <w:rPr>
          <w:lang w:val="fr-CH"/>
        </w:rPr>
        <w:t>lgré le franc succès du service</w:t>
      </w:r>
      <w:r w:rsidRPr="00FE6621">
        <w:rPr>
          <w:lang w:val="fr-CH"/>
        </w:rPr>
        <w:t xml:space="preserve"> M-PESA </w:t>
      </w:r>
      <w:r w:rsidR="00C65977" w:rsidRPr="00FE6621">
        <w:rPr>
          <w:lang w:val="fr-CH"/>
        </w:rPr>
        <w:t>au Kenya, pays dans lequel un tiers environ du PIB est absorbé par ce service, les services financiers numériques n'ont pas connu le même succès et n'ont pas été aussi largement utilisé</w:t>
      </w:r>
      <w:r w:rsidR="00E369A1">
        <w:rPr>
          <w:lang w:val="fr-CH"/>
        </w:rPr>
        <w:t>s que</w:t>
      </w:r>
      <w:r w:rsidR="00C65977" w:rsidRPr="00FE6621">
        <w:rPr>
          <w:lang w:val="fr-CH"/>
        </w:rPr>
        <w:t xml:space="preserve"> dan</w:t>
      </w:r>
      <w:r w:rsidR="007172E0">
        <w:rPr>
          <w:lang w:val="fr-CH"/>
        </w:rPr>
        <w:t>s d'autres économies émergentes</w:t>
      </w:r>
      <w:r w:rsidRPr="00FE6621">
        <w:rPr>
          <w:lang w:val="fr-CH"/>
        </w:rPr>
        <w:t>;</w:t>
      </w:r>
    </w:p>
    <w:p w:rsidR="00612104" w:rsidRPr="00FE6621" w:rsidRDefault="00612104" w:rsidP="00985BF8">
      <w:pPr>
        <w:rPr>
          <w:lang w:val="fr-CH"/>
        </w:rPr>
      </w:pPr>
      <w:r w:rsidRPr="00C65977">
        <w:rPr>
          <w:i/>
          <w:iCs/>
          <w:szCs w:val="24"/>
          <w:lang w:val="fr-CH"/>
        </w:rPr>
        <w:t>e)</w:t>
      </w:r>
      <w:r w:rsidRPr="00C65977">
        <w:rPr>
          <w:szCs w:val="24"/>
          <w:lang w:val="fr-CH"/>
        </w:rPr>
        <w:tab/>
      </w:r>
      <w:r w:rsidR="00C65977" w:rsidRPr="00FE6621">
        <w:rPr>
          <w:lang w:val="fr-CH"/>
        </w:rPr>
        <w:t xml:space="preserve">que les coûts liés aux services financiers numériques et aux transferts d'argent sur </w:t>
      </w:r>
      <w:r w:rsidR="00E369A1">
        <w:rPr>
          <w:lang w:val="fr-CH"/>
        </w:rPr>
        <w:t>mobile restent</w:t>
      </w:r>
      <w:r w:rsidR="00C65977" w:rsidRPr="00FE6621">
        <w:rPr>
          <w:lang w:val="fr-CH"/>
        </w:rPr>
        <w:t xml:space="preserve"> très élevés pour les personnes </w:t>
      </w:r>
      <w:r w:rsidR="00E369A1">
        <w:rPr>
          <w:lang w:val="fr-CH"/>
        </w:rPr>
        <w:t xml:space="preserve">qui se trouvent </w:t>
      </w:r>
      <w:r w:rsidR="00C65977" w:rsidRPr="00FE6621">
        <w:rPr>
          <w:lang w:val="fr-CH"/>
        </w:rPr>
        <w:t>au bas de la pyramide</w:t>
      </w:r>
      <w:r w:rsidRPr="00FE6621">
        <w:rPr>
          <w:lang w:val="fr-CH"/>
        </w:rPr>
        <w:t>;</w:t>
      </w:r>
    </w:p>
    <w:p w:rsidR="00612104" w:rsidRPr="00FE6621" w:rsidRDefault="00612104" w:rsidP="00985BF8">
      <w:pPr>
        <w:rPr>
          <w:lang w:val="fr-CH"/>
        </w:rPr>
      </w:pPr>
      <w:r w:rsidRPr="00C65977">
        <w:rPr>
          <w:i/>
          <w:iCs/>
          <w:szCs w:val="24"/>
          <w:lang w:val="fr-CH"/>
        </w:rPr>
        <w:t>f)</w:t>
      </w:r>
      <w:r w:rsidRPr="00C65977">
        <w:rPr>
          <w:i/>
          <w:iCs/>
          <w:szCs w:val="24"/>
          <w:lang w:val="fr-CH"/>
        </w:rPr>
        <w:tab/>
      </w:r>
      <w:r w:rsidR="00E369A1">
        <w:rPr>
          <w:lang w:val="fr-CH"/>
        </w:rPr>
        <w:t>les travaux du Groupe spécialisé de l'UIT-</w:t>
      </w:r>
      <w:r w:rsidR="00C65977" w:rsidRPr="00FE6621">
        <w:rPr>
          <w:lang w:val="fr-CH"/>
        </w:rPr>
        <w:t>T sur les services finan</w:t>
      </w:r>
      <w:r w:rsidR="00E369A1">
        <w:rPr>
          <w:lang w:val="fr-CH"/>
        </w:rPr>
        <w:t>ciers numériques pour recenser les principaux obstacles qui freinent</w:t>
      </w:r>
      <w:r w:rsidR="00C65977" w:rsidRPr="00FE6621">
        <w:rPr>
          <w:lang w:val="fr-CH"/>
        </w:rPr>
        <w:t xml:space="preserve"> l'essor des services financiers numériques à l'échelle mondiale et pour élaborer des lignes directrices et </w:t>
      </w:r>
      <w:r w:rsidR="00E369A1">
        <w:rPr>
          <w:lang w:val="fr-CH"/>
        </w:rPr>
        <w:t>des bonnes pratiques qui serviront</w:t>
      </w:r>
      <w:r w:rsidR="00C65977" w:rsidRPr="00FE6621">
        <w:rPr>
          <w:lang w:val="fr-CH"/>
        </w:rPr>
        <w:t xml:space="preserve"> d'outils pour les </w:t>
      </w:r>
      <w:r w:rsidR="00E369A1">
        <w:rPr>
          <w:lang w:val="fr-CH"/>
        </w:rPr>
        <w:t>régulateurs des deux secteurs a</w:t>
      </w:r>
      <w:r w:rsidR="00C65977" w:rsidRPr="00FE6621">
        <w:rPr>
          <w:lang w:val="fr-CH"/>
        </w:rPr>
        <w:t>fin de mettre en place des stratégies efficaces en matière d'inclusion numérique</w:t>
      </w:r>
      <w:r w:rsidRPr="00FE6621">
        <w:rPr>
          <w:lang w:val="fr-CH"/>
        </w:rPr>
        <w:t>,</w:t>
      </w:r>
    </w:p>
    <w:p w:rsidR="00612104" w:rsidRPr="00612104" w:rsidRDefault="00612104" w:rsidP="00985BF8">
      <w:pPr>
        <w:pStyle w:val="Call"/>
        <w:rPr>
          <w:iCs/>
          <w:lang w:val="fr-FR"/>
        </w:rPr>
      </w:pPr>
      <w:r w:rsidRPr="00612104">
        <w:rPr>
          <w:lang w:val="fr-FR"/>
        </w:rPr>
        <w:t>décide</w:t>
      </w:r>
    </w:p>
    <w:p w:rsidR="00612104" w:rsidRPr="00FE6621" w:rsidRDefault="008308F6" w:rsidP="00985BF8">
      <w:pPr>
        <w:rPr>
          <w:lang w:val="fr-CH"/>
        </w:rPr>
      </w:pPr>
      <w:r>
        <w:rPr>
          <w:lang w:val="fr-CH"/>
        </w:rPr>
        <w:t>1</w:t>
      </w:r>
      <w:r>
        <w:rPr>
          <w:lang w:val="fr-CH"/>
        </w:rPr>
        <w:tab/>
      </w:r>
      <w:r w:rsidR="00612104" w:rsidRPr="00FE6621">
        <w:rPr>
          <w:lang w:val="fr-CH"/>
        </w:rPr>
        <w:t>de continuer à mettre en œuvre et d'élargir le progr</w:t>
      </w:r>
      <w:r w:rsidR="00E369A1">
        <w:rPr>
          <w:lang w:val="fr-CH"/>
        </w:rPr>
        <w:t xml:space="preserve">amme de travail de l'UIT-T qui a démarré en juin 2014 avec la création du </w:t>
      </w:r>
      <w:r w:rsidR="00E63611">
        <w:rPr>
          <w:lang w:val="fr-CH"/>
        </w:rPr>
        <w:t>G</w:t>
      </w:r>
      <w:r w:rsidR="00E369A1">
        <w:rPr>
          <w:lang w:val="fr-CH"/>
        </w:rPr>
        <w:t>roupe spécialisé sur les services financiers</w:t>
      </w:r>
      <w:r w:rsidR="00612104" w:rsidRPr="00FE6621">
        <w:rPr>
          <w:lang w:val="fr-CH"/>
        </w:rPr>
        <w:t>, de manière à contribuer aux initiatives générales déployées à l'échelle mon</w:t>
      </w:r>
      <w:r w:rsidR="00B67BA3">
        <w:rPr>
          <w:lang w:val="fr-CH"/>
        </w:rPr>
        <w:t xml:space="preserve">diale pour améliorer l'inclusion financière, </w:t>
      </w:r>
      <w:r w:rsidR="00612104" w:rsidRPr="00FE6621">
        <w:rPr>
          <w:lang w:val="fr-CH"/>
        </w:rPr>
        <w:t>dans le cadre des processus des Nations Unies;</w:t>
      </w:r>
    </w:p>
    <w:p w:rsidR="00612104" w:rsidRPr="00FE6621" w:rsidRDefault="008308F6" w:rsidP="00E63611">
      <w:pPr>
        <w:rPr>
          <w:lang w:val="fr-CH"/>
        </w:rPr>
      </w:pPr>
      <w:r>
        <w:rPr>
          <w:lang w:val="fr-CH"/>
        </w:rPr>
        <w:t>2</w:t>
      </w:r>
      <w:r>
        <w:rPr>
          <w:lang w:val="fr-CH"/>
        </w:rPr>
        <w:tab/>
      </w:r>
      <w:r w:rsidR="00612104" w:rsidRPr="00FE6621">
        <w:rPr>
          <w:lang w:val="fr-CH"/>
        </w:rPr>
        <w:t>de tenir compte de</w:t>
      </w:r>
      <w:r w:rsidR="00B67BA3">
        <w:rPr>
          <w:lang w:val="fr-CH"/>
        </w:rPr>
        <w:t>s progrès déjà réalisés lors de c</w:t>
      </w:r>
      <w:r w:rsidR="00612104" w:rsidRPr="00FE6621">
        <w:rPr>
          <w:lang w:val="fr-CH"/>
        </w:rPr>
        <w:t>oll</w:t>
      </w:r>
      <w:r w:rsidR="00B67BA3">
        <w:rPr>
          <w:lang w:val="fr-CH"/>
        </w:rPr>
        <w:t>oques internationaux sur les services financiers numériques</w:t>
      </w:r>
      <w:r w:rsidR="00612104" w:rsidRPr="00FE6621">
        <w:rPr>
          <w:lang w:val="fr-CH"/>
        </w:rPr>
        <w:t xml:space="preserve"> en diffusant le plus largement</w:t>
      </w:r>
      <w:r w:rsidR="00B67BA3">
        <w:rPr>
          <w:lang w:val="fr-CH"/>
        </w:rPr>
        <w:t xml:space="preserve"> possible les résultats de ces c</w:t>
      </w:r>
      <w:r w:rsidR="00612104" w:rsidRPr="00FE6621">
        <w:rPr>
          <w:lang w:val="fr-CH"/>
        </w:rPr>
        <w:t>olloques</w:t>
      </w:r>
      <w:r w:rsidRPr="00FE6621">
        <w:rPr>
          <w:lang w:val="fr-CH"/>
        </w:rPr>
        <w:t>;</w:t>
      </w:r>
    </w:p>
    <w:p w:rsidR="008308F6" w:rsidRPr="00FE6621" w:rsidRDefault="008308F6" w:rsidP="00E63611">
      <w:pPr>
        <w:rPr>
          <w:lang w:val="fr-CH"/>
        </w:rPr>
      </w:pPr>
      <w:r w:rsidRPr="00773575">
        <w:rPr>
          <w:lang w:val="fr-CH"/>
        </w:rPr>
        <w:t>3</w:t>
      </w:r>
      <w:r w:rsidRPr="00773575">
        <w:rPr>
          <w:lang w:val="fr-CH"/>
        </w:rPr>
        <w:tab/>
      </w:r>
      <w:r w:rsidR="00C65977" w:rsidRPr="00FE6621">
        <w:rPr>
          <w:lang w:val="fr-CH"/>
        </w:rPr>
        <w:t>d'encourager l'adoption de Recommandations</w:t>
      </w:r>
      <w:r w:rsidR="00B67BA3">
        <w:rPr>
          <w:lang w:val="fr-CH"/>
        </w:rPr>
        <w:t xml:space="preserve"> pour </w:t>
      </w:r>
      <w:r w:rsidR="00773575" w:rsidRPr="00FE6621">
        <w:rPr>
          <w:lang w:val="fr-CH"/>
        </w:rPr>
        <w:t>accroître l'utilisatio</w:t>
      </w:r>
      <w:r w:rsidR="00B67BA3">
        <w:rPr>
          <w:lang w:val="fr-CH"/>
        </w:rPr>
        <w:t>n des TIC en tant que moyen d'améliorer</w:t>
      </w:r>
      <w:r w:rsidR="00773575" w:rsidRPr="00FE6621">
        <w:rPr>
          <w:lang w:val="fr-CH"/>
        </w:rPr>
        <w:t xml:space="preserve"> l'inclusion financière </w:t>
      </w:r>
      <w:r w:rsidR="00B67BA3">
        <w:rPr>
          <w:lang w:val="fr-CH"/>
        </w:rPr>
        <w:t xml:space="preserve">et </w:t>
      </w:r>
      <w:r w:rsidR="00773575" w:rsidRPr="00FE6621">
        <w:rPr>
          <w:lang w:val="fr-CH"/>
        </w:rPr>
        <w:t>de numériser les paiements des</w:t>
      </w:r>
      <w:r w:rsidR="00B67BA3">
        <w:rPr>
          <w:lang w:val="fr-CH"/>
        </w:rPr>
        <w:t xml:space="preserve"> administrations publiques et améliorer la</w:t>
      </w:r>
      <w:r w:rsidR="00773575" w:rsidRPr="00FE6621">
        <w:rPr>
          <w:lang w:val="fr-CH"/>
        </w:rPr>
        <w:t xml:space="preserve"> gestion </w:t>
      </w:r>
      <w:r w:rsidR="00B67BA3">
        <w:rPr>
          <w:lang w:val="fr-CH"/>
        </w:rPr>
        <w:t xml:space="preserve">de ces technologies dans les </w:t>
      </w:r>
      <w:r w:rsidR="00773575" w:rsidRPr="00FE6621">
        <w:rPr>
          <w:lang w:val="fr-CH"/>
        </w:rPr>
        <w:t>ac</w:t>
      </w:r>
      <w:r w:rsidR="00B67BA3">
        <w:rPr>
          <w:lang w:val="fr-CH"/>
        </w:rPr>
        <w:t>tivités sociales et économiques</w:t>
      </w:r>
      <w:r w:rsidRPr="00FE6621">
        <w:rPr>
          <w:lang w:val="fr-CH"/>
        </w:rPr>
        <w:t>;</w:t>
      </w:r>
    </w:p>
    <w:p w:rsidR="00FE09B1" w:rsidRPr="00FE6621" w:rsidRDefault="00FE09B1" w:rsidP="00985BF8">
      <w:pPr>
        <w:rPr>
          <w:lang w:val="fr-CH"/>
        </w:rPr>
      </w:pPr>
      <w:r w:rsidRPr="00773575">
        <w:rPr>
          <w:szCs w:val="24"/>
          <w:lang w:val="fr-CH"/>
        </w:rPr>
        <w:t>4</w:t>
      </w:r>
      <w:r w:rsidRPr="00773575">
        <w:rPr>
          <w:szCs w:val="24"/>
          <w:lang w:val="fr-CH"/>
        </w:rPr>
        <w:tab/>
      </w:r>
      <w:r w:rsidR="00773575" w:rsidRPr="00FE6621">
        <w:rPr>
          <w:lang w:val="fr-CH"/>
        </w:rPr>
        <w:t>d'inviter les parties concernées à œuvrer ensemble pour élaborer des normes et des lignes directrices dans les domaines de l'interopérabilité, de la numérisation des paiements et de la sécurité des transactions des services financiers numériques</w:t>
      </w:r>
      <w:r w:rsidRPr="00FE6621">
        <w:rPr>
          <w:lang w:val="fr-CH"/>
        </w:rPr>
        <w:t>,</w:t>
      </w:r>
    </w:p>
    <w:p w:rsidR="008308F6" w:rsidRPr="00773575" w:rsidRDefault="00773575" w:rsidP="00985BF8">
      <w:pPr>
        <w:pStyle w:val="Call"/>
        <w:rPr>
          <w:lang w:val="fr-CH"/>
        </w:rPr>
      </w:pPr>
      <w:r w:rsidRPr="00773575">
        <w:rPr>
          <w:lang w:val="fr-CH"/>
        </w:rPr>
        <w:t xml:space="preserve">charge le Directeur du bureau de la normalisation des télécommunications, </w:t>
      </w:r>
      <w:r>
        <w:rPr>
          <w:lang w:val="fr-CH"/>
        </w:rPr>
        <w:t xml:space="preserve">en collaboration avec les Directeurs des autres Bureaux </w:t>
      </w:r>
    </w:p>
    <w:p w:rsidR="008308F6" w:rsidRDefault="008308F6" w:rsidP="00985BF8">
      <w:pPr>
        <w:rPr>
          <w:lang w:val="fr-CH"/>
        </w:rPr>
      </w:pPr>
      <w:r w:rsidRPr="008308F6">
        <w:rPr>
          <w:lang w:val="fr-FR"/>
        </w:rPr>
        <w:t>1</w:t>
      </w:r>
      <w:r w:rsidRPr="008308F6">
        <w:rPr>
          <w:lang w:val="fr-FR"/>
        </w:rPr>
        <w:tab/>
      </w:r>
      <w:r w:rsidRPr="001D7F79">
        <w:rPr>
          <w:lang w:val="fr-CH"/>
        </w:rPr>
        <w:t>de présenter un rapport sur les progrès accomplis dans l'application de la présente Résolution chaque année au Conseil de l'UIT et à l'Assemblée mondiale de normalisatio</w:t>
      </w:r>
      <w:r w:rsidR="00B67BA3">
        <w:rPr>
          <w:lang w:val="fr-CH"/>
        </w:rPr>
        <w:t>n des télécommunications de 2020</w:t>
      </w:r>
      <w:r w:rsidRPr="001D7F79">
        <w:rPr>
          <w:lang w:val="fr-CH"/>
        </w:rPr>
        <w:t>;</w:t>
      </w:r>
    </w:p>
    <w:p w:rsidR="008308F6" w:rsidRDefault="008308F6" w:rsidP="00985BF8">
      <w:pPr>
        <w:rPr>
          <w:lang w:val="fr-CH"/>
        </w:rPr>
      </w:pPr>
      <w:r>
        <w:rPr>
          <w:lang w:val="fr-CH"/>
        </w:rPr>
        <w:t>2</w:t>
      </w:r>
      <w:r>
        <w:rPr>
          <w:lang w:val="fr-CH"/>
        </w:rPr>
        <w:tab/>
      </w:r>
      <w:r w:rsidRPr="001D7F79">
        <w:rPr>
          <w:lang w:val="fr-CH"/>
        </w:rPr>
        <w:t>de lancer des projets pilotes visant à réduire l'écart en matière de</w:t>
      </w:r>
      <w:r>
        <w:rPr>
          <w:lang w:val="fr-CH"/>
        </w:rPr>
        <w:t xml:space="preserve"> normalisation </w:t>
      </w:r>
      <w:r w:rsidR="00B67BA3">
        <w:rPr>
          <w:lang w:val="fr-CH"/>
        </w:rPr>
        <w:t>en ce qui concerne les services financiers numériques</w:t>
      </w:r>
      <w:r w:rsidRPr="001D7F79">
        <w:rPr>
          <w:lang w:val="fr-CH"/>
        </w:rPr>
        <w:t>, en particulier dans les pays en développement;</w:t>
      </w:r>
    </w:p>
    <w:p w:rsidR="008308F6" w:rsidRPr="00773575" w:rsidRDefault="008308F6" w:rsidP="00985BF8">
      <w:pPr>
        <w:rPr>
          <w:lang w:val="fr-CH"/>
        </w:rPr>
      </w:pPr>
      <w:r w:rsidRPr="00773575">
        <w:rPr>
          <w:lang w:val="fr-CH"/>
        </w:rPr>
        <w:t>3</w:t>
      </w:r>
      <w:r w:rsidRPr="00773575">
        <w:rPr>
          <w:lang w:val="fr-CH"/>
        </w:rPr>
        <w:tab/>
      </w:r>
      <w:r w:rsidR="00773575" w:rsidRPr="00773575">
        <w:rPr>
          <w:lang w:val="fr-CH"/>
        </w:rPr>
        <w:t xml:space="preserve">d'appuyer </w:t>
      </w:r>
      <w:r w:rsidR="00B67BA3">
        <w:rPr>
          <w:lang w:val="fr-CH"/>
        </w:rPr>
        <w:t>l</w:t>
      </w:r>
      <w:r w:rsidR="004639D0">
        <w:rPr>
          <w:lang w:val="fr-CH"/>
        </w:rPr>
        <w:t>'</w:t>
      </w:r>
      <w:r w:rsidR="00773575" w:rsidRPr="00773575">
        <w:rPr>
          <w:lang w:val="fr-CH"/>
        </w:rPr>
        <w:t>élaboration de rapports et de bonnes pratiques sur l'inclusion f</w:t>
      </w:r>
      <w:r w:rsidR="00B67BA3">
        <w:rPr>
          <w:lang w:val="fr-CH"/>
        </w:rPr>
        <w:t>inancière numérique en tenant compte</w:t>
      </w:r>
      <w:r w:rsidR="00773575" w:rsidRPr="00773575">
        <w:rPr>
          <w:lang w:val="fr-CH"/>
        </w:rPr>
        <w:t xml:space="preserve"> des études </w:t>
      </w:r>
      <w:r w:rsidR="00773575">
        <w:rPr>
          <w:lang w:val="fr-CH"/>
        </w:rPr>
        <w:t>pertinentes, en particulier des travaux actuellement en cours au sei</w:t>
      </w:r>
      <w:r w:rsidR="00B67BA3">
        <w:rPr>
          <w:lang w:val="fr-CH"/>
        </w:rPr>
        <w:t>n du Groupe spécialisé de l'UIT-</w:t>
      </w:r>
      <w:r w:rsidR="00773575">
        <w:rPr>
          <w:lang w:val="fr-CH"/>
        </w:rPr>
        <w:t>T sur les services financiers numériques, y compris les questions se rapportant</w:t>
      </w:r>
      <w:r w:rsidR="00B67BA3">
        <w:rPr>
          <w:lang w:val="fr-CH"/>
        </w:rPr>
        <w:t xml:space="preserve"> notamment</w:t>
      </w:r>
      <w:r w:rsidR="00773575">
        <w:rPr>
          <w:lang w:val="fr-CH"/>
        </w:rPr>
        <w:t xml:space="preserve"> à l'interopérabilité, à la protection du consommateur ou à de nouvelles technologies </w:t>
      </w:r>
      <w:r w:rsidR="00773575">
        <w:rPr>
          <w:szCs w:val="24"/>
          <w:lang w:val="fr-CH"/>
        </w:rPr>
        <w:t xml:space="preserve">comme les </w:t>
      </w:r>
      <w:r w:rsidR="00B67BA3">
        <w:rPr>
          <w:szCs w:val="24"/>
          <w:lang w:val="fr-CH"/>
        </w:rPr>
        <w:t>monnaies cryptographiques</w:t>
      </w:r>
      <w:r w:rsidRPr="001B0D9E">
        <w:rPr>
          <w:szCs w:val="24"/>
          <w:lang w:val="fr-CH"/>
        </w:rPr>
        <w:t>;</w:t>
      </w:r>
    </w:p>
    <w:p w:rsidR="00612104" w:rsidRPr="00773575" w:rsidRDefault="008308F6" w:rsidP="00985BF8">
      <w:pPr>
        <w:rPr>
          <w:szCs w:val="24"/>
          <w:lang w:val="fr-CH"/>
        </w:rPr>
      </w:pPr>
      <w:r w:rsidRPr="00773575">
        <w:rPr>
          <w:lang w:val="fr-CH"/>
        </w:rPr>
        <w:t>4</w:t>
      </w:r>
      <w:r w:rsidRPr="00773575">
        <w:rPr>
          <w:lang w:val="fr-CH"/>
        </w:rPr>
        <w:tab/>
      </w:r>
      <w:r w:rsidR="00773575" w:rsidRPr="00773575">
        <w:rPr>
          <w:lang w:val="fr-CH"/>
        </w:rPr>
        <w:t xml:space="preserve">d'encourager l'utilisation de technologies et d'outils novateurs, notamment </w:t>
      </w:r>
      <w:r w:rsidR="00773575">
        <w:rPr>
          <w:lang w:val="fr-CH"/>
        </w:rPr>
        <w:t>les opérations bancaires sur mobile, les plates-formes de paiement et les p</w:t>
      </w:r>
      <w:r w:rsidR="00B67BA3">
        <w:rPr>
          <w:lang w:val="fr-CH"/>
        </w:rPr>
        <w:t>aiements numérisés, selon qu'il conviendra</w:t>
      </w:r>
      <w:r w:rsidRPr="00773575">
        <w:rPr>
          <w:szCs w:val="24"/>
          <w:lang w:val="fr-CH"/>
        </w:rPr>
        <w:t>;</w:t>
      </w:r>
    </w:p>
    <w:p w:rsidR="008308F6" w:rsidRPr="00FE6621" w:rsidRDefault="008308F6" w:rsidP="00985BF8">
      <w:pPr>
        <w:rPr>
          <w:lang w:val="fr-CH"/>
        </w:rPr>
      </w:pPr>
      <w:r w:rsidRPr="00773575">
        <w:rPr>
          <w:szCs w:val="24"/>
          <w:lang w:val="fr-CH"/>
        </w:rPr>
        <w:t>5</w:t>
      </w:r>
      <w:r w:rsidRPr="00773575">
        <w:rPr>
          <w:szCs w:val="24"/>
          <w:lang w:val="fr-CH"/>
        </w:rPr>
        <w:tab/>
      </w:r>
      <w:r w:rsidR="00773575" w:rsidRPr="00FE6621">
        <w:rPr>
          <w:lang w:val="fr-CH"/>
        </w:rPr>
        <w:t>de mettre en place une plate-forme d'apprentissage par les pairs, de dialogue et de partage de données d'expérience dans le domaine des services financiers numériques entre les pays et les régions, les régulateurs de</w:t>
      </w:r>
      <w:r w:rsidR="00B67BA3">
        <w:rPr>
          <w:lang w:val="fr-CH"/>
        </w:rPr>
        <w:t>s services de télécommunication</w:t>
      </w:r>
      <w:r w:rsidR="00773575" w:rsidRPr="00FE6621">
        <w:rPr>
          <w:lang w:val="fr-CH"/>
        </w:rPr>
        <w:t xml:space="preserve"> et </w:t>
      </w:r>
      <w:r w:rsidR="00B67BA3">
        <w:rPr>
          <w:lang w:val="fr-CH"/>
        </w:rPr>
        <w:t xml:space="preserve">les régulateurs </w:t>
      </w:r>
      <w:r w:rsidR="00773575" w:rsidRPr="00FE6621">
        <w:rPr>
          <w:lang w:val="fr-CH"/>
        </w:rPr>
        <w:t>des services financiers, les experts</w:t>
      </w:r>
      <w:r w:rsidR="00B67BA3">
        <w:rPr>
          <w:lang w:val="fr-CH"/>
        </w:rPr>
        <w:t xml:space="preserve"> du</w:t>
      </w:r>
      <w:r w:rsidR="00773575" w:rsidRPr="00FE6621">
        <w:rPr>
          <w:lang w:val="fr-CH"/>
        </w:rPr>
        <w:t xml:space="preserve"> s</w:t>
      </w:r>
      <w:r w:rsidR="00B67BA3">
        <w:rPr>
          <w:lang w:val="fr-CH"/>
        </w:rPr>
        <w:t>ecteur privé</w:t>
      </w:r>
      <w:r w:rsidR="00773575" w:rsidRPr="00FE6621">
        <w:rPr>
          <w:lang w:val="fr-CH"/>
        </w:rPr>
        <w:t xml:space="preserve"> et les organisations internationales et régionales</w:t>
      </w:r>
      <w:r w:rsidRPr="00FE6621">
        <w:rPr>
          <w:lang w:val="fr-CH"/>
        </w:rPr>
        <w:t>;</w:t>
      </w:r>
    </w:p>
    <w:p w:rsidR="008308F6" w:rsidRPr="00FE6621" w:rsidRDefault="008308F6" w:rsidP="00985BF8">
      <w:pPr>
        <w:rPr>
          <w:lang w:val="fr-CH"/>
        </w:rPr>
      </w:pPr>
      <w:r w:rsidRPr="008308F6">
        <w:rPr>
          <w:szCs w:val="24"/>
          <w:lang w:val="fr-FR"/>
        </w:rPr>
        <w:t>6</w:t>
      </w:r>
      <w:r w:rsidRPr="008308F6">
        <w:rPr>
          <w:szCs w:val="24"/>
          <w:lang w:val="fr-FR"/>
        </w:rPr>
        <w:tab/>
      </w:r>
      <w:r w:rsidRPr="00FE6621">
        <w:rPr>
          <w:lang w:val="fr-CH"/>
        </w:rPr>
        <w:t xml:space="preserve">d'organiser des ateliers et des séminaires à l'intention des pays en développement, afin de les sensibiliser à cette question et d'identifier leurs besoins particuliers et les problèmes </w:t>
      </w:r>
      <w:r w:rsidR="00B67BA3">
        <w:rPr>
          <w:lang w:val="fr-CH"/>
        </w:rPr>
        <w:t xml:space="preserve">particuliers </w:t>
      </w:r>
      <w:r w:rsidRPr="00FE6621">
        <w:rPr>
          <w:lang w:val="fr-CH"/>
        </w:rPr>
        <w:t xml:space="preserve">auxquels ils sont confrontés en ce qui concerne </w:t>
      </w:r>
      <w:r w:rsidR="00B67BA3">
        <w:rPr>
          <w:lang w:val="fr-CH"/>
        </w:rPr>
        <w:t>l</w:t>
      </w:r>
      <w:r w:rsidR="00CC4FB3">
        <w:rPr>
          <w:lang w:val="fr-CH"/>
        </w:rPr>
        <w:t>'amélioration de l'inclusion f</w:t>
      </w:r>
      <w:r w:rsidR="00B67BA3">
        <w:rPr>
          <w:lang w:val="fr-CH"/>
        </w:rPr>
        <w:t>inancière;</w:t>
      </w:r>
    </w:p>
    <w:p w:rsidR="008308F6" w:rsidRDefault="008308F6" w:rsidP="00985BF8">
      <w:pPr>
        <w:rPr>
          <w:lang w:val="fr-CH"/>
        </w:rPr>
      </w:pPr>
      <w:r>
        <w:rPr>
          <w:lang w:val="fr-CH"/>
        </w:rPr>
        <w:t>7</w:t>
      </w:r>
      <w:r>
        <w:rPr>
          <w:lang w:val="fr-CH"/>
        </w:rPr>
        <w:tab/>
      </w:r>
      <w:r w:rsidRPr="001D7F79">
        <w:rPr>
          <w:lang w:val="fr-CH"/>
        </w:rPr>
        <w:t xml:space="preserve">de faire rapport au GCNT sur les progrès accomplis concernant le </w:t>
      </w:r>
      <w:r w:rsidRPr="001D7F79">
        <w:rPr>
          <w:i/>
          <w:iCs/>
          <w:lang w:val="fr-CH"/>
        </w:rPr>
        <w:t>invite le Secrétaire général</w:t>
      </w:r>
      <w:r w:rsidRPr="001D7F79">
        <w:rPr>
          <w:lang w:val="fr-CH"/>
        </w:rPr>
        <w:t xml:space="preserve"> ci-dessous,</w:t>
      </w:r>
    </w:p>
    <w:p w:rsidR="008308F6" w:rsidRDefault="008308F6" w:rsidP="00985BF8">
      <w:pPr>
        <w:pStyle w:val="Call"/>
        <w:rPr>
          <w:lang w:val="fr-CH"/>
        </w:rPr>
      </w:pPr>
      <w:r>
        <w:rPr>
          <w:lang w:val="fr-CH"/>
        </w:rPr>
        <w:t>invite le Secrétaire général</w:t>
      </w:r>
    </w:p>
    <w:p w:rsidR="008308F6" w:rsidRDefault="008308F6" w:rsidP="00985BF8">
      <w:pPr>
        <w:rPr>
          <w:lang w:val="fr-CH"/>
        </w:rPr>
      </w:pPr>
      <w:r w:rsidRPr="001D7F79">
        <w:rPr>
          <w:lang w:val="fr-CH"/>
        </w:rPr>
        <w:t xml:space="preserve">à </w:t>
      </w:r>
      <w:r w:rsidR="00155D02">
        <w:rPr>
          <w:lang w:val="fr-CH"/>
        </w:rPr>
        <w:t xml:space="preserve">continuer de coopérer et de collaborer </w:t>
      </w:r>
      <w:r w:rsidRPr="001D7F79">
        <w:rPr>
          <w:lang w:val="fr-CH"/>
        </w:rPr>
        <w:t xml:space="preserve">avec d'autres entités </w:t>
      </w:r>
      <w:r w:rsidR="00155D02">
        <w:rPr>
          <w:lang w:val="fr-CH"/>
        </w:rPr>
        <w:t>du système des Nations Unies pour définir</w:t>
      </w:r>
      <w:r w:rsidRPr="001D7F79">
        <w:rPr>
          <w:lang w:val="fr-CH"/>
        </w:rPr>
        <w:t xml:space="preserve"> </w:t>
      </w:r>
      <w:r w:rsidR="00155D02">
        <w:rPr>
          <w:lang w:val="fr-CH"/>
        </w:rPr>
        <w:t>les futures mesures à prendre au niveau international</w:t>
      </w:r>
      <w:r w:rsidRPr="001D7F79">
        <w:rPr>
          <w:lang w:val="fr-CH"/>
        </w:rPr>
        <w:t xml:space="preserve"> </w:t>
      </w:r>
      <w:r w:rsidR="00155D02">
        <w:rPr>
          <w:lang w:val="fr-CH"/>
        </w:rPr>
        <w:t>pour faire face efficacement au problème de l'i</w:t>
      </w:r>
      <w:r w:rsidR="007172E0">
        <w:rPr>
          <w:lang w:val="fr-CH"/>
        </w:rPr>
        <w:t>nclusion financière,</w:t>
      </w:r>
    </w:p>
    <w:p w:rsidR="008308F6" w:rsidRPr="001D7F79" w:rsidRDefault="008308F6" w:rsidP="00985BF8">
      <w:pPr>
        <w:pStyle w:val="Call"/>
        <w:rPr>
          <w:lang w:val="fr-CH"/>
        </w:rPr>
      </w:pPr>
      <w:r w:rsidRPr="001D7F79">
        <w:rPr>
          <w:lang w:val="fr-CH"/>
        </w:rPr>
        <w:t>invite les Etats Membres, les Membres de Secteur et les Associés</w:t>
      </w:r>
    </w:p>
    <w:p w:rsidR="008308F6" w:rsidRDefault="008308F6" w:rsidP="00E63611">
      <w:pPr>
        <w:rPr>
          <w:lang w:val="fr-CH"/>
        </w:rPr>
      </w:pPr>
      <w:r>
        <w:rPr>
          <w:lang w:val="fr-CH"/>
        </w:rPr>
        <w:t>1</w:t>
      </w:r>
      <w:r>
        <w:rPr>
          <w:lang w:val="fr-CH"/>
        </w:rPr>
        <w:tab/>
      </w:r>
      <w:r w:rsidRPr="001D7F79">
        <w:rPr>
          <w:lang w:val="fr-CH"/>
        </w:rPr>
        <w:t>à continuer de contribue</w:t>
      </w:r>
      <w:r w:rsidR="00155D02">
        <w:rPr>
          <w:lang w:val="fr-CH"/>
        </w:rPr>
        <w:t>r activement aux travaux des c</w:t>
      </w:r>
      <w:r w:rsidRPr="001D7F79">
        <w:rPr>
          <w:lang w:val="fr-CH"/>
        </w:rPr>
        <w:t>ommission</w:t>
      </w:r>
      <w:r w:rsidR="00155D02">
        <w:rPr>
          <w:lang w:val="fr-CH"/>
        </w:rPr>
        <w:t>s d'études sur les questions liées à l'utilisation des TIC au service de l'inclusion financière</w:t>
      </w:r>
      <w:r w:rsidRPr="001D7F79">
        <w:rPr>
          <w:lang w:val="fr-CH"/>
        </w:rPr>
        <w:t>;</w:t>
      </w:r>
    </w:p>
    <w:p w:rsidR="008308F6" w:rsidRDefault="008308F6" w:rsidP="00985BF8">
      <w:pPr>
        <w:rPr>
          <w:lang w:val="fr-CH"/>
        </w:rPr>
      </w:pPr>
      <w:r>
        <w:rPr>
          <w:lang w:val="fr-CH"/>
        </w:rPr>
        <w:t>2</w:t>
      </w:r>
      <w:r>
        <w:rPr>
          <w:lang w:val="fr-CH"/>
        </w:rPr>
        <w:tab/>
      </w:r>
      <w:r w:rsidRPr="001D7F79">
        <w:rPr>
          <w:lang w:val="fr-CH"/>
        </w:rPr>
        <w:t xml:space="preserve">à continuer de mettre en œuvre, ou </w:t>
      </w:r>
      <w:r>
        <w:rPr>
          <w:lang w:val="fr-CH"/>
        </w:rPr>
        <w:t>à</w:t>
      </w:r>
      <w:r w:rsidRPr="001D7F79">
        <w:rPr>
          <w:lang w:val="fr-CH"/>
        </w:rPr>
        <w:t xml:space="preserve"> lancer, des programmes publics ou privés </w:t>
      </w:r>
      <w:r w:rsidR="00155D02">
        <w:rPr>
          <w:lang w:val="fr-CH"/>
        </w:rPr>
        <w:t>comportant un volet sur l'inclusion financière numérique</w:t>
      </w:r>
      <w:r w:rsidRPr="001D7F79">
        <w:rPr>
          <w:lang w:val="fr-CH"/>
        </w:rPr>
        <w:t>, en tenant dûment compte des Recommandations UIT-T pertinentes et des travaux correspondants;</w:t>
      </w:r>
    </w:p>
    <w:p w:rsidR="008308F6" w:rsidRDefault="008308F6" w:rsidP="00985BF8">
      <w:pPr>
        <w:rPr>
          <w:lang w:val="fr-CH"/>
        </w:rPr>
      </w:pPr>
      <w:r>
        <w:rPr>
          <w:lang w:val="fr-CH"/>
        </w:rPr>
        <w:t>3</w:t>
      </w:r>
      <w:r>
        <w:rPr>
          <w:lang w:val="fr-CH"/>
        </w:rPr>
        <w:tab/>
      </w:r>
      <w:r w:rsidRPr="00637A8D">
        <w:rPr>
          <w:lang w:val="fr-CH"/>
        </w:rPr>
        <w:t>à échanger de bonnes pratiques et à faire connaître les avantages liés à l'utilisation de TIC vertes, conformément aux Recommandations de l'UIT dans ce domaine;</w:t>
      </w:r>
    </w:p>
    <w:p w:rsidR="008308F6" w:rsidRDefault="008308F6" w:rsidP="00985BF8">
      <w:pPr>
        <w:rPr>
          <w:lang w:val="fr-CH"/>
        </w:rPr>
      </w:pPr>
      <w:r>
        <w:rPr>
          <w:lang w:val="fr-CH"/>
        </w:rPr>
        <w:t>4</w:t>
      </w:r>
      <w:r>
        <w:rPr>
          <w:lang w:val="fr-CH"/>
        </w:rPr>
        <w:tab/>
      </w:r>
      <w:r w:rsidRPr="00637A8D">
        <w:rPr>
          <w:lang w:val="fr-CH"/>
        </w:rPr>
        <w:t xml:space="preserve">à promouvoir l'intégration des politiques relatives aux TIC, </w:t>
      </w:r>
      <w:r w:rsidR="00E04A0D">
        <w:rPr>
          <w:lang w:val="fr-CH"/>
        </w:rPr>
        <w:t>aux services financiers et la protection du consommateur</w:t>
      </w:r>
      <w:r w:rsidRPr="00637A8D">
        <w:rPr>
          <w:lang w:val="fr-CH"/>
        </w:rPr>
        <w:t>, afin d</w:t>
      </w:r>
      <w:r w:rsidR="00E63611">
        <w:rPr>
          <w:lang w:val="fr-CH"/>
        </w:rPr>
        <w:t>'</w:t>
      </w:r>
      <w:r w:rsidR="00E04A0D">
        <w:rPr>
          <w:lang w:val="fr-CH"/>
        </w:rPr>
        <w:t>accroître l'utilisation des services financiers numériques dans l'optique d'une meilleure inclusion financière;</w:t>
      </w:r>
    </w:p>
    <w:p w:rsidR="008308F6" w:rsidRPr="008308F6" w:rsidRDefault="008308F6" w:rsidP="00985BF8">
      <w:pPr>
        <w:rPr>
          <w:lang w:val="fr-CH"/>
        </w:rPr>
      </w:pPr>
      <w:r>
        <w:rPr>
          <w:lang w:val="fr-CH"/>
        </w:rPr>
        <w:t>5</w:t>
      </w:r>
      <w:r>
        <w:rPr>
          <w:lang w:val="fr-CH"/>
        </w:rPr>
        <w:tab/>
      </w:r>
      <w:r w:rsidRPr="001D7F79">
        <w:rPr>
          <w:lang w:val="fr-CH"/>
        </w:rPr>
        <w:t xml:space="preserve">à assurer la liaison avec leurs </w:t>
      </w:r>
      <w:r w:rsidR="00E04A0D">
        <w:rPr>
          <w:lang w:val="fr-CH"/>
        </w:rPr>
        <w:t>homologues nationaux chargés de la problématique de l'inclusion financière</w:t>
      </w:r>
      <w:r>
        <w:rPr>
          <w:lang w:val="fr-CH"/>
        </w:rPr>
        <w:t>,</w:t>
      </w:r>
      <w:r w:rsidRPr="001D7F79">
        <w:rPr>
          <w:lang w:val="fr-CH"/>
        </w:rPr>
        <w:t xml:space="preserve"> afin d'appuyer le processus général des N</w:t>
      </w:r>
      <w:r w:rsidR="00E04A0D">
        <w:rPr>
          <w:lang w:val="fr-CH"/>
        </w:rPr>
        <w:t>ations Unies sur l'inclusion financière au service du développement durable</w:t>
      </w:r>
      <w:r>
        <w:rPr>
          <w:lang w:val="fr-CH"/>
        </w:rPr>
        <w:t xml:space="preserve"> </w:t>
      </w:r>
      <w:r w:rsidRPr="001D7F79">
        <w:rPr>
          <w:lang w:val="fr-CH"/>
        </w:rPr>
        <w:t xml:space="preserve">et à apporter leur contribution à cet égard, en fournissant des </w:t>
      </w:r>
      <w:r w:rsidR="00E04A0D">
        <w:rPr>
          <w:lang w:val="fr-CH"/>
        </w:rPr>
        <w:t xml:space="preserve">informations </w:t>
      </w:r>
      <w:r w:rsidRPr="001D7F79">
        <w:rPr>
          <w:lang w:val="fr-CH"/>
        </w:rPr>
        <w:t xml:space="preserve">et en élaborant des propositions communes </w:t>
      </w:r>
      <w:r w:rsidR="00E04A0D">
        <w:rPr>
          <w:lang w:val="fr-CH"/>
        </w:rPr>
        <w:t>relatives à l'inclusion financière numérique,</w:t>
      </w:r>
    </w:p>
    <w:p w:rsidR="008308F6" w:rsidRPr="00943CB9" w:rsidRDefault="008308F6" w:rsidP="00985BF8">
      <w:pPr>
        <w:pStyle w:val="Call"/>
        <w:rPr>
          <w:lang w:val="fr-FR"/>
        </w:rPr>
      </w:pPr>
      <w:r w:rsidRPr="00943CB9">
        <w:rPr>
          <w:lang w:val="fr-FR"/>
        </w:rPr>
        <w:t>invite les Etats Membres</w:t>
      </w:r>
    </w:p>
    <w:p w:rsidR="00EF1FE4" w:rsidRPr="00773575" w:rsidRDefault="00521388" w:rsidP="00E63611">
      <w:pPr>
        <w:rPr>
          <w:szCs w:val="24"/>
          <w:lang w:val="fr-CH"/>
        </w:rPr>
      </w:pPr>
      <w:r w:rsidRPr="00773575">
        <w:rPr>
          <w:lang w:val="fr-CH"/>
        </w:rPr>
        <w:t>1</w:t>
      </w:r>
      <w:r w:rsidRPr="00773575">
        <w:rPr>
          <w:lang w:val="fr-CH"/>
        </w:rPr>
        <w:tab/>
      </w:r>
      <w:r w:rsidR="00773575" w:rsidRPr="00773575">
        <w:rPr>
          <w:lang w:val="fr-CH"/>
        </w:rPr>
        <w:t>à intégrer la numérisation des paiements des administrations publiques dans leurs stratégies nationales a</w:t>
      </w:r>
      <w:r w:rsidR="00E04A0D">
        <w:rPr>
          <w:lang w:val="fr-CH"/>
        </w:rPr>
        <w:t xml:space="preserve">fin d'améliorer l'inclusion financière et à </w:t>
      </w:r>
      <w:r w:rsidR="00773575" w:rsidRPr="00773575">
        <w:rPr>
          <w:lang w:val="fr-CH"/>
        </w:rPr>
        <w:t xml:space="preserve">utiliser les </w:t>
      </w:r>
      <w:r w:rsidR="00E04A0D">
        <w:rPr>
          <w:lang w:val="fr-CH"/>
        </w:rPr>
        <w:t>TIC comme outil pour que</w:t>
      </w:r>
      <w:r w:rsidR="00773575" w:rsidRPr="00773575">
        <w:rPr>
          <w:lang w:val="fr-CH"/>
        </w:rPr>
        <w:t xml:space="preserve"> ceux qui n'ont pas de compte en banque </w:t>
      </w:r>
      <w:r w:rsidR="00A33843">
        <w:rPr>
          <w:lang w:val="fr-CH"/>
        </w:rPr>
        <w:t xml:space="preserve">puissent avoir accès </w:t>
      </w:r>
      <w:r w:rsidR="00773575">
        <w:rPr>
          <w:lang w:val="fr-CH"/>
        </w:rPr>
        <w:t>à des services financiers</w:t>
      </w:r>
      <w:r w:rsidRPr="00773575">
        <w:rPr>
          <w:szCs w:val="24"/>
          <w:lang w:val="fr-CH"/>
        </w:rPr>
        <w:t>;</w:t>
      </w:r>
    </w:p>
    <w:p w:rsidR="00521388" w:rsidRPr="00FE6621" w:rsidRDefault="00521388" w:rsidP="00E63611">
      <w:pPr>
        <w:rPr>
          <w:lang w:val="fr-CH"/>
        </w:rPr>
      </w:pPr>
      <w:r w:rsidRPr="00773575">
        <w:rPr>
          <w:szCs w:val="24"/>
          <w:lang w:val="fr-CH"/>
        </w:rPr>
        <w:t>2</w:t>
      </w:r>
      <w:r w:rsidRPr="00773575">
        <w:rPr>
          <w:szCs w:val="24"/>
          <w:lang w:val="fr-CH"/>
        </w:rPr>
        <w:tab/>
      </w:r>
      <w:r w:rsidR="00773575" w:rsidRPr="00FE6621">
        <w:rPr>
          <w:lang w:val="fr-CH"/>
        </w:rPr>
        <w:t xml:space="preserve">à </w:t>
      </w:r>
      <w:r w:rsidR="00A33843">
        <w:rPr>
          <w:lang w:val="fr-CH"/>
        </w:rPr>
        <w:t>engager des réformes pour que les</w:t>
      </w:r>
      <w:r w:rsidR="00773575" w:rsidRPr="00FE6621">
        <w:rPr>
          <w:lang w:val="fr-CH"/>
        </w:rPr>
        <w:t xml:space="preserve"> femmes </w:t>
      </w:r>
      <w:r w:rsidR="00A33843">
        <w:rPr>
          <w:lang w:val="fr-CH"/>
        </w:rPr>
        <w:t>aient accès</w:t>
      </w:r>
      <w:r w:rsidR="00773575" w:rsidRPr="00FE6621">
        <w:rPr>
          <w:lang w:val="fr-CH"/>
        </w:rPr>
        <w:t xml:space="preserve"> aux services financiers,</w:t>
      </w:r>
      <w:r w:rsidR="00A33843">
        <w:rPr>
          <w:lang w:val="fr-CH"/>
        </w:rPr>
        <w:t xml:space="preserve"> sur un pied d'égalité,</w:t>
      </w:r>
      <w:r w:rsidR="00773575" w:rsidRPr="00FE6621">
        <w:rPr>
          <w:lang w:val="fr-CH"/>
        </w:rPr>
        <w:t xml:space="preserve"> ce qui permettra de parvenir à l'égalité entre les femmes et les hommes et</w:t>
      </w:r>
      <w:r w:rsidR="00552F51" w:rsidRPr="00FE6621">
        <w:rPr>
          <w:lang w:val="fr-CH"/>
        </w:rPr>
        <w:t xml:space="preserve"> à l'autonomisation de toutes les femmes et de toutes les jeunes filles</w:t>
      </w:r>
      <w:r w:rsidRPr="00FE6621">
        <w:rPr>
          <w:lang w:val="fr-CH"/>
        </w:rPr>
        <w:t>;</w:t>
      </w:r>
    </w:p>
    <w:p w:rsidR="00521388" w:rsidRPr="00FE6621" w:rsidRDefault="00521388" w:rsidP="00985BF8">
      <w:pPr>
        <w:rPr>
          <w:lang w:val="fr-CH"/>
        </w:rPr>
      </w:pPr>
      <w:r w:rsidRPr="00214213">
        <w:rPr>
          <w:szCs w:val="24"/>
          <w:lang w:val="fr-CH"/>
        </w:rPr>
        <w:t>3</w:t>
      </w:r>
      <w:r w:rsidRPr="00214213">
        <w:rPr>
          <w:szCs w:val="24"/>
          <w:lang w:val="fr-CH"/>
        </w:rPr>
        <w:tab/>
      </w:r>
      <w:r w:rsidR="00A33843">
        <w:rPr>
          <w:lang w:val="fr-CH"/>
        </w:rPr>
        <w:t>à renforcer les possibilités dont disposent les</w:t>
      </w:r>
      <w:r w:rsidR="00214213" w:rsidRPr="00FE6621">
        <w:rPr>
          <w:lang w:val="fr-CH"/>
        </w:rPr>
        <w:t xml:space="preserve"> institut</w:t>
      </w:r>
      <w:r w:rsidR="00A33843">
        <w:rPr>
          <w:lang w:val="fr-CH"/>
        </w:rPr>
        <w:t>ions financières nationales pour encourager et élargir l'accès de tous aux</w:t>
      </w:r>
      <w:r w:rsidR="00214213" w:rsidRPr="00FE6621">
        <w:rPr>
          <w:lang w:val="fr-CH"/>
        </w:rPr>
        <w:t xml:space="preserve"> services bancaires,</w:t>
      </w:r>
      <w:r w:rsidR="00CC4FB3">
        <w:rPr>
          <w:lang w:val="fr-CH"/>
        </w:rPr>
        <w:t xml:space="preserve"> </w:t>
      </w:r>
      <w:r w:rsidR="00A33843">
        <w:rPr>
          <w:lang w:val="fr-CH"/>
        </w:rPr>
        <w:t>aux services</w:t>
      </w:r>
      <w:r w:rsidR="00214213" w:rsidRPr="00FE6621">
        <w:rPr>
          <w:lang w:val="fr-CH"/>
        </w:rPr>
        <w:t xml:space="preserve"> d'assurance et </w:t>
      </w:r>
      <w:r w:rsidR="00A33843">
        <w:rPr>
          <w:lang w:val="fr-CH"/>
        </w:rPr>
        <w:t>aux services</w:t>
      </w:r>
      <w:r w:rsidR="00214213" w:rsidRPr="00FE6621">
        <w:rPr>
          <w:lang w:val="fr-CH"/>
        </w:rPr>
        <w:t xml:space="preserve"> financiers</w:t>
      </w:r>
      <w:r w:rsidR="008B59DC">
        <w:rPr>
          <w:lang w:val="fr-CH"/>
        </w:rPr>
        <w:t>, dans le but de</w:t>
      </w:r>
      <w:r w:rsidR="00214213" w:rsidRPr="00FE6621">
        <w:rPr>
          <w:lang w:val="fr-CH"/>
        </w:rPr>
        <w:t xml:space="preserve"> </w:t>
      </w:r>
      <w:r w:rsidR="00A81A19" w:rsidRPr="00FE6621">
        <w:rPr>
          <w:lang w:val="fr-CH"/>
        </w:rPr>
        <w:t>promouvoir une croissance économique soutenue, inclusive et durable, un plein-emploi productif</w:t>
      </w:r>
      <w:r w:rsidR="007172E0">
        <w:rPr>
          <w:lang w:val="fr-CH"/>
        </w:rPr>
        <w:t xml:space="preserve"> et un travail décent pour tous</w:t>
      </w:r>
      <w:r w:rsidRPr="00FE6621">
        <w:rPr>
          <w:lang w:val="fr-CH"/>
        </w:rPr>
        <w:t>;</w:t>
      </w:r>
    </w:p>
    <w:p w:rsidR="00521388" w:rsidRPr="00FE6621" w:rsidRDefault="00521388" w:rsidP="00985BF8">
      <w:pPr>
        <w:rPr>
          <w:lang w:val="fr-CH"/>
        </w:rPr>
      </w:pPr>
      <w:r w:rsidRPr="00A81A19">
        <w:rPr>
          <w:szCs w:val="24"/>
          <w:lang w:val="fr-CH"/>
        </w:rPr>
        <w:t>4</w:t>
      </w:r>
      <w:r w:rsidRPr="00A81A19">
        <w:rPr>
          <w:szCs w:val="24"/>
          <w:lang w:val="fr-CH"/>
        </w:rPr>
        <w:tab/>
      </w:r>
      <w:r w:rsidR="00A81A19" w:rsidRPr="00FE6621">
        <w:rPr>
          <w:lang w:val="fr-CH"/>
        </w:rPr>
        <w:t xml:space="preserve">à renforcer, </w:t>
      </w:r>
      <w:r w:rsidR="00A33843">
        <w:rPr>
          <w:lang w:val="fr-CH"/>
        </w:rPr>
        <w:t>selon qu'il conviendra</w:t>
      </w:r>
      <w:r w:rsidR="00A81A19" w:rsidRPr="00FE6621">
        <w:rPr>
          <w:lang w:val="fr-CH"/>
        </w:rPr>
        <w:t xml:space="preserve">, la coordination entre les autorités nationales de régulation afin de lever les obstacles qui empêchent les fournisseurs de services autres que </w:t>
      </w:r>
      <w:r w:rsidR="00A33843">
        <w:rPr>
          <w:lang w:val="fr-CH"/>
        </w:rPr>
        <w:t xml:space="preserve">des services </w:t>
      </w:r>
      <w:r w:rsidR="00A81A19" w:rsidRPr="00FE6621">
        <w:rPr>
          <w:lang w:val="fr-CH"/>
        </w:rPr>
        <w:t>bancaires d'avoir accès à l'infrastr</w:t>
      </w:r>
      <w:r w:rsidR="00A33843">
        <w:rPr>
          <w:lang w:val="fr-CH"/>
        </w:rPr>
        <w:t>ucture des systèmes de paiement et</w:t>
      </w:r>
      <w:r w:rsidR="00A81A19" w:rsidRPr="00FE6621">
        <w:rPr>
          <w:lang w:val="fr-CH"/>
        </w:rPr>
        <w:t xml:space="preserve"> les fournisseurs de services financiers d'avoir accès à un canal de communication et </w:t>
      </w:r>
      <w:r w:rsidR="00A33843">
        <w:rPr>
          <w:lang w:val="fr-CH"/>
        </w:rPr>
        <w:t>à réunir les conditions qui permettront des</w:t>
      </w:r>
      <w:r w:rsidR="00A81A19" w:rsidRPr="00FE6621">
        <w:rPr>
          <w:lang w:val="fr-CH"/>
        </w:rPr>
        <w:t xml:space="preserve"> transferts de fonds moins coûteux, plus rapides et plus sûrs </w:t>
      </w:r>
      <w:r w:rsidR="00A33843">
        <w:rPr>
          <w:lang w:val="fr-CH"/>
        </w:rPr>
        <w:t>à la fois dans le</w:t>
      </w:r>
      <w:r w:rsidR="0033365C" w:rsidRPr="00FE6621">
        <w:rPr>
          <w:lang w:val="fr-CH"/>
        </w:rPr>
        <w:t xml:space="preserve"> pays </w:t>
      </w:r>
      <w:r w:rsidR="00A33843">
        <w:rPr>
          <w:lang w:val="fr-CH"/>
        </w:rPr>
        <w:t>d'origine et le pays de destination</w:t>
      </w:r>
      <w:r w:rsidR="0033365C" w:rsidRPr="00FE6621">
        <w:rPr>
          <w:lang w:val="fr-CH"/>
        </w:rPr>
        <w:t xml:space="preserve">, y </w:t>
      </w:r>
      <w:r w:rsidR="00A33843">
        <w:rPr>
          <w:lang w:val="fr-CH"/>
        </w:rPr>
        <w:t xml:space="preserve">compris en encourageant </w:t>
      </w:r>
      <w:r w:rsidR="002326CD">
        <w:rPr>
          <w:lang w:val="fr-CH"/>
        </w:rPr>
        <w:t>la con</w:t>
      </w:r>
      <w:r w:rsidR="00A33843">
        <w:rPr>
          <w:lang w:val="fr-CH"/>
        </w:rPr>
        <w:t>cur</w:t>
      </w:r>
      <w:r w:rsidR="002326CD">
        <w:rPr>
          <w:lang w:val="fr-CH"/>
        </w:rPr>
        <w:t>r</w:t>
      </w:r>
      <w:r w:rsidR="00A33843">
        <w:rPr>
          <w:lang w:val="fr-CH"/>
        </w:rPr>
        <w:t>ence et la transparence sur les</w:t>
      </w:r>
      <w:r w:rsidR="002D352E">
        <w:rPr>
          <w:lang w:val="fr-CH"/>
        </w:rPr>
        <w:t xml:space="preserve"> </w:t>
      </w:r>
      <w:r w:rsidR="00D71A74">
        <w:rPr>
          <w:lang w:val="fr-CH"/>
        </w:rPr>
        <w:t>marchés.</w:t>
      </w:r>
    </w:p>
    <w:p w:rsidR="00474F66" w:rsidRPr="00A81A19" w:rsidRDefault="00474F66" w:rsidP="00985BF8">
      <w:pPr>
        <w:pStyle w:val="Reasons"/>
        <w:rPr>
          <w:lang w:val="fr-CH"/>
        </w:rPr>
      </w:pPr>
    </w:p>
    <w:p w:rsidR="00474F66" w:rsidRDefault="00474F66" w:rsidP="00985BF8">
      <w:pPr>
        <w:jc w:val="center"/>
      </w:pPr>
      <w:r>
        <w:t>______________</w:t>
      </w:r>
    </w:p>
    <w:sectPr w:rsidR="00474F66"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172E0" w:rsidRDefault="00E45D05">
    <w:pPr>
      <w:ind w:right="360"/>
      <w:rPr>
        <w:lang w:val="fr-CH"/>
      </w:rPr>
    </w:pPr>
    <w:r>
      <w:fldChar w:fldCharType="begin"/>
    </w:r>
    <w:r w:rsidRPr="007172E0">
      <w:rPr>
        <w:lang w:val="fr-CH"/>
      </w:rPr>
      <w:instrText xml:space="preserve"> FILENAME \p  \* MERGEFORMAT </w:instrText>
    </w:r>
    <w:r>
      <w:fldChar w:fldCharType="separate"/>
    </w:r>
    <w:r w:rsidR="007172E0">
      <w:rPr>
        <w:noProof/>
        <w:lang w:val="fr-CH"/>
      </w:rPr>
      <w:t>P:\FRA\ITU-T\CONF-T\WTSA16\000\042ADD13F.docx</w:t>
    </w:r>
    <w:r>
      <w:fldChar w:fldCharType="end"/>
    </w:r>
    <w:r w:rsidRPr="007172E0">
      <w:rPr>
        <w:lang w:val="fr-CH"/>
      </w:rPr>
      <w:tab/>
    </w:r>
    <w:r>
      <w:fldChar w:fldCharType="begin"/>
    </w:r>
    <w:r>
      <w:instrText xml:space="preserve"> SAVEDATE \@ DD.MM.YY </w:instrText>
    </w:r>
    <w:r>
      <w:fldChar w:fldCharType="separate"/>
    </w:r>
    <w:r w:rsidR="00E63611">
      <w:rPr>
        <w:noProof/>
      </w:rPr>
      <w:t>17.10.16</w:t>
    </w:r>
    <w:r>
      <w:fldChar w:fldCharType="end"/>
    </w:r>
    <w:r w:rsidRPr="007172E0">
      <w:rPr>
        <w:lang w:val="fr-CH"/>
      </w:rPr>
      <w:tab/>
    </w:r>
    <w:r>
      <w:fldChar w:fldCharType="begin"/>
    </w:r>
    <w:r>
      <w:instrText xml:space="preserve"> PRINTDATE \@ DD.MM.YY </w:instrText>
    </w:r>
    <w:r>
      <w:fldChar w:fldCharType="separate"/>
    </w:r>
    <w:r w:rsidR="007172E0">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21388" w:rsidRDefault="00E45D05" w:rsidP="00526703">
    <w:pPr>
      <w:pStyle w:val="Footer"/>
      <w:rPr>
        <w:lang w:val="fr-FR"/>
      </w:rPr>
    </w:pPr>
    <w:r>
      <w:fldChar w:fldCharType="begin"/>
    </w:r>
    <w:r w:rsidRPr="00521388">
      <w:rPr>
        <w:lang w:val="fr-FR"/>
      </w:rPr>
      <w:instrText xml:space="preserve"> FILENAME \p  \* MERGEFORMAT </w:instrText>
    </w:r>
    <w:r>
      <w:fldChar w:fldCharType="separate"/>
    </w:r>
    <w:r w:rsidR="007172E0">
      <w:rPr>
        <w:lang w:val="fr-FR"/>
      </w:rPr>
      <w:t>P:\FRA\ITU-T\CONF-T\WTSA16\000\042ADD13F.docx</w:t>
    </w:r>
    <w:r>
      <w:fldChar w:fldCharType="end"/>
    </w:r>
    <w:r w:rsidR="00521388" w:rsidRPr="00521388">
      <w:rPr>
        <w:lang w:val="fr-FR"/>
      </w:rPr>
      <w:t xml:space="preserve"> (406493)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943CB9" w:rsidRDefault="00987C1F" w:rsidP="00526703">
    <w:pPr>
      <w:pStyle w:val="Footer"/>
      <w:rPr>
        <w:lang w:val="fr-FR"/>
      </w:rPr>
    </w:pPr>
    <w:r>
      <w:fldChar w:fldCharType="begin"/>
    </w:r>
    <w:r w:rsidRPr="00943CB9">
      <w:rPr>
        <w:lang w:val="fr-FR"/>
      </w:rPr>
      <w:instrText xml:space="preserve"> FILENAME \p  \* MERGEFORMAT </w:instrText>
    </w:r>
    <w:r>
      <w:fldChar w:fldCharType="separate"/>
    </w:r>
    <w:r w:rsidR="007172E0">
      <w:rPr>
        <w:lang w:val="fr-FR"/>
      </w:rPr>
      <w:t>P:\FRA\ITU-T\CONF-T\WTSA16\000\042ADD13F.docx</w:t>
    </w:r>
    <w:r>
      <w:fldChar w:fldCharType="end"/>
    </w:r>
    <w:r w:rsidR="00521388" w:rsidRPr="00943CB9">
      <w:rPr>
        <w:lang w:val="fr-FR"/>
      </w:rPr>
      <w:t xml:space="preserve"> (406493)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63611">
      <w:rPr>
        <w:noProof/>
      </w:rPr>
      <w:t>5</w:t>
    </w:r>
    <w:r>
      <w:fldChar w:fldCharType="end"/>
    </w:r>
  </w:p>
  <w:p w:rsidR="00987C1F" w:rsidRDefault="00E07AF5" w:rsidP="00987C1F">
    <w:pPr>
      <w:pStyle w:val="Header"/>
    </w:pPr>
    <w:r>
      <w:t>AMNT16</w:t>
    </w:r>
    <w:r w:rsidR="00987C1F">
      <w:t>/42(Add.13)-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8124301"/>
    <w:multiLevelType w:val="hybridMultilevel"/>
    <w:tmpl w:val="DAEE91E4"/>
    <w:lvl w:ilvl="0" w:tplc="BCD49D96">
      <w:start w:val="1"/>
      <w:numFmt w:val="lowerLetter"/>
      <w:lvlText w:val="%1)"/>
      <w:lvlJc w:val="left"/>
      <w:pPr>
        <w:ind w:left="284" w:hanging="57"/>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003B7"/>
    <w:multiLevelType w:val="hybridMultilevel"/>
    <w:tmpl w:val="DAEE91E4"/>
    <w:lvl w:ilvl="0" w:tplc="BCD49D96">
      <w:start w:val="1"/>
      <w:numFmt w:val="lowerLetter"/>
      <w:lvlText w:val="%1)"/>
      <w:lvlJc w:val="left"/>
      <w:pPr>
        <w:ind w:left="57" w:hanging="57"/>
      </w:pPr>
      <w:rPr>
        <w:rFonts w:hint="default"/>
        <w:i/>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4" w15:restartNumberingAfterBreak="0">
    <w:nsid w:val="31F119F9"/>
    <w:multiLevelType w:val="hybridMultilevel"/>
    <w:tmpl w:val="94588A02"/>
    <w:lvl w:ilvl="0" w:tplc="331C46EE">
      <w:start w:val="1"/>
      <w:numFmt w:val="lowerLetter"/>
      <w:lvlText w:val="%1)"/>
      <w:lvlJc w:val="left"/>
      <w:pPr>
        <w:ind w:left="284" w:hanging="57"/>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092AF4-F409-4809-A452-8DA2822A5F64}"/>
    <w:docVar w:name="dgnword-eventsink" w:val="213873744"/>
  </w:docVars>
  <w:rsids>
    <w:rsidRoot w:val="00B31EF6"/>
    <w:rsid w:val="000032AD"/>
    <w:rsid w:val="000041EA"/>
    <w:rsid w:val="00022A29"/>
    <w:rsid w:val="000355FD"/>
    <w:rsid w:val="00051E39"/>
    <w:rsid w:val="0006618A"/>
    <w:rsid w:val="00077239"/>
    <w:rsid w:val="00086491"/>
    <w:rsid w:val="00091346"/>
    <w:rsid w:val="00095E8E"/>
    <w:rsid w:val="0009706C"/>
    <w:rsid w:val="000A14AF"/>
    <w:rsid w:val="000F73FF"/>
    <w:rsid w:val="00114CF7"/>
    <w:rsid w:val="00123B68"/>
    <w:rsid w:val="00126F2E"/>
    <w:rsid w:val="00146F6F"/>
    <w:rsid w:val="00153741"/>
    <w:rsid w:val="00155D02"/>
    <w:rsid w:val="00164C14"/>
    <w:rsid w:val="00187BD9"/>
    <w:rsid w:val="00190B55"/>
    <w:rsid w:val="001978FA"/>
    <w:rsid w:val="001A0F27"/>
    <w:rsid w:val="001B0D9E"/>
    <w:rsid w:val="001C3B5F"/>
    <w:rsid w:val="001D058F"/>
    <w:rsid w:val="001D581B"/>
    <w:rsid w:val="001D77E9"/>
    <w:rsid w:val="001E1430"/>
    <w:rsid w:val="002009EA"/>
    <w:rsid w:val="00202CA0"/>
    <w:rsid w:val="00214213"/>
    <w:rsid w:val="00216B6D"/>
    <w:rsid w:val="002326CD"/>
    <w:rsid w:val="00250AF4"/>
    <w:rsid w:val="00271316"/>
    <w:rsid w:val="002B2A75"/>
    <w:rsid w:val="002D352E"/>
    <w:rsid w:val="002D519C"/>
    <w:rsid w:val="002D58BE"/>
    <w:rsid w:val="002E210D"/>
    <w:rsid w:val="003236A6"/>
    <w:rsid w:val="00332C56"/>
    <w:rsid w:val="0033365C"/>
    <w:rsid w:val="00337501"/>
    <w:rsid w:val="00345A52"/>
    <w:rsid w:val="00377BD3"/>
    <w:rsid w:val="003832C0"/>
    <w:rsid w:val="00384088"/>
    <w:rsid w:val="0039169B"/>
    <w:rsid w:val="003A7F8C"/>
    <w:rsid w:val="003B532E"/>
    <w:rsid w:val="003D0F8B"/>
    <w:rsid w:val="004054F5"/>
    <w:rsid w:val="004079B0"/>
    <w:rsid w:val="0041348E"/>
    <w:rsid w:val="00417AD4"/>
    <w:rsid w:val="00444030"/>
    <w:rsid w:val="004508E2"/>
    <w:rsid w:val="004639D0"/>
    <w:rsid w:val="00464A96"/>
    <w:rsid w:val="00474F66"/>
    <w:rsid w:val="00476533"/>
    <w:rsid w:val="00492075"/>
    <w:rsid w:val="004969AD"/>
    <w:rsid w:val="004A26C4"/>
    <w:rsid w:val="004B13CB"/>
    <w:rsid w:val="004D5D5C"/>
    <w:rsid w:val="004E42A3"/>
    <w:rsid w:val="0050139F"/>
    <w:rsid w:val="00521388"/>
    <w:rsid w:val="00526703"/>
    <w:rsid w:val="00530525"/>
    <w:rsid w:val="005449E6"/>
    <w:rsid w:val="0055140B"/>
    <w:rsid w:val="00552F51"/>
    <w:rsid w:val="00595780"/>
    <w:rsid w:val="005964AB"/>
    <w:rsid w:val="005C099A"/>
    <w:rsid w:val="005C31A5"/>
    <w:rsid w:val="005E10C9"/>
    <w:rsid w:val="005E61DD"/>
    <w:rsid w:val="006023DF"/>
    <w:rsid w:val="00612104"/>
    <w:rsid w:val="00657DE0"/>
    <w:rsid w:val="00685313"/>
    <w:rsid w:val="0069092B"/>
    <w:rsid w:val="00692833"/>
    <w:rsid w:val="006A6E9B"/>
    <w:rsid w:val="006B249F"/>
    <w:rsid w:val="006B7C2A"/>
    <w:rsid w:val="006C23DA"/>
    <w:rsid w:val="006C375F"/>
    <w:rsid w:val="006E013B"/>
    <w:rsid w:val="006E3D45"/>
    <w:rsid w:val="006F580E"/>
    <w:rsid w:val="007149F9"/>
    <w:rsid w:val="007172E0"/>
    <w:rsid w:val="00733A30"/>
    <w:rsid w:val="00745AEE"/>
    <w:rsid w:val="00750F10"/>
    <w:rsid w:val="00773575"/>
    <w:rsid w:val="007742CA"/>
    <w:rsid w:val="00776B01"/>
    <w:rsid w:val="00786B7F"/>
    <w:rsid w:val="00790D70"/>
    <w:rsid w:val="007D097E"/>
    <w:rsid w:val="007D5320"/>
    <w:rsid w:val="008006C5"/>
    <w:rsid w:val="00800972"/>
    <w:rsid w:val="00804475"/>
    <w:rsid w:val="0081097D"/>
    <w:rsid w:val="00811633"/>
    <w:rsid w:val="00813B79"/>
    <w:rsid w:val="00822AFE"/>
    <w:rsid w:val="008308F6"/>
    <w:rsid w:val="00836E5C"/>
    <w:rsid w:val="00864CD2"/>
    <w:rsid w:val="00867D84"/>
    <w:rsid w:val="00872FC8"/>
    <w:rsid w:val="008845D0"/>
    <w:rsid w:val="008A69FB"/>
    <w:rsid w:val="008B1AEA"/>
    <w:rsid w:val="008B43F2"/>
    <w:rsid w:val="008B59DC"/>
    <w:rsid w:val="008B6CFF"/>
    <w:rsid w:val="008C27E9"/>
    <w:rsid w:val="008C6BAA"/>
    <w:rsid w:val="0092425C"/>
    <w:rsid w:val="009274B4"/>
    <w:rsid w:val="00934EA2"/>
    <w:rsid w:val="00940614"/>
    <w:rsid w:val="00943CB9"/>
    <w:rsid w:val="00944A5C"/>
    <w:rsid w:val="00952A66"/>
    <w:rsid w:val="00957670"/>
    <w:rsid w:val="00985BF8"/>
    <w:rsid w:val="00987C1F"/>
    <w:rsid w:val="009A76BB"/>
    <w:rsid w:val="009C3191"/>
    <w:rsid w:val="009C56E5"/>
    <w:rsid w:val="009E5FC8"/>
    <w:rsid w:val="009E687A"/>
    <w:rsid w:val="009F63E2"/>
    <w:rsid w:val="00A066F1"/>
    <w:rsid w:val="00A141AF"/>
    <w:rsid w:val="00A16D29"/>
    <w:rsid w:val="00A30305"/>
    <w:rsid w:val="00A31D2D"/>
    <w:rsid w:val="00A33843"/>
    <w:rsid w:val="00A4600A"/>
    <w:rsid w:val="00A538A6"/>
    <w:rsid w:val="00A54C25"/>
    <w:rsid w:val="00A710E7"/>
    <w:rsid w:val="00A7372E"/>
    <w:rsid w:val="00A811DC"/>
    <w:rsid w:val="00A81A19"/>
    <w:rsid w:val="00A90939"/>
    <w:rsid w:val="00A93B85"/>
    <w:rsid w:val="00A94A88"/>
    <w:rsid w:val="00AA0B18"/>
    <w:rsid w:val="00AA666F"/>
    <w:rsid w:val="00AB5A50"/>
    <w:rsid w:val="00AB7C5F"/>
    <w:rsid w:val="00B31EF6"/>
    <w:rsid w:val="00B44246"/>
    <w:rsid w:val="00B6379B"/>
    <w:rsid w:val="00B639E9"/>
    <w:rsid w:val="00B67BA3"/>
    <w:rsid w:val="00B817CD"/>
    <w:rsid w:val="00B94AD0"/>
    <w:rsid w:val="00BA5265"/>
    <w:rsid w:val="00BB3A95"/>
    <w:rsid w:val="00BB6D50"/>
    <w:rsid w:val="00BF66E0"/>
    <w:rsid w:val="00C0018F"/>
    <w:rsid w:val="00C16A5A"/>
    <w:rsid w:val="00C20466"/>
    <w:rsid w:val="00C214ED"/>
    <w:rsid w:val="00C234E6"/>
    <w:rsid w:val="00C26BA2"/>
    <w:rsid w:val="00C309CB"/>
    <w:rsid w:val="00C324A8"/>
    <w:rsid w:val="00C54517"/>
    <w:rsid w:val="00C64CD8"/>
    <w:rsid w:val="00C65977"/>
    <w:rsid w:val="00C72837"/>
    <w:rsid w:val="00C97C68"/>
    <w:rsid w:val="00CA1A47"/>
    <w:rsid w:val="00CC247A"/>
    <w:rsid w:val="00CC4FB3"/>
    <w:rsid w:val="00CE388F"/>
    <w:rsid w:val="00CE5E47"/>
    <w:rsid w:val="00CF020F"/>
    <w:rsid w:val="00CF1E9D"/>
    <w:rsid w:val="00CF2B5B"/>
    <w:rsid w:val="00D12C49"/>
    <w:rsid w:val="00D14CE0"/>
    <w:rsid w:val="00D54009"/>
    <w:rsid w:val="00D5651D"/>
    <w:rsid w:val="00D57A34"/>
    <w:rsid w:val="00D6112A"/>
    <w:rsid w:val="00D62C6A"/>
    <w:rsid w:val="00D71A74"/>
    <w:rsid w:val="00D74898"/>
    <w:rsid w:val="00D801ED"/>
    <w:rsid w:val="00D936BC"/>
    <w:rsid w:val="00D96530"/>
    <w:rsid w:val="00DA60AA"/>
    <w:rsid w:val="00DD44AF"/>
    <w:rsid w:val="00DE2AC3"/>
    <w:rsid w:val="00DE5692"/>
    <w:rsid w:val="00E03C94"/>
    <w:rsid w:val="00E04A0D"/>
    <w:rsid w:val="00E07AF5"/>
    <w:rsid w:val="00E11197"/>
    <w:rsid w:val="00E14E2A"/>
    <w:rsid w:val="00E26226"/>
    <w:rsid w:val="00E369A1"/>
    <w:rsid w:val="00E44A21"/>
    <w:rsid w:val="00E45D05"/>
    <w:rsid w:val="00E55816"/>
    <w:rsid w:val="00E55AEF"/>
    <w:rsid w:val="00E63611"/>
    <w:rsid w:val="00E84ED7"/>
    <w:rsid w:val="00E917FD"/>
    <w:rsid w:val="00E976C1"/>
    <w:rsid w:val="00EA12E5"/>
    <w:rsid w:val="00EB55C6"/>
    <w:rsid w:val="00EF1FE4"/>
    <w:rsid w:val="00EF2B09"/>
    <w:rsid w:val="00F02766"/>
    <w:rsid w:val="00F05BD4"/>
    <w:rsid w:val="00F21FE2"/>
    <w:rsid w:val="00F50A21"/>
    <w:rsid w:val="00F6155B"/>
    <w:rsid w:val="00F65C19"/>
    <w:rsid w:val="00F7356B"/>
    <w:rsid w:val="00F776DF"/>
    <w:rsid w:val="00F840C7"/>
    <w:rsid w:val="00FD2546"/>
    <w:rsid w:val="00FD772E"/>
    <w:rsid w:val="00FE09B1"/>
    <w:rsid w:val="00FE662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efault">
    <w:name w:val="Default"/>
    <w:rsid w:val="00464A96"/>
    <w:pPr>
      <w:autoSpaceDE w:val="0"/>
      <w:autoSpaceDN w:val="0"/>
      <w:adjustRightInd w:val="0"/>
    </w:pPr>
    <w:rPr>
      <w:rFonts w:ascii="Times New Roman" w:eastAsia="Times New Roman" w:hAnsi="Times New Roman"/>
      <w:color w:val="000000"/>
      <w:sz w:val="24"/>
      <w:szCs w:val="24"/>
      <w:lang w:eastAsia="en-US"/>
    </w:rPr>
  </w:style>
  <w:style w:type="paragraph" w:styleId="ListParagraph">
    <w:name w:val="List Paragraph"/>
    <w:basedOn w:val="Normal"/>
    <w:link w:val="ListParagraphChar"/>
    <w:uiPriority w:val="34"/>
    <w:qFormat/>
    <w:rsid w:val="00464A9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imes New Roman" w:hAnsi="Calibri"/>
      <w:sz w:val="22"/>
      <w:szCs w:val="22"/>
      <w:lang w:val="en-US"/>
    </w:rPr>
  </w:style>
  <w:style w:type="character" w:customStyle="1" w:styleId="ListParagraphChar">
    <w:name w:val="List Paragraph Char"/>
    <w:link w:val="ListParagraph"/>
    <w:uiPriority w:val="34"/>
    <w:rsid w:val="00464A96"/>
    <w:rPr>
      <w:rFonts w:ascii="Calibri" w:eastAsia="Times New Roman" w:hAnsi="Calibri"/>
      <w:sz w:val="22"/>
      <w:szCs w:val="22"/>
      <w:lang w:eastAsia="en-US"/>
    </w:rPr>
  </w:style>
  <w:style w:type="character" w:styleId="Hyperlink">
    <w:name w:val="Hyperlink"/>
    <w:basedOn w:val="DefaultParagraphFont"/>
    <w:uiPriority w:val="99"/>
    <w:unhideWhenUsed/>
    <w:rsid w:val="00153741"/>
    <w:rPr>
      <w:color w:val="0000FF" w:themeColor="hyperlink"/>
      <w:u w:val="single"/>
    </w:rPr>
  </w:style>
  <w:style w:type="character" w:customStyle="1" w:styleId="CallChar">
    <w:name w:val="Call Char"/>
    <w:link w:val="Call"/>
    <w:rsid w:val="008308F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689b779-8a31-40e2-9b90-2f3fa288b4d2">Documents Proposals Manager (DPM)</DPM_x0020_Author>
    <DPM_x0020_File_x0020_name xmlns="c689b779-8a31-40e2-9b90-2f3fa288b4d2">T13-WTSA.16-C-0042!A13!MSW-F</DPM_x0020_File_x0020_name>
    <DPM_x0020_Version xmlns="c689b779-8a31-40e2-9b90-2f3fa288b4d2">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89b779-8a31-40e2-9b90-2f3fa288b4d2" targetNamespace="http://schemas.microsoft.com/office/2006/metadata/properties" ma:root="true" ma:fieldsID="d41af5c836d734370eb92e7ee5f83852" ns2:_="" ns3:_="">
    <xsd:import namespace="996b2e75-67fd-4955-a3b0-5ab9934cb50b"/>
    <xsd:import namespace="c689b779-8a31-40e2-9b90-2f3fa288b4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89b779-8a31-40e2-9b90-2f3fa288b4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c689b779-8a31-40e2-9b90-2f3fa288b4d2"/>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89b779-8a31-40e2-9b90-2f3fa288b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EDF30-13EB-4E92-90E8-5AF68801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T13-WTSA.16-C-0042!A13!MSW-F</vt:lpstr>
    </vt:vector>
  </TitlesOfParts>
  <Manager>General Secretariat - Pool</Manager>
  <Company>International Telecommunication Union (ITU)</Company>
  <LinksUpToDate>false</LinksUpToDate>
  <CharactersWithSpaces>13855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T13-WTSA.16-C-0042!A13!MSW-F</dc:title>
  <dc:subject>World Telecommunication Standardization Assembly</dc:subject>
  <dc:creator>Documents Proposals Manager (DPM)</dc:creator>
  <cp:keywords>DPM_v2016.10.3.1_prod</cp:keywords>
  <dc:description>Template used by DPM and CPI for the WTSA-16</dc:description>
  <cp:lastModifiedBy>Saxod, Nathalie</cp:lastModifiedBy>
  <cp:revision>15</cp:revision>
  <cp:lastPrinted>2016-10-17T09:23:00Z</cp:lastPrinted>
  <dcterms:created xsi:type="dcterms:W3CDTF">2016-10-14T14:32:00Z</dcterms:created>
  <dcterms:modified xsi:type="dcterms:W3CDTF">2016-10-17T14:16:00Z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