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30"/>
        <w:gridCol w:w="4892"/>
        <w:gridCol w:w="567"/>
        <w:gridCol w:w="2440"/>
      </w:tblGrid>
      <w:tr w:rsidR="001D581B" w:rsidRPr="0037084D" w:rsidTr="00530525">
        <w:trPr>
          <w:cantSplit/>
        </w:trPr>
        <w:tc>
          <w:tcPr>
            <w:tcW w:w="1382" w:type="dxa"/>
            <w:vAlign w:val="center"/>
          </w:tcPr>
          <w:p w:rsidR="00CF1E9D" w:rsidRPr="0037084D" w:rsidRDefault="00CF1E9D" w:rsidP="008D7CC4">
            <w:pPr>
              <w:rPr>
                <w:rFonts w:ascii="Verdana" w:hAnsi="Verdana" w:cs="Times New Roman Bold"/>
                <w:b/>
                <w:bCs/>
                <w:szCs w:val="24"/>
                <w:lang w:val="fr-FR"/>
              </w:rPr>
            </w:pPr>
            <w:r w:rsidRPr="0037084D">
              <w:rPr>
                <w:noProof/>
                <w:sz w:val="28"/>
                <w:szCs w:val="22"/>
                <w:lang w:val="en-US" w:eastAsia="zh-CN"/>
              </w:rPr>
              <w:drawing>
                <wp:inline distT="0" distB="0" distL="0" distR="0" wp14:anchorId="45DA20A8" wp14:editId="5C23A465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3"/>
            <w:vAlign w:val="center"/>
          </w:tcPr>
          <w:p w:rsidR="00CF1E9D" w:rsidRPr="0037084D" w:rsidRDefault="001D581B" w:rsidP="008D7CC4">
            <w:pPr>
              <w:rPr>
                <w:rFonts w:ascii="Verdana" w:hAnsi="Verdana" w:cs="Times New Roman Bold"/>
                <w:b/>
                <w:bCs/>
                <w:szCs w:val="24"/>
                <w:lang w:val="fr-FR"/>
              </w:rPr>
            </w:pPr>
            <w:r w:rsidRPr="00B33DA8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Assemblée mondiale de normalisation </w:t>
            </w:r>
            <w:r w:rsidR="00C26BA2" w:rsidRPr="00B33DA8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Pr="00B33DA8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 xml:space="preserve">des télécommunications </w:t>
            </w:r>
            <w:r w:rsidR="00CF1E9D" w:rsidRPr="00B33DA8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(</w:t>
            </w:r>
            <w:r w:rsidRPr="00B33DA8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AMNT</w:t>
            </w:r>
            <w:r w:rsidR="00CF1E9D" w:rsidRPr="00B33DA8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t>-16)</w:t>
            </w:r>
            <w:r w:rsidR="00CF1E9D" w:rsidRPr="0037084D">
              <w:rPr>
                <w:rFonts w:ascii="Verdana" w:hAnsi="Verdana" w:cs="Times New Roman Bold"/>
                <w:b/>
                <w:bCs/>
                <w:szCs w:val="24"/>
                <w:lang w:val="fr-FR"/>
              </w:rPr>
              <w:br/>
            </w:r>
            <w:r w:rsidR="00CF1E9D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 xml:space="preserve">Hammamet, 25 </w:t>
            </w:r>
            <w:r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>o</w:t>
            </w:r>
            <w:r w:rsidR="00CF1E9D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>ct</w:t>
            </w:r>
            <w:r w:rsidR="00C26BA2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 xml:space="preserve">obre </w:t>
            </w:r>
            <w:r w:rsidR="00CF1E9D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>-</w:t>
            </w:r>
            <w:r w:rsidR="00C26BA2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 xml:space="preserve"> </w:t>
            </w:r>
            <w:r w:rsidR="00CF1E9D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 xml:space="preserve">3 </w:t>
            </w:r>
            <w:r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>n</w:t>
            </w:r>
            <w:r w:rsidR="00CF1E9D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>ov</w:t>
            </w:r>
            <w:r w:rsidR="00C26BA2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>embre</w:t>
            </w:r>
            <w:r w:rsidR="00CF1E9D" w:rsidRPr="0037084D">
              <w:rPr>
                <w:rFonts w:ascii="Verdana" w:hAnsi="Verdana" w:cs="Times New Roman Bold"/>
                <w:b/>
                <w:bCs/>
                <w:sz w:val="20"/>
                <w:lang w:val="fr-FR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37084D" w:rsidRDefault="00CF1E9D" w:rsidP="008D7CC4">
            <w:pPr>
              <w:spacing w:before="0"/>
              <w:jc w:val="right"/>
              <w:rPr>
                <w:sz w:val="28"/>
                <w:szCs w:val="22"/>
                <w:lang w:val="fr-FR"/>
              </w:rPr>
            </w:pPr>
            <w:r w:rsidRPr="0037084D">
              <w:rPr>
                <w:noProof/>
                <w:sz w:val="28"/>
                <w:szCs w:val="22"/>
                <w:lang w:val="en-US" w:eastAsia="zh-CN"/>
              </w:rPr>
              <w:drawing>
                <wp:inline distT="0" distB="0" distL="0" distR="0" wp14:anchorId="5E66AEF3" wp14:editId="24528E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B33DA8" w:rsidTr="00530525">
        <w:trPr>
          <w:cantSplit/>
        </w:trPr>
        <w:tc>
          <w:tcPr>
            <w:tcW w:w="6804" w:type="dxa"/>
            <w:gridSpan w:val="3"/>
            <w:tcBorders>
              <w:bottom w:val="single" w:sz="12" w:space="0" w:color="auto"/>
            </w:tcBorders>
          </w:tcPr>
          <w:p w:rsidR="00595780" w:rsidRPr="00B33DA8" w:rsidRDefault="00595780" w:rsidP="008D7CC4">
            <w:pPr>
              <w:spacing w:before="0"/>
              <w:rPr>
                <w:sz w:val="20"/>
                <w:lang w:val="fr-FR"/>
              </w:rPr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B33DA8" w:rsidRDefault="00595780" w:rsidP="008D7CC4">
            <w:pPr>
              <w:spacing w:before="0"/>
              <w:rPr>
                <w:sz w:val="20"/>
                <w:lang w:val="fr-FR"/>
              </w:rPr>
            </w:pPr>
          </w:p>
        </w:tc>
      </w:tr>
      <w:tr w:rsidR="001D581B" w:rsidRPr="00B33DA8" w:rsidTr="00530525">
        <w:trPr>
          <w:cantSplit/>
        </w:trPr>
        <w:tc>
          <w:tcPr>
            <w:tcW w:w="6804" w:type="dxa"/>
            <w:gridSpan w:val="3"/>
            <w:tcBorders>
              <w:top w:val="single" w:sz="12" w:space="0" w:color="auto"/>
            </w:tcBorders>
          </w:tcPr>
          <w:p w:rsidR="00595780" w:rsidRPr="00B33DA8" w:rsidRDefault="00595780" w:rsidP="008D7CC4">
            <w:pPr>
              <w:spacing w:before="0"/>
              <w:rPr>
                <w:sz w:val="20"/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B33DA8" w:rsidRDefault="00595780" w:rsidP="008D7CC4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B33DA8" w:rsidTr="00530525">
        <w:trPr>
          <w:cantSplit/>
        </w:trPr>
        <w:tc>
          <w:tcPr>
            <w:tcW w:w="6804" w:type="dxa"/>
            <w:gridSpan w:val="3"/>
          </w:tcPr>
          <w:p w:rsidR="00C26BA2" w:rsidRPr="00B33DA8" w:rsidRDefault="00C26BA2" w:rsidP="008D7CC4">
            <w:pPr>
              <w:spacing w:before="0"/>
              <w:rPr>
                <w:sz w:val="20"/>
                <w:lang w:val="fr-FR"/>
              </w:rPr>
            </w:pPr>
            <w:r w:rsidRPr="00B33DA8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B33DA8" w:rsidRDefault="00C26BA2" w:rsidP="008D7CC4">
            <w:pPr>
              <w:spacing w:before="0"/>
              <w:rPr>
                <w:rFonts w:ascii="Verdana" w:hAnsi="Verdana"/>
                <w:sz w:val="20"/>
                <w:lang w:val="fr-FR"/>
              </w:rPr>
            </w:pPr>
            <w:r w:rsidRPr="00B33DA8">
              <w:rPr>
                <w:rFonts w:ascii="Verdana" w:hAnsi="Verdana"/>
                <w:b/>
                <w:sz w:val="20"/>
                <w:lang w:val="fr-FR"/>
              </w:rPr>
              <w:t xml:space="preserve">Addendum </w:t>
            </w:r>
            <w:r w:rsidR="00AC4E66" w:rsidRPr="00B33DA8">
              <w:rPr>
                <w:rFonts w:ascii="Verdana" w:hAnsi="Verdana"/>
                <w:b/>
                <w:sz w:val="20"/>
                <w:lang w:val="fr-FR"/>
              </w:rPr>
              <w:t>11</w:t>
            </w:r>
            <w:r w:rsidRPr="00B33DA8">
              <w:rPr>
                <w:rFonts w:ascii="Verdana" w:hAnsi="Verdana"/>
                <w:b/>
                <w:sz w:val="20"/>
                <w:lang w:val="fr-FR"/>
              </w:rPr>
              <w:t xml:space="preserve"> au</w:t>
            </w:r>
            <w:r w:rsidRPr="00B33DA8">
              <w:rPr>
                <w:rFonts w:ascii="Verdana" w:hAnsi="Verdana"/>
                <w:b/>
                <w:sz w:val="20"/>
                <w:lang w:val="fr-FR"/>
              </w:rPr>
              <w:br/>
              <w:t>Document 4</w:t>
            </w:r>
            <w:r w:rsidR="00AC4E66" w:rsidRPr="00B33DA8">
              <w:rPr>
                <w:rFonts w:ascii="Verdana" w:hAnsi="Verdana"/>
                <w:b/>
                <w:sz w:val="20"/>
                <w:lang w:val="fr-FR"/>
              </w:rPr>
              <w:t>2</w:t>
            </w:r>
            <w:r w:rsidRPr="00B33DA8">
              <w:rPr>
                <w:rFonts w:ascii="Verdana" w:hAnsi="Verdana"/>
                <w:b/>
                <w:sz w:val="20"/>
                <w:lang w:val="fr-FR"/>
              </w:rPr>
              <w:t>-F</w:t>
            </w:r>
          </w:p>
        </w:tc>
      </w:tr>
      <w:tr w:rsidR="001D581B" w:rsidRPr="00B33DA8" w:rsidTr="00530525">
        <w:trPr>
          <w:cantSplit/>
        </w:trPr>
        <w:tc>
          <w:tcPr>
            <w:tcW w:w="6804" w:type="dxa"/>
            <w:gridSpan w:val="3"/>
          </w:tcPr>
          <w:p w:rsidR="00595780" w:rsidRPr="00B33DA8" w:rsidRDefault="00595780" w:rsidP="008D7CC4">
            <w:pPr>
              <w:spacing w:before="0"/>
              <w:rPr>
                <w:sz w:val="20"/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B33DA8" w:rsidRDefault="00C26BA2" w:rsidP="008D7CC4">
            <w:pPr>
              <w:spacing w:before="0"/>
              <w:rPr>
                <w:sz w:val="20"/>
                <w:lang w:val="fr-FR"/>
              </w:rPr>
            </w:pPr>
            <w:r w:rsidRPr="00B33DA8">
              <w:rPr>
                <w:rFonts w:ascii="Verdana" w:hAnsi="Verdana"/>
                <w:b/>
                <w:sz w:val="20"/>
                <w:lang w:val="fr-FR"/>
              </w:rPr>
              <w:t>2</w:t>
            </w:r>
            <w:r w:rsidR="00AC4E66" w:rsidRPr="00B33DA8">
              <w:rPr>
                <w:rFonts w:ascii="Verdana" w:hAnsi="Verdana"/>
                <w:b/>
                <w:sz w:val="20"/>
                <w:lang w:val="fr-FR"/>
              </w:rPr>
              <w:t>8</w:t>
            </w:r>
            <w:r w:rsidRPr="00B33DA8">
              <w:rPr>
                <w:rFonts w:ascii="Verdana" w:hAnsi="Verdana"/>
                <w:b/>
                <w:sz w:val="20"/>
                <w:lang w:val="fr-FR"/>
              </w:rPr>
              <w:t xml:space="preserve"> septembre 2016</w:t>
            </w:r>
          </w:p>
        </w:tc>
      </w:tr>
      <w:tr w:rsidR="001D581B" w:rsidRPr="00B33DA8" w:rsidTr="00530525">
        <w:trPr>
          <w:cantSplit/>
        </w:trPr>
        <w:tc>
          <w:tcPr>
            <w:tcW w:w="6804" w:type="dxa"/>
            <w:gridSpan w:val="3"/>
          </w:tcPr>
          <w:p w:rsidR="00595780" w:rsidRPr="00B33DA8" w:rsidRDefault="00595780" w:rsidP="008D7CC4">
            <w:pPr>
              <w:spacing w:before="0"/>
              <w:rPr>
                <w:sz w:val="20"/>
                <w:lang w:val="fr-FR"/>
              </w:rPr>
            </w:pPr>
          </w:p>
        </w:tc>
        <w:tc>
          <w:tcPr>
            <w:tcW w:w="3007" w:type="dxa"/>
            <w:gridSpan w:val="2"/>
          </w:tcPr>
          <w:p w:rsidR="00595780" w:rsidRPr="00B33DA8" w:rsidRDefault="00C26BA2" w:rsidP="008D7CC4">
            <w:pPr>
              <w:spacing w:before="0"/>
              <w:rPr>
                <w:sz w:val="20"/>
                <w:lang w:val="fr-FR"/>
              </w:rPr>
            </w:pPr>
            <w:r w:rsidRPr="00B33DA8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37084D" w:rsidTr="00530525">
        <w:trPr>
          <w:cantSplit/>
        </w:trPr>
        <w:tc>
          <w:tcPr>
            <w:tcW w:w="9811" w:type="dxa"/>
            <w:gridSpan w:val="5"/>
          </w:tcPr>
          <w:p w:rsidR="000032AD" w:rsidRPr="00B33DA8" w:rsidRDefault="000032AD" w:rsidP="008D7CC4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4459C4" w:rsidTr="00530525">
        <w:trPr>
          <w:cantSplit/>
        </w:trPr>
        <w:tc>
          <w:tcPr>
            <w:tcW w:w="9811" w:type="dxa"/>
            <w:gridSpan w:val="5"/>
          </w:tcPr>
          <w:p w:rsidR="00595780" w:rsidRPr="00080081" w:rsidRDefault="00AC4E66" w:rsidP="00080081">
            <w:pPr>
              <w:pStyle w:val="Source"/>
              <w:rPr>
                <w:lang w:val="fr-FR"/>
              </w:rPr>
            </w:pPr>
            <w:r w:rsidRPr="00080081">
              <w:rPr>
                <w:lang w:val="fr-FR"/>
              </w:rPr>
              <w:t>Administrations des pays membres de l</w:t>
            </w:r>
            <w:r w:rsidR="00973181" w:rsidRPr="00080081">
              <w:rPr>
                <w:lang w:val="fr-FR"/>
              </w:rPr>
              <w:t>'</w:t>
            </w:r>
            <w:r w:rsidRPr="00080081">
              <w:rPr>
                <w:lang w:val="fr-FR"/>
              </w:rPr>
              <w:t>Union africaine des télécommunications</w:t>
            </w:r>
          </w:p>
        </w:tc>
      </w:tr>
      <w:tr w:rsidR="00595780" w:rsidRPr="004459C4" w:rsidTr="00530525">
        <w:trPr>
          <w:cantSplit/>
        </w:trPr>
        <w:tc>
          <w:tcPr>
            <w:tcW w:w="9811" w:type="dxa"/>
            <w:gridSpan w:val="5"/>
          </w:tcPr>
          <w:p w:rsidR="00595780" w:rsidRPr="00080081" w:rsidRDefault="00DA2263" w:rsidP="001B3A54">
            <w:pPr>
              <w:pStyle w:val="Title1"/>
              <w:rPr>
                <w:lang w:val="fr-FR"/>
              </w:rPr>
            </w:pPr>
            <w:r w:rsidRPr="00080081">
              <w:rPr>
                <w:lang w:val="fr-FR"/>
              </w:rPr>
              <w:t>APPUI APPORTé Par les administrations des</w:t>
            </w:r>
            <w:r w:rsidR="00CE44A9">
              <w:rPr>
                <w:lang w:val="fr-FR"/>
              </w:rPr>
              <w:t xml:space="preserve"> </w:t>
            </w:r>
            <w:r w:rsidRPr="00080081">
              <w:rPr>
                <w:lang w:val="fr-FR"/>
              </w:rPr>
              <w:t xml:space="preserve">pays </w:t>
            </w:r>
            <w:r w:rsidR="00AC4E66" w:rsidRPr="00080081">
              <w:rPr>
                <w:lang w:val="fr-FR"/>
              </w:rPr>
              <w:t>m</w:t>
            </w:r>
            <w:r w:rsidRPr="00080081">
              <w:rPr>
                <w:lang w:val="fr-FR"/>
              </w:rPr>
              <w:t>embres de l</w:t>
            </w:r>
            <w:r w:rsidR="00973181" w:rsidRPr="00080081">
              <w:rPr>
                <w:lang w:val="fr-FR"/>
              </w:rPr>
              <w:t>'</w:t>
            </w:r>
            <w:r w:rsidRPr="00080081">
              <w:rPr>
                <w:lang w:val="fr-FR"/>
              </w:rPr>
              <w:t xml:space="preserve">union africaine des </w:t>
            </w:r>
            <w:r w:rsidR="00AC4E66" w:rsidRPr="00080081">
              <w:rPr>
                <w:lang w:val="fr-FR"/>
              </w:rPr>
              <w:t xml:space="preserve">télécommunications </w:t>
            </w:r>
            <w:r w:rsidRPr="00080081">
              <w:rPr>
                <w:lang w:val="fr-FR"/>
              </w:rPr>
              <w:t>à l</w:t>
            </w:r>
            <w:r w:rsidR="00973181" w:rsidRPr="00080081">
              <w:rPr>
                <w:lang w:val="fr-FR"/>
              </w:rPr>
              <w:t>'</w:t>
            </w:r>
            <w:r w:rsidRPr="00080081">
              <w:rPr>
                <w:lang w:val="fr-FR"/>
              </w:rPr>
              <w:t>approbation des </w:t>
            </w:r>
            <w:r w:rsidR="00AC4E66" w:rsidRPr="00080081">
              <w:rPr>
                <w:lang w:val="fr-FR"/>
              </w:rPr>
              <w:t xml:space="preserve">recommandations uit-t d.52, d.53, </w:t>
            </w:r>
            <w:r w:rsidRPr="00080081">
              <w:rPr>
                <w:lang w:val="fr-FR"/>
              </w:rPr>
              <w:br/>
            </w:r>
            <w:r w:rsidR="00AC4E66" w:rsidRPr="00080081">
              <w:rPr>
                <w:lang w:val="fr-FR"/>
              </w:rPr>
              <w:t>d.97, d.261 et d.271 lors de l</w:t>
            </w:r>
            <w:r w:rsidR="00973181" w:rsidRPr="00080081">
              <w:rPr>
                <w:lang w:val="fr-FR"/>
              </w:rPr>
              <w:t>'</w:t>
            </w:r>
            <w:r w:rsidR="00AC4E66" w:rsidRPr="00080081">
              <w:rPr>
                <w:lang w:val="fr-FR"/>
              </w:rPr>
              <w:t>amnt-16</w:t>
            </w:r>
          </w:p>
        </w:tc>
      </w:tr>
      <w:tr w:rsidR="00595780" w:rsidRPr="004459C4" w:rsidTr="00530525">
        <w:trPr>
          <w:cantSplit/>
        </w:trPr>
        <w:tc>
          <w:tcPr>
            <w:tcW w:w="9811" w:type="dxa"/>
            <w:gridSpan w:val="5"/>
          </w:tcPr>
          <w:p w:rsidR="00595780" w:rsidRPr="0037084D" w:rsidRDefault="00595780" w:rsidP="008D7CC4">
            <w:pPr>
              <w:pStyle w:val="Title2"/>
              <w:rPr>
                <w:sz w:val="32"/>
                <w:szCs w:val="22"/>
                <w:lang w:val="fr-FR"/>
              </w:rPr>
            </w:pPr>
          </w:p>
        </w:tc>
      </w:tr>
      <w:tr w:rsidR="00C26BA2" w:rsidRPr="004459C4" w:rsidTr="00530525">
        <w:trPr>
          <w:cantSplit/>
        </w:trPr>
        <w:tc>
          <w:tcPr>
            <w:tcW w:w="9811" w:type="dxa"/>
            <w:gridSpan w:val="5"/>
          </w:tcPr>
          <w:p w:rsidR="00C26BA2" w:rsidRPr="0037084D" w:rsidRDefault="00C26BA2" w:rsidP="008D7CC4">
            <w:pPr>
              <w:pStyle w:val="Agendaitem"/>
              <w:rPr>
                <w:sz w:val="32"/>
                <w:szCs w:val="22"/>
                <w:lang w:val="fr-FR"/>
              </w:rPr>
            </w:pPr>
          </w:p>
        </w:tc>
      </w:tr>
      <w:tr w:rsidR="00E11197" w:rsidRPr="004459C4" w:rsidTr="008D7CC4">
        <w:trPr>
          <w:cantSplit/>
        </w:trPr>
        <w:tc>
          <w:tcPr>
            <w:tcW w:w="1912" w:type="dxa"/>
            <w:gridSpan w:val="2"/>
          </w:tcPr>
          <w:p w:rsidR="00E11197" w:rsidRPr="0089468E" w:rsidRDefault="00E11197" w:rsidP="008D7CC4">
            <w:pPr>
              <w:rPr>
                <w:b/>
                <w:bCs/>
                <w:lang w:val="fr-FR"/>
              </w:rPr>
            </w:pPr>
            <w:r w:rsidRPr="0089468E">
              <w:rPr>
                <w:b/>
                <w:bCs/>
                <w:lang w:val="fr-FR"/>
              </w:rPr>
              <w:t>Résumé:</w:t>
            </w:r>
          </w:p>
        </w:tc>
        <w:sdt>
          <w:sdtPr>
            <w:rPr>
              <w:lang w:val="fr-FR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  <w:gridSpan w:val="3"/>
              </w:tcPr>
              <w:p w:rsidR="00E11197" w:rsidRPr="0037084D" w:rsidRDefault="008C7C12" w:rsidP="00841732">
                <w:pPr>
                  <w:rPr>
                    <w:color w:val="000000" w:themeColor="text1"/>
                    <w:lang w:val="fr-FR"/>
                  </w:rPr>
                </w:pPr>
                <w:r w:rsidRPr="0037084D">
                  <w:rPr>
                    <w:lang w:val="fr-FR"/>
                  </w:rPr>
                  <w:t xml:space="preserve">La présente contribution </w:t>
                </w:r>
                <w:r>
                  <w:rPr>
                    <w:lang w:val="fr-FR"/>
                  </w:rPr>
                  <w:t>est fondée</w:t>
                </w:r>
                <w:r w:rsidRPr="0037084D">
                  <w:rPr>
                    <w:lang w:val="fr-FR"/>
                  </w:rPr>
                  <w:t xml:space="preserve"> sur le rapport final de la réunion de la Commission d</w:t>
                </w:r>
                <w:r>
                  <w:rPr>
                    <w:lang w:val="fr-FR"/>
                  </w:rPr>
                  <w:t>'</w:t>
                </w:r>
                <w:r w:rsidRPr="0037084D">
                  <w:rPr>
                    <w:lang w:val="fr-FR"/>
                  </w:rPr>
                  <w:t>études 3 de l</w:t>
                </w:r>
                <w:r>
                  <w:rPr>
                    <w:lang w:val="fr-FR"/>
                  </w:rPr>
                  <w:t>'</w:t>
                </w:r>
                <w:r w:rsidRPr="0037084D">
                  <w:rPr>
                    <w:lang w:val="fr-FR"/>
                  </w:rPr>
                  <w:t xml:space="preserve">UIT-T, pendant laquelle cinq projets de Recommandation ont été considérés comme </w:t>
                </w:r>
                <w:r>
                  <w:rPr>
                    <w:lang w:val="fr-FR"/>
                  </w:rPr>
                  <w:t xml:space="preserve">aboutis </w:t>
                </w:r>
                <w:r w:rsidRPr="0037084D">
                  <w:rPr>
                    <w:lang w:val="fr-FR"/>
                  </w:rPr>
                  <w:t xml:space="preserve">et ont </w:t>
                </w:r>
                <w:r>
                  <w:rPr>
                    <w:lang w:val="fr-FR"/>
                  </w:rPr>
                  <w:t>fait l'objet d'une détermination. Dans cette</w:t>
                </w:r>
                <w:r w:rsidRPr="0037084D">
                  <w:rPr>
                    <w:lang w:val="fr-FR"/>
                  </w:rPr>
                  <w:t xml:space="preserve"> </w:t>
                </w:r>
                <w:r w:rsidRPr="008C609D">
                  <w:rPr>
                    <w:lang w:val="fr-FR"/>
                  </w:rPr>
                  <w:t xml:space="preserve">contribution </w:t>
                </w:r>
                <w:r w:rsidRPr="0037084D">
                  <w:rPr>
                    <w:lang w:val="fr-FR"/>
                  </w:rPr>
                  <w:t>importante</w:t>
                </w:r>
                <w:r w:rsidR="00841732">
                  <w:rPr>
                    <w:lang w:val="fr-FR"/>
                  </w:rPr>
                  <w:t>, il est</w:t>
                </w:r>
                <w:r w:rsidRPr="0037084D">
                  <w:rPr>
                    <w:lang w:val="fr-FR"/>
                  </w:rPr>
                  <w:t xml:space="preserve"> demand</w:t>
                </w:r>
                <w:r w:rsidR="00841732">
                  <w:rPr>
                    <w:lang w:val="fr-FR"/>
                  </w:rPr>
                  <w:t>é</w:t>
                </w:r>
                <w:r w:rsidRPr="0037084D">
                  <w:rPr>
                    <w:lang w:val="fr-FR"/>
                  </w:rPr>
                  <w:t xml:space="preserve"> à l</w:t>
                </w:r>
                <w:r>
                  <w:rPr>
                    <w:lang w:val="fr-FR"/>
                  </w:rPr>
                  <w:t>'</w:t>
                </w:r>
                <w:r w:rsidRPr="0037084D">
                  <w:rPr>
                    <w:lang w:val="fr-FR"/>
                  </w:rPr>
                  <w:t>AMNT-16 d</w:t>
                </w:r>
                <w:r>
                  <w:rPr>
                    <w:lang w:val="fr-FR"/>
                  </w:rPr>
                  <w:t>'</w:t>
                </w:r>
                <w:r w:rsidRPr="0037084D">
                  <w:rPr>
                    <w:lang w:val="fr-FR"/>
                  </w:rPr>
                  <w:t>approuver ces cinq projets de Recommandation.</w:t>
                </w:r>
              </w:p>
            </w:tc>
          </w:sdtContent>
        </w:sdt>
      </w:tr>
    </w:tbl>
    <w:p w:rsidR="00987C1F" w:rsidRPr="0037084D" w:rsidRDefault="00AC4E66" w:rsidP="008D7CC4">
      <w:pPr>
        <w:pStyle w:val="Headingb"/>
      </w:pPr>
      <w:r w:rsidRPr="0037084D">
        <w:t>Introduction</w:t>
      </w:r>
    </w:p>
    <w:p w:rsidR="00AC4E66" w:rsidRPr="0037084D" w:rsidRDefault="00AC4E66" w:rsidP="00841732">
      <w:pPr>
        <w:rPr>
          <w:lang w:val="fr-FR"/>
        </w:rPr>
      </w:pPr>
      <w:r w:rsidRPr="0037084D">
        <w:rPr>
          <w:lang w:val="fr-FR"/>
        </w:rPr>
        <w:t xml:space="preserve">La présente contribution </w:t>
      </w:r>
      <w:r w:rsidR="00841732">
        <w:rPr>
          <w:lang w:val="fr-FR"/>
        </w:rPr>
        <w:t>est fondée</w:t>
      </w:r>
      <w:r w:rsidRPr="0037084D">
        <w:rPr>
          <w:lang w:val="fr-FR"/>
        </w:rPr>
        <w:t xml:space="preserve"> sur le rapport final de la réunion de la Commission d</w:t>
      </w:r>
      <w:r w:rsidR="00973181">
        <w:rPr>
          <w:lang w:val="fr-FR"/>
        </w:rPr>
        <w:t>'</w:t>
      </w:r>
      <w:r w:rsidRPr="0037084D">
        <w:rPr>
          <w:lang w:val="fr-FR"/>
        </w:rPr>
        <w:t>études 3 de l</w:t>
      </w:r>
      <w:r w:rsidR="00973181">
        <w:rPr>
          <w:lang w:val="fr-FR"/>
        </w:rPr>
        <w:t>'</w:t>
      </w:r>
      <w:r w:rsidRPr="0037084D">
        <w:rPr>
          <w:lang w:val="fr-FR"/>
        </w:rPr>
        <w:t xml:space="preserve">UIT-T, pendant laquelle cinq projets de Recommandation ont été </w:t>
      </w:r>
      <w:r w:rsidR="0037084D" w:rsidRPr="0037084D">
        <w:rPr>
          <w:lang w:val="fr-FR"/>
        </w:rPr>
        <w:t xml:space="preserve">considérés comme </w:t>
      </w:r>
      <w:r w:rsidR="0037084D">
        <w:rPr>
          <w:lang w:val="fr-FR"/>
        </w:rPr>
        <w:t xml:space="preserve">aboutis </w:t>
      </w:r>
      <w:r w:rsidR="0037084D" w:rsidRPr="0037084D">
        <w:rPr>
          <w:lang w:val="fr-FR"/>
        </w:rPr>
        <w:t xml:space="preserve">et ont </w:t>
      </w:r>
      <w:r w:rsidR="0037084D">
        <w:rPr>
          <w:lang w:val="fr-FR"/>
        </w:rPr>
        <w:t>fait l</w:t>
      </w:r>
      <w:r w:rsidR="00973181">
        <w:rPr>
          <w:lang w:val="fr-FR"/>
        </w:rPr>
        <w:t>'</w:t>
      </w:r>
      <w:r w:rsidR="0037084D">
        <w:rPr>
          <w:lang w:val="fr-FR"/>
        </w:rPr>
        <w:t>objet d</w:t>
      </w:r>
      <w:r w:rsidR="00973181">
        <w:rPr>
          <w:lang w:val="fr-FR"/>
        </w:rPr>
        <w:t>'</w:t>
      </w:r>
      <w:r w:rsidR="0037084D">
        <w:rPr>
          <w:lang w:val="fr-FR"/>
        </w:rPr>
        <w:t>une détermination</w:t>
      </w:r>
      <w:r w:rsidRPr="0037084D">
        <w:rPr>
          <w:lang w:val="fr-FR"/>
        </w:rPr>
        <w:t>.</w:t>
      </w:r>
    </w:p>
    <w:p w:rsidR="00AC4E66" w:rsidRPr="0037084D" w:rsidRDefault="00841732" w:rsidP="00841732">
      <w:pPr>
        <w:rPr>
          <w:lang w:val="fr-FR"/>
        </w:rPr>
      </w:pPr>
      <w:r>
        <w:rPr>
          <w:lang w:val="fr-FR"/>
        </w:rPr>
        <w:t>Dans c</w:t>
      </w:r>
      <w:r w:rsidR="00AC4E66" w:rsidRPr="0037084D">
        <w:rPr>
          <w:lang w:val="fr-FR"/>
        </w:rPr>
        <w:t>ette contribution importante</w:t>
      </w:r>
      <w:r>
        <w:rPr>
          <w:lang w:val="fr-FR"/>
        </w:rPr>
        <w:t>, il est demandé</w:t>
      </w:r>
      <w:r w:rsidR="00AC4E66" w:rsidRPr="0037084D">
        <w:rPr>
          <w:lang w:val="fr-FR"/>
        </w:rPr>
        <w:t xml:space="preserve"> à l</w:t>
      </w:r>
      <w:r w:rsidR="00973181">
        <w:rPr>
          <w:lang w:val="fr-FR"/>
        </w:rPr>
        <w:t>'</w:t>
      </w:r>
      <w:r w:rsidR="00AC4E66" w:rsidRPr="0037084D">
        <w:rPr>
          <w:lang w:val="fr-FR"/>
        </w:rPr>
        <w:t>AMNT-16 d</w:t>
      </w:r>
      <w:r w:rsidR="00973181">
        <w:rPr>
          <w:lang w:val="fr-FR"/>
        </w:rPr>
        <w:t>'</w:t>
      </w:r>
      <w:r w:rsidR="00AC4E66" w:rsidRPr="0037084D">
        <w:rPr>
          <w:lang w:val="fr-FR"/>
        </w:rPr>
        <w:t>approuver ces cinq projets de Recommandation.</w:t>
      </w:r>
    </w:p>
    <w:p w:rsidR="00AC4E66" w:rsidRPr="0037084D" w:rsidRDefault="00841732" w:rsidP="00841732">
      <w:pPr>
        <w:rPr>
          <w:lang w:val="fr-FR"/>
        </w:rPr>
      </w:pPr>
      <w:r>
        <w:rPr>
          <w:lang w:val="fr-FR"/>
        </w:rPr>
        <w:t>Il y a lieu de rappeler que la</w:t>
      </w:r>
      <w:r w:rsidR="00AC4E66" w:rsidRPr="0037084D">
        <w:rPr>
          <w:lang w:val="fr-FR"/>
        </w:rPr>
        <w:t xml:space="preserve"> Commission d</w:t>
      </w:r>
      <w:r w:rsidR="00973181">
        <w:rPr>
          <w:lang w:val="fr-FR"/>
        </w:rPr>
        <w:t>'</w:t>
      </w:r>
      <w:r w:rsidR="00AC4E66" w:rsidRPr="0037084D">
        <w:rPr>
          <w:lang w:val="fr-FR"/>
        </w:rPr>
        <w:t>études 3 de l</w:t>
      </w:r>
      <w:r w:rsidR="00973181">
        <w:rPr>
          <w:lang w:val="fr-FR"/>
        </w:rPr>
        <w:t>'</w:t>
      </w:r>
      <w:r w:rsidR="00AC4E66" w:rsidRPr="0037084D">
        <w:rPr>
          <w:lang w:val="fr-FR"/>
        </w:rPr>
        <w:t>UIT-T es</w:t>
      </w:r>
      <w:r w:rsidR="00205D45" w:rsidRPr="0037084D">
        <w:rPr>
          <w:lang w:val="fr-FR"/>
        </w:rPr>
        <w:t xml:space="preserve">t chargée </w:t>
      </w:r>
      <w:r>
        <w:rPr>
          <w:lang w:val="fr-FR"/>
        </w:rPr>
        <w:t xml:space="preserve">des études se rapportant aux </w:t>
      </w:r>
      <w:r w:rsidR="00205D45" w:rsidRPr="0037084D">
        <w:rPr>
          <w:lang w:val="fr-FR"/>
        </w:rPr>
        <w:t xml:space="preserve">principes et </w:t>
      </w:r>
      <w:r>
        <w:rPr>
          <w:lang w:val="fr-FR"/>
        </w:rPr>
        <w:t>aux</w:t>
      </w:r>
      <w:r w:rsidR="00205D45" w:rsidRPr="0037084D">
        <w:rPr>
          <w:lang w:val="fr-FR"/>
        </w:rPr>
        <w:t xml:space="preserve"> méthodes de comptabilité, </w:t>
      </w:r>
      <w:r>
        <w:rPr>
          <w:lang w:val="fr-FR"/>
        </w:rPr>
        <w:t xml:space="preserve">ainsi qu'aux questions connexes </w:t>
      </w:r>
      <w:r w:rsidR="00205D45" w:rsidRPr="0037084D">
        <w:rPr>
          <w:lang w:val="fr-FR"/>
        </w:rPr>
        <w:t>de tarification et d</w:t>
      </w:r>
      <w:r w:rsidR="00973181">
        <w:rPr>
          <w:lang w:val="fr-FR"/>
        </w:rPr>
        <w:t>'</w:t>
      </w:r>
      <w:r w:rsidR="00205D45" w:rsidRPr="0037084D">
        <w:rPr>
          <w:lang w:val="fr-FR"/>
        </w:rPr>
        <w:t xml:space="preserve">économie. </w:t>
      </w:r>
      <w:proofErr w:type="spellStart"/>
      <w:r w:rsidR="00205D45" w:rsidRPr="0037084D">
        <w:rPr>
          <w:lang w:val="fr-FR"/>
        </w:rPr>
        <w:t>A</w:t>
      </w:r>
      <w:proofErr w:type="spellEnd"/>
      <w:r w:rsidR="00205D45" w:rsidRPr="0037084D">
        <w:rPr>
          <w:lang w:val="fr-FR"/>
        </w:rPr>
        <w:t xml:space="preserve"> cette fin, elle s</w:t>
      </w:r>
      <w:r w:rsidR="00973181">
        <w:rPr>
          <w:lang w:val="fr-FR"/>
        </w:rPr>
        <w:t>'</w:t>
      </w:r>
      <w:r>
        <w:rPr>
          <w:lang w:val="fr-FR"/>
        </w:rPr>
        <w:t>emploie</w:t>
      </w:r>
      <w:r w:rsidR="00205D45" w:rsidRPr="0037084D">
        <w:rPr>
          <w:lang w:val="fr-FR"/>
        </w:rPr>
        <w:t xml:space="preserve"> à rendre les</w:t>
      </w:r>
      <w:r w:rsidR="00EA4CA7">
        <w:rPr>
          <w:lang w:val="fr-FR"/>
        </w:rPr>
        <w:t xml:space="preserve"> </w:t>
      </w:r>
      <w:r>
        <w:rPr>
          <w:lang w:val="fr-FR"/>
        </w:rPr>
        <w:t>prix</w:t>
      </w:r>
      <w:r w:rsidR="00EA4CA7">
        <w:rPr>
          <w:lang w:val="fr-FR"/>
        </w:rPr>
        <w:t xml:space="preserve"> des</w:t>
      </w:r>
      <w:r w:rsidR="00205D45" w:rsidRPr="0037084D">
        <w:rPr>
          <w:lang w:val="fr-FR"/>
        </w:rPr>
        <w:t xml:space="preserve"> services de télécommunication aussi accessibles que possible pour en permettre l</w:t>
      </w:r>
      <w:r w:rsidR="00973181">
        <w:rPr>
          <w:lang w:val="fr-FR"/>
        </w:rPr>
        <w:t>'</w:t>
      </w:r>
      <w:r w:rsidR="00205D45" w:rsidRPr="0037084D">
        <w:rPr>
          <w:lang w:val="fr-FR"/>
        </w:rPr>
        <w:t>accès à tous, tout en tenant compte de la rentabilité pour les opérateurs. En outre, les Recommandations élaborées par la Commission d</w:t>
      </w:r>
      <w:r w:rsidR="00973181">
        <w:rPr>
          <w:lang w:val="fr-FR"/>
        </w:rPr>
        <w:t>'</w:t>
      </w:r>
      <w:r w:rsidR="00205D45" w:rsidRPr="0037084D">
        <w:rPr>
          <w:lang w:val="fr-FR"/>
        </w:rPr>
        <w:t xml:space="preserve">études 3 </w:t>
      </w:r>
      <w:r>
        <w:rPr>
          <w:lang w:val="fr-FR"/>
        </w:rPr>
        <w:t>ont pour but de permettre la fourniture de services orientés</w:t>
      </w:r>
      <w:r w:rsidR="00205D45" w:rsidRPr="0037084D">
        <w:rPr>
          <w:lang w:val="fr-FR"/>
        </w:rPr>
        <w:t xml:space="preserve"> vers les coûts</w:t>
      </w:r>
      <w:r w:rsidR="007738EE" w:rsidRPr="0037084D">
        <w:rPr>
          <w:lang w:val="fr-FR"/>
        </w:rPr>
        <w:t xml:space="preserve"> et </w:t>
      </w:r>
      <w:r>
        <w:rPr>
          <w:lang w:val="fr-FR"/>
        </w:rPr>
        <w:t>financièrement abordables</w:t>
      </w:r>
      <w:r w:rsidR="007738EE" w:rsidRPr="0037084D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="007738EE" w:rsidRPr="0037084D">
        <w:rPr>
          <w:lang w:val="fr-FR"/>
        </w:rPr>
        <w:t xml:space="preserve">réduire, voire </w:t>
      </w:r>
      <w:r>
        <w:rPr>
          <w:lang w:val="fr-FR"/>
        </w:rPr>
        <w:t>d'</w:t>
      </w:r>
      <w:r w:rsidR="007738EE" w:rsidRPr="0037084D">
        <w:rPr>
          <w:lang w:val="fr-FR"/>
        </w:rPr>
        <w:t xml:space="preserve">éliminer, les </w:t>
      </w:r>
      <w:r>
        <w:rPr>
          <w:lang w:val="fr-FR"/>
        </w:rPr>
        <w:t>incidences</w:t>
      </w:r>
      <w:r w:rsidR="007738EE" w:rsidRPr="0037084D">
        <w:rPr>
          <w:lang w:val="fr-FR"/>
        </w:rPr>
        <w:t xml:space="preserve"> économiques né</w:t>
      </w:r>
      <w:r>
        <w:rPr>
          <w:lang w:val="fr-FR"/>
        </w:rPr>
        <w:t>gatives qui en résultent</w:t>
      </w:r>
      <w:r w:rsidR="007738EE" w:rsidRPr="0037084D">
        <w:rPr>
          <w:lang w:val="fr-FR"/>
        </w:rPr>
        <w:t xml:space="preserve"> pour les populations.</w:t>
      </w:r>
    </w:p>
    <w:p w:rsidR="007738EE" w:rsidRPr="0037084D" w:rsidRDefault="007738EE" w:rsidP="008D7CC4">
      <w:pPr>
        <w:pStyle w:val="Headingb"/>
      </w:pPr>
      <w:r w:rsidRPr="0037084D">
        <w:lastRenderedPageBreak/>
        <w:t>Contexte</w:t>
      </w:r>
    </w:p>
    <w:p w:rsidR="007738EE" w:rsidRPr="0037084D" w:rsidRDefault="007738EE" w:rsidP="004D762F">
      <w:pPr>
        <w:rPr>
          <w:lang w:val="fr-FR"/>
        </w:rPr>
      </w:pPr>
      <w:r w:rsidRPr="0037084D">
        <w:rPr>
          <w:lang w:val="fr-FR"/>
        </w:rPr>
        <w:t>La Commission d</w:t>
      </w:r>
      <w:r w:rsidR="00973181">
        <w:rPr>
          <w:lang w:val="fr-FR"/>
        </w:rPr>
        <w:t>'</w:t>
      </w:r>
      <w:r w:rsidRPr="0037084D">
        <w:rPr>
          <w:lang w:val="fr-FR"/>
        </w:rPr>
        <w:t>études 3 de l</w:t>
      </w:r>
      <w:r w:rsidR="00973181">
        <w:rPr>
          <w:lang w:val="fr-FR"/>
        </w:rPr>
        <w:t>'</w:t>
      </w:r>
      <w:r w:rsidRPr="0037084D">
        <w:rPr>
          <w:lang w:val="fr-FR"/>
        </w:rPr>
        <w:t xml:space="preserve">UIT-T </w:t>
      </w:r>
      <w:r w:rsidR="004D762F">
        <w:rPr>
          <w:lang w:val="fr-FR"/>
        </w:rPr>
        <w:t xml:space="preserve">a tenu sa </w:t>
      </w:r>
      <w:r w:rsidR="004D762F" w:rsidRPr="0037084D">
        <w:rPr>
          <w:lang w:val="fr-FR"/>
        </w:rPr>
        <w:t xml:space="preserve">quatrième réunion </w:t>
      </w:r>
      <w:r w:rsidR="004D762F">
        <w:rPr>
          <w:lang w:val="fr-FR"/>
        </w:rPr>
        <w:t>de</w:t>
      </w:r>
      <w:r w:rsidRPr="0037084D">
        <w:rPr>
          <w:lang w:val="fr-FR"/>
        </w:rPr>
        <w:t xml:space="preserve"> la période d</w:t>
      </w:r>
      <w:r w:rsidR="00973181">
        <w:rPr>
          <w:lang w:val="fr-FR"/>
        </w:rPr>
        <w:t>'</w:t>
      </w:r>
      <w:r w:rsidRPr="0037084D">
        <w:rPr>
          <w:lang w:val="fr-FR"/>
        </w:rPr>
        <w:t>études 2013</w:t>
      </w:r>
      <w:r w:rsidR="004D762F">
        <w:rPr>
          <w:lang w:val="fr-FR"/>
        </w:rPr>
        <w:noBreakHyphen/>
      </w:r>
      <w:r w:rsidRPr="0037084D">
        <w:rPr>
          <w:lang w:val="fr-FR"/>
        </w:rPr>
        <w:t>2016 à Genève (Suisse) du 22 février au 1er mars 2016.</w:t>
      </w:r>
    </w:p>
    <w:p w:rsidR="007738EE" w:rsidRPr="0037084D" w:rsidRDefault="00224D72" w:rsidP="00DD6D89">
      <w:pPr>
        <w:rPr>
          <w:lang w:val="fr-FR"/>
        </w:rPr>
      </w:pPr>
      <w:r w:rsidRPr="0037084D">
        <w:rPr>
          <w:lang w:val="fr-FR"/>
        </w:rPr>
        <w:t xml:space="preserve">Plus de 138 délégués de 50 </w:t>
      </w:r>
      <w:proofErr w:type="spellStart"/>
      <w:r w:rsidRPr="0037084D">
        <w:rPr>
          <w:lang w:val="fr-FR"/>
        </w:rPr>
        <w:t>Etats</w:t>
      </w:r>
      <w:proofErr w:type="spellEnd"/>
      <w:r w:rsidRPr="0037084D">
        <w:rPr>
          <w:lang w:val="fr-FR"/>
        </w:rPr>
        <w:t xml:space="preserve"> Membres ont participé à la dernière réunion de la période d</w:t>
      </w:r>
      <w:r w:rsidR="00973181">
        <w:rPr>
          <w:lang w:val="fr-FR"/>
        </w:rPr>
        <w:t>'</w:t>
      </w:r>
      <w:r w:rsidRPr="0037084D">
        <w:rPr>
          <w:lang w:val="fr-FR"/>
        </w:rPr>
        <w:t>études 201</w:t>
      </w:r>
      <w:r w:rsidR="00DD6D89">
        <w:rPr>
          <w:lang w:val="fr-FR"/>
        </w:rPr>
        <w:t>3</w:t>
      </w:r>
      <w:r w:rsidR="004D762F">
        <w:rPr>
          <w:lang w:val="fr-FR"/>
        </w:rPr>
        <w:noBreakHyphen/>
      </w:r>
      <w:r w:rsidRPr="0037084D">
        <w:rPr>
          <w:lang w:val="fr-FR"/>
        </w:rPr>
        <w:t>2016. La Commission d</w:t>
      </w:r>
      <w:r w:rsidR="00973181">
        <w:rPr>
          <w:lang w:val="fr-FR"/>
        </w:rPr>
        <w:t>'</w:t>
      </w:r>
      <w:r w:rsidRPr="0037084D">
        <w:rPr>
          <w:lang w:val="fr-FR"/>
        </w:rPr>
        <w:t xml:space="preserve">études 3 a reçu un </w:t>
      </w:r>
      <w:r w:rsidR="004D762F">
        <w:rPr>
          <w:lang w:val="fr-FR"/>
        </w:rPr>
        <w:t>nombre record</w:t>
      </w:r>
      <w:r w:rsidRPr="0037084D">
        <w:rPr>
          <w:lang w:val="fr-FR"/>
        </w:rPr>
        <w:t xml:space="preserve"> de 141 contributions, contre 56 en 2015</w:t>
      </w:r>
      <w:r w:rsidR="004D762F">
        <w:rPr>
          <w:lang w:val="fr-FR"/>
        </w:rPr>
        <w:t>, soit une hausse</w:t>
      </w:r>
      <w:r w:rsidRPr="0037084D">
        <w:rPr>
          <w:lang w:val="fr-FR"/>
        </w:rPr>
        <w:t xml:space="preserve"> de plus de 40%.</w:t>
      </w:r>
    </w:p>
    <w:p w:rsidR="00224D72" w:rsidRPr="0037084D" w:rsidRDefault="009004DD" w:rsidP="009004DD">
      <w:pPr>
        <w:rPr>
          <w:lang w:val="fr-FR"/>
        </w:rPr>
      </w:pPr>
      <w:r>
        <w:rPr>
          <w:lang w:val="fr-FR"/>
        </w:rPr>
        <w:t>L</w:t>
      </w:r>
      <w:r w:rsidRPr="0037084D">
        <w:rPr>
          <w:lang w:val="fr-FR"/>
        </w:rPr>
        <w:t xml:space="preserve">a </w:t>
      </w:r>
      <w:r w:rsidR="00224D72" w:rsidRPr="0037084D">
        <w:rPr>
          <w:lang w:val="fr-FR"/>
        </w:rPr>
        <w:t>réunion de la Commission d</w:t>
      </w:r>
      <w:r w:rsidR="00973181">
        <w:rPr>
          <w:lang w:val="fr-FR"/>
        </w:rPr>
        <w:t>'</w:t>
      </w:r>
      <w:r w:rsidR="00224D72" w:rsidRPr="0037084D">
        <w:rPr>
          <w:lang w:val="fr-FR"/>
        </w:rPr>
        <w:t>études 3 de l</w:t>
      </w:r>
      <w:r w:rsidR="00973181">
        <w:rPr>
          <w:lang w:val="fr-FR"/>
        </w:rPr>
        <w:t>'</w:t>
      </w:r>
      <w:r w:rsidR="00224D72" w:rsidRPr="0037084D">
        <w:rPr>
          <w:lang w:val="fr-FR"/>
        </w:rPr>
        <w:t>UIT-T</w:t>
      </w:r>
      <w:r>
        <w:rPr>
          <w:lang w:val="fr-FR"/>
        </w:rPr>
        <w:t xml:space="preserve"> a donné lieu à </w:t>
      </w:r>
      <w:r w:rsidR="00FB339B" w:rsidRPr="0037084D">
        <w:rPr>
          <w:lang w:val="fr-FR"/>
        </w:rPr>
        <w:t>de</w:t>
      </w:r>
      <w:r w:rsidR="00854417">
        <w:rPr>
          <w:lang w:val="fr-FR"/>
        </w:rPr>
        <w:t xml:space="preserve"> nombreux </w:t>
      </w:r>
      <w:r>
        <w:rPr>
          <w:lang w:val="fr-FR"/>
        </w:rPr>
        <w:t>débats prolongés</w:t>
      </w:r>
      <w:r w:rsidR="00854417">
        <w:rPr>
          <w:lang w:val="fr-FR"/>
        </w:rPr>
        <w:t xml:space="preserve"> sur des s</w:t>
      </w:r>
      <w:r w:rsidR="00FB339B" w:rsidRPr="0037084D">
        <w:rPr>
          <w:lang w:val="fr-FR"/>
        </w:rPr>
        <w:t xml:space="preserve">ujets aussi </w:t>
      </w:r>
      <w:r>
        <w:rPr>
          <w:lang w:val="fr-FR"/>
        </w:rPr>
        <w:t>divers</w:t>
      </w:r>
      <w:r w:rsidR="00FB339B" w:rsidRPr="0037084D">
        <w:rPr>
          <w:lang w:val="fr-FR"/>
        </w:rPr>
        <w:t xml:space="preserve"> que la connectivité Internet large bande, le service universel, l</w:t>
      </w:r>
      <w:r w:rsidR="00973181">
        <w:rPr>
          <w:lang w:val="fr-FR"/>
        </w:rPr>
        <w:t>'</w:t>
      </w:r>
      <w:r w:rsidR="00FB339B" w:rsidRPr="0037084D">
        <w:rPr>
          <w:lang w:val="fr-FR"/>
        </w:rPr>
        <w:t>itinérance internationale, les services OTT (over-the-top) et les services financiers sur mobile. Les pays africains ont élaboré de nombreuses contributions et Recommandations</w:t>
      </w:r>
      <w:r w:rsidR="00483378" w:rsidRPr="0037084D">
        <w:rPr>
          <w:lang w:val="fr-FR"/>
        </w:rPr>
        <w:t xml:space="preserve"> sur ces </w:t>
      </w:r>
      <w:r>
        <w:rPr>
          <w:lang w:val="fr-FR"/>
        </w:rPr>
        <w:t>questions</w:t>
      </w:r>
      <w:r w:rsidR="00483378" w:rsidRPr="0037084D">
        <w:rPr>
          <w:lang w:val="fr-FR"/>
        </w:rPr>
        <w:t xml:space="preserve">, </w:t>
      </w:r>
      <w:r>
        <w:rPr>
          <w:lang w:val="fr-FR"/>
        </w:rPr>
        <w:t xml:space="preserve">qui </w:t>
      </w:r>
      <w:r w:rsidR="00483378" w:rsidRPr="0037084D">
        <w:rPr>
          <w:lang w:val="fr-FR"/>
        </w:rPr>
        <w:t xml:space="preserve">présentent un intérêt pour les </w:t>
      </w:r>
      <w:r>
        <w:rPr>
          <w:lang w:val="fr-FR"/>
        </w:rPr>
        <w:t>africains,</w:t>
      </w:r>
      <w:r w:rsidR="00483378" w:rsidRPr="0037084D">
        <w:rPr>
          <w:lang w:val="fr-FR"/>
        </w:rPr>
        <w:t xml:space="preserve"> mais posent également des </w:t>
      </w:r>
      <w:r>
        <w:rPr>
          <w:lang w:val="fr-FR"/>
        </w:rPr>
        <w:t>problèmes</w:t>
      </w:r>
      <w:r w:rsidR="00483378" w:rsidRPr="0037084D">
        <w:rPr>
          <w:lang w:val="fr-FR"/>
        </w:rPr>
        <w:t xml:space="preserve"> aux opérateurs d</w:t>
      </w:r>
      <w:r>
        <w:rPr>
          <w:lang w:val="fr-FR"/>
        </w:rPr>
        <w:t>e la</w:t>
      </w:r>
      <w:r w:rsidR="00483378" w:rsidRPr="0037084D">
        <w:rPr>
          <w:lang w:val="fr-FR"/>
        </w:rPr>
        <w:t xml:space="preserve"> région. </w:t>
      </w:r>
    </w:p>
    <w:p w:rsidR="00483378" w:rsidRPr="0037084D" w:rsidRDefault="00131DE9" w:rsidP="008D7CC4">
      <w:pPr>
        <w:pStyle w:val="Headingb"/>
      </w:pPr>
      <w:r>
        <w:t>Examen</w:t>
      </w:r>
    </w:p>
    <w:p w:rsidR="00483378" w:rsidRPr="0037084D" w:rsidRDefault="00483378" w:rsidP="009E1684">
      <w:pPr>
        <w:rPr>
          <w:lang w:val="fr-FR"/>
        </w:rPr>
      </w:pPr>
      <w:r w:rsidRPr="0037084D">
        <w:rPr>
          <w:lang w:val="fr-FR"/>
        </w:rPr>
        <w:t xml:space="preserve">Les </w:t>
      </w:r>
      <w:r w:rsidR="006826ED">
        <w:rPr>
          <w:lang w:val="fr-FR"/>
        </w:rPr>
        <w:t>discussions</w:t>
      </w:r>
      <w:r w:rsidRPr="0037084D">
        <w:rPr>
          <w:lang w:val="fr-FR"/>
        </w:rPr>
        <w:t xml:space="preserve"> qui ont eu lieu lors de la quatrième réunion de la CE 3 ont </w:t>
      </w:r>
      <w:r w:rsidR="00720F78">
        <w:rPr>
          <w:lang w:val="fr-FR"/>
        </w:rPr>
        <w:t>débouché sur</w:t>
      </w:r>
      <w:r w:rsidRPr="0037084D">
        <w:rPr>
          <w:lang w:val="fr-FR"/>
        </w:rPr>
        <w:t xml:space="preserve"> de nombreux résultats. Ainsi, </w:t>
      </w:r>
      <w:r w:rsidR="00720F78">
        <w:rPr>
          <w:lang w:val="fr-FR"/>
        </w:rPr>
        <w:t>près de</w:t>
      </w:r>
      <w:r w:rsidRPr="0037084D">
        <w:rPr>
          <w:lang w:val="fr-FR"/>
        </w:rPr>
        <w:t xml:space="preserve"> quatorze (14) documents temporaires ont été élaborés pour </w:t>
      </w:r>
      <w:r w:rsidR="009E1684">
        <w:rPr>
          <w:lang w:val="fr-FR"/>
        </w:rPr>
        <w:t>traiter</w:t>
      </w:r>
      <w:r w:rsidR="00672EF5" w:rsidRPr="0037084D">
        <w:rPr>
          <w:lang w:val="fr-FR"/>
        </w:rPr>
        <w:t xml:space="preserve"> toutes les questions et cinq (5) projets de Recommandation ont été considérés comme aboutis et ont fait l</w:t>
      </w:r>
      <w:r w:rsidR="00973181">
        <w:rPr>
          <w:lang w:val="fr-FR"/>
        </w:rPr>
        <w:t>'</w:t>
      </w:r>
      <w:r w:rsidR="00672EF5" w:rsidRPr="0037084D">
        <w:rPr>
          <w:lang w:val="fr-FR"/>
        </w:rPr>
        <w:t>objet d</w:t>
      </w:r>
      <w:r w:rsidR="00973181">
        <w:rPr>
          <w:lang w:val="fr-FR"/>
        </w:rPr>
        <w:t>'</w:t>
      </w:r>
      <w:r w:rsidR="00672EF5" w:rsidRPr="0037084D">
        <w:rPr>
          <w:lang w:val="fr-FR"/>
        </w:rPr>
        <w:t>une détermination. Il s</w:t>
      </w:r>
      <w:r w:rsidR="00973181">
        <w:rPr>
          <w:lang w:val="fr-FR"/>
        </w:rPr>
        <w:t>'</w:t>
      </w:r>
      <w:r w:rsidR="00672EF5" w:rsidRPr="0037084D">
        <w:rPr>
          <w:lang w:val="fr-FR"/>
        </w:rPr>
        <w:t>agit des</w:t>
      </w:r>
      <w:r w:rsidR="009E1684" w:rsidRPr="009E1684">
        <w:rPr>
          <w:lang w:val="fr-FR"/>
        </w:rPr>
        <w:t xml:space="preserve"> </w:t>
      </w:r>
      <w:r w:rsidR="009E1684" w:rsidRPr="0037084D">
        <w:rPr>
          <w:lang w:val="fr-FR"/>
        </w:rPr>
        <w:t>projet</w:t>
      </w:r>
      <w:r w:rsidR="009E1684">
        <w:rPr>
          <w:lang w:val="fr-FR"/>
        </w:rPr>
        <w:t>s</w:t>
      </w:r>
      <w:r w:rsidR="009E1684" w:rsidRPr="0037084D">
        <w:rPr>
          <w:lang w:val="fr-FR"/>
        </w:rPr>
        <w:t xml:space="preserve"> de nouvelle Recommandation</w:t>
      </w:r>
      <w:r w:rsidR="009E1684">
        <w:rPr>
          <w:lang w:val="fr-FR"/>
        </w:rPr>
        <w:t xml:space="preserve"> suivants</w:t>
      </w:r>
      <w:r w:rsidR="00672EF5" w:rsidRPr="0037084D">
        <w:rPr>
          <w:lang w:val="fr-FR"/>
        </w:rPr>
        <w:t>:</w:t>
      </w:r>
    </w:p>
    <w:p w:rsidR="00672EF5" w:rsidRPr="0037084D" w:rsidRDefault="00C93A86" w:rsidP="009E1684">
      <w:pPr>
        <w:pStyle w:val="enumlev1"/>
        <w:rPr>
          <w:lang w:val="fr-FR"/>
        </w:rPr>
      </w:pPr>
      <w:r>
        <w:rPr>
          <w:lang w:val="fr-FR"/>
        </w:rPr>
        <w:t>1)</w:t>
      </w:r>
      <w:r w:rsidR="00672EF5" w:rsidRPr="0037084D">
        <w:rPr>
          <w:lang w:val="fr-FR"/>
        </w:rPr>
        <w:tab/>
      </w:r>
      <w:r w:rsidR="0037084D" w:rsidRPr="0037084D">
        <w:rPr>
          <w:lang w:val="fr-FR"/>
        </w:rPr>
        <w:t>UIT-T D.52 "C</w:t>
      </w:r>
      <w:r w:rsidR="00672EF5" w:rsidRPr="0037084D">
        <w:rPr>
          <w:lang w:val="fr-FR"/>
        </w:rPr>
        <w:t xml:space="preserve">réation et </w:t>
      </w:r>
      <w:r w:rsidR="0037084D" w:rsidRPr="0037084D">
        <w:rPr>
          <w:lang w:val="fr-FR"/>
        </w:rPr>
        <w:tab/>
      </w:r>
      <w:r w:rsidR="00672EF5" w:rsidRPr="0037084D">
        <w:rPr>
          <w:lang w:val="fr-FR"/>
        </w:rPr>
        <w:t>raccordement de points d</w:t>
      </w:r>
      <w:r w:rsidR="00973181">
        <w:rPr>
          <w:lang w:val="fr-FR"/>
        </w:rPr>
        <w:t>'</w:t>
      </w:r>
      <w:r w:rsidR="00672EF5" w:rsidRPr="0037084D">
        <w:rPr>
          <w:lang w:val="fr-FR"/>
        </w:rPr>
        <w:t>échange Internet (IXP) régionaux pour réduire les coûts de la connectivité Internet internationale"</w:t>
      </w:r>
      <w:r w:rsidR="0037084D" w:rsidRPr="0037084D">
        <w:rPr>
          <w:lang w:val="fr-FR"/>
        </w:rPr>
        <w:t>;</w:t>
      </w:r>
    </w:p>
    <w:p w:rsidR="0037084D" w:rsidRPr="0037084D" w:rsidRDefault="00C93A86" w:rsidP="009E1684">
      <w:pPr>
        <w:pStyle w:val="enumlev1"/>
        <w:rPr>
          <w:lang w:val="fr-FR"/>
        </w:rPr>
      </w:pPr>
      <w:r>
        <w:rPr>
          <w:lang w:val="fr-FR"/>
        </w:rPr>
        <w:t>2)</w:t>
      </w:r>
      <w:r w:rsidR="0037084D" w:rsidRPr="0037084D">
        <w:rPr>
          <w:lang w:val="fr-FR"/>
        </w:rPr>
        <w:tab/>
        <w:t>UIT-T D.53</w:t>
      </w:r>
      <w:r w:rsidR="007E3F5E">
        <w:rPr>
          <w:lang w:val="fr-FR"/>
        </w:rPr>
        <w:t xml:space="preserve"> "Aspects </w:t>
      </w:r>
      <w:r w:rsidR="0037084D" w:rsidRPr="0037084D">
        <w:rPr>
          <w:lang w:val="fr-FR"/>
        </w:rPr>
        <w:t>internationaux du service universel";</w:t>
      </w:r>
    </w:p>
    <w:p w:rsidR="0037084D" w:rsidRPr="0037084D" w:rsidRDefault="00C93A86" w:rsidP="009E1684">
      <w:pPr>
        <w:pStyle w:val="enumlev1"/>
        <w:rPr>
          <w:lang w:val="fr-FR"/>
        </w:rPr>
      </w:pPr>
      <w:r>
        <w:rPr>
          <w:lang w:val="fr-FR"/>
        </w:rPr>
        <w:t>3)</w:t>
      </w:r>
      <w:r w:rsidR="0037084D" w:rsidRPr="0037084D">
        <w:rPr>
          <w:lang w:val="fr-FR"/>
        </w:rPr>
        <w:tab/>
        <w:t>UIT-T D.271 révisée "Principes de taxation et de comptabilité applicables aux NGN";</w:t>
      </w:r>
    </w:p>
    <w:p w:rsidR="0037084D" w:rsidRPr="0037084D" w:rsidRDefault="00C93A86" w:rsidP="009E1684">
      <w:pPr>
        <w:pStyle w:val="enumlev1"/>
        <w:rPr>
          <w:lang w:val="fr-FR"/>
        </w:rPr>
      </w:pPr>
      <w:r>
        <w:rPr>
          <w:lang w:val="fr-FR"/>
        </w:rPr>
        <w:t>4)</w:t>
      </w:r>
      <w:r w:rsidR="0037084D" w:rsidRPr="0037084D">
        <w:rPr>
          <w:lang w:val="fr-FR"/>
        </w:rPr>
        <w:tab/>
        <w:t>UIT-T D.97</w:t>
      </w:r>
      <w:r w:rsidR="009E1684">
        <w:rPr>
          <w:lang w:val="fr-FR"/>
        </w:rPr>
        <w:t xml:space="preserve"> "Principes </w:t>
      </w:r>
      <w:r w:rsidR="0037084D" w:rsidRPr="0037084D">
        <w:rPr>
          <w:lang w:val="fr-FR"/>
        </w:rPr>
        <w:t>méthodologiques de détermination des tarifs de l</w:t>
      </w:r>
      <w:r w:rsidR="00973181">
        <w:rPr>
          <w:lang w:val="fr-FR"/>
        </w:rPr>
        <w:t>'</w:t>
      </w:r>
      <w:r w:rsidR="0037084D" w:rsidRPr="0037084D">
        <w:rPr>
          <w:lang w:val="fr-FR"/>
        </w:rPr>
        <w:t xml:space="preserve">itinérance mobile </w:t>
      </w:r>
      <w:r w:rsidR="0037084D" w:rsidRPr="0037084D">
        <w:rPr>
          <w:lang w:val="fr-FR"/>
        </w:rPr>
        <w:tab/>
        <w:t>internationale";</w:t>
      </w:r>
    </w:p>
    <w:p w:rsidR="0037084D" w:rsidRDefault="00C93A86" w:rsidP="009E1684">
      <w:pPr>
        <w:pStyle w:val="enumlev1"/>
        <w:rPr>
          <w:lang w:val="fr-FR"/>
        </w:rPr>
      </w:pPr>
      <w:r>
        <w:rPr>
          <w:lang w:val="fr-FR"/>
        </w:rPr>
        <w:t>5)</w:t>
      </w:r>
      <w:r w:rsidR="0037084D" w:rsidRPr="0037084D">
        <w:rPr>
          <w:lang w:val="fr-FR"/>
        </w:rPr>
        <w:tab/>
        <w:t>UIT-T D.261 "Principes à appliquer dans la définition des marchés et l</w:t>
      </w:r>
      <w:r w:rsidR="00973181">
        <w:rPr>
          <w:lang w:val="fr-FR"/>
        </w:rPr>
        <w:t>'</w:t>
      </w:r>
      <w:r w:rsidR="0037084D" w:rsidRPr="0037084D">
        <w:rPr>
          <w:lang w:val="fr-FR"/>
        </w:rPr>
        <w:t>identification des opérateurs en position de force sur un marché".</w:t>
      </w:r>
    </w:p>
    <w:p w:rsidR="0037084D" w:rsidRDefault="0037084D" w:rsidP="00883AAD">
      <w:pPr>
        <w:rPr>
          <w:lang w:val="fr-FR"/>
        </w:rPr>
      </w:pPr>
      <w:r>
        <w:rPr>
          <w:lang w:val="fr-FR"/>
        </w:rPr>
        <w:t xml:space="preserve">De nombreux pays africains ont entrepris des réformes </w:t>
      </w:r>
      <w:r w:rsidR="00EC002E">
        <w:rPr>
          <w:lang w:val="fr-FR"/>
        </w:rPr>
        <w:t xml:space="preserve">pour </w:t>
      </w:r>
      <w:r w:rsidR="00883AAD">
        <w:rPr>
          <w:lang w:val="fr-FR"/>
        </w:rPr>
        <w:t xml:space="preserve">favoriser </w:t>
      </w:r>
      <w:r w:rsidR="00EC002E">
        <w:rPr>
          <w:lang w:val="fr-FR"/>
        </w:rPr>
        <w:t>le développement et l</w:t>
      </w:r>
      <w:r w:rsidR="00973181">
        <w:rPr>
          <w:lang w:val="fr-FR"/>
        </w:rPr>
        <w:t>'</w:t>
      </w:r>
      <w:r w:rsidR="00EC002E">
        <w:rPr>
          <w:lang w:val="fr-FR"/>
        </w:rPr>
        <w:t xml:space="preserve">accessibilité </w:t>
      </w:r>
      <w:r w:rsidR="00883AAD">
        <w:rPr>
          <w:lang w:val="fr-FR"/>
        </w:rPr>
        <w:t xml:space="preserve">économique </w:t>
      </w:r>
      <w:r w:rsidR="00EC002E">
        <w:rPr>
          <w:lang w:val="fr-FR"/>
        </w:rPr>
        <w:t xml:space="preserve">du large bande </w:t>
      </w:r>
      <w:r w:rsidR="00883AAD">
        <w:rPr>
          <w:lang w:val="fr-FR"/>
        </w:rPr>
        <w:t>ainsi que</w:t>
      </w:r>
      <w:r w:rsidR="00EC002E">
        <w:rPr>
          <w:lang w:val="fr-FR"/>
        </w:rPr>
        <w:t xml:space="preserve"> la réduction d</w:t>
      </w:r>
      <w:r w:rsidR="00A70B14">
        <w:rPr>
          <w:lang w:val="fr-FR"/>
        </w:rPr>
        <w:t>es</w:t>
      </w:r>
      <w:r w:rsidR="00EC002E">
        <w:rPr>
          <w:lang w:val="fr-FR"/>
        </w:rPr>
        <w:t xml:space="preserve"> coût</w:t>
      </w:r>
      <w:r w:rsidR="00A70B14">
        <w:rPr>
          <w:lang w:val="fr-FR"/>
        </w:rPr>
        <w:t>s</w:t>
      </w:r>
      <w:r w:rsidR="00EC002E">
        <w:rPr>
          <w:lang w:val="fr-FR"/>
        </w:rPr>
        <w:t xml:space="preserve"> des appels en itinérance. Toutes ces réformes permettront d</w:t>
      </w:r>
      <w:r w:rsidR="00973181">
        <w:rPr>
          <w:lang w:val="fr-FR"/>
        </w:rPr>
        <w:t>'</w:t>
      </w:r>
      <w:r w:rsidR="00EC002E">
        <w:rPr>
          <w:lang w:val="fr-FR"/>
        </w:rPr>
        <w:t>améliorer les conditions de vie, d</w:t>
      </w:r>
      <w:r w:rsidR="00973181">
        <w:rPr>
          <w:lang w:val="fr-FR"/>
        </w:rPr>
        <w:t>'</w:t>
      </w:r>
      <w:r w:rsidR="00EC002E">
        <w:rPr>
          <w:lang w:val="fr-FR"/>
        </w:rPr>
        <w:t>accroître l</w:t>
      </w:r>
      <w:r w:rsidR="00883AAD">
        <w:rPr>
          <w:lang w:val="fr-FR"/>
        </w:rPr>
        <w:t>'</w:t>
      </w:r>
      <w:r w:rsidR="00EC002E">
        <w:rPr>
          <w:lang w:val="fr-FR"/>
        </w:rPr>
        <w:t>inclusion, d</w:t>
      </w:r>
      <w:r w:rsidR="00883AAD">
        <w:rPr>
          <w:lang w:val="fr-FR"/>
        </w:rPr>
        <w:t>'améliorer les échanges commerciaux</w:t>
      </w:r>
      <w:r w:rsidR="00EC002E">
        <w:rPr>
          <w:lang w:val="fr-FR"/>
        </w:rPr>
        <w:t xml:space="preserve"> </w:t>
      </w:r>
      <w:r w:rsidR="00883AAD">
        <w:rPr>
          <w:lang w:val="fr-FR"/>
        </w:rPr>
        <w:t xml:space="preserve">aux niveaux </w:t>
      </w:r>
      <w:r w:rsidR="00EC002E">
        <w:rPr>
          <w:lang w:val="fr-FR"/>
        </w:rPr>
        <w:t>régional et international et de contribuer à l</w:t>
      </w:r>
      <w:r w:rsidR="00973181">
        <w:rPr>
          <w:lang w:val="fr-FR"/>
        </w:rPr>
        <w:t>'</w:t>
      </w:r>
      <w:r w:rsidR="00EC002E">
        <w:rPr>
          <w:lang w:val="fr-FR"/>
        </w:rPr>
        <w:t>amélioration de la gouvernance</w:t>
      </w:r>
      <w:r w:rsidR="00800430">
        <w:rPr>
          <w:lang w:val="fr-FR"/>
        </w:rPr>
        <w:t xml:space="preserve"> et de la responsabilisation.</w:t>
      </w:r>
    </w:p>
    <w:p w:rsidR="00800430" w:rsidRDefault="00800430" w:rsidP="002B4FD1">
      <w:pPr>
        <w:rPr>
          <w:lang w:val="fr-FR"/>
        </w:rPr>
      </w:pPr>
      <w:r>
        <w:rPr>
          <w:lang w:val="fr-FR"/>
        </w:rPr>
        <w:t>L</w:t>
      </w:r>
      <w:r w:rsidR="00973181">
        <w:rPr>
          <w:lang w:val="fr-FR"/>
        </w:rPr>
        <w:t>'</w:t>
      </w:r>
      <w:r>
        <w:rPr>
          <w:lang w:val="fr-FR"/>
        </w:rPr>
        <w:t>objectif de ces pays est de fournir à l</w:t>
      </w:r>
      <w:r w:rsidR="00973181">
        <w:rPr>
          <w:lang w:val="fr-FR"/>
        </w:rPr>
        <w:t>'</w:t>
      </w:r>
      <w:r>
        <w:rPr>
          <w:lang w:val="fr-FR"/>
        </w:rPr>
        <w:t>ensemble de l</w:t>
      </w:r>
      <w:r w:rsidR="00883AAD">
        <w:rPr>
          <w:lang w:val="fr-FR"/>
        </w:rPr>
        <w:t>a</w:t>
      </w:r>
      <w:r>
        <w:rPr>
          <w:lang w:val="fr-FR"/>
        </w:rPr>
        <w:t xml:space="preserve"> population des infrastructures et des services de télécommunication </w:t>
      </w:r>
      <w:r w:rsidR="00883AAD">
        <w:rPr>
          <w:lang w:val="fr-FR"/>
        </w:rPr>
        <w:t xml:space="preserve">financièrement </w:t>
      </w:r>
      <w:r>
        <w:rPr>
          <w:lang w:val="fr-FR"/>
        </w:rPr>
        <w:t>abordables. Ce</w:t>
      </w:r>
      <w:r w:rsidR="00883AAD">
        <w:rPr>
          <w:lang w:val="fr-FR"/>
        </w:rPr>
        <w:t>t objectif</w:t>
      </w:r>
      <w:r>
        <w:rPr>
          <w:lang w:val="fr-FR"/>
        </w:rPr>
        <w:t xml:space="preserve"> </w:t>
      </w:r>
      <w:r w:rsidR="00A70B14">
        <w:rPr>
          <w:lang w:val="fr-FR"/>
        </w:rPr>
        <w:t>devrait</w:t>
      </w:r>
      <w:r>
        <w:rPr>
          <w:lang w:val="fr-FR"/>
        </w:rPr>
        <w:t xml:space="preserve"> </w:t>
      </w:r>
      <w:r w:rsidR="00883AAD">
        <w:rPr>
          <w:lang w:val="fr-FR"/>
        </w:rPr>
        <w:t xml:space="preserve">pouvoir </w:t>
      </w:r>
      <w:r>
        <w:rPr>
          <w:lang w:val="fr-FR"/>
        </w:rPr>
        <w:t>être atteint moyen</w:t>
      </w:r>
      <w:r w:rsidR="00883AAD">
        <w:rPr>
          <w:lang w:val="fr-FR"/>
        </w:rPr>
        <w:t>nant</w:t>
      </w:r>
      <w:r>
        <w:rPr>
          <w:lang w:val="fr-FR"/>
        </w:rPr>
        <w:t xml:space="preserve"> une réglementation internationale </w:t>
      </w:r>
      <w:r w:rsidR="00883AAD">
        <w:rPr>
          <w:lang w:val="fr-FR"/>
        </w:rPr>
        <w:t>favorable</w:t>
      </w:r>
      <w:r>
        <w:rPr>
          <w:lang w:val="fr-FR"/>
        </w:rPr>
        <w:t xml:space="preserve"> et de</w:t>
      </w:r>
      <w:r w:rsidR="00883AAD">
        <w:rPr>
          <w:lang w:val="fr-FR"/>
        </w:rPr>
        <w:t>s</w:t>
      </w:r>
      <w:r w:rsidR="00220380">
        <w:rPr>
          <w:lang w:val="fr-FR"/>
        </w:rPr>
        <w:t xml:space="preserve"> Recommandations</w:t>
      </w:r>
      <w:r w:rsidR="00883AAD">
        <w:rPr>
          <w:lang w:val="fr-FR"/>
        </w:rPr>
        <w:t xml:space="preserve"> propres à faciliter </w:t>
      </w:r>
      <w:r w:rsidR="00244496">
        <w:rPr>
          <w:lang w:val="fr-FR"/>
        </w:rPr>
        <w:t>la réalisation de cet objectif.</w:t>
      </w:r>
    </w:p>
    <w:p w:rsidR="004459C4" w:rsidRDefault="004459C4" w:rsidP="004459C4">
      <w:pPr>
        <w:pStyle w:val="Proposal"/>
      </w:pPr>
      <w:r>
        <w:tab/>
        <w:t>AFCP/42A11/1</w:t>
      </w:r>
    </w:p>
    <w:p w:rsidR="00244496" w:rsidRPr="00220380" w:rsidRDefault="00244496" w:rsidP="008D7CC4">
      <w:pPr>
        <w:pStyle w:val="Headingb"/>
      </w:pPr>
      <w:r w:rsidRPr="00220380">
        <w:t>Proposition</w:t>
      </w:r>
    </w:p>
    <w:p w:rsidR="00244496" w:rsidRDefault="00244496" w:rsidP="003A1D38">
      <w:pPr>
        <w:rPr>
          <w:lang w:val="fr-FR"/>
        </w:rPr>
      </w:pPr>
      <w:r>
        <w:rPr>
          <w:lang w:val="fr-FR"/>
        </w:rPr>
        <w:t>E</w:t>
      </w:r>
      <w:r w:rsidR="003A1D38">
        <w:rPr>
          <w:lang w:val="fr-FR"/>
        </w:rPr>
        <w:t xml:space="preserve">n raison de </w:t>
      </w:r>
      <w:r>
        <w:rPr>
          <w:lang w:val="fr-FR"/>
        </w:rPr>
        <w:t>l</w:t>
      </w:r>
      <w:r w:rsidR="00973181">
        <w:rPr>
          <w:lang w:val="fr-FR"/>
        </w:rPr>
        <w:t>'</w:t>
      </w:r>
      <w:r>
        <w:rPr>
          <w:lang w:val="fr-FR"/>
        </w:rPr>
        <w:t>importance de ces questions pour les pays africains et pour les pays en développement en général</w:t>
      </w:r>
      <w:r w:rsidR="003A1D38">
        <w:rPr>
          <w:lang w:val="fr-FR"/>
        </w:rPr>
        <w:t>, et compte tenu des</w:t>
      </w:r>
      <w:r>
        <w:rPr>
          <w:lang w:val="fr-FR"/>
        </w:rPr>
        <w:t xml:space="preserve"> avantages que </w:t>
      </w:r>
      <w:r w:rsidR="00220380">
        <w:rPr>
          <w:lang w:val="fr-FR"/>
        </w:rPr>
        <w:t>les</w:t>
      </w:r>
      <w:r>
        <w:rPr>
          <w:lang w:val="fr-FR"/>
        </w:rPr>
        <w:t xml:space="preserve"> populations</w:t>
      </w:r>
      <w:r w:rsidR="00220380">
        <w:rPr>
          <w:lang w:val="fr-FR"/>
        </w:rPr>
        <w:t xml:space="preserve"> de ces pays</w:t>
      </w:r>
      <w:r>
        <w:rPr>
          <w:lang w:val="fr-FR"/>
        </w:rPr>
        <w:t xml:space="preserve"> peuvent en retirer, les </w:t>
      </w:r>
      <w:proofErr w:type="spellStart"/>
      <w:r>
        <w:rPr>
          <w:lang w:val="fr-FR"/>
        </w:rPr>
        <w:t>Etats</w:t>
      </w:r>
      <w:proofErr w:type="spellEnd"/>
      <w:r>
        <w:rPr>
          <w:lang w:val="fr-FR"/>
        </w:rPr>
        <w:t xml:space="preserve"> Membres africains proposent que l</w:t>
      </w:r>
      <w:r w:rsidR="00973181">
        <w:rPr>
          <w:lang w:val="fr-FR"/>
        </w:rPr>
        <w:t>'</w:t>
      </w:r>
      <w:r>
        <w:rPr>
          <w:lang w:val="fr-FR"/>
        </w:rPr>
        <w:t>Assemblée mondiale de normalisation des télécommunications</w:t>
      </w:r>
      <w:r w:rsidR="00FE6916">
        <w:rPr>
          <w:lang w:val="fr-FR"/>
        </w:rPr>
        <w:t xml:space="preserve"> (AMNT-16) approuve ces cinq projets de Recommandation.</w:t>
      </w:r>
    </w:p>
    <w:p w:rsidR="008D7CC4" w:rsidRPr="002B4FD1" w:rsidRDefault="008D7CC4" w:rsidP="0032202E">
      <w:pPr>
        <w:pStyle w:val="Reasons"/>
        <w:rPr>
          <w:lang w:val="fr-CH"/>
        </w:rPr>
      </w:pPr>
      <w:bookmarkStart w:id="0" w:name="_GoBack"/>
      <w:bookmarkEnd w:id="0"/>
    </w:p>
    <w:p w:rsidR="008D7CC4" w:rsidRDefault="008D7CC4">
      <w:pPr>
        <w:jc w:val="center"/>
      </w:pPr>
      <w:r>
        <w:t>______________</w:t>
      </w:r>
    </w:p>
    <w:p w:rsidR="008D7CC4" w:rsidRPr="0037084D" w:rsidRDefault="008D7CC4" w:rsidP="008D7CC4">
      <w:pPr>
        <w:rPr>
          <w:lang w:val="fr-FR"/>
        </w:rPr>
      </w:pPr>
    </w:p>
    <w:sectPr w:rsidR="008D7CC4" w:rsidRPr="0037084D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340E1D" w:rsidRDefault="00E45D05">
    <w:pPr>
      <w:ind w:right="360"/>
      <w:rPr>
        <w:rPrChange w:id="1" w:author="Jones, Jacqueline" w:date="2016-10-05T11:58:00Z">
          <w:rPr>
            <w:lang w:val="fr-CH"/>
          </w:rPr>
        </w:rPrChange>
      </w:rPr>
    </w:pPr>
    <w:r>
      <w:fldChar w:fldCharType="begin"/>
    </w:r>
    <w:r w:rsidRPr="00340E1D">
      <w:rPr>
        <w:rPrChange w:id="2" w:author="Jones, Jacqueline" w:date="2016-10-05T11:58:00Z">
          <w:rPr>
            <w:lang w:val="fr-CH"/>
          </w:rPr>
        </w:rPrChange>
      </w:rPr>
      <w:instrText xml:space="preserve"> FILENAME \p  \* MERGEFORMAT </w:instrText>
    </w:r>
    <w:r>
      <w:fldChar w:fldCharType="separate"/>
    </w:r>
    <w:r w:rsidR="00EA4CA7">
      <w:rPr>
        <w:noProof/>
      </w:rPr>
      <w:t>P:\TRAD\F\LING\Walter\405867-F.docx</w:t>
    </w:r>
    <w:r>
      <w:fldChar w:fldCharType="end"/>
    </w:r>
    <w:r w:rsidRPr="00340E1D">
      <w:rPr>
        <w:rPrChange w:id="3" w:author="Jones, Jacqueline" w:date="2016-10-05T11:58:00Z">
          <w:rPr>
            <w:lang w:val="fr-CH"/>
          </w:rPr>
        </w:rPrChange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459C4">
      <w:rPr>
        <w:noProof/>
      </w:rPr>
      <w:t>12.10.16</w:t>
    </w:r>
    <w:r>
      <w:fldChar w:fldCharType="end"/>
    </w:r>
    <w:r w:rsidRPr="00340E1D">
      <w:rPr>
        <w:rPrChange w:id="4" w:author="Jones, Jacqueline" w:date="2016-10-05T11:58:00Z">
          <w:rPr>
            <w:lang w:val="fr-CH"/>
          </w:rPr>
        </w:rPrChange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4CA7">
      <w:rPr>
        <w:noProof/>
      </w:rPr>
      <w:t>06.10.16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43" w:rsidRPr="00D21843" w:rsidRDefault="00D21843" w:rsidP="00D21843">
    <w:pPr>
      <w:pStyle w:val="Footer"/>
      <w:rPr>
        <w:lang w:val="fr-CH"/>
      </w:rPr>
    </w:pPr>
    <w:r>
      <w:fldChar w:fldCharType="begin"/>
    </w:r>
    <w:r w:rsidRPr="00D21843">
      <w:rPr>
        <w:lang w:val="fr-CH"/>
      </w:rPr>
      <w:instrText xml:space="preserve"> FILENAME \p  \* MERGEFORMAT </w:instrText>
    </w:r>
    <w:r>
      <w:fldChar w:fldCharType="separate"/>
    </w:r>
    <w:r w:rsidRPr="00D21843">
      <w:rPr>
        <w:lang w:val="fr-CH"/>
      </w:rPr>
      <w:t>P:\FRA\ITU-T\CONF-T\WTSA16\000\042ADD11F.docx</w:t>
    </w:r>
    <w:r>
      <w:fldChar w:fldCharType="end"/>
    </w:r>
    <w:r w:rsidRPr="00D21843">
      <w:rPr>
        <w:lang w:val="fr-CH"/>
      </w:rPr>
      <w:t xml:space="preserve"> (405</w:t>
    </w:r>
    <w:r>
      <w:rPr>
        <w:lang w:val="fr-CH"/>
      </w:rPr>
      <w:t>867</w:t>
    </w:r>
    <w:r w:rsidRPr="00D21843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Pr="00D21843" w:rsidRDefault="00987C1F" w:rsidP="00D21843">
    <w:pPr>
      <w:pStyle w:val="Footer"/>
      <w:rPr>
        <w:lang w:val="fr-CH"/>
      </w:rPr>
    </w:pPr>
    <w:r>
      <w:fldChar w:fldCharType="begin"/>
    </w:r>
    <w:r w:rsidRPr="00D21843">
      <w:rPr>
        <w:lang w:val="fr-CH"/>
      </w:rPr>
      <w:instrText xml:space="preserve"> FILENAME \p  \* MERGEFORMAT </w:instrText>
    </w:r>
    <w:r>
      <w:fldChar w:fldCharType="separate"/>
    </w:r>
    <w:r w:rsidR="00D21843" w:rsidRPr="00D21843">
      <w:rPr>
        <w:lang w:val="fr-CH"/>
      </w:rPr>
      <w:t>P:\FRA\ITU-T\CONF-T\WTSA16\000\042ADD11F.docx</w:t>
    </w:r>
    <w:r>
      <w:fldChar w:fldCharType="end"/>
    </w:r>
    <w:r w:rsidR="003964DF" w:rsidRPr="00D21843">
      <w:rPr>
        <w:lang w:val="fr-CH"/>
      </w:rPr>
      <w:t xml:space="preserve"> (405</w:t>
    </w:r>
    <w:r w:rsidR="00D21843">
      <w:rPr>
        <w:lang w:val="fr-CH"/>
      </w:rPr>
      <w:t>867</w:t>
    </w:r>
    <w:r w:rsidR="003964DF" w:rsidRPr="00D21843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459C4">
      <w:rPr>
        <w:noProof/>
      </w:rPr>
      <w:t>3</w:t>
    </w:r>
    <w:r>
      <w:fldChar w:fldCharType="end"/>
    </w:r>
  </w:p>
  <w:p w:rsidR="00987C1F" w:rsidRDefault="00E07AF5" w:rsidP="0089468E">
    <w:pPr>
      <w:pStyle w:val="Header"/>
    </w:pPr>
    <w:r>
      <w:t>AMNT16</w:t>
    </w:r>
    <w:r w:rsidR="00987C1F">
      <w:t>/4</w:t>
    </w:r>
    <w:r w:rsidR="0089468E">
      <w:t>2</w:t>
    </w:r>
    <w:r w:rsidR="00987C1F">
      <w:t>(Add.</w:t>
    </w:r>
    <w:r w:rsidR="0089468E">
      <w:t>11</w:t>
    </w:r>
    <w:r w:rsidR="00987C1F">
      <w:t>)-</w:t>
    </w:r>
    <w:r w:rsidR="00987C1F"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251140B6"/>
    <w:multiLevelType w:val="hybridMultilevel"/>
    <w:tmpl w:val="EEA84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, Jacqueline">
    <w15:presenceInfo w15:providerId="AD" w15:userId="S-1-5-21-8740799-900759487-1415713722-2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0081"/>
    <w:rsid w:val="00086491"/>
    <w:rsid w:val="00091346"/>
    <w:rsid w:val="0009706C"/>
    <w:rsid w:val="000A14AF"/>
    <w:rsid w:val="000A5609"/>
    <w:rsid w:val="000F73FF"/>
    <w:rsid w:val="00102F5E"/>
    <w:rsid w:val="00114CF7"/>
    <w:rsid w:val="00123B68"/>
    <w:rsid w:val="00126F2E"/>
    <w:rsid w:val="00131DE9"/>
    <w:rsid w:val="00146F6F"/>
    <w:rsid w:val="00164C14"/>
    <w:rsid w:val="00187BD9"/>
    <w:rsid w:val="00190B55"/>
    <w:rsid w:val="0019298E"/>
    <w:rsid w:val="001978FA"/>
    <w:rsid w:val="001A0F27"/>
    <w:rsid w:val="001B3A54"/>
    <w:rsid w:val="001C3B5F"/>
    <w:rsid w:val="001D058F"/>
    <w:rsid w:val="001D581B"/>
    <w:rsid w:val="001D77E9"/>
    <w:rsid w:val="001E1430"/>
    <w:rsid w:val="002009EA"/>
    <w:rsid w:val="00202CA0"/>
    <w:rsid w:val="00205D45"/>
    <w:rsid w:val="00216B6D"/>
    <w:rsid w:val="00220380"/>
    <w:rsid w:val="00224D72"/>
    <w:rsid w:val="00227C4C"/>
    <w:rsid w:val="00244496"/>
    <w:rsid w:val="00250AF4"/>
    <w:rsid w:val="002673B5"/>
    <w:rsid w:val="00271316"/>
    <w:rsid w:val="002B2A75"/>
    <w:rsid w:val="002B4FD1"/>
    <w:rsid w:val="002D58BE"/>
    <w:rsid w:val="002E210D"/>
    <w:rsid w:val="002E5DBF"/>
    <w:rsid w:val="003236A6"/>
    <w:rsid w:val="00332C56"/>
    <w:rsid w:val="003339DA"/>
    <w:rsid w:val="00340E1D"/>
    <w:rsid w:val="00345A52"/>
    <w:rsid w:val="0037084D"/>
    <w:rsid w:val="00377BD3"/>
    <w:rsid w:val="003832C0"/>
    <w:rsid w:val="00384088"/>
    <w:rsid w:val="0039169B"/>
    <w:rsid w:val="003964DF"/>
    <w:rsid w:val="00396B03"/>
    <w:rsid w:val="003A1D38"/>
    <w:rsid w:val="003A7F8C"/>
    <w:rsid w:val="003B532E"/>
    <w:rsid w:val="003D0F8B"/>
    <w:rsid w:val="004054F5"/>
    <w:rsid w:val="004079B0"/>
    <w:rsid w:val="0041348E"/>
    <w:rsid w:val="00417AD4"/>
    <w:rsid w:val="00444030"/>
    <w:rsid w:val="004459C4"/>
    <w:rsid w:val="004508E2"/>
    <w:rsid w:val="00452076"/>
    <w:rsid w:val="00476533"/>
    <w:rsid w:val="00483378"/>
    <w:rsid w:val="00492075"/>
    <w:rsid w:val="004969AD"/>
    <w:rsid w:val="004A26C4"/>
    <w:rsid w:val="004B13CB"/>
    <w:rsid w:val="004D5D5C"/>
    <w:rsid w:val="004D762F"/>
    <w:rsid w:val="004E03E9"/>
    <w:rsid w:val="004E42A3"/>
    <w:rsid w:val="0050139F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068C4"/>
    <w:rsid w:val="00657DE0"/>
    <w:rsid w:val="00672EF5"/>
    <w:rsid w:val="006826ED"/>
    <w:rsid w:val="00685313"/>
    <w:rsid w:val="0069092B"/>
    <w:rsid w:val="00692833"/>
    <w:rsid w:val="006A6E9B"/>
    <w:rsid w:val="006B249F"/>
    <w:rsid w:val="006B7C2A"/>
    <w:rsid w:val="006C23DA"/>
    <w:rsid w:val="006D3D29"/>
    <w:rsid w:val="006E013B"/>
    <w:rsid w:val="006E3D45"/>
    <w:rsid w:val="006F580E"/>
    <w:rsid w:val="007149F9"/>
    <w:rsid w:val="00720F78"/>
    <w:rsid w:val="00733A30"/>
    <w:rsid w:val="00745AEE"/>
    <w:rsid w:val="00750315"/>
    <w:rsid w:val="00750F10"/>
    <w:rsid w:val="007738EE"/>
    <w:rsid w:val="007742CA"/>
    <w:rsid w:val="00790D70"/>
    <w:rsid w:val="007D5320"/>
    <w:rsid w:val="007E3F5E"/>
    <w:rsid w:val="00800430"/>
    <w:rsid w:val="008006C5"/>
    <w:rsid w:val="00800972"/>
    <w:rsid w:val="00804475"/>
    <w:rsid w:val="00811633"/>
    <w:rsid w:val="00813B79"/>
    <w:rsid w:val="00831E86"/>
    <w:rsid w:val="00841732"/>
    <w:rsid w:val="00854417"/>
    <w:rsid w:val="00864CD2"/>
    <w:rsid w:val="00872FC8"/>
    <w:rsid w:val="008821E6"/>
    <w:rsid w:val="00883AAD"/>
    <w:rsid w:val="008845D0"/>
    <w:rsid w:val="0089468E"/>
    <w:rsid w:val="008A69FB"/>
    <w:rsid w:val="008B1AEA"/>
    <w:rsid w:val="008B43F2"/>
    <w:rsid w:val="008B6CFF"/>
    <w:rsid w:val="008C27E9"/>
    <w:rsid w:val="008C6BAA"/>
    <w:rsid w:val="008C7C12"/>
    <w:rsid w:val="008D7CC4"/>
    <w:rsid w:val="009004DD"/>
    <w:rsid w:val="0092425C"/>
    <w:rsid w:val="009274B4"/>
    <w:rsid w:val="00934EA2"/>
    <w:rsid w:val="00940614"/>
    <w:rsid w:val="00944A5C"/>
    <w:rsid w:val="00952A66"/>
    <w:rsid w:val="00957670"/>
    <w:rsid w:val="00973181"/>
    <w:rsid w:val="00987C1F"/>
    <w:rsid w:val="009B7792"/>
    <w:rsid w:val="009C3191"/>
    <w:rsid w:val="009C56E5"/>
    <w:rsid w:val="009E1684"/>
    <w:rsid w:val="009E5FC8"/>
    <w:rsid w:val="009E687A"/>
    <w:rsid w:val="009F63E2"/>
    <w:rsid w:val="00A066F1"/>
    <w:rsid w:val="00A13E5D"/>
    <w:rsid w:val="00A141AF"/>
    <w:rsid w:val="00A16D29"/>
    <w:rsid w:val="00A30305"/>
    <w:rsid w:val="00A31D2D"/>
    <w:rsid w:val="00A4600A"/>
    <w:rsid w:val="00A538A6"/>
    <w:rsid w:val="00A54C25"/>
    <w:rsid w:val="00A70B14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AC4E66"/>
    <w:rsid w:val="00B31EF6"/>
    <w:rsid w:val="00B33DA8"/>
    <w:rsid w:val="00B639E9"/>
    <w:rsid w:val="00B817CD"/>
    <w:rsid w:val="00B94AD0"/>
    <w:rsid w:val="00B94D73"/>
    <w:rsid w:val="00BA5265"/>
    <w:rsid w:val="00BB3A95"/>
    <w:rsid w:val="00BB6D50"/>
    <w:rsid w:val="00BC1232"/>
    <w:rsid w:val="00C0018F"/>
    <w:rsid w:val="00C0623D"/>
    <w:rsid w:val="00C07C8B"/>
    <w:rsid w:val="00C16A5A"/>
    <w:rsid w:val="00C20466"/>
    <w:rsid w:val="00C214ED"/>
    <w:rsid w:val="00C234E6"/>
    <w:rsid w:val="00C26BA2"/>
    <w:rsid w:val="00C324A8"/>
    <w:rsid w:val="00C54517"/>
    <w:rsid w:val="00C64CD8"/>
    <w:rsid w:val="00C739C7"/>
    <w:rsid w:val="00C93A86"/>
    <w:rsid w:val="00C97C68"/>
    <w:rsid w:val="00CA1A47"/>
    <w:rsid w:val="00CC247A"/>
    <w:rsid w:val="00CE388F"/>
    <w:rsid w:val="00CE44A9"/>
    <w:rsid w:val="00CE5E47"/>
    <w:rsid w:val="00CF020F"/>
    <w:rsid w:val="00CF1E9D"/>
    <w:rsid w:val="00CF2B5B"/>
    <w:rsid w:val="00D14CE0"/>
    <w:rsid w:val="00D21843"/>
    <w:rsid w:val="00D54009"/>
    <w:rsid w:val="00D5651D"/>
    <w:rsid w:val="00D57A34"/>
    <w:rsid w:val="00D6112A"/>
    <w:rsid w:val="00D74898"/>
    <w:rsid w:val="00D801ED"/>
    <w:rsid w:val="00D90151"/>
    <w:rsid w:val="00D936BC"/>
    <w:rsid w:val="00D96530"/>
    <w:rsid w:val="00DA2263"/>
    <w:rsid w:val="00DD11BE"/>
    <w:rsid w:val="00DD44AF"/>
    <w:rsid w:val="00DD6D89"/>
    <w:rsid w:val="00DD7B41"/>
    <w:rsid w:val="00DE2AC3"/>
    <w:rsid w:val="00DE5692"/>
    <w:rsid w:val="00E03C94"/>
    <w:rsid w:val="00E048B1"/>
    <w:rsid w:val="00E07AF5"/>
    <w:rsid w:val="00E11197"/>
    <w:rsid w:val="00E14E2A"/>
    <w:rsid w:val="00E26226"/>
    <w:rsid w:val="00E45D05"/>
    <w:rsid w:val="00E55816"/>
    <w:rsid w:val="00E55AEF"/>
    <w:rsid w:val="00E64473"/>
    <w:rsid w:val="00E84ED7"/>
    <w:rsid w:val="00E917FD"/>
    <w:rsid w:val="00E976C1"/>
    <w:rsid w:val="00EA12E5"/>
    <w:rsid w:val="00EA3BB5"/>
    <w:rsid w:val="00EA4CA7"/>
    <w:rsid w:val="00EB55C6"/>
    <w:rsid w:val="00EC002E"/>
    <w:rsid w:val="00EF2B09"/>
    <w:rsid w:val="00F02766"/>
    <w:rsid w:val="00F05BD4"/>
    <w:rsid w:val="00F6155B"/>
    <w:rsid w:val="00F65C19"/>
    <w:rsid w:val="00F7356B"/>
    <w:rsid w:val="00F776DF"/>
    <w:rsid w:val="00F840C7"/>
    <w:rsid w:val="00F9178C"/>
    <w:rsid w:val="00FB339B"/>
    <w:rsid w:val="00FD2546"/>
    <w:rsid w:val="00FD772E"/>
    <w:rsid w:val="00FE691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paragraph" w:styleId="ListParagraph">
    <w:name w:val="List Paragraph"/>
    <w:basedOn w:val="Normal"/>
    <w:uiPriority w:val="34"/>
    <w:qFormat/>
    <w:rsid w:val="0067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540f1f8-d20b-4e1c-8dc4-5149814fbe83">Documents Proposals Manager (DPM)</DPM_x0020_Author>
    <DPM_x0020_File_x0020_name xmlns="b540f1f8-d20b-4e1c-8dc4-5149814fbe83">T13-WTSA.16-C-0043!A7!MSW-F</DPM_x0020_File_x0020_name>
    <DPM_x0020_Version xmlns="b540f1f8-d20b-4e1c-8dc4-5149814fbe83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540f1f8-d20b-4e1c-8dc4-5149814fbe83" targetNamespace="http://schemas.microsoft.com/office/2006/metadata/properties" ma:root="true" ma:fieldsID="d41af5c836d734370eb92e7ee5f83852" ns2:_="" ns3:_="">
    <xsd:import namespace="996b2e75-67fd-4955-a3b0-5ab9934cb50b"/>
    <xsd:import namespace="b540f1f8-d20b-4e1c-8dc4-5149814fbe8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0f1f8-d20b-4e1c-8dc4-5149814fbe8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purl.org/dc/terms/"/>
    <ds:schemaRef ds:uri="b540f1f8-d20b-4e1c-8dc4-5149814fbe83"/>
    <ds:schemaRef ds:uri="http://www.w3.org/XML/1998/namespace"/>
    <ds:schemaRef ds:uri="996b2e75-67fd-4955-a3b0-5ab9934cb50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540f1f8-d20b-4e1c-8dc4-5149814f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4224D-B374-417E-BB1D-A14EF86B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T13-WTSA.16-C-0043!A7!MSW-F</vt:lpstr>
    </vt:vector>
  </TitlesOfParts>
  <Manager>General Secretariat - Pool</Manager>
  <Company>International Telecommunication Union (ITU)</Company>
  <LinksUpToDate>false</LinksUpToDate>
  <CharactersWithSpaces>4872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T13-WTSA.16-C-0043!A7!MSW-F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Murphy, Margaret</cp:lastModifiedBy>
  <cp:revision>25</cp:revision>
  <cp:lastPrinted>2016-10-06T11:14:00Z</cp:lastPrinted>
  <dcterms:created xsi:type="dcterms:W3CDTF">2016-10-11T09:22:00Z</dcterms:created>
  <dcterms:modified xsi:type="dcterms:W3CDTF">2016-10-17T13:19:00Z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