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ayout w:type="fixed"/>
        <w:tblLook w:val="0000" w:firstRow="0" w:lastRow="0" w:firstColumn="0" w:lastColumn="0" w:noHBand="0" w:noVBand="0"/>
      </w:tblPr>
      <w:tblGrid>
        <w:gridCol w:w="1559"/>
        <w:gridCol w:w="5058"/>
        <w:gridCol w:w="894"/>
        <w:gridCol w:w="2141"/>
      </w:tblGrid>
      <w:tr w:rsidR="0059285F" w:rsidRPr="00E07379" w:rsidTr="00E335D2">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E335D2">
        <w:trPr>
          <w:cantSplit/>
          <w:trHeight w:val="20"/>
          <w:jc w:val="right"/>
        </w:trPr>
        <w:tc>
          <w:tcPr>
            <w:tcW w:w="808" w:type="pct"/>
            <w:tcBorders>
              <w:bottom w:val="single" w:sz="12" w:space="0" w:color="auto"/>
            </w:tcBorders>
          </w:tcPr>
          <w:p w:rsidR="0059285F" w:rsidRPr="0022345D" w:rsidRDefault="0059285F" w:rsidP="00E335D2">
            <w:pPr>
              <w:spacing w:before="0" w:after="40" w:line="300" w:lineRule="exact"/>
              <w:rPr>
                <w:sz w:val="14"/>
                <w:szCs w:val="20"/>
                <w:rtl/>
                <w:lang w:bidi="ar-EG"/>
              </w:rPr>
            </w:pPr>
          </w:p>
        </w:tc>
        <w:tc>
          <w:tcPr>
            <w:tcW w:w="3083" w:type="pct"/>
            <w:gridSpan w:val="2"/>
            <w:tcBorders>
              <w:bottom w:val="single" w:sz="12" w:space="0" w:color="auto"/>
            </w:tcBorders>
          </w:tcPr>
          <w:p w:rsidR="0059285F" w:rsidRPr="0022345D" w:rsidRDefault="0059285F" w:rsidP="00E335D2">
            <w:pPr>
              <w:spacing w:before="0" w:after="40" w:line="300" w:lineRule="exact"/>
              <w:rPr>
                <w:sz w:val="14"/>
                <w:szCs w:val="20"/>
                <w:rtl/>
                <w:lang w:bidi="ar-EG"/>
              </w:rPr>
            </w:pPr>
          </w:p>
        </w:tc>
        <w:tc>
          <w:tcPr>
            <w:tcW w:w="1109" w:type="pct"/>
            <w:tcBorders>
              <w:bottom w:val="single" w:sz="12" w:space="0" w:color="auto"/>
            </w:tcBorders>
          </w:tcPr>
          <w:p w:rsidR="0059285F" w:rsidRPr="0022345D" w:rsidRDefault="0059285F" w:rsidP="00E335D2">
            <w:pPr>
              <w:spacing w:before="0" w:after="40" w:line="300" w:lineRule="exact"/>
              <w:rPr>
                <w:sz w:val="14"/>
                <w:szCs w:val="20"/>
                <w:lang w:bidi="ar-SY"/>
              </w:rPr>
            </w:pPr>
          </w:p>
        </w:tc>
      </w:tr>
      <w:tr w:rsidR="00E07379" w:rsidRPr="00E07379" w:rsidTr="00E335D2">
        <w:trPr>
          <w:cantSplit/>
          <w:trHeight w:val="20"/>
          <w:jc w:val="right"/>
        </w:trPr>
        <w:tc>
          <w:tcPr>
            <w:tcW w:w="3428" w:type="pct"/>
            <w:gridSpan w:val="2"/>
            <w:tcBorders>
              <w:top w:val="single" w:sz="12" w:space="0" w:color="auto"/>
            </w:tcBorders>
          </w:tcPr>
          <w:p w:rsidR="00E07379" w:rsidRPr="0056374C" w:rsidRDefault="00E07379" w:rsidP="00E335D2">
            <w:pPr>
              <w:spacing w:before="0" w:after="40" w:line="30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E335D2">
            <w:pPr>
              <w:spacing w:before="0" w:after="40" w:line="300" w:lineRule="exact"/>
              <w:rPr>
                <w:rFonts w:ascii="Verdana Bold" w:hAnsi="Verdana Bold"/>
                <w:b/>
                <w:bCs/>
                <w:sz w:val="19"/>
                <w:lang w:bidi="ar-SY"/>
              </w:rPr>
            </w:pPr>
          </w:p>
        </w:tc>
      </w:tr>
      <w:tr w:rsidR="0022345D" w:rsidRPr="00E07379" w:rsidTr="00E335D2">
        <w:trPr>
          <w:cantSplit/>
          <w:jc w:val="right"/>
        </w:trPr>
        <w:tc>
          <w:tcPr>
            <w:tcW w:w="3428" w:type="pct"/>
            <w:gridSpan w:val="2"/>
          </w:tcPr>
          <w:p w:rsidR="0022345D" w:rsidRPr="00E335D2" w:rsidRDefault="0022345D" w:rsidP="00E335D2">
            <w:pPr>
              <w:pStyle w:val="Adress"/>
              <w:framePr w:hSpace="0" w:wrap="auto" w:xAlign="left" w:yAlign="inline"/>
              <w:spacing w:before="0" w:after="40" w:line="300" w:lineRule="exact"/>
              <w:rPr>
                <w:rtl/>
              </w:rPr>
            </w:pPr>
            <w:r w:rsidRPr="00866A15">
              <w:rPr>
                <w:rtl/>
              </w:rPr>
              <w:t>الجلسة العامة</w:t>
            </w:r>
          </w:p>
        </w:tc>
        <w:tc>
          <w:tcPr>
            <w:tcW w:w="1572" w:type="pct"/>
            <w:gridSpan w:val="2"/>
            <w:vAlign w:val="center"/>
          </w:tcPr>
          <w:p w:rsidR="0022345D" w:rsidRPr="00BD6EF3" w:rsidRDefault="0022345D" w:rsidP="00E335D2">
            <w:pPr>
              <w:pStyle w:val="Adress"/>
              <w:framePr w:hSpace="0" w:wrap="auto" w:xAlign="left" w:yAlign="inline"/>
              <w:spacing w:before="0" w:after="40" w:line="300" w:lineRule="exact"/>
              <w:rPr>
                <w:rtl/>
              </w:rPr>
            </w:pPr>
            <w:r w:rsidRPr="00E335D2">
              <w:rPr>
                <w:rtl/>
              </w:rPr>
              <w:t xml:space="preserve">الإضافة </w:t>
            </w:r>
            <w:r>
              <w:t>11</w:t>
            </w:r>
            <w:r>
              <w:br/>
            </w:r>
            <w:r w:rsidRPr="00E335D2">
              <w:rPr>
                <w:rtl/>
              </w:rPr>
              <w:t xml:space="preserve">للوثيقة </w:t>
            </w:r>
            <w:r>
              <w:t>42</w:t>
            </w:r>
            <w:r w:rsidR="00E335D2">
              <w:t>A</w:t>
            </w:r>
          </w:p>
        </w:tc>
      </w:tr>
      <w:tr w:rsidR="0022345D" w:rsidRPr="00E07379" w:rsidTr="00E335D2">
        <w:trPr>
          <w:cantSplit/>
          <w:jc w:val="right"/>
        </w:trPr>
        <w:tc>
          <w:tcPr>
            <w:tcW w:w="3428" w:type="pct"/>
            <w:gridSpan w:val="2"/>
          </w:tcPr>
          <w:p w:rsidR="0022345D" w:rsidRPr="00BD6EF3" w:rsidRDefault="0022345D" w:rsidP="00E335D2">
            <w:pPr>
              <w:pStyle w:val="Adress"/>
              <w:framePr w:hSpace="0" w:wrap="auto" w:xAlign="left" w:yAlign="inline"/>
              <w:spacing w:before="0" w:after="40" w:line="300" w:lineRule="exact"/>
              <w:rPr>
                <w:rtl/>
              </w:rPr>
            </w:pPr>
          </w:p>
        </w:tc>
        <w:tc>
          <w:tcPr>
            <w:tcW w:w="1572" w:type="pct"/>
            <w:gridSpan w:val="2"/>
            <w:vAlign w:val="center"/>
          </w:tcPr>
          <w:p w:rsidR="0022345D" w:rsidRPr="00BD6EF3" w:rsidRDefault="0022345D" w:rsidP="00E335D2">
            <w:pPr>
              <w:pStyle w:val="Adress"/>
              <w:framePr w:hSpace="0" w:wrap="auto" w:xAlign="left" w:yAlign="inline"/>
              <w:spacing w:before="0" w:after="40" w:line="300" w:lineRule="exact"/>
              <w:rPr>
                <w:rtl/>
              </w:rPr>
            </w:pPr>
            <w:r w:rsidRPr="00E335D2">
              <w:t>28</w:t>
            </w:r>
            <w:r w:rsidRPr="00E335D2">
              <w:rPr>
                <w:rtl/>
              </w:rPr>
              <w:t xml:space="preserve"> سبتمبر </w:t>
            </w:r>
            <w:r w:rsidRPr="00E335D2">
              <w:t>2016</w:t>
            </w:r>
          </w:p>
        </w:tc>
      </w:tr>
      <w:tr w:rsidR="0022345D" w:rsidRPr="00E07379" w:rsidTr="00E335D2">
        <w:trPr>
          <w:cantSplit/>
          <w:jc w:val="right"/>
        </w:trPr>
        <w:tc>
          <w:tcPr>
            <w:tcW w:w="3428" w:type="pct"/>
            <w:gridSpan w:val="2"/>
          </w:tcPr>
          <w:p w:rsidR="0022345D" w:rsidRDefault="0022345D" w:rsidP="00E335D2">
            <w:pPr>
              <w:pStyle w:val="Adress"/>
              <w:framePr w:hSpace="0" w:wrap="auto" w:xAlign="left" w:yAlign="inline"/>
              <w:spacing w:before="0" w:after="40" w:line="300" w:lineRule="exact"/>
            </w:pPr>
          </w:p>
        </w:tc>
        <w:tc>
          <w:tcPr>
            <w:tcW w:w="1572" w:type="pct"/>
            <w:gridSpan w:val="2"/>
            <w:vAlign w:val="center"/>
          </w:tcPr>
          <w:p w:rsidR="0022345D" w:rsidRPr="00E335D2" w:rsidRDefault="0022345D" w:rsidP="00E335D2">
            <w:pPr>
              <w:pStyle w:val="Adress"/>
              <w:framePr w:hSpace="0" w:wrap="auto" w:xAlign="left" w:yAlign="inline"/>
              <w:spacing w:before="0" w:after="40" w:line="300" w:lineRule="exact"/>
            </w:pPr>
            <w:r w:rsidRPr="00E335D2">
              <w:rPr>
                <w:rtl/>
              </w:rPr>
              <w:t>الأصل: بالإنكليزية</w:t>
            </w:r>
          </w:p>
        </w:tc>
      </w:tr>
      <w:tr w:rsidR="0022345D" w:rsidRPr="00E07379" w:rsidTr="00E335D2">
        <w:trPr>
          <w:cantSplit/>
          <w:jc w:val="right"/>
        </w:trPr>
        <w:tc>
          <w:tcPr>
            <w:tcW w:w="5000" w:type="pct"/>
            <w:gridSpan w:val="4"/>
          </w:tcPr>
          <w:p w:rsidR="0022345D" w:rsidRPr="00662C5A" w:rsidRDefault="0022345D" w:rsidP="00E335D2">
            <w:pPr>
              <w:pStyle w:val="Adress"/>
              <w:framePr w:hSpace="0" w:wrap="auto" w:xAlign="left" w:yAlign="inline"/>
              <w:spacing w:before="0" w:after="40" w:line="300" w:lineRule="exact"/>
            </w:pPr>
          </w:p>
        </w:tc>
      </w:tr>
      <w:tr w:rsidR="0022345D" w:rsidRPr="00E07379" w:rsidTr="00E335D2">
        <w:trPr>
          <w:cantSplit/>
          <w:trHeight w:val="1372"/>
          <w:jc w:val="right"/>
        </w:trPr>
        <w:tc>
          <w:tcPr>
            <w:tcW w:w="5000" w:type="pct"/>
            <w:gridSpan w:val="4"/>
          </w:tcPr>
          <w:p w:rsidR="0022345D" w:rsidRPr="00E621A3" w:rsidRDefault="0022345D" w:rsidP="00A25A43">
            <w:pPr>
              <w:pStyle w:val="Source"/>
              <w:rPr>
                <w:rtl/>
              </w:rPr>
            </w:pPr>
            <w:r w:rsidRPr="008204AC">
              <w:rPr>
                <w:rtl/>
              </w:rPr>
              <w:t>إدارات الاتحاد الإفريقي للاتصالات</w:t>
            </w:r>
          </w:p>
        </w:tc>
      </w:tr>
      <w:tr w:rsidR="0022345D" w:rsidRPr="00E07379" w:rsidTr="00E335D2">
        <w:trPr>
          <w:cantSplit/>
          <w:trHeight w:val="567"/>
          <w:jc w:val="right"/>
        </w:trPr>
        <w:tc>
          <w:tcPr>
            <w:tcW w:w="5000" w:type="pct"/>
            <w:gridSpan w:val="4"/>
          </w:tcPr>
          <w:p w:rsidR="0022345D" w:rsidRPr="00E335D2" w:rsidRDefault="00E335D2" w:rsidP="00A25A43">
            <w:pPr>
              <w:pStyle w:val="Title1"/>
              <w:spacing w:before="240"/>
              <w:rPr>
                <w:rtl/>
              </w:rPr>
            </w:pPr>
            <w:r>
              <w:rPr>
                <w:rFonts w:hint="cs"/>
                <w:rtl/>
              </w:rPr>
              <w:t xml:space="preserve">تأييد إدارات الاتحاد الإفريقي للاتصالات الموافقة على التوصيات </w:t>
            </w:r>
            <w:r>
              <w:rPr>
                <w:lang w:val="fr-CH"/>
              </w:rPr>
              <w:t>ITU</w:t>
            </w:r>
            <w:r>
              <w:rPr>
                <w:lang w:val="fr-CH"/>
              </w:rPr>
              <w:noBreakHyphen/>
              <w:t>T D.52</w:t>
            </w:r>
            <w:r>
              <w:rPr>
                <w:rFonts w:eastAsiaTheme="minorEastAsia" w:hint="cs"/>
                <w:rtl/>
                <w:lang w:val="fr-CH" w:eastAsia="zh-CN"/>
              </w:rPr>
              <w:t xml:space="preserve"> و</w:t>
            </w:r>
            <w:r>
              <w:rPr>
                <w:lang w:val="fr-CH"/>
              </w:rPr>
              <w:t>ITU</w:t>
            </w:r>
            <w:r>
              <w:rPr>
                <w:lang w:val="fr-CH"/>
              </w:rPr>
              <w:noBreakHyphen/>
              <w:t>T </w:t>
            </w:r>
            <w:r>
              <w:rPr>
                <w:rFonts w:eastAsiaTheme="minorEastAsia"/>
                <w:lang w:val="fr-CH" w:eastAsia="zh-CN"/>
              </w:rPr>
              <w:t>D.53</w:t>
            </w:r>
            <w:r>
              <w:rPr>
                <w:rFonts w:eastAsiaTheme="minorEastAsia" w:hint="cs"/>
                <w:rtl/>
                <w:lang w:val="ru-RU" w:eastAsia="zh-CN"/>
              </w:rPr>
              <w:t xml:space="preserve"> و</w:t>
            </w:r>
            <w:r>
              <w:rPr>
                <w:lang w:val="fr-CH"/>
              </w:rPr>
              <w:t>ITU</w:t>
            </w:r>
            <w:r>
              <w:rPr>
                <w:lang w:val="fr-CH"/>
              </w:rPr>
              <w:noBreakHyphen/>
              <w:t>T</w:t>
            </w:r>
            <w:r>
              <w:rPr>
                <w:rFonts w:eastAsiaTheme="minorEastAsia"/>
                <w:lang w:val="fr-CH" w:eastAsia="zh-CN"/>
              </w:rPr>
              <w:t xml:space="preserve"> D.97</w:t>
            </w:r>
            <w:r>
              <w:rPr>
                <w:rFonts w:eastAsiaTheme="minorEastAsia" w:hint="cs"/>
                <w:rtl/>
                <w:lang w:val="fr-CH" w:eastAsia="zh-CN"/>
              </w:rPr>
              <w:t xml:space="preserve"> و</w:t>
            </w:r>
            <w:r>
              <w:rPr>
                <w:lang w:val="fr-CH"/>
              </w:rPr>
              <w:t>ITU</w:t>
            </w:r>
            <w:r>
              <w:rPr>
                <w:lang w:val="fr-CH"/>
              </w:rPr>
              <w:noBreakHyphen/>
              <w:t>T</w:t>
            </w:r>
            <w:r>
              <w:rPr>
                <w:rFonts w:eastAsiaTheme="minorEastAsia"/>
                <w:lang w:val="fr-CH" w:eastAsia="zh-CN"/>
              </w:rPr>
              <w:t xml:space="preserve"> D.261</w:t>
            </w:r>
            <w:r>
              <w:rPr>
                <w:rFonts w:eastAsiaTheme="minorEastAsia" w:hint="cs"/>
                <w:rtl/>
                <w:lang w:val="fr-CH" w:eastAsia="zh-CN"/>
              </w:rPr>
              <w:t xml:space="preserve"> و</w:t>
            </w:r>
            <w:r>
              <w:rPr>
                <w:lang w:val="fr-CH"/>
              </w:rPr>
              <w:t>ITU</w:t>
            </w:r>
            <w:r>
              <w:rPr>
                <w:lang w:val="fr-CH"/>
              </w:rPr>
              <w:noBreakHyphen/>
              <w:t>T</w:t>
            </w:r>
            <w:r>
              <w:rPr>
                <w:rFonts w:eastAsiaTheme="minorEastAsia"/>
                <w:lang w:val="fr-CH" w:eastAsia="zh-CN"/>
              </w:rPr>
              <w:t xml:space="preserve"> D.271</w:t>
            </w:r>
            <w:r>
              <w:rPr>
                <w:rFonts w:eastAsiaTheme="minorEastAsia"/>
                <w:rtl/>
                <w:lang w:val="ru-RU" w:eastAsia="zh-CN"/>
              </w:rPr>
              <w:br/>
            </w:r>
            <w:r>
              <w:rPr>
                <w:rFonts w:eastAsiaTheme="minorEastAsia" w:hint="cs"/>
                <w:rtl/>
                <w:lang w:val="ru-RU" w:eastAsia="zh-CN"/>
              </w:rPr>
              <w:t xml:space="preserve">في الجمعية العالمية لتقييس الاتصالات لعام </w:t>
            </w:r>
            <w:r>
              <w:rPr>
                <w:rFonts w:eastAsiaTheme="minorEastAsia"/>
                <w:lang w:val="fr-CH" w:eastAsia="zh-CN"/>
              </w:rPr>
              <w:t>2016</w:t>
            </w:r>
          </w:p>
        </w:tc>
      </w:tr>
      <w:tr w:rsidR="0022345D" w:rsidRPr="00E07379" w:rsidTr="00E335D2">
        <w:trPr>
          <w:cantSplit/>
          <w:trHeight w:val="844"/>
          <w:jc w:val="right"/>
        </w:trPr>
        <w:tc>
          <w:tcPr>
            <w:tcW w:w="5000" w:type="pct"/>
            <w:gridSpan w:val="4"/>
          </w:tcPr>
          <w:p w:rsidR="0022345D" w:rsidRPr="00BD6EF3" w:rsidRDefault="0022345D" w:rsidP="00A25A43">
            <w:pPr>
              <w:pStyle w:val="Title2"/>
              <w:rPr>
                <w:rtl/>
              </w:rPr>
            </w:pPr>
          </w:p>
        </w:tc>
      </w:tr>
      <w:tr w:rsidR="0022345D" w:rsidRPr="00E07379" w:rsidTr="00E335D2">
        <w:trPr>
          <w:cantSplit/>
          <w:jc w:val="right"/>
        </w:trPr>
        <w:tc>
          <w:tcPr>
            <w:tcW w:w="5000" w:type="pct"/>
            <w:gridSpan w:val="4"/>
          </w:tcPr>
          <w:p w:rsidR="0022345D" w:rsidRPr="002919E1" w:rsidRDefault="0022345D" w:rsidP="00A25A43">
            <w:pPr>
              <w:pStyle w:val="Agendaitem"/>
              <w:spacing w:before="240" w:line="192" w:lineRule="auto"/>
            </w:pPr>
          </w:p>
        </w:tc>
      </w:tr>
    </w:tbl>
    <w:p w:rsidR="00E335D2" w:rsidRDefault="00E335D2" w:rsidP="00E335D2">
      <w:pPr>
        <w:rPr>
          <w:lang w:bidi="ar-EG"/>
        </w:rPr>
      </w:pPr>
    </w:p>
    <w:tbl>
      <w:tblPr>
        <w:tblW w:w="4961" w:type="pct"/>
        <w:jc w:val="right"/>
        <w:tblLayout w:type="fixed"/>
        <w:tblLook w:val="0000" w:firstRow="0" w:lastRow="0" w:firstColumn="0" w:lastColumn="0" w:noHBand="0" w:noVBand="0"/>
      </w:tblPr>
      <w:tblGrid>
        <w:gridCol w:w="7938"/>
        <w:gridCol w:w="1626"/>
      </w:tblGrid>
      <w:tr w:rsidR="00E335D2" w:rsidRPr="00E70E87" w:rsidTr="00D104BE">
        <w:trPr>
          <w:cantSplit/>
          <w:jc w:val="right"/>
        </w:trPr>
        <w:tc>
          <w:tcPr>
            <w:tcW w:w="7938" w:type="dxa"/>
          </w:tcPr>
          <w:p w:rsidR="00E335D2" w:rsidRPr="00FF16E4" w:rsidRDefault="00E335D2" w:rsidP="004D1F61">
            <w:pPr>
              <w:rPr>
                <w:rFonts w:eastAsiaTheme="minorEastAsia"/>
                <w:rtl/>
                <w:lang w:val="ru-RU" w:eastAsia="zh-CN" w:bidi="ar-EG"/>
              </w:rPr>
            </w:pPr>
            <w:r>
              <w:rPr>
                <w:rFonts w:hint="cs"/>
                <w:rtl/>
                <w:lang w:bidi="ar-EG"/>
              </w:rPr>
              <w:t xml:space="preserve">تستند هذه المساهمة إلى التقرير النهائي لاجتماع لجنة الدراسات </w:t>
            </w:r>
            <w:r>
              <w:rPr>
                <w:lang w:val="fr-CH" w:bidi="ar-EG"/>
              </w:rPr>
              <w:t>3</w:t>
            </w:r>
            <w:r>
              <w:rPr>
                <w:rFonts w:eastAsiaTheme="minorEastAsia" w:hint="cs"/>
                <w:rtl/>
                <w:lang w:val="ru-RU" w:eastAsia="zh-CN" w:bidi="ar-EG"/>
              </w:rPr>
              <w:t xml:space="preserve"> لقطاع تقييس الاتصالات، الذي اشتمل على خمسة مشاريع توصيات رأى الاجتماع أنها اكتملت فأقرّها. والغرض من هذه المساهمة أن </w:t>
            </w:r>
            <w:r w:rsidR="004D1F61">
              <w:rPr>
                <w:rFonts w:eastAsiaTheme="minorEastAsia" w:hint="cs"/>
                <w:rtl/>
                <w:lang w:val="ru-RU" w:eastAsia="zh-CN" w:bidi="ar-EG"/>
              </w:rPr>
              <w:t>يُطلب</w:t>
            </w:r>
            <w:r>
              <w:rPr>
                <w:rFonts w:eastAsiaTheme="minorEastAsia" w:hint="cs"/>
                <w:rtl/>
                <w:lang w:val="ru-RU" w:eastAsia="zh-CN" w:bidi="ar-EG"/>
              </w:rPr>
              <w:t xml:space="preserve"> إلى الجمعية العالمية لتقييس الاتصالات لعام </w:t>
            </w:r>
            <w:r>
              <w:rPr>
                <w:rFonts w:eastAsiaTheme="minorEastAsia"/>
                <w:lang w:val="fr-CH" w:eastAsia="zh-CN" w:bidi="ar-EG"/>
              </w:rPr>
              <w:t>2016</w:t>
            </w:r>
            <w:r>
              <w:rPr>
                <w:rFonts w:eastAsiaTheme="minorEastAsia" w:hint="cs"/>
                <w:rtl/>
                <w:lang w:val="ru-RU" w:eastAsia="zh-CN" w:bidi="ar-EG"/>
              </w:rPr>
              <w:t xml:space="preserve"> الموافقة على مشاريع التوصيات الخمسة هذه.</w:t>
            </w:r>
          </w:p>
        </w:tc>
        <w:tc>
          <w:tcPr>
            <w:tcW w:w="1626" w:type="dxa"/>
          </w:tcPr>
          <w:p w:rsidR="00E335D2" w:rsidRPr="00A410AC" w:rsidRDefault="00E335D2" w:rsidP="00D104BE">
            <w:pPr>
              <w:rPr>
                <w:rFonts w:eastAsiaTheme="minorEastAsia"/>
                <w:b/>
                <w:bCs/>
                <w:rtl/>
                <w:lang w:val="ru-RU" w:eastAsia="zh-CN" w:bidi="ar-EG"/>
              </w:rPr>
            </w:pPr>
            <w:r w:rsidRPr="00A410AC">
              <w:rPr>
                <w:b/>
                <w:bCs/>
                <w:rtl/>
                <w:lang w:bidi="ar-EG"/>
              </w:rPr>
              <w:t>ملخص</w:t>
            </w:r>
            <w:r w:rsidRPr="00A410AC">
              <w:rPr>
                <w:b/>
                <w:bCs/>
              </w:rPr>
              <w:t>:</w:t>
            </w:r>
          </w:p>
        </w:tc>
      </w:tr>
    </w:tbl>
    <w:p w:rsidR="00E335D2" w:rsidRPr="00ED5E1F" w:rsidRDefault="00E335D2" w:rsidP="00E335D2">
      <w:pPr>
        <w:pStyle w:val="Headingb"/>
        <w:spacing w:line="240" w:lineRule="auto"/>
        <w:rPr>
          <w:rtl/>
        </w:rPr>
      </w:pPr>
      <w:r w:rsidRPr="00ED5E1F">
        <w:rPr>
          <w:rFonts w:hint="cs"/>
          <w:rtl/>
        </w:rPr>
        <w:t>مقدمة</w:t>
      </w:r>
    </w:p>
    <w:p w:rsidR="00E335D2" w:rsidRDefault="00E335D2" w:rsidP="00E335D2">
      <w:pPr>
        <w:rPr>
          <w:rFonts w:eastAsiaTheme="minorEastAsia"/>
          <w:rtl/>
          <w:lang w:val="ru-RU" w:eastAsia="zh-CN" w:bidi="ar-EG"/>
        </w:rPr>
      </w:pPr>
      <w:r>
        <w:rPr>
          <w:rFonts w:hint="cs"/>
          <w:rtl/>
          <w:lang w:bidi="ar-EG"/>
        </w:rPr>
        <w:t xml:space="preserve">تستند هذه المساهمة إلى التقرير النهائي لاجتماع لجنة الدراسات </w:t>
      </w:r>
      <w:r>
        <w:rPr>
          <w:lang w:val="fr-CH" w:bidi="ar-EG"/>
        </w:rPr>
        <w:t>3</w:t>
      </w:r>
      <w:r>
        <w:rPr>
          <w:rFonts w:eastAsiaTheme="minorEastAsia" w:hint="cs"/>
          <w:rtl/>
          <w:lang w:val="ru-RU" w:eastAsia="zh-CN" w:bidi="ar-EG"/>
        </w:rPr>
        <w:t xml:space="preserve"> لقطاع تقييس الاتصالات، الذي اشتمل على خمسة مشاريع توصيات رأى الاجتماع أنها اكتملت فأقرّها.</w:t>
      </w:r>
    </w:p>
    <w:p w:rsidR="00E335D2" w:rsidRDefault="00E335D2" w:rsidP="00266F3C">
      <w:pPr>
        <w:rPr>
          <w:rFonts w:eastAsiaTheme="minorEastAsia"/>
          <w:rtl/>
          <w:lang w:val="ru-RU" w:eastAsia="zh-CN" w:bidi="ar-EG"/>
        </w:rPr>
      </w:pPr>
      <w:r>
        <w:rPr>
          <w:rFonts w:eastAsiaTheme="minorEastAsia" w:hint="cs"/>
          <w:rtl/>
          <w:lang w:val="ru-RU" w:eastAsia="zh-CN" w:bidi="ar-EG"/>
        </w:rPr>
        <w:t xml:space="preserve">والغرض من هذه المساهمة أن يُطلب إلى الجمعية العالمية لتقييس الاتصالات لعام </w:t>
      </w:r>
      <w:r>
        <w:rPr>
          <w:rFonts w:eastAsiaTheme="minorEastAsia"/>
          <w:lang w:val="fr-CH" w:eastAsia="zh-CN" w:bidi="ar-EG"/>
        </w:rPr>
        <w:t>2016</w:t>
      </w:r>
      <w:r>
        <w:rPr>
          <w:rFonts w:eastAsiaTheme="minorEastAsia" w:hint="cs"/>
          <w:rtl/>
          <w:lang w:val="ru-RU" w:eastAsia="zh-CN" w:bidi="ar-EG"/>
        </w:rPr>
        <w:t xml:space="preserve"> الموافقة على مشاريع التوصيات الخمسة</w:t>
      </w:r>
      <w:r w:rsidR="00266F3C">
        <w:rPr>
          <w:rFonts w:eastAsiaTheme="minorEastAsia" w:hint="eastAsia"/>
          <w:rtl/>
          <w:lang w:val="ru-RU" w:eastAsia="zh-CN" w:bidi="ar-EG"/>
        </w:rPr>
        <w:t> </w:t>
      </w:r>
      <w:r>
        <w:rPr>
          <w:rFonts w:eastAsiaTheme="minorEastAsia" w:hint="cs"/>
          <w:rtl/>
          <w:lang w:val="ru-RU" w:eastAsia="zh-CN" w:bidi="ar-EG"/>
        </w:rPr>
        <w:t>هذه.</w:t>
      </w:r>
    </w:p>
    <w:p w:rsidR="00E335D2" w:rsidRPr="00B4520F" w:rsidRDefault="00E335D2" w:rsidP="00E335D2">
      <w:pPr>
        <w:rPr>
          <w:rFonts w:eastAsiaTheme="minorEastAsia"/>
          <w:rtl/>
          <w:lang w:val="ru-RU" w:eastAsia="zh-CN" w:bidi="ar-EG"/>
        </w:rPr>
      </w:pPr>
      <w:r>
        <w:rPr>
          <w:rFonts w:eastAsiaTheme="minorEastAsia" w:hint="cs"/>
          <w:rtl/>
          <w:lang w:val="ru-RU" w:eastAsia="zh-CN" w:bidi="ar-EG"/>
        </w:rPr>
        <w:t xml:space="preserve">ولغرض التذكير، تتولى لجنة الدراسات </w:t>
      </w:r>
      <w:r>
        <w:rPr>
          <w:rFonts w:eastAsiaTheme="minorEastAsia"/>
          <w:lang w:val="fr-CH" w:eastAsia="zh-CN" w:bidi="ar-EG"/>
        </w:rPr>
        <w:t>3</w:t>
      </w:r>
      <w:r>
        <w:rPr>
          <w:rFonts w:eastAsiaTheme="minorEastAsia" w:hint="cs"/>
          <w:rtl/>
          <w:lang w:val="fr-CH" w:eastAsia="zh-CN" w:bidi="ar-EG"/>
        </w:rPr>
        <w:t xml:space="preserve"> لقطاع تقييس الاتصالات المسؤولية عن مبادئ ومنهجيات المحاسبة وتحديد الأسعار والجوانب الاقتصادية وغيرها من المسائل ذات الصلة. وتحقيقاً لهذه الغاية، تعمل لجنة الدراسات </w:t>
      </w:r>
      <w:r>
        <w:rPr>
          <w:rFonts w:eastAsiaTheme="minorEastAsia"/>
          <w:lang w:val="fr-CH" w:eastAsia="zh-CN" w:bidi="ar-EG"/>
        </w:rPr>
        <w:t>3</w:t>
      </w:r>
      <w:r>
        <w:rPr>
          <w:rFonts w:eastAsiaTheme="minorEastAsia" w:hint="cs"/>
          <w:rtl/>
          <w:lang w:val="ru-RU" w:eastAsia="zh-CN" w:bidi="ar-EG"/>
        </w:rPr>
        <w:t xml:space="preserve"> </w:t>
      </w:r>
      <w:r>
        <w:rPr>
          <w:rFonts w:eastAsiaTheme="minorEastAsia" w:hint="cs"/>
          <w:rtl/>
          <w:lang w:val="fr-CH" w:eastAsia="zh-CN" w:bidi="ar-EG"/>
        </w:rPr>
        <w:t xml:space="preserve">من أجل أن تكون أسعار خدمات الاتصالات ميسورة ما أمكن ذلك لتمكين الجميع من الاستفادة منها مع مراعاة تحقيق الربحية للمشغلين. وفضلاً عن ذلك، ترمي التوصيات التي وضعتها لجنة الدراسات </w:t>
      </w:r>
      <w:r>
        <w:rPr>
          <w:rFonts w:eastAsiaTheme="minorEastAsia" w:hint="cs"/>
          <w:rtl/>
          <w:lang w:val="ru-RU" w:eastAsia="zh-CN" w:bidi="ar-EG"/>
        </w:rPr>
        <w:t>إلى توفير خدمات بأسعار معقولة تستند إلى التكلفة وتقلل أو تمحو التأثيرات الاقتصادية السلبية التي يتضرر منها السكان من جراء تقديم الخدمات.</w:t>
      </w:r>
    </w:p>
    <w:p w:rsidR="00E335D2" w:rsidRPr="00ED5E1F" w:rsidRDefault="00E335D2" w:rsidP="00E335D2">
      <w:pPr>
        <w:pStyle w:val="Headingb"/>
        <w:spacing w:line="240" w:lineRule="auto"/>
      </w:pPr>
      <w:r w:rsidRPr="00ED5E1F">
        <w:rPr>
          <w:rFonts w:hint="cs"/>
          <w:rtl/>
        </w:rPr>
        <w:lastRenderedPageBreak/>
        <w:t>السياق</w:t>
      </w:r>
    </w:p>
    <w:p w:rsidR="00E335D2" w:rsidRPr="00DE6D7B" w:rsidRDefault="00E335D2" w:rsidP="00E335D2">
      <w:pPr>
        <w:rPr>
          <w:rtl/>
          <w:lang w:bidi="ar-EG"/>
        </w:rPr>
      </w:pPr>
      <w:r w:rsidRPr="00F91DC9">
        <w:rPr>
          <w:rFonts w:hint="cs"/>
          <w:rtl/>
        </w:rPr>
        <w:t>عُقد</w:t>
      </w:r>
      <w:r w:rsidRPr="00F91DC9">
        <w:rPr>
          <w:rtl/>
        </w:rPr>
        <w:t xml:space="preserve"> </w:t>
      </w:r>
      <w:r w:rsidRPr="00F91DC9">
        <w:rPr>
          <w:rFonts w:hint="cs"/>
          <w:rtl/>
        </w:rPr>
        <w:t>ال</w:t>
      </w:r>
      <w:r w:rsidRPr="00F91DC9">
        <w:rPr>
          <w:rtl/>
        </w:rPr>
        <w:t>اجتماع</w:t>
      </w:r>
      <w:r w:rsidRPr="00F91DC9">
        <w:rPr>
          <w:rFonts w:hint="cs"/>
          <w:rtl/>
        </w:rPr>
        <w:t xml:space="preserve"> الرابع</w:t>
      </w:r>
      <w:r w:rsidRPr="00F91DC9">
        <w:rPr>
          <w:rtl/>
        </w:rPr>
        <w:t xml:space="preserve"> ل</w:t>
      </w:r>
      <w:r w:rsidRPr="00F91DC9">
        <w:rPr>
          <w:rFonts w:hint="cs"/>
          <w:rtl/>
        </w:rPr>
        <w:t>ل</w:t>
      </w:r>
      <w:r w:rsidRPr="00F91DC9">
        <w:rPr>
          <w:rtl/>
        </w:rPr>
        <w:t>جنة</w:t>
      </w:r>
      <w:r w:rsidRPr="00F91DC9">
        <w:rPr>
          <w:rtl/>
          <w:lang w:bidi="ar-EG"/>
        </w:rPr>
        <w:t xml:space="preserve"> الدراسات </w:t>
      </w:r>
      <w:r w:rsidRPr="00F91DC9">
        <w:rPr>
          <w:lang w:bidi="ar-EG"/>
        </w:rPr>
        <w:t>3</w:t>
      </w:r>
      <w:r w:rsidRPr="00F91DC9">
        <w:rPr>
          <w:rFonts w:hint="cs"/>
          <w:rtl/>
          <w:lang w:bidi="ar-EG"/>
        </w:rPr>
        <w:t xml:space="preserve"> لقطاع تقييس الاتصالات في فترة الدراسة</w:t>
      </w:r>
      <w:r>
        <w:rPr>
          <w:rFonts w:hint="cs"/>
          <w:rtl/>
          <w:lang w:bidi="ar-EG"/>
        </w:rPr>
        <w:t xml:space="preserve"> من</w:t>
      </w:r>
      <w:r w:rsidRPr="00F91DC9">
        <w:rPr>
          <w:rFonts w:hint="cs"/>
          <w:rtl/>
          <w:lang w:bidi="ar-EG"/>
        </w:rPr>
        <w:t xml:space="preserve"> </w:t>
      </w:r>
      <w:r w:rsidRPr="00F91DC9">
        <w:rPr>
          <w:lang w:bidi="ar-EG"/>
        </w:rPr>
        <w:t>2013</w:t>
      </w:r>
      <w:r w:rsidRPr="00F91DC9">
        <w:rPr>
          <w:rFonts w:hint="cs"/>
          <w:rtl/>
          <w:lang w:bidi="ar-EG"/>
        </w:rPr>
        <w:t xml:space="preserve"> إلى </w:t>
      </w:r>
      <w:r w:rsidRPr="00F91DC9">
        <w:rPr>
          <w:lang w:bidi="ar-EG"/>
        </w:rPr>
        <w:t>2016</w:t>
      </w:r>
      <w:r w:rsidRPr="00F91DC9">
        <w:rPr>
          <w:rtl/>
          <w:lang w:bidi="ar-EG"/>
        </w:rPr>
        <w:t>،</w:t>
      </w:r>
      <w:r w:rsidRPr="00F91DC9">
        <w:rPr>
          <w:rtl/>
        </w:rPr>
        <w:t xml:space="preserve"> </w:t>
      </w:r>
      <w:r w:rsidRPr="00F91DC9">
        <w:rPr>
          <w:rFonts w:hint="cs"/>
          <w:rtl/>
        </w:rPr>
        <w:t xml:space="preserve">في </w:t>
      </w:r>
      <w:r w:rsidRPr="00F91DC9">
        <w:rPr>
          <w:rtl/>
        </w:rPr>
        <w:t>جنيف،</w:t>
      </w:r>
      <w:r w:rsidRPr="00F91DC9">
        <w:rPr>
          <w:rFonts w:hint="cs"/>
          <w:rtl/>
        </w:rPr>
        <w:t xml:space="preserve"> سويسرا، في الفترة من</w:t>
      </w:r>
      <w:r w:rsidRPr="00F91DC9">
        <w:rPr>
          <w:rtl/>
        </w:rPr>
        <w:t xml:space="preserve"> </w:t>
      </w:r>
      <w:r w:rsidRPr="00F91DC9">
        <w:rPr>
          <w:lang w:bidi="ar-EG"/>
        </w:rPr>
        <w:t>22</w:t>
      </w:r>
      <w:r w:rsidRPr="00F91DC9">
        <w:rPr>
          <w:rtl/>
          <w:lang w:bidi="ar-EG"/>
        </w:rPr>
        <w:t xml:space="preserve"> فبراير </w:t>
      </w:r>
      <w:r>
        <w:rPr>
          <w:rFonts w:hint="cs"/>
          <w:rtl/>
          <w:lang w:bidi="ar-EG"/>
        </w:rPr>
        <w:t>إلى</w:t>
      </w:r>
      <w:r w:rsidRPr="00F91DC9">
        <w:rPr>
          <w:rtl/>
          <w:lang w:bidi="ar-EG"/>
        </w:rPr>
        <w:t xml:space="preserve"> </w:t>
      </w:r>
      <w:r w:rsidRPr="00F91DC9">
        <w:rPr>
          <w:lang w:val="fr-CH" w:bidi="ar-EG"/>
        </w:rPr>
        <w:t>1</w:t>
      </w:r>
      <w:r w:rsidRPr="00F91DC9">
        <w:rPr>
          <w:rtl/>
          <w:lang w:bidi="ar-EG"/>
        </w:rPr>
        <w:t xml:space="preserve"> مارس </w:t>
      </w:r>
      <w:r w:rsidRPr="00F91DC9">
        <w:rPr>
          <w:lang w:bidi="ar-EG"/>
        </w:rPr>
        <w:t>2016</w:t>
      </w:r>
      <w:r w:rsidRPr="00F91DC9">
        <w:rPr>
          <w:rFonts w:hint="cs"/>
          <w:rtl/>
          <w:lang w:bidi="ar-EG"/>
        </w:rPr>
        <w:t>.</w:t>
      </w:r>
    </w:p>
    <w:p w:rsidR="00E335D2" w:rsidRDefault="00E335D2" w:rsidP="00D47673">
      <w:pPr>
        <w:rPr>
          <w:rFonts w:eastAsiaTheme="minorEastAsia"/>
          <w:rtl/>
          <w:lang w:val="ru-RU" w:eastAsia="zh-CN" w:bidi="ar-EG"/>
        </w:rPr>
      </w:pPr>
      <w:r>
        <w:rPr>
          <w:rFonts w:hint="cs"/>
          <w:rtl/>
          <w:lang w:bidi="ar-EG"/>
        </w:rPr>
        <w:t xml:space="preserve">وحضر الاجتماع الأخير، الذي عُقد في فترة الدراسة من </w:t>
      </w:r>
      <w:r>
        <w:rPr>
          <w:lang w:val="fr-CH" w:bidi="ar-EG"/>
        </w:rPr>
        <w:t>201</w:t>
      </w:r>
      <w:r w:rsidR="00D47673">
        <w:rPr>
          <w:lang w:val="fr-CH" w:bidi="ar-EG"/>
        </w:rPr>
        <w:t>3</w:t>
      </w:r>
      <w:bookmarkStart w:id="0" w:name="_GoBack"/>
      <w:bookmarkEnd w:id="0"/>
      <w:r>
        <w:rPr>
          <w:rFonts w:eastAsiaTheme="minorEastAsia" w:hint="cs"/>
          <w:rtl/>
          <w:lang w:val="ru-RU" w:eastAsia="zh-CN" w:bidi="ar-EG"/>
        </w:rPr>
        <w:t xml:space="preserve"> إلى </w:t>
      </w:r>
      <w:r>
        <w:rPr>
          <w:rFonts w:eastAsiaTheme="minorEastAsia"/>
          <w:lang w:val="fr-CH" w:eastAsia="zh-CN" w:bidi="ar-EG"/>
        </w:rPr>
        <w:t>2016</w:t>
      </w:r>
      <w:r>
        <w:rPr>
          <w:rFonts w:eastAsiaTheme="minorEastAsia" w:hint="cs"/>
          <w:rtl/>
          <w:lang w:val="ru-RU" w:eastAsia="zh-CN" w:bidi="ar-EG"/>
        </w:rPr>
        <w:t xml:space="preserve">، ما يربو عن </w:t>
      </w:r>
      <w:r>
        <w:rPr>
          <w:rFonts w:eastAsiaTheme="minorEastAsia"/>
          <w:lang w:val="fr-CH" w:eastAsia="zh-CN" w:bidi="ar-EG"/>
        </w:rPr>
        <w:t>138</w:t>
      </w:r>
      <w:r>
        <w:rPr>
          <w:rFonts w:eastAsiaTheme="minorEastAsia" w:hint="cs"/>
          <w:rtl/>
          <w:lang w:val="ru-RU" w:eastAsia="zh-CN" w:bidi="ar-EG"/>
        </w:rPr>
        <w:t xml:space="preserve"> مندوباً من </w:t>
      </w:r>
      <w:r>
        <w:rPr>
          <w:rFonts w:eastAsiaTheme="minorEastAsia"/>
          <w:lang w:val="fr-CH" w:eastAsia="zh-CN" w:bidi="ar-EG"/>
        </w:rPr>
        <w:t>50</w:t>
      </w:r>
      <w:r>
        <w:rPr>
          <w:rFonts w:eastAsiaTheme="minorEastAsia" w:hint="cs"/>
          <w:rtl/>
          <w:lang w:val="ru-RU" w:eastAsia="zh-CN" w:bidi="ar-EG"/>
        </w:rPr>
        <w:t xml:space="preserve"> دولة عضواً. وحققت لجنة الدراسات رقماً قياسياً بتقديم </w:t>
      </w:r>
      <w:r>
        <w:rPr>
          <w:rFonts w:eastAsiaTheme="minorEastAsia"/>
          <w:lang w:val="fr-CH" w:eastAsia="zh-CN" w:bidi="ar-EG"/>
        </w:rPr>
        <w:t>141</w:t>
      </w:r>
      <w:r>
        <w:rPr>
          <w:rFonts w:eastAsiaTheme="minorEastAsia" w:hint="cs"/>
          <w:rtl/>
          <w:lang w:val="fr-CH" w:eastAsia="zh-CN" w:bidi="ar-EG"/>
        </w:rPr>
        <w:t xml:space="preserve"> </w:t>
      </w:r>
      <w:r>
        <w:rPr>
          <w:rFonts w:eastAsiaTheme="minorEastAsia" w:hint="cs"/>
          <w:rtl/>
          <w:lang w:val="es-ES_tradnl" w:eastAsia="zh-CN" w:bidi="ar-EG"/>
        </w:rPr>
        <w:t xml:space="preserve">مساهمة مقارنة بعام </w:t>
      </w:r>
      <w:r>
        <w:rPr>
          <w:rFonts w:eastAsiaTheme="minorEastAsia"/>
          <w:lang w:val="fr-CH" w:eastAsia="zh-CN" w:bidi="ar-EG"/>
        </w:rPr>
        <w:t>2015</w:t>
      </w:r>
      <w:r>
        <w:rPr>
          <w:rFonts w:eastAsiaTheme="minorEastAsia" w:hint="cs"/>
          <w:rtl/>
          <w:lang w:val="ru-RU" w:eastAsia="zh-CN" w:bidi="ar-EG"/>
        </w:rPr>
        <w:t xml:space="preserve"> حيث قدّمت </w:t>
      </w:r>
      <w:r>
        <w:rPr>
          <w:rFonts w:eastAsiaTheme="minorEastAsia"/>
          <w:lang w:val="fr-CH" w:eastAsia="zh-CN" w:bidi="ar-EG"/>
        </w:rPr>
        <w:t>56</w:t>
      </w:r>
      <w:r>
        <w:rPr>
          <w:rFonts w:eastAsiaTheme="minorEastAsia" w:hint="cs"/>
          <w:rtl/>
          <w:lang w:val="ru-RU" w:eastAsia="zh-CN" w:bidi="ar-EG"/>
        </w:rPr>
        <w:t xml:space="preserve"> مساهمة؛ ما يمثِّل زيادة كبيرة بمقدار ما</w:t>
      </w:r>
      <w:r>
        <w:rPr>
          <w:rFonts w:eastAsiaTheme="minorEastAsia" w:hint="eastAsia"/>
          <w:rtl/>
          <w:lang w:val="ru-RU" w:eastAsia="zh-CN" w:bidi="ar-EG"/>
        </w:rPr>
        <w:t> </w:t>
      </w:r>
      <w:r>
        <w:rPr>
          <w:rFonts w:eastAsiaTheme="minorEastAsia" w:hint="cs"/>
          <w:rtl/>
          <w:lang w:val="ru-RU" w:eastAsia="zh-CN" w:bidi="ar-EG"/>
        </w:rPr>
        <w:t>يزيد عن</w:t>
      </w:r>
      <w:r>
        <w:rPr>
          <w:rFonts w:eastAsiaTheme="minorEastAsia" w:hint="eastAsia"/>
          <w:rtl/>
          <w:lang w:val="ru-RU" w:eastAsia="zh-CN" w:bidi="ar-EG"/>
        </w:rPr>
        <w:t> </w:t>
      </w:r>
      <w:r>
        <w:rPr>
          <w:rFonts w:eastAsiaTheme="minorEastAsia"/>
          <w:lang w:val="fr-CH" w:eastAsia="zh-CN" w:bidi="ar-EG"/>
        </w:rPr>
        <w:t>%40</w:t>
      </w:r>
      <w:r>
        <w:rPr>
          <w:rFonts w:eastAsiaTheme="minorEastAsia" w:hint="cs"/>
          <w:rtl/>
          <w:lang w:val="ru-RU" w:eastAsia="zh-CN" w:bidi="ar-EG"/>
        </w:rPr>
        <w:t>.</w:t>
      </w:r>
    </w:p>
    <w:p w:rsidR="00E335D2" w:rsidRPr="00F91DC9" w:rsidRDefault="00E335D2" w:rsidP="00E335D2">
      <w:pPr>
        <w:rPr>
          <w:rFonts w:eastAsiaTheme="minorEastAsia"/>
          <w:rtl/>
          <w:lang w:val="ru-RU" w:eastAsia="zh-CN" w:bidi="ar-EG"/>
        </w:rPr>
      </w:pPr>
      <w:r>
        <w:rPr>
          <w:rFonts w:eastAsiaTheme="minorEastAsia" w:hint="cs"/>
          <w:rtl/>
          <w:lang w:val="ru-RU" w:eastAsia="zh-CN" w:bidi="ar-EG"/>
        </w:rPr>
        <w:t xml:space="preserve">وشهد اجتماع لجنة الدراسات </w:t>
      </w:r>
      <w:r w:rsidRPr="00F91DC9">
        <w:rPr>
          <w:lang w:bidi="ar-EG"/>
        </w:rPr>
        <w:t>3</w:t>
      </w:r>
      <w:r>
        <w:rPr>
          <w:rFonts w:eastAsiaTheme="minorEastAsia" w:hint="cs"/>
          <w:rtl/>
          <w:lang w:val="ru-RU" w:eastAsia="zh-CN" w:bidi="ar-EG"/>
        </w:rPr>
        <w:t xml:space="preserve"> مناقشات طويلة وعديدة بشأن مختلف المواضيع من قبيل توصيلية الإنترنت عريضة النطاق والخدمة الشاملة والتجوال الدولي والخدمات المتاحة بحرية على الإنترنت </w:t>
      </w:r>
      <w:r>
        <w:rPr>
          <w:rFonts w:eastAsiaTheme="minorEastAsia"/>
          <w:lang w:eastAsia="zh-CN" w:bidi="ar-EG"/>
        </w:rPr>
        <w:t>(OTT)</w:t>
      </w:r>
      <w:r>
        <w:rPr>
          <w:rFonts w:eastAsiaTheme="minorEastAsia" w:hint="cs"/>
          <w:rtl/>
          <w:lang w:val="ru-RU" w:eastAsia="zh-CN" w:bidi="ar-EG"/>
        </w:rPr>
        <w:t xml:space="preserve"> والخدمات المالية المتنقلة. وقدّمت إفريقيا مساهمات وتوصيات عديدة بشأن هذه المواضيع تهم سكان إفريقيا لكنها تمثل تحديا أمام المشغلين في المنطقة.</w:t>
      </w:r>
    </w:p>
    <w:p w:rsidR="00E335D2" w:rsidRPr="00ED5E1F" w:rsidRDefault="00E335D2" w:rsidP="00E335D2">
      <w:pPr>
        <w:pStyle w:val="Headingb"/>
        <w:spacing w:line="240" w:lineRule="auto"/>
        <w:rPr>
          <w:rtl/>
        </w:rPr>
      </w:pPr>
      <w:r w:rsidRPr="00ED5E1F">
        <w:rPr>
          <w:rFonts w:hint="cs"/>
          <w:rtl/>
        </w:rPr>
        <w:t>مناقشة</w:t>
      </w:r>
    </w:p>
    <w:p w:rsidR="00E335D2" w:rsidRPr="00CD6670" w:rsidRDefault="00E335D2" w:rsidP="00C16962">
      <w:pPr>
        <w:rPr>
          <w:rFonts w:eastAsiaTheme="minorEastAsia"/>
          <w:lang w:val="fr-CH" w:eastAsia="zh-CN" w:bidi="ar-EG"/>
        </w:rPr>
      </w:pPr>
      <w:r>
        <w:rPr>
          <w:rFonts w:hint="cs"/>
          <w:rtl/>
          <w:lang w:bidi="ar-EG"/>
        </w:rPr>
        <w:t xml:space="preserve">وقد أسفرت المناقشات التي دارت في هذه الاجتماع  الرابع للجنة الدراسات </w:t>
      </w:r>
      <w:r w:rsidRPr="00F91DC9">
        <w:rPr>
          <w:lang w:bidi="ar-EG"/>
        </w:rPr>
        <w:t>3</w:t>
      </w:r>
      <w:r>
        <w:rPr>
          <w:rFonts w:hint="cs"/>
          <w:rtl/>
          <w:lang w:bidi="ar-EG"/>
        </w:rPr>
        <w:t xml:space="preserve"> عن العديد من النتائج، إذ أُعدِّ زهاء أربع عشرة</w:t>
      </w:r>
      <w:r w:rsidR="000D6BC9">
        <w:rPr>
          <w:rFonts w:hint="eastAsia"/>
          <w:rtl/>
          <w:lang w:bidi="ar-EG"/>
        </w:rPr>
        <w:t> </w:t>
      </w:r>
      <w:r>
        <w:rPr>
          <w:rFonts w:hint="cs"/>
          <w:rtl/>
          <w:lang w:bidi="ar-EG"/>
        </w:rPr>
        <w:t>(</w:t>
      </w:r>
      <w:r>
        <w:rPr>
          <w:lang w:val="fr-CH" w:bidi="ar-EG"/>
        </w:rPr>
        <w:t>14</w:t>
      </w:r>
      <w:r>
        <w:rPr>
          <w:rFonts w:eastAsiaTheme="minorEastAsia" w:hint="cs"/>
          <w:rtl/>
          <w:lang w:val="ru-RU" w:eastAsia="zh-CN" w:bidi="ar-EG"/>
        </w:rPr>
        <w:t>)</w:t>
      </w:r>
      <w:r w:rsidR="00C16962">
        <w:rPr>
          <w:rFonts w:eastAsiaTheme="minorEastAsia" w:hint="eastAsia"/>
          <w:rtl/>
          <w:lang w:val="ru-RU" w:eastAsia="zh-CN" w:bidi="ar-EG"/>
        </w:rPr>
        <w:t> </w:t>
      </w:r>
      <w:r>
        <w:rPr>
          <w:rFonts w:eastAsiaTheme="minorEastAsia" w:hint="cs"/>
          <w:rtl/>
          <w:lang w:val="ru-RU" w:eastAsia="zh-CN" w:bidi="ar-EG"/>
        </w:rPr>
        <w:t>وثيقة مؤقتة تتناول جميع هذه القضايا، فضلاً عن خمسة مشاريع توصيات رأى الاجتماع أنها اكتملت فأقرّها، وهي:</w:t>
      </w:r>
    </w:p>
    <w:p w:rsidR="00E335D2" w:rsidRPr="00A410AC" w:rsidRDefault="00E335D2" w:rsidP="00E335D2">
      <w:pPr>
        <w:pStyle w:val="enumlev1"/>
        <w:rPr>
          <w:rtl/>
          <w:lang w:bidi="ar-EG"/>
        </w:rPr>
      </w:pPr>
      <w:r>
        <w:rPr>
          <w:lang w:bidi="ar-EG"/>
        </w:rPr>
        <w:t>(</w:t>
      </w:r>
      <w:r w:rsidRPr="00164F0E">
        <w:rPr>
          <w:lang w:bidi="ar-EG"/>
        </w:rPr>
        <w:t>1</w:t>
      </w:r>
      <w:r w:rsidRPr="00164F0E">
        <w:rPr>
          <w:rtl/>
          <w:lang w:bidi="ar-EG"/>
        </w:rPr>
        <w:tab/>
      </w:r>
      <w:r w:rsidRPr="00A410AC">
        <w:rPr>
          <w:rFonts w:hint="cs"/>
          <w:rtl/>
        </w:rPr>
        <w:t xml:space="preserve">مشروع التوصية الجديدة </w:t>
      </w:r>
      <w:r w:rsidRPr="00A410AC">
        <w:t>ITU</w:t>
      </w:r>
      <w:r w:rsidRPr="00A410AC">
        <w:noBreakHyphen/>
        <w:t>T D.52</w:t>
      </w:r>
      <w:r w:rsidRPr="00A410AC">
        <w:rPr>
          <w:rFonts w:hint="cs"/>
          <w:rtl/>
        </w:rPr>
        <w:t xml:space="preserve"> </w:t>
      </w:r>
      <w:r w:rsidRPr="00A410AC">
        <w:rPr>
          <w:rtl/>
        </w:rPr>
        <w:t xml:space="preserve">بشأن </w:t>
      </w:r>
      <w:r w:rsidRPr="00A410AC">
        <w:rPr>
          <w:rFonts w:hint="cs"/>
          <w:rtl/>
        </w:rPr>
        <w:t>"</w:t>
      </w:r>
      <w:r w:rsidRPr="00A410AC">
        <w:rPr>
          <w:rtl/>
        </w:rPr>
        <w:t>إقامة نقاط تبادل إقليمية للإنترنت </w:t>
      </w:r>
      <w:r w:rsidRPr="00A410AC">
        <w:t>(IXP)</w:t>
      </w:r>
      <w:r w:rsidRPr="00A410AC">
        <w:rPr>
          <w:rtl/>
        </w:rPr>
        <w:t xml:space="preserve"> وتوصيلها لخفض تكاليف التوصيلية الدولية للإنترنت</w:t>
      </w:r>
      <w:r w:rsidRPr="00A410AC">
        <w:rPr>
          <w:rFonts w:hint="cs"/>
          <w:rtl/>
        </w:rPr>
        <w:t>"</w:t>
      </w:r>
      <w:r>
        <w:rPr>
          <w:rFonts w:hint="cs"/>
          <w:rtl/>
          <w:lang w:bidi="ar-EG"/>
        </w:rPr>
        <w:t>؛</w:t>
      </w:r>
    </w:p>
    <w:p w:rsidR="00E335D2" w:rsidRPr="00A410AC" w:rsidRDefault="00E335D2" w:rsidP="00E335D2">
      <w:pPr>
        <w:pStyle w:val="enumlev1"/>
        <w:rPr>
          <w:lang w:bidi="ar-EG"/>
        </w:rPr>
      </w:pPr>
      <w:r>
        <w:rPr>
          <w:lang w:bidi="ar-EG"/>
        </w:rPr>
        <w:t>(</w:t>
      </w:r>
      <w:r w:rsidRPr="00A410AC">
        <w:t>2</w:t>
      </w:r>
      <w:r w:rsidRPr="00A410AC">
        <w:rPr>
          <w:rFonts w:hint="cs"/>
          <w:rtl/>
        </w:rPr>
        <w:tab/>
        <w:t xml:space="preserve">مشروع التوصية الجديدة </w:t>
      </w:r>
      <w:r w:rsidRPr="00A410AC">
        <w:t>ITU</w:t>
      </w:r>
      <w:r w:rsidRPr="00A410AC">
        <w:noBreakHyphen/>
        <w:t>T D.53</w:t>
      </w:r>
      <w:r w:rsidRPr="00A410AC">
        <w:rPr>
          <w:rFonts w:hint="cs"/>
          <w:rtl/>
        </w:rPr>
        <w:t xml:space="preserve"> </w:t>
      </w:r>
      <w:r w:rsidRPr="00A410AC">
        <w:rPr>
          <w:rtl/>
        </w:rPr>
        <w:t xml:space="preserve">بشأن </w:t>
      </w:r>
      <w:r w:rsidRPr="00A410AC">
        <w:rPr>
          <w:rFonts w:hint="cs"/>
          <w:rtl/>
        </w:rPr>
        <w:t>"</w:t>
      </w:r>
      <w:r w:rsidRPr="00A410AC">
        <w:rPr>
          <w:rtl/>
        </w:rPr>
        <w:t>الجوانب الدولية للخدمة الشاملة</w:t>
      </w:r>
      <w:r w:rsidRPr="00A410AC">
        <w:rPr>
          <w:rFonts w:hint="cs"/>
          <w:rtl/>
        </w:rPr>
        <w:t>"</w:t>
      </w:r>
      <w:r>
        <w:rPr>
          <w:rFonts w:hint="cs"/>
          <w:rtl/>
          <w:lang w:bidi="ar-EG"/>
        </w:rPr>
        <w:t>؛</w:t>
      </w:r>
    </w:p>
    <w:p w:rsidR="00E335D2" w:rsidRPr="00A410AC" w:rsidRDefault="00E335D2" w:rsidP="005F202F">
      <w:pPr>
        <w:pStyle w:val="enumlev1"/>
        <w:rPr>
          <w:rtl/>
          <w:lang w:bidi="ar-EG"/>
        </w:rPr>
      </w:pPr>
      <w:r>
        <w:rPr>
          <w:lang w:bidi="ar-EG"/>
        </w:rPr>
        <w:t>(</w:t>
      </w:r>
      <w:r w:rsidRPr="00A410AC">
        <w:t>3</w:t>
      </w:r>
      <w:r w:rsidRPr="00A410AC">
        <w:tab/>
      </w:r>
      <w:r w:rsidRPr="00A410AC">
        <w:rPr>
          <w:rFonts w:hint="cs"/>
          <w:rtl/>
        </w:rPr>
        <w:t xml:space="preserve">مشروع </w:t>
      </w:r>
      <w:r w:rsidR="005F202F">
        <w:rPr>
          <w:rFonts w:hint="cs"/>
          <w:rtl/>
        </w:rPr>
        <w:t>مراجعة التوصية</w:t>
      </w:r>
      <w:r w:rsidRPr="00A410AC">
        <w:rPr>
          <w:rFonts w:hint="cs"/>
          <w:rtl/>
        </w:rPr>
        <w:t xml:space="preserve"> </w:t>
      </w:r>
      <w:r w:rsidRPr="00A410AC">
        <w:t>ITU</w:t>
      </w:r>
      <w:r w:rsidRPr="00A410AC">
        <w:noBreakHyphen/>
        <w:t>T D.271</w:t>
      </w:r>
      <w:r w:rsidRPr="00A410AC">
        <w:rPr>
          <w:rFonts w:hint="cs"/>
          <w:rtl/>
        </w:rPr>
        <w:t xml:space="preserve"> بشأن "مبادئ الترسيم والمحاسبة لشبكات الجيل التالي </w:t>
      </w:r>
      <w:r w:rsidRPr="00A410AC">
        <w:t>(NGN)</w:t>
      </w:r>
      <w:r w:rsidRPr="00A410AC">
        <w:rPr>
          <w:rFonts w:hint="cs"/>
          <w:rtl/>
        </w:rPr>
        <w:t>"</w:t>
      </w:r>
      <w:r>
        <w:rPr>
          <w:rFonts w:hint="cs"/>
          <w:rtl/>
          <w:lang w:bidi="ar-EG"/>
        </w:rPr>
        <w:t>؛</w:t>
      </w:r>
    </w:p>
    <w:p w:rsidR="00E335D2" w:rsidRPr="00A410AC" w:rsidRDefault="00E335D2" w:rsidP="00E335D2">
      <w:pPr>
        <w:pStyle w:val="enumlev1"/>
        <w:rPr>
          <w:lang w:bidi="ar-EG"/>
        </w:rPr>
      </w:pPr>
      <w:r>
        <w:rPr>
          <w:lang w:bidi="ar-EG"/>
        </w:rPr>
        <w:t>(</w:t>
      </w:r>
      <w:r w:rsidRPr="00A410AC">
        <w:t>4</w:t>
      </w:r>
      <w:r w:rsidRPr="00A410AC">
        <w:tab/>
      </w:r>
      <w:r w:rsidRPr="00A410AC">
        <w:rPr>
          <w:rFonts w:hint="cs"/>
          <w:rtl/>
        </w:rPr>
        <w:t xml:space="preserve">مشروع التوصية الجديدة </w:t>
      </w:r>
      <w:r w:rsidRPr="00A410AC">
        <w:t>ITU</w:t>
      </w:r>
      <w:r w:rsidRPr="00A410AC">
        <w:noBreakHyphen/>
        <w:t>T D.97</w:t>
      </w:r>
      <w:r w:rsidRPr="00A410AC">
        <w:rPr>
          <w:rFonts w:hint="cs"/>
          <w:rtl/>
        </w:rPr>
        <w:t xml:space="preserve"> بشأن "</w:t>
      </w:r>
      <w:r w:rsidRPr="00A410AC">
        <w:rPr>
          <w:rtl/>
        </w:rPr>
        <w:t>المبادئ المنهجية لتحديد رسوم التجوال الدولي المتنقل</w:t>
      </w:r>
      <w:r w:rsidRPr="00A410AC">
        <w:rPr>
          <w:rFonts w:hint="cs"/>
          <w:rtl/>
        </w:rPr>
        <w:t>"</w:t>
      </w:r>
      <w:r>
        <w:rPr>
          <w:rFonts w:hint="cs"/>
          <w:rtl/>
          <w:lang w:bidi="ar-EG"/>
        </w:rPr>
        <w:t>؛</w:t>
      </w:r>
    </w:p>
    <w:p w:rsidR="00E335D2" w:rsidRDefault="00E335D2" w:rsidP="00E335D2">
      <w:pPr>
        <w:pStyle w:val="enumlev1"/>
        <w:rPr>
          <w:rtl/>
          <w:lang w:val="fr-FR"/>
        </w:rPr>
      </w:pPr>
      <w:r>
        <w:rPr>
          <w:lang w:bidi="ar-EG"/>
        </w:rPr>
        <w:t>(</w:t>
      </w:r>
      <w:r w:rsidRPr="00A410AC">
        <w:t>5</w:t>
      </w:r>
      <w:r w:rsidRPr="00A410AC">
        <w:tab/>
      </w:r>
      <w:r w:rsidRPr="00A410AC">
        <w:rPr>
          <w:rFonts w:hint="cs"/>
          <w:rtl/>
        </w:rPr>
        <w:t xml:space="preserve">مشروع التوصية الجديدة </w:t>
      </w:r>
      <w:r w:rsidRPr="00A410AC">
        <w:t>ITU</w:t>
      </w:r>
      <w:r w:rsidRPr="00A410AC">
        <w:noBreakHyphen/>
        <w:t>T D.261</w:t>
      </w:r>
      <w:r w:rsidRPr="00A410AC">
        <w:rPr>
          <w:rFonts w:hint="cs"/>
          <w:rtl/>
        </w:rPr>
        <w:t xml:space="preserve"> بشأن "</w:t>
      </w:r>
      <w:r w:rsidRPr="00A410AC">
        <w:rPr>
          <w:rtl/>
        </w:rPr>
        <w:t>المبادئ المتعلقة بوضع تعريف للسوق وتحديد المشغلين ذوي القوة السوقية الكبيرة</w:t>
      </w:r>
      <w:r w:rsidRPr="00A410AC">
        <w:rPr>
          <w:rFonts w:hint="cs"/>
          <w:rtl/>
        </w:rPr>
        <w:t> </w:t>
      </w:r>
      <w:r w:rsidRPr="00A410AC">
        <w:t>(SMP</w:t>
      </w:r>
      <w:r w:rsidRPr="00164F0E">
        <w:rPr>
          <w:lang w:val="fr-FR"/>
        </w:rPr>
        <w:t>)</w:t>
      </w:r>
      <w:r w:rsidRPr="00164F0E">
        <w:rPr>
          <w:rFonts w:hint="cs"/>
          <w:rtl/>
          <w:lang w:val="fr-FR"/>
        </w:rPr>
        <w:t>"</w:t>
      </w:r>
      <w:r>
        <w:rPr>
          <w:rFonts w:hint="cs"/>
          <w:rtl/>
          <w:lang w:val="fr-FR"/>
        </w:rPr>
        <w:t>.</w:t>
      </w:r>
    </w:p>
    <w:p w:rsidR="00E335D2" w:rsidRDefault="00E335D2" w:rsidP="00E335D2">
      <w:pPr>
        <w:rPr>
          <w:rtl/>
          <w:lang w:val="fr-FR" w:bidi="ar-EG"/>
        </w:rPr>
      </w:pPr>
      <w:r>
        <w:rPr>
          <w:rFonts w:hint="cs"/>
          <w:rtl/>
          <w:lang w:val="fr-FR"/>
        </w:rPr>
        <w:t>وأجرى العديد من البلدان الإفريقية إصلاحات من أجل تطوير النطاق العريض وإمكانية النفاذ إليه وتخفيض تكاليف مكالمات التجوال. ومن شأن جميع هذه الإصلاحات أن تحسِّن من الظروف المعيشية وتزيد الشمول، وتحسّن التجارة الإقليمية والدولية، وتساهم في تحسين الإدارة والمحاسبة.</w:t>
      </w:r>
    </w:p>
    <w:p w:rsidR="00E335D2" w:rsidRDefault="00E335D2" w:rsidP="00E335D2">
      <w:pPr>
        <w:rPr>
          <w:rtl/>
          <w:lang w:val="fr-FR"/>
        </w:rPr>
      </w:pPr>
      <w:r>
        <w:rPr>
          <w:rFonts w:hint="cs"/>
          <w:rtl/>
          <w:lang w:val="fr-FR"/>
        </w:rPr>
        <w:t>وترمي هذه البلدان الإفريقية إلى توفير بنية تحتية وخدمات اتصالات ميسورة التكلفة لجميع سكانها. وينبغي تحقيق هذا الهدف بتطبيق لوائح دولية مناسبة وتوصيات يمكن أن تساعد على تنفيذ هذا الهدف.</w:t>
      </w:r>
    </w:p>
    <w:p w:rsidR="00C71849" w:rsidRDefault="000F61C4">
      <w:pPr>
        <w:pStyle w:val="Proposal"/>
      </w:pPr>
      <w:r>
        <w:tab/>
        <w:t>AFCP/42A11/1</w:t>
      </w:r>
    </w:p>
    <w:p w:rsidR="00E335D2" w:rsidRDefault="00E335D2" w:rsidP="00E335D2">
      <w:pPr>
        <w:pStyle w:val="Headingb"/>
        <w:spacing w:line="240" w:lineRule="auto"/>
        <w:rPr>
          <w:rtl/>
        </w:rPr>
      </w:pPr>
      <w:r>
        <w:rPr>
          <w:rFonts w:hint="cs"/>
          <w:rtl/>
        </w:rPr>
        <w:t>المقترح</w:t>
      </w:r>
    </w:p>
    <w:p w:rsidR="00E335D2" w:rsidRPr="00C10C94" w:rsidRDefault="00E335D2" w:rsidP="00E335D2">
      <w:pPr>
        <w:rPr>
          <w:rFonts w:eastAsiaTheme="minorEastAsia"/>
          <w:rtl/>
          <w:lang w:val="ru-RU" w:eastAsia="zh-CN" w:bidi="ar-EG"/>
        </w:rPr>
      </w:pPr>
      <w:r>
        <w:rPr>
          <w:rFonts w:hint="cs"/>
          <w:rtl/>
          <w:lang w:val="fr-FR"/>
        </w:rPr>
        <w:t xml:space="preserve">بالنظر إلى أهمية هذه القضايا للبلدان الإفريقية وللبلدان النامية عموماً، والفوائد التي يمكن أن يجنيها سكانها، تقترح الدول الأعضاء الإفريقية على الجمعية العالمية لتقييس الاتصالات لعام </w:t>
      </w:r>
      <w:r>
        <w:rPr>
          <w:lang w:val="fr-CH"/>
        </w:rPr>
        <w:t>2016</w:t>
      </w:r>
      <w:r>
        <w:rPr>
          <w:rFonts w:eastAsiaTheme="minorEastAsia" w:hint="cs"/>
          <w:rtl/>
          <w:lang w:val="ru-RU" w:eastAsia="zh-CN" w:bidi="ar-EG"/>
        </w:rPr>
        <w:t xml:space="preserve"> الموافقة على مشاريع التوصيات الخمسة هذه.</w:t>
      </w:r>
    </w:p>
    <w:p w:rsidR="00C71849" w:rsidRPr="00266F3C" w:rsidRDefault="00C71849">
      <w:pPr>
        <w:pStyle w:val="Reasons"/>
        <w:rPr>
          <w:b w:val="0"/>
          <w:bCs w:val="0"/>
          <w:rtl/>
          <w:lang w:bidi="ar-EG"/>
        </w:rPr>
      </w:pPr>
    </w:p>
    <w:p w:rsidR="00E335D2" w:rsidRPr="00E335D2" w:rsidRDefault="00E335D2" w:rsidP="00E335D2">
      <w:pPr>
        <w:spacing w:before="600"/>
        <w:jc w:val="center"/>
        <w:rPr>
          <w:lang w:val="fr-FR"/>
        </w:rPr>
      </w:pPr>
      <w:r>
        <w:rPr>
          <w:rFonts w:hint="cs"/>
          <w:rtl/>
          <w:lang w:val="fr-FR"/>
        </w:rPr>
        <w:t>___________</w:t>
      </w:r>
    </w:p>
    <w:sectPr w:rsidR="00E335D2" w:rsidRPr="00E335D2">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420" w:rsidRDefault="00530420" w:rsidP="00E07379">
      <w:pPr>
        <w:spacing w:before="0" w:line="240" w:lineRule="auto"/>
      </w:pPr>
      <w:r>
        <w:separator/>
      </w:r>
    </w:p>
  </w:endnote>
  <w:endnote w:type="continuationSeparator" w:id="0">
    <w:p w:rsidR="00530420" w:rsidRDefault="00530420"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0F61C4" w:rsidRDefault="00E07379" w:rsidP="000F61C4">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0F61C4">
      <w:rPr>
        <w:rFonts w:cs="Times New Roman"/>
        <w:sz w:val="16"/>
        <w:szCs w:val="16"/>
        <w:lang w:val="fr-CH"/>
      </w:rPr>
      <w:instrText xml:space="preserve"> FILENAME \p \* MERGEFORMAT </w:instrText>
    </w:r>
    <w:r w:rsidRPr="00E07379">
      <w:rPr>
        <w:rFonts w:cs="Times New Roman"/>
        <w:sz w:val="16"/>
        <w:szCs w:val="16"/>
      </w:rPr>
      <w:fldChar w:fldCharType="separate"/>
    </w:r>
    <w:r w:rsidR="000F61C4" w:rsidRPr="000F61C4">
      <w:rPr>
        <w:rFonts w:cs="Times New Roman"/>
        <w:noProof/>
        <w:sz w:val="16"/>
        <w:szCs w:val="16"/>
        <w:lang w:val="fr-CH"/>
      </w:rPr>
      <w:t>P:\ARA\ITU-T\CONF-T\WTSA16\000\042ADD11A.docx</w:t>
    </w:r>
    <w:r w:rsidRPr="00E07379">
      <w:rPr>
        <w:rFonts w:cs="Times New Roman"/>
        <w:sz w:val="16"/>
        <w:szCs w:val="16"/>
      </w:rPr>
      <w:fldChar w:fldCharType="end"/>
    </w:r>
    <w:r w:rsidR="000F61C4" w:rsidRPr="000F61C4">
      <w:rPr>
        <w:rFonts w:cs="Times New Roman"/>
        <w:sz w:val="16"/>
        <w:szCs w:val="16"/>
        <w:lang w:val="fr-CH"/>
      </w:rPr>
      <w:t>   (405867)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0F61C4" w:rsidRDefault="0022345D" w:rsidP="000F61C4">
    <w:pPr>
      <w:pStyle w:val="Footer"/>
      <w:rPr>
        <w:szCs w:val="12"/>
        <w:lang w:val="fr-CH"/>
      </w:rPr>
    </w:pPr>
    <w:r w:rsidRPr="0022345D">
      <w:rPr>
        <w:szCs w:val="12"/>
      </w:rPr>
      <w:fldChar w:fldCharType="begin"/>
    </w:r>
    <w:r w:rsidRPr="000F61C4">
      <w:rPr>
        <w:szCs w:val="12"/>
        <w:lang w:val="fr-CH"/>
      </w:rPr>
      <w:instrText xml:space="preserve"> FILENAME \p  \* MERGEFORMAT </w:instrText>
    </w:r>
    <w:r w:rsidRPr="0022345D">
      <w:rPr>
        <w:szCs w:val="12"/>
      </w:rPr>
      <w:fldChar w:fldCharType="separate"/>
    </w:r>
    <w:r w:rsidR="000F61C4" w:rsidRPr="000F61C4">
      <w:rPr>
        <w:noProof/>
        <w:szCs w:val="12"/>
        <w:lang w:val="fr-CH"/>
      </w:rPr>
      <w:t>P:\ARA\ITU-T\CONF-T\WTSA16\000\042ADD11A.docx</w:t>
    </w:r>
    <w:r w:rsidRPr="0022345D">
      <w:rPr>
        <w:szCs w:val="12"/>
      </w:rPr>
      <w:fldChar w:fldCharType="end"/>
    </w:r>
    <w:r w:rsidR="000F61C4">
      <w:rPr>
        <w:szCs w:val="12"/>
        <w:lang w:val="fr-CH"/>
      </w:rPr>
      <w:t>   </w:t>
    </w:r>
    <w:r w:rsidR="000F61C4" w:rsidRPr="000F61C4">
      <w:rPr>
        <w:szCs w:val="12"/>
        <w:lang w:val="fr-CH"/>
      </w:rPr>
      <w:t>(405867)</w:t>
    </w:r>
  </w:p>
  <w:p w:rsidR="00E07379" w:rsidRPr="000F61C4" w:rsidRDefault="00E07379"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420" w:rsidRDefault="00530420" w:rsidP="00E07379">
      <w:pPr>
        <w:spacing w:before="0" w:line="240" w:lineRule="auto"/>
      </w:pPr>
      <w:r>
        <w:separator/>
      </w:r>
    </w:p>
  </w:footnote>
  <w:footnote w:type="continuationSeparator" w:id="0">
    <w:p w:rsidR="00530420" w:rsidRDefault="00530420"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D2" w:rsidRDefault="0022345D" w:rsidP="00E335D2">
    <w:pPr>
      <w:bidi w:val="0"/>
      <w:spacing w:before="0" w:line="240" w:lineRule="auto"/>
      <w:jc w:val="center"/>
      <w:rPr>
        <w:rStyle w:val="PageNumber"/>
        <w:sz w:val="18"/>
        <w:szCs w:val="18"/>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D47673">
      <w:rPr>
        <w:rStyle w:val="PageNumber"/>
        <w:noProof/>
        <w:sz w:val="18"/>
        <w:szCs w:val="18"/>
      </w:rPr>
      <w:t>2</w:t>
    </w:r>
    <w:r w:rsidRPr="005D6C0D">
      <w:rPr>
        <w:rStyle w:val="PageNumber"/>
        <w:sz w:val="18"/>
        <w:szCs w:val="18"/>
      </w:rPr>
      <w:fldChar w:fldCharType="end"/>
    </w:r>
  </w:p>
  <w:p w:rsidR="0022345D" w:rsidRPr="005D6C0D" w:rsidRDefault="005D6C0D" w:rsidP="00E335D2">
    <w:pPr>
      <w:bidi w:val="0"/>
      <w:spacing w:before="0" w:line="240" w:lineRule="auto"/>
      <w:jc w:val="center"/>
      <w:rPr>
        <w:rStyle w:val="PageNumber"/>
        <w:sz w:val="16"/>
        <w:szCs w:val="16"/>
      </w:rPr>
    </w:pPr>
    <w:r w:rsidRPr="005D6C0D">
      <w:rPr>
        <w:sz w:val="18"/>
        <w:szCs w:val="24"/>
      </w:rPr>
      <w:t>WTSA16/42(Add.11)-A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24CC"/>
    <w:rsid w:val="00046444"/>
    <w:rsid w:val="0006023B"/>
    <w:rsid w:val="0008638B"/>
    <w:rsid w:val="00090574"/>
    <w:rsid w:val="00092FC2"/>
    <w:rsid w:val="000A1677"/>
    <w:rsid w:val="000B407F"/>
    <w:rsid w:val="000D6BC9"/>
    <w:rsid w:val="000F0B1C"/>
    <w:rsid w:val="000F1D42"/>
    <w:rsid w:val="000F4D07"/>
    <w:rsid w:val="000F61C4"/>
    <w:rsid w:val="00102A03"/>
    <w:rsid w:val="001040A3"/>
    <w:rsid w:val="00173915"/>
    <w:rsid w:val="0022345D"/>
    <w:rsid w:val="00225854"/>
    <w:rsid w:val="0023283D"/>
    <w:rsid w:val="00252E0C"/>
    <w:rsid w:val="00266F3C"/>
    <w:rsid w:val="00276881"/>
    <w:rsid w:val="002978F4"/>
    <w:rsid w:val="002B028D"/>
    <w:rsid w:val="002B435E"/>
    <w:rsid w:val="002C4DAE"/>
    <w:rsid w:val="002E6541"/>
    <w:rsid w:val="002F5560"/>
    <w:rsid w:val="0030486B"/>
    <w:rsid w:val="003231B9"/>
    <w:rsid w:val="003275AC"/>
    <w:rsid w:val="00333D29"/>
    <w:rsid w:val="003409F4"/>
    <w:rsid w:val="00357185"/>
    <w:rsid w:val="003C475F"/>
    <w:rsid w:val="003E4132"/>
    <w:rsid w:val="003F678F"/>
    <w:rsid w:val="004149B9"/>
    <w:rsid w:val="0042686F"/>
    <w:rsid w:val="004367CE"/>
    <w:rsid w:val="00443869"/>
    <w:rsid w:val="004712C6"/>
    <w:rsid w:val="00497703"/>
    <w:rsid w:val="004D1F61"/>
    <w:rsid w:val="004F0F06"/>
    <w:rsid w:val="00501E0E"/>
    <w:rsid w:val="005204D7"/>
    <w:rsid w:val="00530420"/>
    <w:rsid w:val="00552BC5"/>
    <w:rsid w:val="0055516A"/>
    <w:rsid w:val="0056374C"/>
    <w:rsid w:val="0056614F"/>
    <w:rsid w:val="0057656F"/>
    <w:rsid w:val="00576731"/>
    <w:rsid w:val="0059285F"/>
    <w:rsid w:val="005A24B1"/>
    <w:rsid w:val="005B7B8A"/>
    <w:rsid w:val="005D6476"/>
    <w:rsid w:val="005D6C0D"/>
    <w:rsid w:val="005E5283"/>
    <w:rsid w:val="005E58F5"/>
    <w:rsid w:val="005F202F"/>
    <w:rsid w:val="00606660"/>
    <w:rsid w:val="006157A3"/>
    <w:rsid w:val="00620E60"/>
    <w:rsid w:val="0063315A"/>
    <w:rsid w:val="0065591D"/>
    <w:rsid w:val="00662C5A"/>
    <w:rsid w:val="00670AF5"/>
    <w:rsid w:val="006C1556"/>
    <w:rsid w:val="006F267F"/>
    <w:rsid w:val="006F63F7"/>
    <w:rsid w:val="006F6F03"/>
    <w:rsid w:val="00706D7A"/>
    <w:rsid w:val="00726AEC"/>
    <w:rsid w:val="007530CA"/>
    <w:rsid w:val="0079553D"/>
    <w:rsid w:val="007B01CC"/>
    <w:rsid w:val="007F6238"/>
    <w:rsid w:val="007F646C"/>
    <w:rsid w:val="00801FCD"/>
    <w:rsid w:val="00803D7E"/>
    <w:rsid w:val="00803F08"/>
    <w:rsid w:val="008235CD"/>
    <w:rsid w:val="00823A07"/>
    <w:rsid w:val="00835FEC"/>
    <w:rsid w:val="008513CB"/>
    <w:rsid w:val="00874D9C"/>
    <w:rsid w:val="008A1810"/>
    <w:rsid w:val="00917694"/>
    <w:rsid w:val="009263CD"/>
    <w:rsid w:val="00930E6D"/>
    <w:rsid w:val="00972CA2"/>
    <w:rsid w:val="00982B28"/>
    <w:rsid w:val="00984EA5"/>
    <w:rsid w:val="00992593"/>
    <w:rsid w:val="009C17E1"/>
    <w:rsid w:val="009C35ED"/>
    <w:rsid w:val="009F1C12"/>
    <w:rsid w:val="00A25A43"/>
    <w:rsid w:val="00A3295B"/>
    <w:rsid w:val="00A42AE5"/>
    <w:rsid w:val="00A52B61"/>
    <w:rsid w:val="00A64820"/>
    <w:rsid w:val="00A71DD6"/>
    <w:rsid w:val="00A723C7"/>
    <w:rsid w:val="00A80E11"/>
    <w:rsid w:val="00A97F94"/>
    <w:rsid w:val="00AB1309"/>
    <w:rsid w:val="00AC2C52"/>
    <w:rsid w:val="00AD1503"/>
    <w:rsid w:val="00AE7244"/>
    <w:rsid w:val="00AF3FEE"/>
    <w:rsid w:val="00B02F46"/>
    <w:rsid w:val="00B16A79"/>
    <w:rsid w:val="00B2000C"/>
    <w:rsid w:val="00B20ADE"/>
    <w:rsid w:val="00B66B9A"/>
    <w:rsid w:val="00B82089"/>
    <w:rsid w:val="00B970AE"/>
    <w:rsid w:val="00BA1427"/>
    <w:rsid w:val="00BE49D0"/>
    <w:rsid w:val="00BF2C38"/>
    <w:rsid w:val="00C16962"/>
    <w:rsid w:val="00C23331"/>
    <w:rsid w:val="00C265DA"/>
    <w:rsid w:val="00C442F2"/>
    <w:rsid w:val="00C674FE"/>
    <w:rsid w:val="00C71849"/>
    <w:rsid w:val="00C7297D"/>
    <w:rsid w:val="00C75633"/>
    <w:rsid w:val="00C8242E"/>
    <w:rsid w:val="00C82615"/>
    <w:rsid w:val="00C867DB"/>
    <w:rsid w:val="00CA2A38"/>
    <w:rsid w:val="00CA50FF"/>
    <w:rsid w:val="00CC3CD2"/>
    <w:rsid w:val="00CC43BE"/>
    <w:rsid w:val="00CD123C"/>
    <w:rsid w:val="00CD2085"/>
    <w:rsid w:val="00CE2EE1"/>
    <w:rsid w:val="00CF3FFD"/>
    <w:rsid w:val="00D03BED"/>
    <w:rsid w:val="00D0494C"/>
    <w:rsid w:val="00D14BEB"/>
    <w:rsid w:val="00D21C89"/>
    <w:rsid w:val="00D45542"/>
    <w:rsid w:val="00D47673"/>
    <w:rsid w:val="00D77D0F"/>
    <w:rsid w:val="00DA1CF0"/>
    <w:rsid w:val="00DB2271"/>
    <w:rsid w:val="00DB5659"/>
    <w:rsid w:val="00DC24B4"/>
    <w:rsid w:val="00DD7A05"/>
    <w:rsid w:val="00DF16DC"/>
    <w:rsid w:val="00DF5361"/>
    <w:rsid w:val="00E009A1"/>
    <w:rsid w:val="00E00D15"/>
    <w:rsid w:val="00E071BE"/>
    <w:rsid w:val="00E07379"/>
    <w:rsid w:val="00E14494"/>
    <w:rsid w:val="00E17033"/>
    <w:rsid w:val="00E32189"/>
    <w:rsid w:val="00E335D2"/>
    <w:rsid w:val="00E45211"/>
    <w:rsid w:val="00E7380C"/>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7F6238"/>
    <w:rPr>
      <w:rFonts w:ascii="Times New Roman" w:hAnsi="Times New Roman" w:cs="Times New Roman"/>
      <w:b w:val="0"/>
      <w:bCs w:val="0"/>
      <w:i w:val="0"/>
      <w:iCs w:val="0"/>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F6238"/>
    <w:pPr>
      <w:spacing w:before="240"/>
      <w:jc w:val="left"/>
    </w:pPr>
    <w:rPr>
      <w:rFonts w:ascii="Times New Roman Bold" w:hAnsi="Times New Roman Bold"/>
      <w:b/>
      <w:bCs/>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7F6238"/>
    <w:pPr>
      <w:spacing w:before="180"/>
    </w:p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7F6238"/>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bCs/>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7F6238"/>
    <w:rPr>
      <w:rFonts w:ascii="Times New Roman" w:hAnsi="Times New Roman" w:cs="Times New Roman"/>
      <w:b w:val="0"/>
      <w:bCs w:val="0"/>
      <w:i w:val="0"/>
      <w:iCs w:val="0"/>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F6238"/>
    <w:pPr>
      <w:jc w:val="center"/>
    </w:pPr>
    <w:rPr>
      <w:rFonts w:ascii="Times New Roman italic" w:hAnsi="Times New Roman italic"/>
      <w:i/>
      <w:iCs/>
    </w:rPr>
  </w:style>
  <w:style w:type="paragraph" w:customStyle="1" w:styleId="Resref">
    <w:name w:val="Res_ref"/>
    <w:basedOn w:val="Recref"/>
    <w:qFormat/>
    <w:rsid w:val="007F6238"/>
    <w:rPr>
      <w:iCs w:val="0"/>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88d59426-1e29-4319-9bfc-c66f52c36355">Documents Proposals Manager (DPM)</DPM_x0020_Author>
    <DPM_x0020_File_x0020_name xmlns="88d59426-1e29-4319-9bfc-c66f52c36355">T13-WTSA.16-C-0042!A11!MSW-A</DPM_x0020_File_x0020_name>
    <DPM_x0020_Version xmlns="88d59426-1e29-4319-9bfc-c66f52c36355">DPM_v2016.10.20.1_prod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8d59426-1e29-4319-9bfc-c66f52c36355" targetNamespace="http://schemas.microsoft.com/office/2006/metadata/properties" ma:root="true" ma:fieldsID="d41af5c836d734370eb92e7ee5f83852" ns2:_="" ns3:_="">
    <xsd:import namespace="996b2e75-67fd-4955-a3b0-5ab9934cb50b"/>
    <xsd:import namespace="88d59426-1e29-4319-9bfc-c66f52c3635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8d59426-1e29-4319-9bfc-c66f52c3635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www.w3.org/XML/1998/namespace"/>
    <ds:schemaRef ds:uri="http://schemas.microsoft.com/office/2006/metadata/properties"/>
    <ds:schemaRef ds:uri="88d59426-1e29-4319-9bfc-c66f52c36355"/>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996b2e75-67fd-4955-a3b0-5ab9934cb50b"/>
    <ds:schemaRef ds:uri="http://purl.org/dc/te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8d59426-1e29-4319-9bfc-c66f52c36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A91DB-172F-4732-83A5-CEF305ED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T13-WTSA.16-C-0042!A11!MSW-A</vt:lpstr>
    </vt:vector>
  </TitlesOfParts>
  <Company>International Telecommunication Union (ITU)</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T13-WTSA.16-C-0042!A11!MSW-A</dc:title>
  <dc:subject>World Telecommunication Standardization Assembly</dc:subject>
  <dc:creator>Documents Proposals Manager (DPM)</dc:creator>
  <cp:keywords>DPM_v2016.10.20.1_prod</cp:keywords>
  <dc:description>Template used by DPM and CPI for the WTSA-16</dc:description>
  <cp:lastModifiedBy>Awad, Samy</cp:lastModifiedBy>
  <cp:revision>12</cp:revision>
  <cp:lastPrinted>2016-06-07T13:25:00Z</cp:lastPrinted>
  <dcterms:created xsi:type="dcterms:W3CDTF">2016-10-21T13:07:00Z</dcterms:created>
  <dcterms:modified xsi:type="dcterms:W3CDTF">2016-10-21T13:45:00Z</dcterms:modified>
  <cp:category>Conference document</cp:category>
</cp:coreProperties>
</file>