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580"/>
        <w:tblW w:w="5089" w:type="pct"/>
        <w:tblLayout w:type="fixed"/>
        <w:tblLook w:val="0000" w:firstRow="0" w:lastRow="0" w:firstColumn="0" w:lastColumn="0" w:noHBand="0" w:noVBand="0"/>
      </w:tblPr>
      <w:tblGrid>
        <w:gridCol w:w="1357"/>
        <w:gridCol w:w="5260"/>
        <w:gridCol w:w="1390"/>
        <w:gridCol w:w="1804"/>
      </w:tblGrid>
      <w:tr w:rsidR="00BC7D84" w:rsidRPr="00426748" w:rsidTr="008508D8">
        <w:trPr>
          <w:cantSplit/>
        </w:trPr>
        <w:tc>
          <w:tcPr>
            <w:tcW w:w="1357" w:type="dxa"/>
            <w:vAlign w:val="center"/>
          </w:tcPr>
          <w:p w:rsidR="00BC7D84" w:rsidRPr="00426748" w:rsidRDefault="00BC7D84" w:rsidP="008508D8">
            <w:pPr>
              <w:pStyle w:val="TopHeader"/>
              <w:rPr>
                <w:sz w:val="22"/>
                <w:szCs w:val="22"/>
              </w:rPr>
            </w:pPr>
            <w:r w:rsidRPr="00977369">
              <w:rPr>
                <w:noProof/>
                <w:lang w:eastAsia="zh-CN"/>
              </w:rPr>
              <w:drawing>
                <wp:inline distT="0" distB="0" distL="0" distR="0">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rsidR="00BC7D84" w:rsidRPr="00426748" w:rsidRDefault="00BC7D84" w:rsidP="008508D8">
            <w:pPr>
              <w:pStyle w:val="TopHeader"/>
              <w:rPr>
                <w:sz w:val="22"/>
                <w:szCs w:val="22"/>
              </w:rPr>
            </w:pPr>
            <w:r w:rsidRPr="00426748">
              <w:t>World Telecommunication Standardization Assembly (WTSA-16)</w:t>
            </w:r>
            <w:r w:rsidRPr="00EC7F04">
              <w:br/>
            </w:r>
            <w:r>
              <w:rPr>
                <w:sz w:val="20"/>
                <w:szCs w:val="20"/>
              </w:rPr>
              <w:t>Yasmine Hammamet, 25 October - 3 November</w:t>
            </w:r>
            <w:r w:rsidRPr="00EC7F04">
              <w:rPr>
                <w:sz w:val="20"/>
                <w:szCs w:val="20"/>
              </w:rPr>
              <w:t xml:space="preserve"> 2016</w:t>
            </w:r>
          </w:p>
        </w:tc>
        <w:tc>
          <w:tcPr>
            <w:tcW w:w="1804" w:type="dxa"/>
            <w:vAlign w:val="center"/>
          </w:tcPr>
          <w:p w:rsidR="00BC7D84" w:rsidRPr="00E0753B" w:rsidRDefault="00BC7D84" w:rsidP="008508D8">
            <w:pPr>
              <w:jc w:val="right"/>
            </w:pPr>
            <w:r w:rsidRPr="00E0753B">
              <w:rPr>
                <w:noProof/>
                <w:lang w:eastAsia="zh-CN"/>
              </w:rPr>
              <w:drawing>
                <wp:inline distT="0" distB="0" distL="0" distR="0">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3251EA" w:rsidTr="008508D8">
        <w:trPr>
          <w:cantSplit/>
        </w:trPr>
        <w:tc>
          <w:tcPr>
            <w:tcW w:w="6617" w:type="dxa"/>
            <w:gridSpan w:val="2"/>
            <w:tcBorders>
              <w:bottom w:val="single" w:sz="12" w:space="0" w:color="auto"/>
            </w:tcBorders>
          </w:tcPr>
          <w:p w:rsidR="00BC7D84" w:rsidRPr="003251EA" w:rsidRDefault="00BC7D84" w:rsidP="008508D8">
            <w:pPr>
              <w:pStyle w:val="TopHeader"/>
              <w:spacing w:before="60"/>
              <w:rPr>
                <w:sz w:val="20"/>
                <w:szCs w:val="20"/>
              </w:rPr>
            </w:pPr>
            <w:r w:rsidRPr="003251EA">
              <w:rPr>
                <w:sz w:val="20"/>
                <w:szCs w:val="20"/>
              </w:rPr>
              <w:t>INTERNATIONAL TELECOMMUNICATION UNION</w:t>
            </w:r>
          </w:p>
        </w:tc>
        <w:tc>
          <w:tcPr>
            <w:tcW w:w="3194" w:type="dxa"/>
            <w:gridSpan w:val="2"/>
            <w:tcBorders>
              <w:bottom w:val="single" w:sz="12" w:space="0" w:color="auto"/>
            </w:tcBorders>
          </w:tcPr>
          <w:p w:rsidR="00BC7D84" w:rsidRPr="003251EA" w:rsidRDefault="00BC7D84" w:rsidP="008508D8">
            <w:pPr>
              <w:spacing w:before="0"/>
              <w:rPr>
                <w:sz w:val="20"/>
              </w:rPr>
            </w:pPr>
          </w:p>
        </w:tc>
      </w:tr>
      <w:tr w:rsidR="00BC7D84" w:rsidRPr="003251EA" w:rsidTr="008508D8">
        <w:trPr>
          <w:cantSplit/>
        </w:trPr>
        <w:tc>
          <w:tcPr>
            <w:tcW w:w="6617" w:type="dxa"/>
            <w:gridSpan w:val="2"/>
            <w:tcBorders>
              <w:top w:val="single" w:sz="12" w:space="0" w:color="auto"/>
            </w:tcBorders>
          </w:tcPr>
          <w:p w:rsidR="00BC7D84" w:rsidRPr="003251EA" w:rsidRDefault="00BC7D84" w:rsidP="008508D8">
            <w:pPr>
              <w:spacing w:before="0"/>
              <w:rPr>
                <w:sz w:val="20"/>
              </w:rPr>
            </w:pPr>
          </w:p>
        </w:tc>
        <w:tc>
          <w:tcPr>
            <w:tcW w:w="3194" w:type="dxa"/>
            <w:gridSpan w:val="2"/>
          </w:tcPr>
          <w:p w:rsidR="00BC7D84" w:rsidRPr="003251EA" w:rsidRDefault="00BC7D84" w:rsidP="008508D8">
            <w:pPr>
              <w:spacing w:before="0"/>
              <w:rPr>
                <w:rFonts w:ascii="Verdana" w:hAnsi="Verdana"/>
                <w:b/>
                <w:bCs/>
                <w:sz w:val="20"/>
              </w:rPr>
            </w:pPr>
          </w:p>
        </w:tc>
      </w:tr>
      <w:tr w:rsidR="00BC7D84" w:rsidRPr="003251EA" w:rsidTr="008508D8">
        <w:trPr>
          <w:cantSplit/>
        </w:trPr>
        <w:tc>
          <w:tcPr>
            <w:tcW w:w="6617" w:type="dxa"/>
            <w:gridSpan w:val="2"/>
          </w:tcPr>
          <w:p w:rsidR="00BC7D84" w:rsidRPr="00420EDB" w:rsidRDefault="00AB416A" w:rsidP="00AB416A">
            <w:pPr>
              <w:pStyle w:val="Committee"/>
            </w:pPr>
            <w:r>
              <w:t>PLENARY MEETING</w:t>
            </w:r>
          </w:p>
        </w:tc>
        <w:tc>
          <w:tcPr>
            <w:tcW w:w="3194" w:type="dxa"/>
            <w:gridSpan w:val="2"/>
          </w:tcPr>
          <w:p w:rsidR="00BC7D84" w:rsidRPr="003251EA" w:rsidRDefault="00BC7D84" w:rsidP="008508D8">
            <w:pPr>
              <w:pStyle w:val="Docnumber"/>
              <w:ind w:left="-57"/>
            </w:pPr>
            <w:r>
              <w:t>Document 40</w:t>
            </w:r>
            <w:r w:rsidRPr="0056747D">
              <w:t>-</w:t>
            </w:r>
            <w:r w:rsidRPr="003251EA">
              <w:t>E</w:t>
            </w:r>
          </w:p>
        </w:tc>
      </w:tr>
      <w:tr w:rsidR="00BC7D84" w:rsidRPr="003251EA" w:rsidTr="008508D8">
        <w:trPr>
          <w:cantSplit/>
        </w:trPr>
        <w:tc>
          <w:tcPr>
            <w:tcW w:w="6617" w:type="dxa"/>
            <w:gridSpan w:val="2"/>
          </w:tcPr>
          <w:p w:rsidR="00BC7D84" w:rsidRPr="003251EA" w:rsidRDefault="00BC7D84" w:rsidP="008508D8">
            <w:pPr>
              <w:spacing w:before="0"/>
              <w:rPr>
                <w:sz w:val="20"/>
              </w:rPr>
            </w:pPr>
          </w:p>
        </w:tc>
        <w:tc>
          <w:tcPr>
            <w:tcW w:w="3194" w:type="dxa"/>
            <w:gridSpan w:val="2"/>
          </w:tcPr>
          <w:p w:rsidR="00BC7D84" w:rsidRPr="003251EA" w:rsidRDefault="00BC7D84" w:rsidP="008508D8">
            <w:pPr>
              <w:pStyle w:val="TopHeader"/>
              <w:spacing w:before="0"/>
              <w:rPr>
                <w:sz w:val="20"/>
                <w:szCs w:val="20"/>
              </w:rPr>
            </w:pPr>
            <w:bookmarkStart w:id="0" w:name="_GoBack"/>
            <w:bookmarkEnd w:id="0"/>
            <w:r w:rsidRPr="003251EA">
              <w:rPr>
                <w:sz w:val="20"/>
                <w:szCs w:val="20"/>
              </w:rPr>
              <w:t>June 2016</w:t>
            </w:r>
          </w:p>
        </w:tc>
      </w:tr>
      <w:tr w:rsidR="00BC7D84" w:rsidRPr="003251EA" w:rsidTr="008508D8">
        <w:trPr>
          <w:cantSplit/>
        </w:trPr>
        <w:tc>
          <w:tcPr>
            <w:tcW w:w="6617" w:type="dxa"/>
            <w:gridSpan w:val="2"/>
          </w:tcPr>
          <w:p w:rsidR="00BC7D84" w:rsidRPr="003251EA" w:rsidRDefault="00BC7D84" w:rsidP="008508D8">
            <w:pPr>
              <w:spacing w:before="0"/>
              <w:rPr>
                <w:sz w:val="20"/>
              </w:rPr>
            </w:pPr>
          </w:p>
        </w:tc>
        <w:tc>
          <w:tcPr>
            <w:tcW w:w="3194" w:type="dxa"/>
            <w:gridSpan w:val="2"/>
          </w:tcPr>
          <w:p w:rsidR="00BC7D84" w:rsidRPr="003251EA" w:rsidRDefault="00BC7D84" w:rsidP="008508D8">
            <w:pPr>
              <w:pStyle w:val="TopHeader"/>
              <w:spacing w:before="0"/>
              <w:rPr>
                <w:sz w:val="20"/>
                <w:szCs w:val="20"/>
              </w:rPr>
            </w:pPr>
            <w:r w:rsidRPr="003251EA">
              <w:rPr>
                <w:sz w:val="20"/>
                <w:szCs w:val="20"/>
              </w:rPr>
              <w:t>Original: English</w:t>
            </w:r>
          </w:p>
        </w:tc>
      </w:tr>
      <w:tr w:rsidR="00BC7D84" w:rsidRPr="003251EA" w:rsidTr="008508D8">
        <w:trPr>
          <w:cantSplit/>
        </w:trPr>
        <w:tc>
          <w:tcPr>
            <w:tcW w:w="9811" w:type="dxa"/>
            <w:gridSpan w:val="4"/>
          </w:tcPr>
          <w:p w:rsidR="00BC7D84" w:rsidRPr="003251EA" w:rsidRDefault="00BC7D84" w:rsidP="008508D8">
            <w:pPr>
              <w:pStyle w:val="TopHeader"/>
              <w:spacing w:before="0"/>
              <w:rPr>
                <w:sz w:val="20"/>
                <w:szCs w:val="20"/>
              </w:rPr>
            </w:pPr>
          </w:p>
        </w:tc>
      </w:tr>
      <w:tr w:rsidR="00BC7D84" w:rsidRPr="00426748" w:rsidTr="008508D8">
        <w:trPr>
          <w:cantSplit/>
        </w:trPr>
        <w:tc>
          <w:tcPr>
            <w:tcW w:w="9811" w:type="dxa"/>
            <w:gridSpan w:val="4"/>
          </w:tcPr>
          <w:p w:rsidR="00BC7D84" w:rsidRPr="00D643B3" w:rsidRDefault="00BC7D84" w:rsidP="008508D8">
            <w:pPr>
              <w:pStyle w:val="Source"/>
              <w:rPr>
                <w:highlight w:val="yellow"/>
              </w:rPr>
            </w:pPr>
            <w:r>
              <w:t>ITU-T Study Group 3</w:t>
            </w:r>
          </w:p>
        </w:tc>
      </w:tr>
      <w:tr w:rsidR="00BC7D84" w:rsidRPr="00426748" w:rsidTr="008508D8">
        <w:trPr>
          <w:cantSplit/>
        </w:trPr>
        <w:tc>
          <w:tcPr>
            <w:tcW w:w="9811" w:type="dxa"/>
            <w:gridSpan w:val="4"/>
          </w:tcPr>
          <w:p w:rsidR="00BC7D84" w:rsidRPr="00D643B3" w:rsidRDefault="00BC7D84" w:rsidP="008508D8">
            <w:pPr>
              <w:pStyle w:val="Title1"/>
              <w:rPr>
                <w:highlight w:val="yellow"/>
              </w:rPr>
            </w:pPr>
            <w:r>
              <w:t>Draft new Recommendation ITU-T D.261, Proposed for approval at the World Telecommunication Standardization Assembly (WTSA-16)</w:t>
            </w:r>
          </w:p>
        </w:tc>
      </w:tr>
      <w:tr w:rsidR="00BC7D84" w:rsidRPr="00426748" w:rsidTr="008508D8">
        <w:trPr>
          <w:cantSplit/>
        </w:trPr>
        <w:tc>
          <w:tcPr>
            <w:tcW w:w="9811" w:type="dxa"/>
            <w:gridSpan w:val="4"/>
          </w:tcPr>
          <w:p w:rsidR="00BC7D84" w:rsidRDefault="00BC7D84" w:rsidP="008508D8">
            <w:pPr>
              <w:pStyle w:val="Title2"/>
            </w:pPr>
          </w:p>
        </w:tc>
      </w:tr>
      <w:tr w:rsidR="00BC7D84" w:rsidRPr="00426748" w:rsidTr="008508D8">
        <w:trPr>
          <w:cantSplit/>
        </w:trPr>
        <w:tc>
          <w:tcPr>
            <w:tcW w:w="9811" w:type="dxa"/>
            <w:gridSpan w:val="4"/>
          </w:tcPr>
          <w:p w:rsidR="00BC7D84" w:rsidRPr="0030571D" w:rsidRDefault="00BC7D84" w:rsidP="008508D8">
            <w:pPr>
              <w:pStyle w:val="Agendaitem"/>
              <w:rPr>
                <w:lang w:val="en-GB"/>
              </w:rPr>
            </w:pPr>
          </w:p>
        </w:tc>
      </w:tr>
    </w:tbl>
    <w:p w:rsidR="009E1967" w:rsidRDefault="009E1967" w:rsidP="009E1967"/>
    <w:tbl>
      <w:tblPr>
        <w:tblW w:w="5089" w:type="pct"/>
        <w:tblLayout w:type="fixed"/>
        <w:tblLook w:val="0000" w:firstRow="0" w:lastRow="0" w:firstColumn="0" w:lastColumn="0" w:noHBand="0" w:noVBand="0"/>
      </w:tblPr>
      <w:tblGrid>
        <w:gridCol w:w="1912"/>
        <w:gridCol w:w="7899"/>
      </w:tblGrid>
      <w:tr w:rsidR="009E1967" w:rsidRPr="00426748" w:rsidTr="00193AD1">
        <w:trPr>
          <w:cantSplit/>
        </w:trPr>
        <w:tc>
          <w:tcPr>
            <w:tcW w:w="1951" w:type="dxa"/>
          </w:tcPr>
          <w:p w:rsidR="009E1967" w:rsidRPr="00426748" w:rsidRDefault="009E1967" w:rsidP="00193AD1">
            <w:r w:rsidRPr="008F7104">
              <w:rPr>
                <w:b/>
                <w:bCs/>
              </w:rPr>
              <w:t>Abstract:</w:t>
            </w:r>
          </w:p>
        </w:tc>
        <w:sdt>
          <w:sdtPr>
            <w:rPr>
              <w:lang w:val="en-US"/>
            </w:r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9E1967" w:rsidRPr="00426748" w:rsidRDefault="008A2DC1" w:rsidP="008A2DC1">
                <w:r w:rsidRPr="008A2DC1">
                  <w:rPr>
                    <w:lang w:val="en-US"/>
                  </w:rPr>
                  <w:t>WTSA-16 Document 40 contains draft new Recommendation ITU-T D.261 for Approval at WTSA-16. The content of thi</w:t>
                </w:r>
                <w:r>
                  <w:rPr>
                    <w:lang w:val="en-US"/>
                  </w:rPr>
                  <w:t>s Document is identical to COM3</w:t>
                </w:r>
                <w:r>
                  <w:rPr>
                    <w:lang w:val="en-US"/>
                  </w:rPr>
                  <w:noBreakHyphen/>
                </w:r>
                <w:r w:rsidRPr="008A2DC1">
                  <w:rPr>
                    <w:lang w:val="en-US"/>
                  </w:rPr>
                  <w:t>R21.</w:t>
                </w:r>
              </w:p>
            </w:tc>
          </w:sdtContent>
        </w:sdt>
      </w:tr>
    </w:tbl>
    <w:p w:rsidR="00ED30BC" w:rsidRDefault="00ED30BC">
      <w:pPr>
        <w:tabs>
          <w:tab w:val="clear" w:pos="1134"/>
          <w:tab w:val="clear" w:pos="1871"/>
          <w:tab w:val="clear" w:pos="2268"/>
        </w:tabs>
        <w:overflowPunct/>
        <w:autoSpaceDE/>
        <w:autoSpaceDN/>
        <w:adjustRightInd/>
        <w:spacing w:before="0"/>
        <w:textAlignment w:val="auto"/>
      </w:pPr>
    </w:p>
    <w:p w:rsidR="00ED30BC" w:rsidRDefault="00ED30BC">
      <w:pPr>
        <w:tabs>
          <w:tab w:val="clear" w:pos="1134"/>
          <w:tab w:val="clear" w:pos="1871"/>
          <w:tab w:val="clear" w:pos="2268"/>
        </w:tabs>
        <w:overflowPunct/>
        <w:autoSpaceDE/>
        <w:autoSpaceDN/>
        <w:adjustRightInd/>
        <w:spacing w:before="0"/>
        <w:textAlignment w:val="auto"/>
      </w:pPr>
      <w:r>
        <w:br w:type="page"/>
      </w:r>
    </w:p>
    <w:p w:rsidR="009E1967" w:rsidRDefault="009E1967" w:rsidP="009E1967"/>
    <w:p w:rsidR="00895D6F" w:rsidRPr="008A2DC1" w:rsidRDefault="001B6F2B">
      <w:pPr>
        <w:pStyle w:val="Proposal"/>
        <w:rPr>
          <w:lang w:val="fr-CH"/>
        </w:rPr>
      </w:pPr>
      <w:r w:rsidRPr="008A2DC1">
        <w:rPr>
          <w:lang w:val="fr-CH"/>
        </w:rPr>
        <w:t>ADD</w:t>
      </w:r>
      <w:r w:rsidRPr="008A2DC1">
        <w:rPr>
          <w:lang w:val="fr-CH"/>
        </w:rPr>
        <w:tab/>
        <w:t>SG3/40/1</w:t>
      </w:r>
    </w:p>
    <w:p w:rsidR="0030571D" w:rsidRPr="008A2DC1" w:rsidRDefault="0030571D" w:rsidP="0030571D">
      <w:pPr>
        <w:pStyle w:val="RecNo"/>
        <w:rPr>
          <w:lang w:val="fr-CH"/>
        </w:rPr>
      </w:pPr>
      <w:r w:rsidRPr="008A2DC1">
        <w:rPr>
          <w:lang w:val="fr-CH"/>
        </w:rPr>
        <w:t>Draft Recommendation ITU-T D.261</w:t>
      </w:r>
    </w:p>
    <w:p w:rsidR="0030571D" w:rsidRPr="0030571D" w:rsidRDefault="0030571D" w:rsidP="0030571D">
      <w:pPr>
        <w:pStyle w:val="Rectitle"/>
      </w:pPr>
      <w:r w:rsidRPr="0030571D">
        <w:t xml:space="preserve">Principles for market definition and identification of operators with significant market power – SMP </w:t>
      </w:r>
    </w:p>
    <w:p w:rsidR="0030571D" w:rsidRPr="008A2DC1" w:rsidRDefault="0030571D" w:rsidP="0030571D">
      <w:pPr>
        <w:pStyle w:val="Headingb"/>
        <w:rPr>
          <w:lang w:val="en-GB"/>
        </w:rPr>
      </w:pPr>
      <w:r w:rsidRPr="008A2DC1">
        <w:rPr>
          <w:lang w:val="en-GB"/>
        </w:rPr>
        <w:t>Summary</w:t>
      </w:r>
    </w:p>
    <w:p w:rsidR="0030571D" w:rsidRPr="0030571D" w:rsidRDefault="0030571D" w:rsidP="0030571D">
      <w:r w:rsidRPr="0030571D">
        <w:rPr>
          <w:rFonts w:eastAsia="SimSun"/>
        </w:rPr>
        <w:t>Recommendation ITU-T D.261 “Principles for market definition and identification of operators with significant market power” proposes principles and guidelines to assist countries in defining and identifying significant market power in the telecommunications sector.</w:t>
      </w:r>
    </w:p>
    <w:p w:rsidR="0030571D" w:rsidRPr="008A2DC1" w:rsidRDefault="0030571D" w:rsidP="0030571D">
      <w:pPr>
        <w:pStyle w:val="Headingb"/>
        <w:rPr>
          <w:lang w:val="en-GB"/>
        </w:rPr>
      </w:pPr>
      <w:r w:rsidRPr="008A2DC1">
        <w:rPr>
          <w:lang w:val="en-GB"/>
        </w:rPr>
        <w:t>Keywords</w:t>
      </w:r>
    </w:p>
    <w:p w:rsidR="0030571D" w:rsidRPr="0030571D" w:rsidRDefault="0030571D" w:rsidP="0030571D">
      <w:r w:rsidRPr="0030571D">
        <w:rPr>
          <w:rFonts w:eastAsia="SimSun"/>
          <w:lang w:val="en-US" w:eastAsia="ko-KR"/>
        </w:rPr>
        <w:t>Relevant Market, Significant Market Power, SMP, wholesale, competition</w:t>
      </w:r>
      <w:r>
        <w:rPr>
          <w:rFonts w:eastAsia="SimSun"/>
          <w:lang w:val="en-US" w:eastAsia="ko-KR"/>
        </w:rPr>
        <w:t>.</w:t>
      </w:r>
    </w:p>
    <w:p w:rsidR="0030571D" w:rsidRPr="0030571D" w:rsidRDefault="0030571D" w:rsidP="0030571D">
      <w:pPr>
        <w:tabs>
          <w:tab w:val="clear" w:pos="1134"/>
          <w:tab w:val="clear" w:pos="1871"/>
          <w:tab w:val="clear" w:pos="2268"/>
        </w:tabs>
        <w:overflowPunct/>
        <w:autoSpaceDE/>
        <w:autoSpaceDN/>
        <w:adjustRightInd/>
        <w:spacing w:before="0"/>
        <w:textAlignment w:val="auto"/>
      </w:pPr>
      <w:r w:rsidRPr="0030571D">
        <w:br w:type="page"/>
      </w:r>
    </w:p>
    <w:p w:rsidR="0030571D" w:rsidRPr="0030571D" w:rsidRDefault="0030571D" w:rsidP="0030571D">
      <w:pPr>
        <w:keepNext/>
        <w:tabs>
          <w:tab w:val="clear" w:pos="1134"/>
          <w:tab w:val="clear" w:pos="1871"/>
          <w:tab w:val="clear" w:pos="2268"/>
          <w:tab w:val="left" w:pos="794"/>
          <w:tab w:val="left" w:pos="1191"/>
          <w:tab w:val="left" w:pos="1588"/>
          <w:tab w:val="left" w:pos="1985"/>
        </w:tabs>
        <w:spacing w:before="240"/>
        <w:jc w:val="center"/>
        <w:rPr>
          <w:b/>
        </w:rPr>
      </w:pPr>
      <w:r w:rsidRPr="0030571D">
        <w:rPr>
          <w:b/>
        </w:rPr>
        <w:lastRenderedPageBreak/>
        <w:t>Table of Contents</w:t>
      </w:r>
    </w:p>
    <w:sdt>
      <w:sdtPr>
        <w:id w:val="-1869288485"/>
        <w:docPartObj>
          <w:docPartGallery w:val="Table of Contents"/>
          <w:docPartUnique/>
        </w:docPartObj>
      </w:sdtPr>
      <w:sdtEndPr>
        <w:rPr>
          <w:b/>
          <w:bCs/>
        </w:rPr>
      </w:sdtEndPr>
      <w:sdtContent>
        <w:p w:rsidR="0030571D" w:rsidRPr="0030571D" w:rsidRDefault="0030571D" w:rsidP="0030571D">
          <w:pPr>
            <w:keepNext/>
            <w:keepLines/>
            <w:tabs>
              <w:tab w:val="clear" w:pos="1134"/>
              <w:tab w:val="clear" w:pos="1871"/>
              <w:tab w:val="clear" w:pos="2268"/>
              <w:tab w:val="left" w:pos="794"/>
              <w:tab w:val="left" w:pos="1191"/>
              <w:tab w:val="left" w:pos="1588"/>
              <w:tab w:val="left" w:pos="1985"/>
            </w:tabs>
            <w:spacing w:before="240"/>
            <w:rPr>
              <w:rFonts w:ascii="Cambria" w:eastAsia="SimSun" w:hAnsi="Cambria"/>
              <w:color w:val="365F91"/>
              <w:sz w:val="32"/>
              <w:szCs w:val="32"/>
            </w:rPr>
          </w:pPr>
        </w:p>
        <w:p w:rsidR="0030571D" w:rsidRDefault="0030571D">
          <w:pPr>
            <w:pStyle w:val="TOC1"/>
            <w:rPr>
              <w:rFonts w:asciiTheme="minorHAnsi" w:eastAsia="SimSun" w:hAnsiTheme="minorHAnsi" w:cstheme="minorBidi"/>
              <w:sz w:val="22"/>
              <w:szCs w:val="22"/>
              <w:lang w:eastAsia="zh-CN"/>
            </w:rPr>
          </w:pPr>
          <w:r w:rsidRPr="0030571D">
            <w:fldChar w:fldCharType="begin"/>
          </w:r>
          <w:r w:rsidRPr="0030571D">
            <w:instrText xml:space="preserve"> TOC \o "1-3" \h \z \u </w:instrText>
          </w:r>
          <w:r w:rsidRPr="0030571D">
            <w:fldChar w:fldCharType="separate"/>
          </w:r>
          <w:hyperlink w:anchor="_Toc453855772" w:history="1">
            <w:r w:rsidRPr="00CD3BB2">
              <w:rPr>
                <w:rStyle w:val="Hyperlink"/>
              </w:rPr>
              <w:t>1</w:t>
            </w:r>
            <w:r>
              <w:rPr>
                <w:rFonts w:asciiTheme="minorHAnsi" w:eastAsia="SimSun" w:hAnsiTheme="minorHAnsi" w:cstheme="minorBidi"/>
                <w:sz w:val="22"/>
                <w:szCs w:val="22"/>
                <w:lang w:eastAsia="zh-CN"/>
              </w:rPr>
              <w:tab/>
            </w:r>
            <w:r w:rsidRPr="00CD3BB2">
              <w:rPr>
                <w:rStyle w:val="Hyperlink"/>
              </w:rPr>
              <w:t>Scope</w:t>
            </w:r>
            <w:r>
              <w:rPr>
                <w:webHidden/>
              </w:rPr>
              <w:tab/>
            </w:r>
            <w:r>
              <w:rPr>
                <w:webHidden/>
              </w:rPr>
              <w:fldChar w:fldCharType="begin"/>
            </w:r>
            <w:r>
              <w:rPr>
                <w:webHidden/>
              </w:rPr>
              <w:instrText xml:space="preserve"> PAGEREF _Toc453855772 \h </w:instrText>
            </w:r>
            <w:r>
              <w:rPr>
                <w:webHidden/>
              </w:rPr>
            </w:r>
            <w:r>
              <w:rPr>
                <w:webHidden/>
              </w:rPr>
              <w:fldChar w:fldCharType="separate"/>
            </w:r>
            <w:r>
              <w:rPr>
                <w:webHidden/>
              </w:rPr>
              <w:t>5</w:t>
            </w:r>
            <w:r>
              <w:rPr>
                <w:webHidden/>
              </w:rPr>
              <w:fldChar w:fldCharType="end"/>
            </w:r>
          </w:hyperlink>
        </w:p>
        <w:p w:rsidR="0030571D" w:rsidRDefault="002524A0">
          <w:pPr>
            <w:pStyle w:val="TOC1"/>
            <w:rPr>
              <w:rFonts w:asciiTheme="minorHAnsi" w:eastAsia="SimSun" w:hAnsiTheme="minorHAnsi" w:cstheme="minorBidi"/>
              <w:sz w:val="22"/>
              <w:szCs w:val="22"/>
              <w:lang w:eastAsia="zh-CN"/>
            </w:rPr>
          </w:pPr>
          <w:hyperlink w:anchor="_Toc453855773" w:history="1">
            <w:r w:rsidR="0030571D" w:rsidRPr="00CD3BB2">
              <w:rPr>
                <w:rStyle w:val="Hyperlink"/>
              </w:rPr>
              <w:t>2</w:t>
            </w:r>
            <w:r w:rsidR="0030571D">
              <w:rPr>
                <w:rFonts w:asciiTheme="minorHAnsi" w:eastAsia="SimSun" w:hAnsiTheme="minorHAnsi" w:cstheme="minorBidi"/>
                <w:sz w:val="22"/>
                <w:szCs w:val="22"/>
                <w:lang w:eastAsia="zh-CN"/>
              </w:rPr>
              <w:tab/>
            </w:r>
            <w:r w:rsidR="0030571D" w:rsidRPr="00CD3BB2">
              <w:rPr>
                <w:rStyle w:val="Hyperlink"/>
              </w:rPr>
              <w:t>Principles for market identification and definition</w:t>
            </w:r>
            <w:r w:rsidR="0030571D">
              <w:rPr>
                <w:webHidden/>
              </w:rPr>
              <w:tab/>
            </w:r>
            <w:r w:rsidR="0030571D">
              <w:rPr>
                <w:webHidden/>
              </w:rPr>
              <w:fldChar w:fldCharType="begin"/>
            </w:r>
            <w:r w:rsidR="0030571D">
              <w:rPr>
                <w:webHidden/>
              </w:rPr>
              <w:instrText xml:space="preserve"> PAGEREF _Toc453855773 \h </w:instrText>
            </w:r>
            <w:r w:rsidR="0030571D">
              <w:rPr>
                <w:webHidden/>
              </w:rPr>
            </w:r>
            <w:r w:rsidR="0030571D">
              <w:rPr>
                <w:webHidden/>
              </w:rPr>
              <w:fldChar w:fldCharType="separate"/>
            </w:r>
            <w:r w:rsidR="0030571D">
              <w:rPr>
                <w:webHidden/>
              </w:rPr>
              <w:t>5</w:t>
            </w:r>
            <w:r w:rsidR="0030571D">
              <w:rPr>
                <w:webHidden/>
              </w:rPr>
              <w:fldChar w:fldCharType="end"/>
            </w:r>
          </w:hyperlink>
        </w:p>
        <w:p w:rsidR="0030571D" w:rsidRDefault="002524A0">
          <w:pPr>
            <w:pStyle w:val="TOC1"/>
            <w:rPr>
              <w:rFonts w:asciiTheme="minorHAnsi" w:eastAsia="SimSun" w:hAnsiTheme="minorHAnsi" w:cstheme="minorBidi"/>
              <w:sz w:val="22"/>
              <w:szCs w:val="22"/>
              <w:lang w:eastAsia="zh-CN"/>
            </w:rPr>
          </w:pPr>
          <w:hyperlink w:anchor="_Toc453855774" w:history="1">
            <w:r w:rsidR="0030571D" w:rsidRPr="00CD3BB2">
              <w:rPr>
                <w:rStyle w:val="Hyperlink"/>
              </w:rPr>
              <w:t>3</w:t>
            </w:r>
            <w:r w:rsidR="0030571D">
              <w:rPr>
                <w:rFonts w:asciiTheme="minorHAnsi" w:eastAsia="SimSun" w:hAnsiTheme="minorHAnsi" w:cstheme="minorBidi"/>
                <w:sz w:val="22"/>
                <w:szCs w:val="22"/>
                <w:lang w:eastAsia="zh-CN"/>
              </w:rPr>
              <w:tab/>
            </w:r>
            <w:r w:rsidR="0030571D" w:rsidRPr="00CD3BB2">
              <w:rPr>
                <w:rStyle w:val="Hyperlink"/>
              </w:rPr>
              <w:t>Three-criteria test for markets susceptible to ex ante regulation</w:t>
            </w:r>
            <w:r w:rsidR="0030571D">
              <w:rPr>
                <w:webHidden/>
              </w:rPr>
              <w:tab/>
            </w:r>
            <w:r w:rsidR="0030571D">
              <w:rPr>
                <w:webHidden/>
              </w:rPr>
              <w:fldChar w:fldCharType="begin"/>
            </w:r>
            <w:r w:rsidR="0030571D">
              <w:rPr>
                <w:webHidden/>
              </w:rPr>
              <w:instrText xml:space="preserve"> PAGEREF _Toc453855774 \h </w:instrText>
            </w:r>
            <w:r w:rsidR="0030571D">
              <w:rPr>
                <w:webHidden/>
              </w:rPr>
            </w:r>
            <w:r w:rsidR="0030571D">
              <w:rPr>
                <w:webHidden/>
              </w:rPr>
              <w:fldChar w:fldCharType="separate"/>
            </w:r>
            <w:r w:rsidR="0030571D">
              <w:rPr>
                <w:webHidden/>
              </w:rPr>
              <w:t>6</w:t>
            </w:r>
            <w:r w:rsidR="0030571D">
              <w:rPr>
                <w:webHidden/>
              </w:rPr>
              <w:fldChar w:fldCharType="end"/>
            </w:r>
          </w:hyperlink>
        </w:p>
        <w:p w:rsidR="0030571D" w:rsidRDefault="002524A0">
          <w:pPr>
            <w:pStyle w:val="TOC1"/>
            <w:rPr>
              <w:rFonts w:asciiTheme="minorHAnsi" w:eastAsia="SimSun" w:hAnsiTheme="minorHAnsi" w:cstheme="minorBidi"/>
              <w:sz w:val="22"/>
              <w:szCs w:val="22"/>
              <w:lang w:eastAsia="zh-CN"/>
            </w:rPr>
          </w:pPr>
          <w:hyperlink w:anchor="_Toc453855775" w:history="1">
            <w:r w:rsidR="0030571D" w:rsidRPr="00CD3BB2">
              <w:rPr>
                <w:rStyle w:val="Hyperlink"/>
              </w:rPr>
              <w:t>4</w:t>
            </w:r>
            <w:r w:rsidR="0030571D">
              <w:rPr>
                <w:rFonts w:asciiTheme="minorHAnsi" w:eastAsia="SimSun" w:hAnsiTheme="minorHAnsi" w:cstheme="minorBidi"/>
                <w:sz w:val="22"/>
                <w:szCs w:val="22"/>
                <w:lang w:eastAsia="zh-CN"/>
              </w:rPr>
              <w:tab/>
            </w:r>
            <w:r w:rsidR="0030571D" w:rsidRPr="00CD3BB2">
              <w:rPr>
                <w:rStyle w:val="Hyperlink"/>
              </w:rPr>
              <w:t>Identification of operators with significant market power (SMP)</w:t>
            </w:r>
            <w:r w:rsidR="0030571D">
              <w:rPr>
                <w:webHidden/>
              </w:rPr>
              <w:tab/>
            </w:r>
            <w:r w:rsidR="0030571D">
              <w:rPr>
                <w:webHidden/>
              </w:rPr>
              <w:fldChar w:fldCharType="begin"/>
            </w:r>
            <w:r w:rsidR="0030571D">
              <w:rPr>
                <w:webHidden/>
              </w:rPr>
              <w:instrText xml:space="preserve"> PAGEREF _Toc453855775 \h </w:instrText>
            </w:r>
            <w:r w:rsidR="0030571D">
              <w:rPr>
                <w:webHidden/>
              </w:rPr>
            </w:r>
            <w:r w:rsidR="0030571D">
              <w:rPr>
                <w:webHidden/>
              </w:rPr>
              <w:fldChar w:fldCharType="separate"/>
            </w:r>
            <w:r w:rsidR="0030571D">
              <w:rPr>
                <w:webHidden/>
              </w:rPr>
              <w:t>6</w:t>
            </w:r>
            <w:r w:rsidR="0030571D">
              <w:rPr>
                <w:webHidden/>
              </w:rPr>
              <w:fldChar w:fldCharType="end"/>
            </w:r>
          </w:hyperlink>
        </w:p>
        <w:p w:rsidR="0030571D" w:rsidRDefault="002524A0">
          <w:pPr>
            <w:pStyle w:val="TOC1"/>
            <w:rPr>
              <w:rFonts w:asciiTheme="minorHAnsi" w:eastAsia="SimSun" w:hAnsiTheme="minorHAnsi" w:cstheme="minorBidi"/>
              <w:sz w:val="22"/>
              <w:szCs w:val="22"/>
              <w:lang w:eastAsia="zh-CN"/>
            </w:rPr>
          </w:pPr>
          <w:hyperlink w:anchor="_Toc453855776" w:history="1">
            <w:r w:rsidR="0030571D" w:rsidRPr="00CD3BB2">
              <w:rPr>
                <w:rStyle w:val="Hyperlink"/>
              </w:rPr>
              <w:t>5</w:t>
            </w:r>
            <w:r w:rsidR="0030571D">
              <w:rPr>
                <w:rFonts w:asciiTheme="minorHAnsi" w:eastAsia="SimSun" w:hAnsiTheme="minorHAnsi" w:cstheme="minorBidi"/>
                <w:sz w:val="22"/>
                <w:szCs w:val="22"/>
                <w:lang w:eastAsia="zh-CN"/>
              </w:rPr>
              <w:tab/>
            </w:r>
            <w:r w:rsidR="0030571D" w:rsidRPr="00CD3BB2">
              <w:rPr>
                <w:rStyle w:val="Hyperlink"/>
              </w:rPr>
              <w:t>Obligations for operators with SMP</w:t>
            </w:r>
            <w:r w:rsidR="0030571D">
              <w:rPr>
                <w:webHidden/>
              </w:rPr>
              <w:tab/>
            </w:r>
            <w:r w:rsidR="0030571D">
              <w:rPr>
                <w:webHidden/>
              </w:rPr>
              <w:fldChar w:fldCharType="begin"/>
            </w:r>
            <w:r w:rsidR="0030571D">
              <w:rPr>
                <w:webHidden/>
              </w:rPr>
              <w:instrText xml:space="preserve"> PAGEREF _Toc453855776 \h </w:instrText>
            </w:r>
            <w:r w:rsidR="0030571D">
              <w:rPr>
                <w:webHidden/>
              </w:rPr>
            </w:r>
            <w:r w:rsidR="0030571D">
              <w:rPr>
                <w:webHidden/>
              </w:rPr>
              <w:fldChar w:fldCharType="separate"/>
            </w:r>
            <w:r w:rsidR="0030571D">
              <w:rPr>
                <w:webHidden/>
              </w:rPr>
              <w:t>6</w:t>
            </w:r>
            <w:r w:rsidR="0030571D">
              <w:rPr>
                <w:webHidden/>
              </w:rPr>
              <w:fldChar w:fldCharType="end"/>
            </w:r>
          </w:hyperlink>
        </w:p>
        <w:p w:rsidR="0030571D" w:rsidRPr="0030571D" w:rsidRDefault="0030571D" w:rsidP="0030571D">
          <w:pPr>
            <w:tabs>
              <w:tab w:val="clear" w:pos="1134"/>
              <w:tab w:val="clear" w:pos="1871"/>
              <w:tab w:val="clear" w:pos="2268"/>
              <w:tab w:val="left" w:pos="794"/>
              <w:tab w:val="left" w:pos="1191"/>
              <w:tab w:val="left" w:pos="1588"/>
              <w:tab w:val="left" w:pos="1985"/>
            </w:tabs>
          </w:pPr>
          <w:r w:rsidRPr="0030571D">
            <w:rPr>
              <w:b/>
              <w:bCs/>
            </w:rPr>
            <w:fldChar w:fldCharType="end"/>
          </w:r>
        </w:p>
      </w:sdtContent>
    </w:sdt>
    <w:p w:rsidR="0030571D" w:rsidRPr="008A2DC1" w:rsidRDefault="0030571D" w:rsidP="0030571D">
      <w:pPr>
        <w:pStyle w:val="Headingb"/>
        <w:rPr>
          <w:lang w:val="en-GB"/>
        </w:rPr>
      </w:pPr>
      <w:r w:rsidRPr="008A2DC1">
        <w:rPr>
          <w:lang w:val="en-GB"/>
        </w:rPr>
        <w:br w:type="page"/>
      </w:r>
      <w:bookmarkStart w:id="1" w:name="_Toc432523863"/>
      <w:r w:rsidRPr="008A2DC1">
        <w:rPr>
          <w:lang w:val="en-GB"/>
        </w:rPr>
        <w:lastRenderedPageBreak/>
        <w:t>Introduction</w:t>
      </w:r>
      <w:bookmarkEnd w:id="1"/>
    </w:p>
    <w:p w:rsidR="0030571D" w:rsidRPr="0030571D" w:rsidRDefault="0030571D" w:rsidP="0030571D">
      <w:r w:rsidRPr="0030571D">
        <w:rPr>
          <w:rFonts w:eastAsia="SimSun"/>
          <w:lang w:val="en-US" w:eastAsia="ko-KR"/>
        </w:rPr>
        <w:t xml:space="preserve">With the increased variety of commercial offers by operators, spanning across all regions and countries, the need to ensure a level playing field in the provision of international telecommunication services becomes very pertinent. This calls for the identification of the relevant markets for international services where the possibility of abuse of Significant Power by dominant operators is likely to occur. </w:t>
      </w:r>
    </w:p>
    <w:p w:rsidR="0030571D" w:rsidRPr="0030571D" w:rsidRDefault="0030571D" w:rsidP="0030571D">
      <w:r w:rsidRPr="0030571D">
        <w:rPr>
          <w:rFonts w:eastAsia="SimSun"/>
          <w:lang w:val="en-US" w:eastAsia="ko-KR"/>
        </w:rPr>
        <w:t xml:space="preserve">Member States and regulators continue to express concern about the possibility of abuse of market power and dominance in the provision of international telecommunications services. Market forces alone may not be effective enough to prevent abuse of market power and dominance in the provision of international telecommunication services. </w:t>
      </w:r>
    </w:p>
    <w:p w:rsidR="0030571D" w:rsidRPr="0030571D" w:rsidRDefault="0030571D" w:rsidP="0030571D">
      <w:r w:rsidRPr="0030571D">
        <w:rPr>
          <w:rFonts w:eastAsia="SimSun"/>
          <w:lang w:val="en-US" w:eastAsia="ko-KR"/>
        </w:rPr>
        <w:t xml:space="preserve">The issues at stake and their degree vary from region to region, and also within regions, in terms of levels of economic development, market structures and regulatory frameworks. As such, there is need for a </w:t>
      </w:r>
      <w:r w:rsidRPr="0030571D">
        <w:t>harmonized</w:t>
      </w:r>
      <w:r w:rsidRPr="0030571D">
        <w:rPr>
          <w:rFonts w:eastAsia="SimSun"/>
          <w:lang w:val="en-US" w:eastAsia="ko-KR"/>
        </w:rPr>
        <w:t xml:space="preserve"> approach at international level to ensure the competitive provision of international services on a fair and non –discriminatory basis.</w:t>
      </w:r>
    </w:p>
    <w:p w:rsidR="0030571D" w:rsidRPr="0030571D" w:rsidRDefault="0030571D" w:rsidP="0030571D">
      <w:r w:rsidRPr="0030571D">
        <w:t>Along with the considerations above, it’s fundamental that the Member States and NRAs shall ensure the greatest possible level of transparency and legal certainty. Regulation as regards the definition of relevant markets and identification of operators with significant market power (SMP) should be explicitly clear in its guiding principles.</w:t>
      </w:r>
    </w:p>
    <w:p w:rsidR="0030571D" w:rsidRPr="0030571D" w:rsidRDefault="0030571D" w:rsidP="0030571D">
      <w:r w:rsidRPr="0030571D">
        <w:t>It is recommended that the following principles at least should be considered:</w:t>
      </w:r>
    </w:p>
    <w:p w:rsidR="0030571D" w:rsidRPr="0030571D" w:rsidRDefault="0030571D" w:rsidP="0030571D">
      <w:pPr>
        <w:pStyle w:val="enumlev1"/>
        <w:rPr>
          <w:rFonts w:ascii="Cambria" w:eastAsia="Batang" w:hAnsi="Cambria"/>
          <w:sz w:val="22"/>
        </w:rPr>
      </w:pPr>
      <w:r>
        <w:rPr>
          <w:i/>
        </w:rPr>
        <w:t>i)</w:t>
      </w:r>
      <w:r>
        <w:rPr>
          <w:i/>
        </w:rPr>
        <w:tab/>
      </w:r>
      <w:r w:rsidRPr="0030571D">
        <w:rPr>
          <w:i/>
        </w:rPr>
        <w:t>The principle of minimum intervention</w:t>
      </w:r>
      <w:r w:rsidRPr="0030571D">
        <w:t>: this guarantees that the regulatory authorities will intervene only at times when market conditions do not per se ensure effective and sustainable competition among the different competitors in the relevant market.</w:t>
      </w:r>
    </w:p>
    <w:p w:rsidR="0030571D" w:rsidRPr="0030571D" w:rsidRDefault="0030571D" w:rsidP="0030571D">
      <w:pPr>
        <w:pStyle w:val="enumlev1"/>
        <w:rPr>
          <w:rFonts w:ascii="Cambria" w:eastAsia="Batang" w:hAnsi="Cambria"/>
          <w:sz w:val="22"/>
        </w:rPr>
      </w:pPr>
      <w:r>
        <w:rPr>
          <w:i/>
        </w:rPr>
        <w:t>ii)</w:t>
      </w:r>
      <w:r>
        <w:rPr>
          <w:i/>
        </w:rPr>
        <w:tab/>
      </w:r>
      <w:r w:rsidRPr="0030571D">
        <w:rPr>
          <w:i/>
        </w:rPr>
        <w:t>The principle of proportionality</w:t>
      </w:r>
      <w:r w:rsidRPr="0030571D">
        <w:t xml:space="preserve">: this means that the regulatory authorities undertake not to impose obligations entailing costs greater than the possible benefits of applying the </w:t>
      </w:r>
      <w:r w:rsidRPr="0030571D">
        <w:rPr>
          <w:i/>
        </w:rPr>
        <w:t>ex ante</w:t>
      </w:r>
      <w:r w:rsidRPr="0030571D">
        <w:t xml:space="preserve"> regulation</w:t>
      </w:r>
      <w:r w:rsidRPr="0030571D">
        <w:rPr>
          <w:color w:val="000000"/>
          <w:lang w:val="en-US" w:bidi="fa-IR"/>
        </w:rPr>
        <w:t>.</w:t>
      </w:r>
      <w:r w:rsidRPr="0030571D">
        <w:t xml:space="preserve"> </w:t>
      </w:r>
    </w:p>
    <w:p w:rsidR="0030571D" w:rsidRPr="0030571D" w:rsidRDefault="0030571D" w:rsidP="0030571D">
      <w:pPr>
        <w:tabs>
          <w:tab w:val="clear" w:pos="1134"/>
          <w:tab w:val="clear" w:pos="1871"/>
          <w:tab w:val="clear" w:pos="2268"/>
        </w:tabs>
        <w:overflowPunct/>
        <w:autoSpaceDE/>
        <w:autoSpaceDN/>
        <w:adjustRightInd/>
        <w:spacing w:before="0"/>
        <w:textAlignment w:val="auto"/>
        <w:rPr>
          <w:b/>
          <w:sz w:val="28"/>
          <w:lang w:val="en-US"/>
        </w:rPr>
      </w:pPr>
      <w:r w:rsidRPr="0030571D">
        <w:rPr>
          <w:lang w:val="en-US"/>
        </w:rPr>
        <w:br w:type="page"/>
      </w:r>
    </w:p>
    <w:p w:rsidR="0030571D" w:rsidRPr="0030571D" w:rsidRDefault="0030571D" w:rsidP="0030571D">
      <w:pPr>
        <w:pStyle w:val="RecNo"/>
        <w:rPr>
          <w:lang w:val="fr-CH"/>
        </w:rPr>
      </w:pPr>
      <w:r w:rsidRPr="0030571D">
        <w:rPr>
          <w:lang w:val="fr-CH"/>
        </w:rPr>
        <w:lastRenderedPageBreak/>
        <w:t>Draft Recommendation ITU-T D.261</w:t>
      </w:r>
    </w:p>
    <w:p w:rsidR="0030571D" w:rsidRPr="0030571D" w:rsidRDefault="0030571D" w:rsidP="0030571D">
      <w:pPr>
        <w:pStyle w:val="Rectitle"/>
      </w:pPr>
      <w:r w:rsidRPr="0030571D">
        <w:t xml:space="preserve">Principles for market definition and identification of operators with significant market power – SMP </w:t>
      </w:r>
    </w:p>
    <w:p w:rsidR="0030571D" w:rsidRPr="0030571D" w:rsidRDefault="0030571D" w:rsidP="0030571D">
      <w:pPr>
        <w:pStyle w:val="Heading1"/>
        <w:rPr>
          <w:sz w:val="24"/>
          <w:szCs w:val="24"/>
        </w:rPr>
      </w:pPr>
      <w:bookmarkStart w:id="2" w:name="_Toc432523864"/>
      <w:bookmarkStart w:id="3" w:name="_Toc453855772"/>
      <w:r w:rsidRPr="0030571D">
        <w:rPr>
          <w:sz w:val="24"/>
          <w:szCs w:val="24"/>
        </w:rPr>
        <w:t>1</w:t>
      </w:r>
      <w:r w:rsidRPr="0030571D">
        <w:rPr>
          <w:sz w:val="24"/>
          <w:szCs w:val="24"/>
        </w:rPr>
        <w:tab/>
        <w:t>Scope</w:t>
      </w:r>
      <w:bookmarkEnd w:id="2"/>
      <w:bookmarkEnd w:id="3"/>
    </w:p>
    <w:p w:rsidR="0030571D" w:rsidRPr="0030571D" w:rsidRDefault="0030571D" w:rsidP="0030571D">
      <w:pPr>
        <w:rPr>
          <w:color w:val="000000"/>
        </w:rPr>
      </w:pPr>
      <w:bookmarkStart w:id="4" w:name="_Toc432523865"/>
      <w:r w:rsidRPr="0030571D">
        <w:rPr>
          <w:rFonts w:eastAsia="SimSun"/>
          <w:lang w:val="en-US" w:eastAsia="ko-KR"/>
        </w:rPr>
        <w:t>This Recommendation proposes principles and guidelines to be considered by Member States in defining, identifying and assessing the degree of abuse of market power and dominance by International Telecommunication Service Providers in the various markets for international telecommunication services and obligations on such Service Providers with SMP</w:t>
      </w:r>
      <w:r w:rsidRPr="0030571D">
        <w:rPr>
          <w:color w:val="000000"/>
        </w:rPr>
        <w:t xml:space="preserve">. </w:t>
      </w:r>
    </w:p>
    <w:p w:rsidR="0030571D" w:rsidRPr="0030571D" w:rsidRDefault="0030571D" w:rsidP="0030571D">
      <w:pPr>
        <w:pStyle w:val="Heading1"/>
        <w:rPr>
          <w:sz w:val="24"/>
          <w:szCs w:val="24"/>
        </w:rPr>
      </w:pPr>
      <w:bookmarkStart w:id="5" w:name="_Toc453855773"/>
      <w:bookmarkEnd w:id="4"/>
      <w:r w:rsidRPr="0030571D">
        <w:rPr>
          <w:sz w:val="24"/>
          <w:szCs w:val="24"/>
        </w:rPr>
        <w:t>2</w:t>
      </w:r>
      <w:r w:rsidRPr="0030571D">
        <w:rPr>
          <w:sz w:val="24"/>
          <w:szCs w:val="24"/>
        </w:rPr>
        <w:tab/>
        <w:t>Principles for market identification and definition</w:t>
      </w:r>
      <w:bookmarkEnd w:id="5"/>
    </w:p>
    <w:p w:rsidR="0030571D" w:rsidRPr="0030571D" w:rsidRDefault="0030571D" w:rsidP="0030571D">
      <w:pPr>
        <w:rPr>
          <w:rFonts w:eastAsia="Batang"/>
          <w:lang w:val="en-US" w:eastAsia="hi-IN"/>
        </w:rPr>
      </w:pPr>
      <w:r w:rsidRPr="0030571D">
        <w:rPr>
          <w:rFonts w:eastAsia="Batang"/>
          <w:b/>
          <w:lang w:val="en-US" w:eastAsia="hi-IN"/>
        </w:rPr>
        <w:t>2.1</w:t>
      </w:r>
      <w:r>
        <w:rPr>
          <w:rFonts w:eastAsia="Batang"/>
          <w:lang w:val="en-US" w:eastAsia="hi-IN"/>
        </w:rPr>
        <w:tab/>
      </w:r>
      <w:r w:rsidRPr="0030571D">
        <w:rPr>
          <w:rFonts w:eastAsia="Batang"/>
          <w:lang w:val="en-US" w:eastAsia="hi-IN"/>
        </w:rPr>
        <w:t xml:space="preserve">Identifying relevant markets is a critical first step in any competition analysis. Markets shall be identified with reference to their product and geographical dimensions, but may also consider other dimensions, as set out below:  </w:t>
      </w:r>
    </w:p>
    <w:p w:rsidR="0030571D" w:rsidRPr="0030571D" w:rsidRDefault="0030571D" w:rsidP="0030571D">
      <w:pPr>
        <w:pStyle w:val="enumlev1"/>
        <w:rPr>
          <w:rFonts w:eastAsia="Batang"/>
          <w:lang w:val="en-US" w:eastAsia="hi-IN"/>
        </w:rPr>
      </w:pPr>
      <w:r>
        <w:rPr>
          <w:rFonts w:eastAsia="Batang"/>
          <w:lang w:val="en-US" w:eastAsia="hi-IN"/>
        </w:rPr>
        <w:t>a)</w:t>
      </w:r>
      <w:r>
        <w:rPr>
          <w:rFonts w:eastAsia="Batang"/>
          <w:lang w:val="en-US" w:eastAsia="hi-IN"/>
        </w:rPr>
        <w:tab/>
      </w:r>
      <w:r w:rsidRPr="0030571D">
        <w:rPr>
          <w:rFonts w:eastAsia="Batang"/>
          <w:b/>
          <w:bCs/>
          <w:lang w:val="en-US" w:eastAsia="hi-IN"/>
        </w:rPr>
        <w:t>Product dimension</w:t>
      </w:r>
      <w:r>
        <w:rPr>
          <w:rFonts w:eastAsia="Batang"/>
          <w:lang w:val="en-US" w:eastAsia="hi-IN"/>
        </w:rPr>
        <w:br/>
        <w:t xml:space="preserve">(a) </w:t>
      </w:r>
      <w:r w:rsidRPr="0030571D">
        <w:rPr>
          <w:rFonts w:eastAsia="Batang"/>
          <w:lang w:val="en-US" w:eastAsia="hi-IN"/>
        </w:rPr>
        <w:t xml:space="preserve">Characteristics, prices and intended use of products and services in question. </w:t>
      </w:r>
    </w:p>
    <w:p w:rsidR="0030571D" w:rsidRPr="0030571D" w:rsidRDefault="0030571D" w:rsidP="0030571D">
      <w:pPr>
        <w:pStyle w:val="enumlev1"/>
        <w:rPr>
          <w:rFonts w:eastAsia="Batang"/>
          <w:lang w:val="en-US" w:eastAsia="hi-IN"/>
        </w:rPr>
      </w:pPr>
      <w:r>
        <w:rPr>
          <w:rFonts w:eastAsia="Batang"/>
          <w:lang w:val="en-US" w:eastAsia="hi-IN"/>
        </w:rPr>
        <w:t>b)</w:t>
      </w:r>
      <w:r>
        <w:rPr>
          <w:rFonts w:eastAsia="Batang"/>
          <w:lang w:val="en-US" w:eastAsia="hi-IN"/>
        </w:rPr>
        <w:tab/>
      </w:r>
      <w:r w:rsidRPr="0030571D">
        <w:rPr>
          <w:rFonts w:eastAsia="Batang"/>
          <w:b/>
          <w:bCs/>
          <w:lang w:val="en-US" w:eastAsia="hi-IN"/>
        </w:rPr>
        <w:t>Geographic dimension</w:t>
      </w:r>
      <w:r>
        <w:rPr>
          <w:rFonts w:eastAsia="Batang"/>
          <w:lang w:val="en-US" w:eastAsia="hi-IN"/>
        </w:rPr>
        <w:br/>
        <w:t xml:space="preserve">(b) </w:t>
      </w:r>
      <w:r w:rsidRPr="0030571D">
        <w:rPr>
          <w:rFonts w:eastAsia="Batang"/>
          <w:lang w:val="en-US" w:eastAsia="hi-IN"/>
        </w:rPr>
        <w:t>Geographic area in which products and services are supplied.</w:t>
      </w:r>
    </w:p>
    <w:p w:rsidR="0030571D" w:rsidRPr="0030571D" w:rsidRDefault="0030571D" w:rsidP="0030571D">
      <w:pPr>
        <w:pStyle w:val="enumlev1"/>
        <w:rPr>
          <w:rFonts w:eastAsia="Batang"/>
          <w:lang w:val="en-US" w:eastAsia="hi-IN"/>
        </w:rPr>
      </w:pPr>
      <w:r>
        <w:rPr>
          <w:rFonts w:eastAsia="Batang"/>
          <w:lang w:val="en-US" w:eastAsia="hi-IN"/>
        </w:rPr>
        <w:t>c)</w:t>
      </w:r>
      <w:r>
        <w:rPr>
          <w:rFonts w:eastAsia="Batang"/>
          <w:lang w:val="en-US" w:eastAsia="hi-IN"/>
        </w:rPr>
        <w:tab/>
      </w:r>
      <w:r w:rsidRPr="0030571D">
        <w:rPr>
          <w:rFonts w:eastAsia="Batang"/>
          <w:b/>
          <w:bCs/>
          <w:lang w:val="en-US" w:eastAsia="hi-IN"/>
        </w:rPr>
        <w:t>Temporal dimension</w:t>
      </w:r>
      <w:r>
        <w:rPr>
          <w:rFonts w:eastAsia="Batang"/>
          <w:lang w:val="en-US" w:eastAsia="hi-IN"/>
        </w:rPr>
        <w:br/>
        <w:t xml:space="preserve">(c) </w:t>
      </w:r>
      <w:r w:rsidRPr="0030571D">
        <w:rPr>
          <w:rFonts w:eastAsia="Batang"/>
          <w:lang w:val="en-US" w:eastAsia="hi-IN"/>
        </w:rPr>
        <w:t xml:space="preserve">Time period over which products and services are supplied. </w:t>
      </w:r>
    </w:p>
    <w:p w:rsidR="0030571D" w:rsidRPr="0030571D" w:rsidRDefault="0030571D" w:rsidP="0030571D">
      <w:pPr>
        <w:pStyle w:val="enumlev1"/>
        <w:rPr>
          <w:rFonts w:eastAsia="Batang"/>
          <w:lang w:val="en-US" w:eastAsia="hi-IN"/>
        </w:rPr>
      </w:pPr>
      <w:r>
        <w:rPr>
          <w:rFonts w:eastAsia="Batang"/>
          <w:lang w:val="en-US" w:eastAsia="hi-IN"/>
        </w:rPr>
        <w:t>d)</w:t>
      </w:r>
      <w:r>
        <w:rPr>
          <w:rFonts w:eastAsia="Batang"/>
          <w:lang w:val="en-US" w:eastAsia="hi-IN"/>
        </w:rPr>
        <w:tab/>
      </w:r>
      <w:r w:rsidRPr="0030571D">
        <w:rPr>
          <w:rFonts w:eastAsia="Batang"/>
          <w:b/>
          <w:bCs/>
          <w:lang w:val="en-US" w:eastAsia="hi-IN"/>
        </w:rPr>
        <w:t>Functional dimension</w:t>
      </w:r>
      <w:r>
        <w:rPr>
          <w:rFonts w:eastAsia="Batang"/>
          <w:lang w:val="en-US" w:eastAsia="hi-IN"/>
        </w:rPr>
        <w:br/>
        <w:t xml:space="preserve">(d) </w:t>
      </w:r>
      <w:r w:rsidRPr="0030571D">
        <w:rPr>
          <w:rFonts w:eastAsia="Batang"/>
          <w:lang w:val="en-US" w:eastAsia="hi-IN"/>
        </w:rPr>
        <w:t xml:space="preserve">Position in the supply chain, i.e. retail or wholesale.  </w:t>
      </w:r>
    </w:p>
    <w:p w:rsidR="0030571D" w:rsidRPr="0030571D" w:rsidRDefault="0030571D" w:rsidP="0030571D">
      <w:r w:rsidRPr="0030571D">
        <w:rPr>
          <w:b/>
        </w:rPr>
        <w:t>2.2</w:t>
      </w:r>
      <w:r>
        <w:tab/>
      </w:r>
      <w:r w:rsidRPr="0030571D">
        <w:t>For each of the dimensions above, the relevant market must then be defined through the concept of substitutability. Substitutability refers to the ability of a customer or supplier to switch from one product or service to an alternative in response to a change in the relative price, service or quality of the first product or service. For example, under the product dimension, p</w:t>
      </w:r>
      <w:r w:rsidRPr="0030571D">
        <w:rPr>
          <w:rFonts w:eastAsia="Batang"/>
          <w:bCs/>
          <w:lang w:eastAsia="hi-IN"/>
        </w:rPr>
        <w:t>roducts and services are considered ‘substitutable’ if customers and suppliers consider the products or services to be close alternatives in terms of characteristics and usage.</w:t>
      </w:r>
      <w:r w:rsidRPr="0030571D">
        <w:t xml:space="preserve"> </w:t>
      </w:r>
    </w:p>
    <w:p w:rsidR="0030571D" w:rsidRPr="0030571D" w:rsidRDefault="0030571D" w:rsidP="0030571D">
      <w:r w:rsidRPr="0030571D">
        <w:rPr>
          <w:b/>
        </w:rPr>
        <w:t>2.3</w:t>
      </w:r>
      <w:r>
        <w:tab/>
      </w:r>
      <w:r w:rsidRPr="0030571D">
        <w:t xml:space="preserve">In view to identify and evaluate substitution possibilities the NRAs can be used the small but significant non-transitory increase in price or SSNIP test. This test identifies the narrowest possible set of products and/or a geographic region and then asks the question as to whether a hypothetical monopolist supplier could profitably impose a small but significant non-transitory increase in price. If answer of the test is “Yes”, the product and/or geographic region in question (i.e. to which customers or suppliers are likely to switch) is considered to be part of the relevant market. </w:t>
      </w:r>
    </w:p>
    <w:p w:rsidR="0030571D" w:rsidRPr="0030571D" w:rsidRDefault="0030571D" w:rsidP="0030571D">
      <w:pPr>
        <w:pStyle w:val="Heading1"/>
        <w:rPr>
          <w:sz w:val="24"/>
          <w:szCs w:val="24"/>
        </w:rPr>
      </w:pPr>
      <w:bookmarkStart w:id="6" w:name="_Toc453855774"/>
      <w:r w:rsidRPr="0030571D">
        <w:rPr>
          <w:sz w:val="24"/>
          <w:szCs w:val="24"/>
        </w:rPr>
        <w:lastRenderedPageBreak/>
        <w:t>3</w:t>
      </w:r>
      <w:r w:rsidRPr="0030571D">
        <w:rPr>
          <w:sz w:val="24"/>
          <w:szCs w:val="24"/>
        </w:rPr>
        <w:tab/>
        <w:t>Three-criteria test for markets susceptible to ex ante regulation</w:t>
      </w:r>
      <w:bookmarkEnd w:id="6"/>
    </w:p>
    <w:p w:rsidR="0030571D" w:rsidRPr="0030571D" w:rsidRDefault="0030571D" w:rsidP="0030571D">
      <w:pPr>
        <w:keepNext/>
        <w:keepLines/>
      </w:pPr>
      <w:r w:rsidRPr="0030571D">
        <w:rPr>
          <w:rFonts w:eastAsia="SimSun"/>
          <w:b/>
          <w:lang w:val="en-US" w:eastAsia="ko-KR"/>
        </w:rPr>
        <w:t>3.1</w:t>
      </w:r>
      <w:r w:rsidRPr="0030571D">
        <w:rPr>
          <w:rFonts w:eastAsia="SimSun"/>
          <w:lang w:val="en-US" w:eastAsia="ko-KR"/>
        </w:rPr>
        <w:t xml:space="preserve"> A </w:t>
      </w:r>
      <w:r w:rsidRPr="0030571D">
        <w:t xml:space="preserve">relevant </w:t>
      </w:r>
      <w:r w:rsidRPr="0030571D">
        <w:rPr>
          <w:rFonts w:eastAsia="SimSun"/>
          <w:lang w:val="en-US" w:eastAsia="ko-KR"/>
        </w:rPr>
        <w:t xml:space="preserve">market, as defined above, will be subject to </w:t>
      </w:r>
      <w:r w:rsidRPr="0030571D">
        <w:rPr>
          <w:rFonts w:eastAsia="SimSun"/>
          <w:i/>
          <w:iCs/>
          <w:lang w:val="en-US" w:eastAsia="ko-KR"/>
        </w:rPr>
        <w:t>ex ante</w:t>
      </w:r>
      <w:r w:rsidRPr="0030571D">
        <w:rPr>
          <w:rFonts w:eastAsia="SimSun"/>
          <w:lang w:val="en-US" w:eastAsia="ko-KR"/>
        </w:rPr>
        <w:t> regulation</w:t>
      </w:r>
      <w:r w:rsidRPr="0030571D">
        <w:rPr>
          <w:rFonts w:eastAsia="SimSun"/>
          <w:b/>
          <w:position w:val="6"/>
          <w:sz w:val="18"/>
          <w:szCs w:val="18"/>
          <w:lang w:val="en-US" w:eastAsia="ko-KR"/>
        </w:rPr>
        <w:footnoteReference w:id="1"/>
      </w:r>
      <w:r w:rsidRPr="0030571D">
        <w:rPr>
          <w:rFonts w:eastAsia="SimSun"/>
          <w:lang w:val="en-US" w:eastAsia="ko-KR"/>
        </w:rPr>
        <w:t xml:space="preserve"> by Member States and NRAs, only if all three criteria given below are met: </w:t>
      </w:r>
    </w:p>
    <w:p w:rsidR="0030571D" w:rsidRPr="0030571D" w:rsidRDefault="0030571D" w:rsidP="0030571D">
      <w:pPr>
        <w:pStyle w:val="enumlev1"/>
        <w:keepNext/>
        <w:keepLines/>
      </w:pPr>
      <w:r>
        <w:t>i)</w:t>
      </w:r>
      <w:r>
        <w:tab/>
      </w:r>
      <w:r w:rsidRPr="0030571D">
        <w:t>High and non-transitory structural, legal or regulatory barriers to entry are present;</w:t>
      </w:r>
    </w:p>
    <w:p w:rsidR="0030571D" w:rsidRPr="0030571D" w:rsidRDefault="0030571D" w:rsidP="0030571D">
      <w:pPr>
        <w:pStyle w:val="enumlev1"/>
        <w:keepNext/>
        <w:keepLines/>
      </w:pPr>
      <w:r>
        <w:t>ii)</w:t>
      </w:r>
      <w:r>
        <w:tab/>
      </w:r>
      <w:r w:rsidRPr="0030571D">
        <w:t>Market structure does not tend towards effective competition within the relevant time horizon (having regard to the state of other competition behind the barriers to entry);</w:t>
      </w:r>
    </w:p>
    <w:p w:rsidR="0030571D" w:rsidRPr="0030571D" w:rsidRDefault="0030571D" w:rsidP="0030571D">
      <w:pPr>
        <w:pStyle w:val="enumlev1"/>
        <w:keepNext/>
        <w:keepLines/>
      </w:pPr>
      <w:r>
        <w:t>iii)</w:t>
      </w:r>
      <w:r>
        <w:tab/>
      </w:r>
      <w:r w:rsidRPr="0030571D">
        <w:t>Competition law alone is insufficient to adequately address market failure(s).</w:t>
      </w:r>
    </w:p>
    <w:p w:rsidR="0030571D" w:rsidRPr="0030571D" w:rsidRDefault="0030571D" w:rsidP="0030571D">
      <w:pPr>
        <w:pStyle w:val="Heading1"/>
        <w:rPr>
          <w:sz w:val="24"/>
          <w:szCs w:val="24"/>
        </w:rPr>
      </w:pPr>
      <w:bookmarkStart w:id="7" w:name="_Toc453855775"/>
      <w:r w:rsidRPr="0030571D">
        <w:rPr>
          <w:sz w:val="24"/>
          <w:szCs w:val="24"/>
        </w:rPr>
        <w:t>4</w:t>
      </w:r>
      <w:r w:rsidRPr="0030571D">
        <w:rPr>
          <w:sz w:val="24"/>
          <w:szCs w:val="24"/>
        </w:rPr>
        <w:tab/>
        <w:t>Identification of operators with significant market power (SMP)</w:t>
      </w:r>
      <w:bookmarkEnd w:id="7"/>
    </w:p>
    <w:p w:rsidR="0030571D" w:rsidRPr="0030571D" w:rsidRDefault="0030571D" w:rsidP="0030571D">
      <w:r w:rsidRPr="0030571D">
        <w:rPr>
          <w:b/>
          <w:bCs/>
        </w:rPr>
        <w:t>4.1</w:t>
      </w:r>
      <w:r>
        <w:tab/>
      </w:r>
      <w:r w:rsidRPr="0030571D">
        <w:t xml:space="preserve">Once a relevant market is deemed to be subject to </w:t>
      </w:r>
      <w:r w:rsidRPr="0030571D">
        <w:rPr>
          <w:i/>
          <w:iCs/>
        </w:rPr>
        <w:t>ex</w:t>
      </w:r>
      <w:r w:rsidRPr="0030571D">
        <w:t xml:space="preserve"> </w:t>
      </w:r>
      <w:r w:rsidRPr="0030571D">
        <w:rPr>
          <w:i/>
          <w:iCs/>
        </w:rPr>
        <w:t>ante</w:t>
      </w:r>
      <w:r w:rsidRPr="0030571D">
        <w:t xml:space="preserve"> regulation, Member States and NRAs should identify operators with significant market power (SMP). An operator shall be deemed to have SMP if, either individually or jointly with others, it enjoys a position equivalent to dominance, that is to say a position giving it the power to behave independently of other competitors, buyers and, ultimately, consumers, to a significant extent.</w:t>
      </w:r>
    </w:p>
    <w:p w:rsidR="0030571D" w:rsidRPr="0030571D" w:rsidRDefault="0030571D" w:rsidP="0030571D">
      <w:r w:rsidRPr="0030571D">
        <w:rPr>
          <w:b/>
          <w:bCs/>
        </w:rPr>
        <w:t>4.2</w:t>
      </w:r>
      <w:r>
        <w:tab/>
      </w:r>
      <w:r w:rsidRPr="0030571D">
        <w:t xml:space="preserve">The existence of SMP is found by reference to a number of criteria and its assessment is based on a forward-looking market analysis based on existing market conditions. Member States or NRAs should consider a combination of the following criteria, </w:t>
      </w:r>
      <w:r w:rsidRPr="0030571D">
        <w:rPr>
          <w:i/>
          <w:iCs/>
        </w:rPr>
        <w:t>inter alia</w:t>
      </w:r>
      <w:r w:rsidRPr="0030571D">
        <w:t xml:space="preserve">, as determinative of SMP: </w:t>
      </w:r>
    </w:p>
    <w:p w:rsidR="0030571D" w:rsidRPr="0030571D" w:rsidRDefault="0030571D" w:rsidP="0030571D">
      <w:pPr>
        <w:pStyle w:val="enumlev1"/>
        <w:rPr>
          <w:lang w:val="en-US"/>
        </w:rPr>
      </w:pPr>
      <w:r>
        <w:rPr>
          <w:lang w:val="en-US"/>
        </w:rPr>
        <w:t>−</w:t>
      </w:r>
      <w:r>
        <w:rPr>
          <w:lang w:val="en-US"/>
        </w:rPr>
        <w:tab/>
      </w:r>
      <w:r w:rsidRPr="0030571D">
        <w:rPr>
          <w:lang w:val="en-US"/>
        </w:rPr>
        <w:t>Market share;</w:t>
      </w:r>
    </w:p>
    <w:p w:rsidR="0030571D" w:rsidRPr="0030571D" w:rsidRDefault="0030571D" w:rsidP="0030571D">
      <w:pPr>
        <w:pStyle w:val="enumlev1"/>
        <w:rPr>
          <w:lang w:val="en-US"/>
        </w:rPr>
      </w:pPr>
      <w:r>
        <w:rPr>
          <w:lang w:val="en-US"/>
        </w:rPr>
        <w:t>−</w:t>
      </w:r>
      <w:r>
        <w:rPr>
          <w:lang w:val="en-US"/>
        </w:rPr>
        <w:tab/>
      </w:r>
      <w:r w:rsidRPr="0030571D">
        <w:rPr>
          <w:lang w:val="en-US"/>
        </w:rPr>
        <w:t>Control of essential facilities;</w:t>
      </w:r>
    </w:p>
    <w:p w:rsidR="0030571D" w:rsidRPr="0030571D" w:rsidRDefault="0030571D" w:rsidP="0030571D">
      <w:pPr>
        <w:pStyle w:val="enumlev1"/>
        <w:rPr>
          <w:lang w:val="en-US"/>
        </w:rPr>
      </w:pPr>
      <w:r>
        <w:rPr>
          <w:lang w:val="en-US"/>
        </w:rPr>
        <w:t>−</w:t>
      </w:r>
      <w:r>
        <w:rPr>
          <w:lang w:val="en-US"/>
        </w:rPr>
        <w:tab/>
      </w:r>
      <w:r w:rsidRPr="0030571D">
        <w:rPr>
          <w:lang w:val="en-US"/>
        </w:rPr>
        <w:t>Barriers to entry;</w:t>
      </w:r>
    </w:p>
    <w:p w:rsidR="0030571D" w:rsidRPr="0030571D" w:rsidRDefault="0030571D" w:rsidP="0030571D">
      <w:pPr>
        <w:pStyle w:val="enumlev1"/>
        <w:rPr>
          <w:lang w:val="en-US"/>
        </w:rPr>
      </w:pPr>
      <w:r>
        <w:rPr>
          <w:lang w:val="en-US"/>
        </w:rPr>
        <w:t>−</w:t>
      </w:r>
      <w:r>
        <w:rPr>
          <w:lang w:val="en-US"/>
        </w:rPr>
        <w:tab/>
      </w:r>
      <w:r w:rsidRPr="0030571D">
        <w:rPr>
          <w:lang w:val="en-US"/>
        </w:rPr>
        <w:t xml:space="preserve">Potential competition;  </w:t>
      </w:r>
    </w:p>
    <w:p w:rsidR="0030571D" w:rsidRPr="0030571D" w:rsidRDefault="0030571D" w:rsidP="0030571D">
      <w:pPr>
        <w:pStyle w:val="enumlev1"/>
        <w:rPr>
          <w:lang w:val="en-US"/>
        </w:rPr>
      </w:pPr>
      <w:r>
        <w:rPr>
          <w:lang w:val="en-US"/>
        </w:rPr>
        <w:t>−</w:t>
      </w:r>
      <w:r>
        <w:rPr>
          <w:lang w:val="en-US"/>
        </w:rPr>
        <w:tab/>
      </w:r>
      <w:r w:rsidRPr="0030571D">
        <w:rPr>
          <w:lang w:val="en-US"/>
        </w:rPr>
        <w:t>Easy access to financial resources;</w:t>
      </w:r>
    </w:p>
    <w:p w:rsidR="0030571D" w:rsidRPr="0030571D" w:rsidRDefault="0030571D" w:rsidP="0030571D">
      <w:pPr>
        <w:pStyle w:val="enumlev1"/>
        <w:rPr>
          <w:lang w:val="en-US"/>
        </w:rPr>
      </w:pPr>
      <w:r>
        <w:rPr>
          <w:lang w:val="en-US"/>
        </w:rPr>
        <w:t>−</w:t>
      </w:r>
      <w:r>
        <w:rPr>
          <w:lang w:val="en-US"/>
        </w:rPr>
        <w:tab/>
      </w:r>
      <w:r w:rsidRPr="0030571D">
        <w:rPr>
          <w:lang w:val="en-US"/>
        </w:rPr>
        <w:t>Strength of the countervailing power of consumers;</w:t>
      </w:r>
    </w:p>
    <w:p w:rsidR="0030571D" w:rsidRPr="0030571D" w:rsidRDefault="0030571D" w:rsidP="0030571D">
      <w:pPr>
        <w:pStyle w:val="enumlev1"/>
        <w:rPr>
          <w:lang w:val="en-US"/>
        </w:rPr>
      </w:pPr>
      <w:r>
        <w:rPr>
          <w:lang w:val="en-US"/>
        </w:rPr>
        <w:t>−</w:t>
      </w:r>
      <w:r>
        <w:rPr>
          <w:lang w:val="en-US"/>
        </w:rPr>
        <w:tab/>
      </w:r>
      <w:r w:rsidRPr="0030571D">
        <w:rPr>
          <w:rFonts w:eastAsia="SimSun"/>
          <w:lang w:val="en-US" w:eastAsia="ja-JP"/>
        </w:rPr>
        <w:t>Economies of scale;</w:t>
      </w:r>
    </w:p>
    <w:p w:rsidR="0030571D" w:rsidRPr="0030571D" w:rsidRDefault="0030571D" w:rsidP="0030571D">
      <w:pPr>
        <w:pStyle w:val="enumlev1"/>
        <w:rPr>
          <w:lang w:val="en-US"/>
        </w:rPr>
      </w:pPr>
      <w:r>
        <w:rPr>
          <w:lang w:val="en-US"/>
        </w:rPr>
        <w:t>−</w:t>
      </w:r>
      <w:r>
        <w:rPr>
          <w:lang w:val="en-US"/>
        </w:rPr>
        <w:tab/>
      </w:r>
      <w:r w:rsidRPr="0030571D">
        <w:rPr>
          <w:rFonts w:eastAsia="SimSun"/>
          <w:lang w:val="en-US" w:eastAsia="ja-JP"/>
        </w:rPr>
        <w:t>Economies of scope;</w:t>
      </w:r>
    </w:p>
    <w:p w:rsidR="0030571D" w:rsidRPr="0030571D" w:rsidRDefault="0030571D" w:rsidP="0030571D">
      <w:pPr>
        <w:pStyle w:val="enumlev1"/>
        <w:rPr>
          <w:lang w:val="en-US"/>
        </w:rPr>
      </w:pPr>
      <w:r>
        <w:rPr>
          <w:lang w:val="en-US"/>
        </w:rPr>
        <w:t>−</w:t>
      </w:r>
      <w:r>
        <w:rPr>
          <w:lang w:val="en-US"/>
        </w:rPr>
        <w:tab/>
      </w:r>
      <w:r w:rsidRPr="0030571D">
        <w:rPr>
          <w:rFonts w:eastAsia="SimSun"/>
          <w:lang w:val="en-US" w:eastAsia="ja-JP"/>
        </w:rPr>
        <w:t>Vertical integration.</w:t>
      </w:r>
    </w:p>
    <w:p w:rsidR="0030571D" w:rsidRPr="0030571D" w:rsidRDefault="0030571D" w:rsidP="0030571D">
      <w:pPr>
        <w:pStyle w:val="Heading1"/>
        <w:rPr>
          <w:sz w:val="24"/>
          <w:szCs w:val="24"/>
        </w:rPr>
      </w:pPr>
      <w:bookmarkStart w:id="8" w:name="_Toc453855776"/>
      <w:r w:rsidRPr="0030571D">
        <w:rPr>
          <w:sz w:val="24"/>
          <w:szCs w:val="24"/>
        </w:rPr>
        <w:t>5</w:t>
      </w:r>
      <w:r w:rsidRPr="0030571D">
        <w:rPr>
          <w:sz w:val="24"/>
          <w:szCs w:val="24"/>
        </w:rPr>
        <w:tab/>
        <w:t>Obligations for operators with SMP</w:t>
      </w:r>
      <w:bookmarkEnd w:id="8"/>
    </w:p>
    <w:p w:rsidR="0030571D" w:rsidRPr="0030571D" w:rsidRDefault="0030571D" w:rsidP="0030571D">
      <w:pPr>
        <w:tabs>
          <w:tab w:val="clear" w:pos="1134"/>
          <w:tab w:val="clear" w:pos="1871"/>
          <w:tab w:val="clear" w:pos="2268"/>
          <w:tab w:val="left" w:pos="794"/>
          <w:tab w:val="left" w:pos="1191"/>
          <w:tab w:val="left" w:pos="1588"/>
          <w:tab w:val="left" w:pos="1985"/>
        </w:tabs>
        <w:jc w:val="both"/>
        <w:rPr>
          <w:szCs w:val="24"/>
        </w:rPr>
      </w:pPr>
      <w:r w:rsidRPr="0030571D">
        <w:rPr>
          <w:szCs w:val="24"/>
        </w:rPr>
        <w:t xml:space="preserve">Member States and NRAs are encouraged to consider imposing on operators with SMP a number of obligations which may include but not limited to: </w:t>
      </w:r>
    </w:p>
    <w:p w:rsidR="0030571D" w:rsidRPr="0030571D" w:rsidRDefault="0030571D" w:rsidP="0030571D">
      <w:pPr>
        <w:pStyle w:val="enumlev1"/>
        <w:rPr>
          <w:lang w:val="en-US"/>
        </w:rPr>
      </w:pPr>
      <w:r>
        <w:rPr>
          <w:lang w:val="en-US"/>
        </w:rPr>
        <w:t>−</w:t>
      </w:r>
      <w:r>
        <w:rPr>
          <w:lang w:val="en-US"/>
        </w:rPr>
        <w:tab/>
      </w:r>
      <w:r w:rsidRPr="0030571D">
        <w:rPr>
          <w:lang w:val="en-US"/>
        </w:rPr>
        <w:t>Transparency;</w:t>
      </w:r>
    </w:p>
    <w:p w:rsidR="0030571D" w:rsidRPr="0030571D" w:rsidRDefault="0030571D" w:rsidP="0030571D">
      <w:pPr>
        <w:pStyle w:val="enumlev1"/>
        <w:rPr>
          <w:lang w:val="en-US"/>
        </w:rPr>
      </w:pPr>
      <w:r>
        <w:rPr>
          <w:lang w:val="en-US"/>
        </w:rPr>
        <w:t>−</w:t>
      </w:r>
      <w:r>
        <w:rPr>
          <w:lang w:val="en-US"/>
        </w:rPr>
        <w:tab/>
      </w:r>
      <w:r w:rsidRPr="0030571D">
        <w:rPr>
          <w:lang w:val="en-US"/>
        </w:rPr>
        <w:t>Isonomic and non-discriminatory treatment;</w:t>
      </w:r>
    </w:p>
    <w:p w:rsidR="0030571D" w:rsidRPr="0030571D" w:rsidRDefault="0030571D" w:rsidP="0030571D">
      <w:pPr>
        <w:pStyle w:val="enumlev1"/>
        <w:rPr>
          <w:lang w:val="en-US"/>
        </w:rPr>
      </w:pPr>
      <w:r>
        <w:rPr>
          <w:lang w:val="en-US"/>
        </w:rPr>
        <w:t>−</w:t>
      </w:r>
      <w:r>
        <w:rPr>
          <w:lang w:val="en-US"/>
        </w:rPr>
        <w:tab/>
      </w:r>
      <w:r w:rsidRPr="0030571D">
        <w:rPr>
          <w:lang w:val="en-US"/>
        </w:rPr>
        <w:t>Wholesale price control;</w:t>
      </w:r>
    </w:p>
    <w:p w:rsidR="0030571D" w:rsidRPr="0030571D" w:rsidRDefault="0030571D" w:rsidP="0030571D">
      <w:pPr>
        <w:pStyle w:val="enumlev1"/>
        <w:rPr>
          <w:lang w:val="en-US"/>
        </w:rPr>
      </w:pPr>
      <w:r>
        <w:rPr>
          <w:lang w:val="en-US"/>
        </w:rPr>
        <w:t>−</w:t>
      </w:r>
      <w:r>
        <w:rPr>
          <w:lang w:val="en-US"/>
        </w:rPr>
        <w:tab/>
      </w:r>
      <w:r w:rsidRPr="0030571D">
        <w:rPr>
          <w:lang w:val="en-US"/>
        </w:rPr>
        <w:t>Interconnection and open access;</w:t>
      </w:r>
    </w:p>
    <w:p w:rsidR="0030571D" w:rsidRPr="0030571D" w:rsidRDefault="0030571D" w:rsidP="0030571D">
      <w:pPr>
        <w:pStyle w:val="enumlev1"/>
        <w:rPr>
          <w:lang w:val="en-US"/>
        </w:rPr>
      </w:pPr>
      <w:r>
        <w:rPr>
          <w:lang w:val="en-US"/>
        </w:rPr>
        <w:t>−</w:t>
      </w:r>
      <w:r>
        <w:rPr>
          <w:lang w:val="en-US"/>
        </w:rPr>
        <w:tab/>
      </w:r>
      <w:r w:rsidRPr="0030571D">
        <w:rPr>
          <w:lang w:val="en-US"/>
        </w:rPr>
        <w:t>Reference offers obligation;</w:t>
      </w:r>
    </w:p>
    <w:p w:rsidR="0030571D" w:rsidRPr="0030571D" w:rsidRDefault="0030571D" w:rsidP="0030571D">
      <w:pPr>
        <w:pStyle w:val="enumlev1"/>
        <w:rPr>
          <w:lang w:val="en-US"/>
        </w:rPr>
      </w:pPr>
      <w:r>
        <w:rPr>
          <w:lang w:val="en-US"/>
        </w:rPr>
        <w:t>−</w:t>
      </w:r>
      <w:r>
        <w:rPr>
          <w:lang w:val="en-US"/>
        </w:rPr>
        <w:tab/>
      </w:r>
      <w:r w:rsidRPr="0030571D">
        <w:rPr>
          <w:lang w:val="en-US"/>
        </w:rPr>
        <w:t>Functional and accounting separation.</w:t>
      </w:r>
    </w:p>
    <w:p w:rsidR="00895D6F" w:rsidRDefault="0030571D" w:rsidP="0030571D">
      <w:pPr>
        <w:ind w:left="720"/>
        <w:contextualSpacing/>
        <w:jc w:val="center"/>
      </w:pPr>
      <w:r w:rsidRPr="0030571D">
        <w:rPr>
          <w:szCs w:val="24"/>
          <w:lang w:val="en-US"/>
        </w:rPr>
        <w:t>_____________________</w:t>
      </w:r>
    </w:p>
    <w:sectPr w:rsidR="00895D6F">
      <w:headerReference w:type="even" r:id="rId11"/>
      <w:headerReference w:type="default" r:id="rId12"/>
      <w:footerReference w:type="even" r:id="rId13"/>
      <w:footerReference w:type="default" r:id="rId14"/>
      <w:headerReference w:type="first" r:id="rId15"/>
      <w:footerReference w:type="first" r:id="rId16"/>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231F" w:rsidRDefault="00E0231F">
      <w:r>
        <w:separator/>
      </w:r>
    </w:p>
  </w:endnote>
  <w:endnote w:type="continuationSeparator" w:id="0">
    <w:p w:rsidR="00E0231F" w:rsidRDefault="00E02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Default="00E45D05">
    <w:pPr>
      <w:framePr w:wrap="around" w:vAnchor="text" w:hAnchor="margin" w:xAlign="right" w:y="1"/>
    </w:pPr>
    <w:r>
      <w:fldChar w:fldCharType="begin"/>
    </w:r>
    <w:r>
      <w:instrText xml:space="preserve">PAGE  </w:instrText>
    </w:r>
    <w:r>
      <w:fldChar w:fldCharType="end"/>
    </w:r>
  </w:p>
  <w:p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F60D05">
      <w:rPr>
        <w:noProof/>
        <w:lang w:val="en-US"/>
      </w:rPr>
      <w:t>E:\Dropbox\ProposalSharing\WTSA-16\Template\WTSA16-E.docx</w:t>
    </w:r>
    <w:r>
      <w:fldChar w:fldCharType="end"/>
    </w:r>
    <w:r w:rsidRPr="0041348E">
      <w:rPr>
        <w:lang w:val="en-US"/>
      </w:rPr>
      <w:tab/>
    </w:r>
    <w:r>
      <w:fldChar w:fldCharType="begin"/>
    </w:r>
    <w:r>
      <w:instrText xml:space="preserve"> SAVEDATE \@ DD.MM.YY </w:instrText>
    </w:r>
    <w:r>
      <w:fldChar w:fldCharType="separate"/>
    </w:r>
    <w:r w:rsidR="002524A0">
      <w:rPr>
        <w:noProof/>
      </w:rPr>
      <w:t>17.06.16</w:t>
    </w:r>
    <w:r>
      <w:fldChar w:fldCharType="end"/>
    </w:r>
    <w:r w:rsidRPr="0041348E">
      <w:rPr>
        <w:lang w:val="en-US"/>
      </w:rPr>
      <w:tab/>
    </w:r>
    <w:r>
      <w:fldChar w:fldCharType="begin"/>
    </w:r>
    <w:r>
      <w:instrText xml:space="preserve"> PRINTDATE \@ DD.MM.YY </w:instrText>
    </w:r>
    <w:r>
      <w:fldChar w:fldCharType="separate"/>
    </w:r>
    <w:r w:rsidR="00F60D05">
      <w:rPr>
        <w:noProof/>
      </w:rPr>
      <w:t>06.06.16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Default="00C72D5C" w:rsidP="00B6667A">
    <w:pPr>
      <w:pStyle w:val="Footer"/>
    </w:pPr>
    <w:r>
      <w:fldChar w:fldCharType="begin"/>
    </w:r>
    <w:r w:rsidRPr="0041348E">
      <w:rPr>
        <w:lang w:val="en-US"/>
      </w:rPr>
      <w:instrText xml:space="preserve"> FILENAME \p  \* MERGEFORMAT </w:instrText>
    </w:r>
    <w:r>
      <w:fldChar w:fldCharType="separate"/>
    </w:r>
    <w:r w:rsidR="00F60D05">
      <w:rPr>
        <w:lang w:val="en-US"/>
      </w:rPr>
      <w:t>E:\Dropbox\ProposalSharing\WTSA-16\Template\WTSA16-E.docx</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D2" w:rsidRPr="00C72D5C" w:rsidRDefault="00C72D5C" w:rsidP="00B6667A">
    <w:pPr>
      <w:pStyle w:val="Footer"/>
    </w:pPr>
    <w:r>
      <w:fldChar w:fldCharType="begin"/>
    </w:r>
    <w:r w:rsidRPr="0041348E">
      <w:rPr>
        <w:lang w:val="en-US"/>
      </w:rPr>
      <w:instrText xml:space="preserve"> FILENAME \p  \* MERGEFORMAT </w:instrText>
    </w:r>
    <w:r>
      <w:fldChar w:fldCharType="separate"/>
    </w:r>
    <w:r w:rsidR="00F60D05">
      <w:rPr>
        <w:lang w:val="en-US"/>
      </w:rPr>
      <w:t>E:\Dropbox\ProposalSharing\WTSA-16\Template\WTSA16-E.docx</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231F" w:rsidRDefault="00E0231F">
      <w:r>
        <w:rPr>
          <w:b/>
        </w:rPr>
        <w:t>_______________</w:t>
      </w:r>
    </w:p>
  </w:footnote>
  <w:footnote w:type="continuationSeparator" w:id="0">
    <w:p w:rsidR="00E0231F" w:rsidRDefault="00E0231F">
      <w:r>
        <w:continuationSeparator/>
      </w:r>
    </w:p>
  </w:footnote>
  <w:footnote w:id="1">
    <w:p w:rsidR="0030571D" w:rsidRPr="00437F1D" w:rsidRDefault="0030571D" w:rsidP="0030571D">
      <w:pPr>
        <w:pStyle w:val="FootnoteText"/>
        <w:tabs>
          <w:tab w:val="left" w:pos="142"/>
        </w:tabs>
        <w:ind w:left="142" w:hanging="142"/>
        <w:rPr>
          <w:lang w:val="en-US"/>
        </w:rPr>
      </w:pPr>
      <w:r>
        <w:rPr>
          <w:rStyle w:val="FootnoteReference"/>
        </w:rPr>
        <w:footnoteRef/>
      </w:r>
      <w:r>
        <w:t xml:space="preserve"> </w:t>
      </w:r>
      <w:r>
        <w:rPr>
          <w:i/>
          <w:iCs/>
          <w:sz w:val="20"/>
        </w:rPr>
        <w:t>E</w:t>
      </w:r>
      <w:r w:rsidRPr="00437F1D">
        <w:rPr>
          <w:i/>
          <w:iCs/>
          <w:sz w:val="20"/>
        </w:rPr>
        <w:t xml:space="preserve">x ante </w:t>
      </w:r>
      <w:r w:rsidRPr="00F15B33">
        <w:rPr>
          <w:iCs/>
          <w:sz w:val="20"/>
        </w:rPr>
        <w:t xml:space="preserve">regulation refers to preventive or anticipatory intervention. </w:t>
      </w:r>
      <w:r w:rsidRPr="005D772D">
        <w:rPr>
          <w:i/>
          <w:iCs/>
          <w:sz w:val="20"/>
        </w:rPr>
        <w:t>Ex post</w:t>
      </w:r>
      <w:r w:rsidRPr="00F15B33">
        <w:rPr>
          <w:iCs/>
          <w:sz w:val="20"/>
        </w:rPr>
        <w:t xml:space="preserve"> regulation is remedial intervention, following </w:t>
      </w:r>
      <w:r>
        <w:rPr>
          <w:iCs/>
          <w:sz w:val="20"/>
        </w:rPr>
        <w:t>inappropriate</w:t>
      </w:r>
      <w:r w:rsidRPr="00F15B33">
        <w:rPr>
          <w:iCs/>
          <w:sz w:val="20"/>
        </w:rPr>
        <w:t xml:space="preserve"> conduct.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667A" w:rsidRDefault="00B6667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Default="00C72D5C" w:rsidP="00C72D5C">
    <w:pPr>
      <w:pStyle w:val="Header"/>
    </w:pPr>
    <w:r>
      <w:fldChar w:fldCharType="begin"/>
    </w:r>
    <w:r>
      <w:instrText xml:space="preserve"> PAGE  \* MERGEFORMAT </w:instrText>
    </w:r>
    <w:r>
      <w:fldChar w:fldCharType="separate"/>
    </w:r>
    <w:r w:rsidR="002524A0">
      <w:rPr>
        <w:noProof/>
      </w:rPr>
      <w:t>6</w:t>
    </w:r>
    <w:r>
      <w:fldChar w:fldCharType="end"/>
    </w:r>
  </w:p>
  <w:p w:rsidR="00A066F1" w:rsidRPr="00C72D5C" w:rsidRDefault="00C72D5C" w:rsidP="008E67E5">
    <w:pPr>
      <w:pStyle w:val="Header"/>
    </w:pPr>
    <w:r>
      <w:t>WTSA16/</w:t>
    </w:r>
    <w:r w:rsidR="008E67E5">
      <w:t>40-E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667A" w:rsidRDefault="00B6667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C1B0BAD"/>
    <w:multiLevelType w:val="hybridMultilevel"/>
    <w:tmpl w:val="3DAAFC7E"/>
    <w:lvl w:ilvl="0" w:tplc="45228202">
      <w:start w:val="1"/>
      <w:numFmt w:val="lowerRoman"/>
      <w:lvlText w:val="(%1)"/>
      <w:lvlJc w:val="left"/>
      <w:pPr>
        <w:ind w:left="1855" w:hanging="720"/>
      </w:pPr>
      <w:rPr>
        <w:rFonts w:hint="default"/>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0DCB4FBB"/>
    <w:multiLevelType w:val="hybridMultilevel"/>
    <w:tmpl w:val="6FB25AC2"/>
    <w:lvl w:ilvl="0" w:tplc="B86692B4">
      <w:start w:val="2"/>
      <w:numFmt w:val="bullet"/>
      <w:lvlText w:val="-"/>
      <w:lvlJc w:val="left"/>
      <w:pPr>
        <w:ind w:left="720" w:hanging="360"/>
      </w:pPr>
      <w:rPr>
        <w:rFonts w:ascii="Times New Roman" w:eastAsia="Times New Roman" w:hAnsi="Times New Roman"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646F52CB"/>
    <w:multiLevelType w:val="hybridMultilevel"/>
    <w:tmpl w:val="1DCC5A36"/>
    <w:lvl w:ilvl="0" w:tplc="0B6C8606">
      <w:start w:val="1"/>
      <w:numFmt w:val="lowerRoman"/>
      <w:lvlText w:val="(%1)"/>
      <w:lvlJc w:val="left"/>
      <w:pPr>
        <w:ind w:left="1855" w:hanging="720"/>
      </w:pPr>
      <w:rPr>
        <w:rFonts w:hint="default"/>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7C6761A9"/>
    <w:multiLevelType w:val="hybridMultilevel"/>
    <w:tmpl w:val="0FA6CDA4"/>
    <w:lvl w:ilvl="0" w:tplc="93022080">
      <w:start w:val="1"/>
      <w:numFmt w:val="lowerLetter"/>
      <w:lvlText w:val="(%1)"/>
      <w:lvlJc w:val="left"/>
      <w:pPr>
        <w:ind w:left="720" w:hanging="360"/>
      </w:pPr>
      <w:rPr>
        <w:rFonts w:hint="default"/>
        <w:b w:val="0"/>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3"/>
  </w:num>
  <w:num w:numId="13">
    <w:abstractNumId w:val="12"/>
  </w:num>
  <w:num w:numId="14">
    <w:abstractNumId w:val="1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6"/>
  <w:printFractionalCharacterWidth/>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6F1"/>
    <w:rsid w:val="000041EA"/>
    <w:rsid w:val="00022A29"/>
    <w:rsid w:val="000355FD"/>
    <w:rsid w:val="00051E39"/>
    <w:rsid w:val="00063D0B"/>
    <w:rsid w:val="00077239"/>
    <w:rsid w:val="000807E9"/>
    <w:rsid w:val="00086491"/>
    <w:rsid w:val="00091346"/>
    <w:rsid w:val="0009706C"/>
    <w:rsid w:val="000F73FF"/>
    <w:rsid w:val="00114CF7"/>
    <w:rsid w:val="00123B68"/>
    <w:rsid w:val="00126F2E"/>
    <w:rsid w:val="001301F4"/>
    <w:rsid w:val="00137CF6"/>
    <w:rsid w:val="00146F6F"/>
    <w:rsid w:val="00161472"/>
    <w:rsid w:val="0017074E"/>
    <w:rsid w:val="00182117"/>
    <w:rsid w:val="00187BD9"/>
    <w:rsid w:val="00190B55"/>
    <w:rsid w:val="001B6F2B"/>
    <w:rsid w:val="001C3B5F"/>
    <w:rsid w:val="001D058F"/>
    <w:rsid w:val="001E6F73"/>
    <w:rsid w:val="002009EA"/>
    <w:rsid w:val="00202CA0"/>
    <w:rsid w:val="00216B6D"/>
    <w:rsid w:val="00236EBA"/>
    <w:rsid w:val="00250AF4"/>
    <w:rsid w:val="002524A0"/>
    <w:rsid w:val="00260B50"/>
    <w:rsid w:val="00271316"/>
    <w:rsid w:val="00290F83"/>
    <w:rsid w:val="002A1D23"/>
    <w:rsid w:val="002A5392"/>
    <w:rsid w:val="002D58BE"/>
    <w:rsid w:val="0030571D"/>
    <w:rsid w:val="00316B80"/>
    <w:rsid w:val="003251EA"/>
    <w:rsid w:val="0034635C"/>
    <w:rsid w:val="00377BD3"/>
    <w:rsid w:val="00384088"/>
    <w:rsid w:val="0039169B"/>
    <w:rsid w:val="00394470"/>
    <w:rsid w:val="003A7F8C"/>
    <w:rsid w:val="003B532E"/>
    <w:rsid w:val="003D0F8B"/>
    <w:rsid w:val="0041348E"/>
    <w:rsid w:val="00420EDB"/>
    <w:rsid w:val="004373CA"/>
    <w:rsid w:val="004420C9"/>
    <w:rsid w:val="00471EF9"/>
    <w:rsid w:val="00492075"/>
    <w:rsid w:val="004969AD"/>
    <w:rsid w:val="004A26C4"/>
    <w:rsid w:val="004B13CB"/>
    <w:rsid w:val="004B4AAE"/>
    <w:rsid w:val="004C6FBE"/>
    <w:rsid w:val="004D5D5C"/>
    <w:rsid w:val="004D6DFC"/>
    <w:rsid w:val="0050139F"/>
    <w:rsid w:val="0055140B"/>
    <w:rsid w:val="00553247"/>
    <w:rsid w:val="0056747D"/>
    <w:rsid w:val="00581B01"/>
    <w:rsid w:val="00595780"/>
    <w:rsid w:val="005964AB"/>
    <w:rsid w:val="005C099A"/>
    <w:rsid w:val="005C31A5"/>
    <w:rsid w:val="005E10C9"/>
    <w:rsid w:val="005E61DD"/>
    <w:rsid w:val="006023DF"/>
    <w:rsid w:val="00602F64"/>
    <w:rsid w:val="00623F15"/>
    <w:rsid w:val="00643684"/>
    <w:rsid w:val="00657DE0"/>
    <w:rsid w:val="0067500B"/>
    <w:rsid w:val="006763BF"/>
    <w:rsid w:val="00685313"/>
    <w:rsid w:val="00692833"/>
    <w:rsid w:val="006A6E9B"/>
    <w:rsid w:val="006B7C2A"/>
    <w:rsid w:val="006C23DA"/>
    <w:rsid w:val="006E3D45"/>
    <w:rsid w:val="006E6EE0"/>
    <w:rsid w:val="00700547"/>
    <w:rsid w:val="00707E39"/>
    <w:rsid w:val="007149F9"/>
    <w:rsid w:val="00733A30"/>
    <w:rsid w:val="00742F1D"/>
    <w:rsid w:val="00745AEE"/>
    <w:rsid w:val="00750F10"/>
    <w:rsid w:val="00761B19"/>
    <w:rsid w:val="007742CA"/>
    <w:rsid w:val="00790D70"/>
    <w:rsid w:val="007D5320"/>
    <w:rsid w:val="007E51BA"/>
    <w:rsid w:val="007E66EA"/>
    <w:rsid w:val="00800972"/>
    <w:rsid w:val="00804475"/>
    <w:rsid w:val="00811633"/>
    <w:rsid w:val="008508D8"/>
    <w:rsid w:val="00864CD2"/>
    <w:rsid w:val="00872FC8"/>
    <w:rsid w:val="008845D0"/>
    <w:rsid w:val="00895D6F"/>
    <w:rsid w:val="008A2DC1"/>
    <w:rsid w:val="008B1AEA"/>
    <w:rsid w:val="008B43F2"/>
    <w:rsid w:val="008B6CFF"/>
    <w:rsid w:val="008E67E5"/>
    <w:rsid w:val="008F08A1"/>
    <w:rsid w:val="009163CF"/>
    <w:rsid w:val="0092425C"/>
    <w:rsid w:val="009274B4"/>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CB8"/>
    <w:rsid w:val="00A4600A"/>
    <w:rsid w:val="00A538A6"/>
    <w:rsid w:val="00A54C25"/>
    <w:rsid w:val="00A710E7"/>
    <w:rsid w:val="00A7372E"/>
    <w:rsid w:val="00A93B85"/>
    <w:rsid w:val="00AA0B18"/>
    <w:rsid w:val="00AA666F"/>
    <w:rsid w:val="00AB416A"/>
    <w:rsid w:val="00AB7C5F"/>
    <w:rsid w:val="00B6324B"/>
    <w:rsid w:val="00B639E9"/>
    <w:rsid w:val="00B6667A"/>
    <w:rsid w:val="00B817CD"/>
    <w:rsid w:val="00B94AD0"/>
    <w:rsid w:val="00BA5265"/>
    <w:rsid w:val="00BB3A95"/>
    <w:rsid w:val="00BC2FB6"/>
    <w:rsid w:val="00BC7D84"/>
    <w:rsid w:val="00C0018F"/>
    <w:rsid w:val="00C0539A"/>
    <w:rsid w:val="00C16A5A"/>
    <w:rsid w:val="00C20466"/>
    <w:rsid w:val="00C214ED"/>
    <w:rsid w:val="00C234E6"/>
    <w:rsid w:val="00C324A8"/>
    <w:rsid w:val="00C479FD"/>
    <w:rsid w:val="00C54517"/>
    <w:rsid w:val="00C64CD8"/>
    <w:rsid w:val="00C72D5C"/>
    <w:rsid w:val="00C77E1A"/>
    <w:rsid w:val="00C97C68"/>
    <w:rsid w:val="00CA1A47"/>
    <w:rsid w:val="00CC247A"/>
    <w:rsid w:val="00CD7CC4"/>
    <w:rsid w:val="00CE388F"/>
    <w:rsid w:val="00CE5E47"/>
    <w:rsid w:val="00CF020F"/>
    <w:rsid w:val="00CF1E9D"/>
    <w:rsid w:val="00CF2B5B"/>
    <w:rsid w:val="00D14CE0"/>
    <w:rsid w:val="00D278AC"/>
    <w:rsid w:val="00D54009"/>
    <w:rsid w:val="00D5651D"/>
    <w:rsid w:val="00D57A34"/>
    <w:rsid w:val="00D643B3"/>
    <w:rsid w:val="00D74898"/>
    <w:rsid w:val="00D801ED"/>
    <w:rsid w:val="00D936BC"/>
    <w:rsid w:val="00D96530"/>
    <w:rsid w:val="00DD44AF"/>
    <w:rsid w:val="00DE2AC3"/>
    <w:rsid w:val="00DE5692"/>
    <w:rsid w:val="00DF3E19"/>
    <w:rsid w:val="00E0231F"/>
    <w:rsid w:val="00E03C94"/>
    <w:rsid w:val="00E2134A"/>
    <w:rsid w:val="00E26226"/>
    <w:rsid w:val="00E45D05"/>
    <w:rsid w:val="00E55816"/>
    <w:rsid w:val="00E55AEF"/>
    <w:rsid w:val="00E870AC"/>
    <w:rsid w:val="00E976C1"/>
    <w:rsid w:val="00EA12E5"/>
    <w:rsid w:val="00EB55C6"/>
    <w:rsid w:val="00EC7F04"/>
    <w:rsid w:val="00ED30BC"/>
    <w:rsid w:val="00F02766"/>
    <w:rsid w:val="00F05BD4"/>
    <w:rsid w:val="00F2404A"/>
    <w:rsid w:val="00F60D05"/>
    <w:rsid w:val="00F6155B"/>
    <w:rsid w:val="00F65C19"/>
    <w:rsid w:val="00F7356B"/>
    <w:rsid w:val="00F80977"/>
    <w:rsid w:val="00F83F75"/>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C72D5C"/>
    <w:pPr>
      <w:tabs>
        <w:tab w:val="left" w:pos="851"/>
      </w:tabs>
      <w:spacing w:before="0" w:line="240" w:lineRule="atLeast"/>
    </w:pPr>
    <w:rPr>
      <w:rFonts w:cstheme="minorHAnsi"/>
      <w:b/>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EA12E5"/>
    <w:pPr>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DE2AC3"/>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pPr>
      <w:jc w:val="center"/>
    </w:pPr>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30571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C4DE2"/>
    <w:rsid w:val="002B79AF"/>
    <w:rsid w:val="00347F90"/>
    <w:rsid w:val="00412379"/>
    <w:rsid w:val="00426CEF"/>
    <w:rsid w:val="0055704D"/>
    <w:rsid w:val="008A7E6B"/>
    <w:rsid w:val="00BC7DBA"/>
    <w:rsid w:val="00D17A5E"/>
    <w:rsid w:val="00D26B4A"/>
    <w:rsid w:val="00E05AC0"/>
    <w:rsid w:val="00EA6104"/>
    <w:rsid w:val="00F66C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595fdf2a-debb-49df-b204-ad0bf110aa60" targetNamespace="http://schemas.microsoft.com/office/2006/metadata/properties" ma:root="true" ma:fieldsID="d41af5c836d734370eb92e7ee5f83852" ns2:_="" ns3:_="">
    <xsd:import namespace="996b2e75-67fd-4955-a3b0-5ab9934cb50b"/>
    <xsd:import namespace="595fdf2a-debb-49df-b204-ad0bf110aa60"/>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595fdf2a-debb-49df-b204-ad0bf110aa60"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595fdf2a-debb-49df-b204-ad0bf110aa60">Documents Proposals Manager (DPM)</DPM_x0020_Author>
    <DPM_x0020_File_x0020_name xmlns="595fdf2a-debb-49df-b204-ad0bf110aa60">T13-WTSA.16-C-0040!!MSW-E</DPM_x0020_File_x0020_name>
    <DPM_x0020_Version xmlns="595fdf2a-debb-49df-b204-ad0bf110aa60">DPM_v2016.6.15.1_prod</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595fdf2a-debb-49df-b204-ad0bf110aa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purl.org/dc/terms/"/>
    <ds:schemaRef ds:uri="http://schemas.microsoft.com/office/2006/documentManagement/types"/>
    <ds:schemaRef ds:uri="http://schemas.microsoft.com/office/2006/metadata/properties"/>
    <ds:schemaRef ds:uri="http://purl.org/dc/elements/1.1/"/>
    <ds:schemaRef ds:uri="595fdf2a-debb-49df-b204-ad0bf110aa60"/>
    <ds:schemaRef ds:uri="996b2e75-67fd-4955-a3b0-5ab9934cb50b"/>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1118</Words>
  <Characters>6872</Characters>
  <Application>Microsoft Office Word</Application>
  <DocSecurity>0</DocSecurity>
  <Lines>57</Lines>
  <Paragraphs>15</Paragraphs>
  <ScaleCrop>false</ScaleCrop>
  <HeadingPairs>
    <vt:vector size="2" baseType="variant">
      <vt:variant>
        <vt:lpstr>Title</vt:lpstr>
      </vt:variant>
      <vt:variant>
        <vt:i4>1</vt:i4>
      </vt:variant>
    </vt:vector>
  </HeadingPairs>
  <TitlesOfParts>
    <vt:vector size="1" baseType="lpstr">
      <vt:lpstr>T13-WTSA.16-C-0040!!MSW-E</vt:lpstr>
    </vt:vector>
  </TitlesOfParts>
  <Manager>General Secretariat - Pool</Manager>
  <Company>International Telecommunication Union (ITU)</Company>
  <LinksUpToDate>false</LinksUpToDate>
  <CharactersWithSpaces>7975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T13-WTSA.16-C-0040!!MSW-E</dc:title>
  <dc:subject>World Telecommunication Standardization Assembly</dc:subject>
  <dc:creator>Documents Proposals Manager (DPM)</dc:creator>
  <cp:keywords>DPM_v2016.6.15.1_prod</cp:keywords>
  <dc:description>Template used by DPM and CPI for the WTSA-16</dc:description>
  <cp:lastModifiedBy>Clark, Robert</cp:lastModifiedBy>
  <cp:revision>5</cp:revision>
  <cp:lastPrinted>2016-06-06T07:49:00Z</cp:lastPrinted>
  <dcterms:created xsi:type="dcterms:W3CDTF">2016-06-16T13:54:00Z</dcterms:created>
  <dcterms:modified xsi:type="dcterms:W3CDTF">2016-06-21T10:21:00Z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