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B97A87" w:rsidTr="00190D8B">
        <w:trPr>
          <w:cantSplit/>
        </w:trPr>
        <w:tc>
          <w:tcPr>
            <w:tcW w:w="1560" w:type="dxa"/>
          </w:tcPr>
          <w:p w:rsidR="00261604" w:rsidRPr="00B97A8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B97A87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B97A87" w:rsidRDefault="00261604" w:rsidP="00027B11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97A8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B97A8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B97A87">
              <w:rPr>
                <w:rFonts w:ascii="Verdana" w:hAnsi="Verdana" w:cs="Arial"/>
                <w:b/>
                <w:bCs/>
                <w:sz w:val="18"/>
                <w:szCs w:val="18"/>
              </w:rPr>
              <w:t>Ясмин</w:t>
            </w:r>
            <w:r w:rsidR="00027B11" w:rsidRPr="00B97A87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  <w:r w:rsidRPr="00B97A8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B97A8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B97A87" w:rsidRDefault="00261604" w:rsidP="00190D8B">
            <w:pPr>
              <w:spacing w:line="240" w:lineRule="atLeast"/>
              <w:jc w:val="right"/>
            </w:pPr>
            <w:r w:rsidRPr="00B97A87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97A87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B97A8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B97A8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97A87" w:rsidTr="00190D8B">
        <w:trPr>
          <w:cantSplit/>
        </w:trPr>
        <w:tc>
          <w:tcPr>
            <w:tcW w:w="6946" w:type="dxa"/>
            <w:gridSpan w:val="2"/>
          </w:tcPr>
          <w:p w:rsidR="00E11080" w:rsidRPr="00B97A8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97A8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B97A8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97A87">
              <w:rPr>
                <w:rFonts w:ascii="Verdana" w:hAnsi="Verdana"/>
                <w:b/>
                <w:bCs/>
                <w:sz w:val="18"/>
                <w:szCs w:val="18"/>
              </w:rPr>
              <w:t>Документ 39-R</w:t>
            </w:r>
          </w:p>
        </w:tc>
      </w:tr>
      <w:tr w:rsidR="00E11080" w:rsidRPr="00B97A87" w:rsidTr="00190D8B">
        <w:trPr>
          <w:cantSplit/>
        </w:trPr>
        <w:tc>
          <w:tcPr>
            <w:tcW w:w="6946" w:type="dxa"/>
            <w:gridSpan w:val="2"/>
          </w:tcPr>
          <w:p w:rsidR="00E11080" w:rsidRPr="00B97A8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B97A87" w:rsidRDefault="00B97A87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Июнь</w:t>
            </w:r>
            <w:r w:rsidR="00E11080" w:rsidRPr="00B97A87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B97A87" w:rsidTr="00190D8B">
        <w:trPr>
          <w:cantSplit/>
        </w:trPr>
        <w:tc>
          <w:tcPr>
            <w:tcW w:w="6946" w:type="dxa"/>
            <w:gridSpan w:val="2"/>
          </w:tcPr>
          <w:p w:rsidR="00E11080" w:rsidRPr="00B97A8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B97A87" w:rsidRDefault="00E11080" w:rsidP="00B97A8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97A8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B97A87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</w:p>
        </w:tc>
      </w:tr>
      <w:tr w:rsidR="00E11080" w:rsidRPr="00B97A87" w:rsidTr="00190D8B">
        <w:trPr>
          <w:cantSplit/>
        </w:trPr>
        <w:tc>
          <w:tcPr>
            <w:tcW w:w="9781" w:type="dxa"/>
            <w:gridSpan w:val="4"/>
          </w:tcPr>
          <w:p w:rsidR="00E11080" w:rsidRPr="00B97A8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97A87" w:rsidTr="00190D8B">
        <w:trPr>
          <w:cantSplit/>
        </w:trPr>
        <w:tc>
          <w:tcPr>
            <w:tcW w:w="9781" w:type="dxa"/>
            <w:gridSpan w:val="4"/>
          </w:tcPr>
          <w:p w:rsidR="00E11080" w:rsidRPr="00B97A87" w:rsidRDefault="00E11080" w:rsidP="00B97A87">
            <w:pPr>
              <w:pStyle w:val="Source"/>
            </w:pPr>
            <w:r w:rsidRPr="00B97A87">
              <w:t>3-я Исследовательская комиссия МСЭ-Т</w:t>
            </w:r>
          </w:p>
        </w:tc>
      </w:tr>
      <w:tr w:rsidR="00E11080" w:rsidRPr="00B97A87" w:rsidTr="00190D8B">
        <w:trPr>
          <w:cantSplit/>
        </w:trPr>
        <w:tc>
          <w:tcPr>
            <w:tcW w:w="9781" w:type="dxa"/>
            <w:gridSpan w:val="4"/>
          </w:tcPr>
          <w:p w:rsidR="00E11080" w:rsidRPr="00B97A87" w:rsidRDefault="00C76840" w:rsidP="00B97A87">
            <w:pPr>
              <w:pStyle w:val="Title1"/>
            </w:pPr>
            <w:r w:rsidRPr="00B97A87">
              <w:t>проект новой рекомендации мсэ</w:t>
            </w:r>
            <w:r w:rsidR="00E11080" w:rsidRPr="00B97A87">
              <w:t>-T D.97 "</w:t>
            </w:r>
            <w:r w:rsidRPr="00B97A87">
              <w:t>Методологические принципы определения такс на международный мобильный роуминг</w:t>
            </w:r>
            <w:r w:rsidR="00E11080" w:rsidRPr="00B97A87">
              <w:t>"</w:t>
            </w:r>
            <w:r w:rsidR="00B97A87">
              <w:t>, ПРЕДЛОЖЕННЫЙ ДЛЯ УТВЕРЖДЕНИЯ НА ВАСЭ-16</w:t>
            </w:r>
          </w:p>
        </w:tc>
      </w:tr>
      <w:tr w:rsidR="00E11080" w:rsidRPr="00B97A87" w:rsidTr="00190D8B">
        <w:trPr>
          <w:cantSplit/>
        </w:trPr>
        <w:tc>
          <w:tcPr>
            <w:tcW w:w="9781" w:type="dxa"/>
            <w:gridSpan w:val="4"/>
          </w:tcPr>
          <w:p w:rsidR="00E11080" w:rsidRPr="00B97A87" w:rsidRDefault="00E11080" w:rsidP="00190D8B">
            <w:pPr>
              <w:pStyle w:val="Title2"/>
            </w:pPr>
          </w:p>
        </w:tc>
      </w:tr>
      <w:tr w:rsidR="00E11080" w:rsidRPr="00B97A87" w:rsidTr="00190D8B">
        <w:trPr>
          <w:cantSplit/>
        </w:trPr>
        <w:tc>
          <w:tcPr>
            <w:tcW w:w="9781" w:type="dxa"/>
            <w:gridSpan w:val="4"/>
          </w:tcPr>
          <w:p w:rsidR="00E11080" w:rsidRPr="00B97A8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97A8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97A87" w:rsidTr="00193AD1">
        <w:trPr>
          <w:cantSplit/>
        </w:trPr>
        <w:tc>
          <w:tcPr>
            <w:tcW w:w="1560" w:type="dxa"/>
          </w:tcPr>
          <w:p w:rsidR="001434F1" w:rsidRPr="00B97A87" w:rsidRDefault="001434F1" w:rsidP="00193AD1">
            <w:r w:rsidRPr="00B97A87">
              <w:rPr>
                <w:b/>
                <w:bCs/>
                <w:szCs w:val="22"/>
              </w:rPr>
              <w:t>Резюме</w:t>
            </w:r>
            <w:r w:rsidRPr="00B97A8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97A87" w:rsidRDefault="00B97A87" w:rsidP="00B97A87">
                <w:r>
                  <w:t xml:space="preserve">В Документе 39 ВАСЭ-16 приводится проект новой Рекомендации МСЭ-Т </w:t>
                </w:r>
                <w:r>
                  <w:rPr>
                    <w:lang w:val="en-US"/>
                  </w:rPr>
                  <w:t>D.</w:t>
                </w:r>
                <w:r>
                  <w:t>97 для утверждения на ВАСЭ-16. Содержание данного документа идентично содержанию Документа </w:t>
                </w:r>
                <w:r w:rsidR="00C76840" w:rsidRPr="00B97A87">
                  <w:t>COM</w:t>
                </w:r>
                <w:r>
                  <w:t xml:space="preserve"> </w:t>
                </w:r>
                <w:r w:rsidR="00C76840" w:rsidRPr="00B97A87">
                  <w:t>3</w:t>
                </w:r>
                <w:r>
                  <w:t xml:space="preserve"> −</w:t>
                </w:r>
                <w:r w:rsidR="00C76840" w:rsidRPr="00B97A87">
                  <w:t xml:space="preserve"> R</w:t>
                </w:r>
                <w:r>
                  <w:t xml:space="preserve"> </w:t>
                </w:r>
                <w:r w:rsidR="00C76840" w:rsidRPr="00B97A87">
                  <w:t>20.</w:t>
                </w:r>
              </w:p>
            </w:tc>
          </w:sdtContent>
        </w:sdt>
      </w:tr>
    </w:tbl>
    <w:p w:rsidR="0092220F" w:rsidRPr="00B97A87" w:rsidRDefault="0092220F" w:rsidP="00B97A87"/>
    <w:p w:rsidR="0092220F" w:rsidRPr="00B97A87" w:rsidRDefault="0092220F" w:rsidP="00B97A87">
      <w:r w:rsidRPr="00B97A87">
        <w:br w:type="page"/>
      </w:r>
    </w:p>
    <w:p w:rsidR="001321F9" w:rsidRPr="00B97A87" w:rsidRDefault="00C76840">
      <w:pPr>
        <w:pStyle w:val="Proposal"/>
      </w:pPr>
      <w:r w:rsidRPr="00B97A87">
        <w:lastRenderedPageBreak/>
        <w:t>ADD</w:t>
      </w:r>
      <w:r w:rsidRPr="00B97A87">
        <w:tab/>
        <w:t>SG3/39/1</w:t>
      </w:r>
    </w:p>
    <w:p w:rsidR="00C76840" w:rsidRPr="00B97A87" w:rsidRDefault="00C76840" w:rsidP="00434D03">
      <w:pPr>
        <w:pStyle w:val="RecNo"/>
      </w:pPr>
      <w:r w:rsidRPr="00B97A87">
        <w:t xml:space="preserve">Проект Рекомендации МСЭ-T D.97 </w:t>
      </w:r>
    </w:p>
    <w:p w:rsidR="00C76840" w:rsidRPr="00B97A87" w:rsidRDefault="00C76840" w:rsidP="00434D03">
      <w:pPr>
        <w:pStyle w:val="Rectitle"/>
      </w:pPr>
      <w:r w:rsidRPr="00B97A87">
        <w:t xml:space="preserve">Методологические принципы определения такс </w:t>
      </w:r>
      <w:r w:rsidRPr="00B97A87">
        <w:br/>
        <w:t xml:space="preserve">на международный мобильный роуминг </w:t>
      </w:r>
    </w:p>
    <w:p w:rsidR="00C76840" w:rsidRPr="00B97A87" w:rsidRDefault="00C76840" w:rsidP="00C76840">
      <w:pPr>
        <w:pStyle w:val="Headingb"/>
        <w:rPr>
          <w:lang w:val="ru-RU"/>
        </w:rPr>
      </w:pPr>
      <w:r w:rsidRPr="00B97A87">
        <w:rPr>
          <w:lang w:val="ru-RU"/>
        </w:rPr>
        <w:t>Резюме</w:t>
      </w:r>
    </w:p>
    <w:p w:rsidR="00C76840" w:rsidRPr="00B97A87" w:rsidRDefault="00C76840" w:rsidP="00C76840">
      <w:r w:rsidRPr="00B97A87">
        <w:t>В Рекомендации МСЭ-Т D.97 "Методологические принципы определения такс на международный мобильный роуминг" предлагается возможный подход к сокращению чрезмерно высоких такс на 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цен на роуминг.</w:t>
      </w:r>
    </w:p>
    <w:p w:rsidR="00C76840" w:rsidRPr="00B97A87" w:rsidRDefault="00C76840" w:rsidP="00C76840">
      <w:pPr>
        <w:pStyle w:val="Headingb"/>
        <w:rPr>
          <w:lang w:val="ru-RU"/>
        </w:rPr>
      </w:pPr>
      <w:r w:rsidRPr="00B97A87">
        <w:rPr>
          <w:lang w:val="ru-RU"/>
        </w:rPr>
        <w:t>Ключевые слова</w:t>
      </w:r>
    </w:p>
    <w:p w:rsidR="00C76840" w:rsidRPr="00B97A87" w:rsidRDefault="00C76840" w:rsidP="00C76840">
      <w:r w:rsidRPr="00B97A87">
        <w:t>&lt;Факультативно&gt;</w:t>
      </w:r>
    </w:p>
    <w:p w:rsidR="00B97A87" w:rsidRPr="00B97A87" w:rsidRDefault="00B97A87" w:rsidP="00B97A87">
      <w:r w:rsidRPr="00B97A87">
        <w:br w:type="page"/>
      </w:r>
    </w:p>
    <w:p w:rsidR="00C76840" w:rsidRPr="00B97A87" w:rsidRDefault="00C76840" w:rsidP="00B97A87">
      <w:pPr>
        <w:jc w:val="center"/>
        <w:rPr>
          <w:b/>
          <w:bCs/>
        </w:rPr>
      </w:pPr>
      <w:r w:rsidRPr="00B97A87">
        <w:rPr>
          <w:b/>
          <w:bCs/>
        </w:rPr>
        <w:lastRenderedPageBreak/>
        <w:t>Содержание</w:t>
      </w:r>
    </w:p>
    <w:p w:rsidR="00C76840" w:rsidRPr="00B97A87" w:rsidRDefault="00C76840" w:rsidP="00C76840">
      <w:pPr>
        <w:jc w:val="right"/>
        <w:rPr>
          <w:b/>
          <w:bCs/>
        </w:rPr>
      </w:pPr>
      <w:r w:rsidRPr="00B97A87">
        <w:rPr>
          <w:b/>
          <w:bCs/>
        </w:rPr>
        <w:t>Стр</w:t>
      </w:r>
      <w:r w:rsidRPr="00B97A87">
        <w:t>.</w:t>
      </w:r>
    </w:p>
    <w:p w:rsidR="00C76840" w:rsidRPr="00B97A87" w:rsidRDefault="00C76840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B97A87">
        <w:rPr>
          <w:rFonts w:eastAsia="Batang"/>
          <w:sz w:val="24"/>
        </w:rPr>
        <w:fldChar w:fldCharType="begin"/>
      </w:r>
      <w:r w:rsidRPr="00B97A87">
        <w:instrText xml:space="preserve"> TOC \o "1-3" \h \z \u </w:instrText>
      </w:r>
      <w:r w:rsidRPr="00B97A87">
        <w:rPr>
          <w:rFonts w:eastAsia="Batang"/>
          <w:sz w:val="24"/>
        </w:rPr>
        <w:fldChar w:fldCharType="separate"/>
      </w:r>
      <w:hyperlink w:anchor="_Toc447790017" w:history="1">
        <w:r w:rsidRPr="00B97A87">
          <w:rPr>
            <w:rStyle w:val="Hyperlink"/>
            <w:noProof/>
          </w:rPr>
          <w:t>Введение</w:t>
        </w:r>
        <w:r w:rsidRPr="00B97A87">
          <w:rPr>
            <w:noProof/>
            <w:webHidden/>
          </w:rPr>
          <w:tab/>
        </w:r>
        <w:r w:rsidRPr="00B97A87">
          <w:rPr>
            <w:noProof/>
            <w:webHidden/>
          </w:rPr>
          <w:tab/>
        </w:r>
        <w:r w:rsidRPr="00B97A87">
          <w:rPr>
            <w:noProof/>
            <w:webHidden/>
          </w:rPr>
          <w:fldChar w:fldCharType="begin"/>
        </w:r>
        <w:r w:rsidRPr="00B97A87">
          <w:rPr>
            <w:noProof/>
            <w:webHidden/>
          </w:rPr>
          <w:instrText xml:space="preserve"> PAGEREF _Toc447790017 \h </w:instrText>
        </w:r>
        <w:r w:rsidRPr="00B97A87">
          <w:rPr>
            <w:noProof/>
            <w:webHidden/>
          </w:rPr>
        </w:r>
        <w:r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4</w:t>
        </w:r>
        <w:r w:rsidRPr="00B97A87">
          <w:rPr>
            <w:noProof/>
            <w:webHidden/>
          </w:rPr>
          <w:fldChar w:fldCharType="end"/>
        </w:r>
      </w:hyperlink>
    </w:p>
    <w:p w:rsidR="00C76840" w:rsidRPr="00B97A87" w:rsidRDefault="00307A1B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47790018" w:history="1">
        <w:r w:rsidR="00C76840" w:rsidRPr="00B97A87">
          <w:rPr>
            <w:rStyle w:val="Hyperlink"/>
            <w:noProof/>
            <w:snapToGrid w:val="0"/>
          </w:rPr>
          <w:t>1</w:t>
        </w:r>
        <w:r w:rsidR="00C76840" w:rsidRPr="00B97A87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C76840" w:rsidRPr="00B97A87">
          <w:rPr>
            <w:rStyle w:val="Hyperlink"/>
            <w:noProof/>
            <w:snapToGrid w:val="0"/>
          </w:rPr>
          <w:t xml:space="preserve">Сфера </w:t>
        </w:r>
        <w:r w:rsidR="00C76840" w:rsidRPr="00B97A87">
          <w:rPr>
            <w:rStyle w:val="Hyperlink"/>
            <w:noProof/>
          </w:rPr>
          <w:t>применения</w:t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fldChar w:fldCharType="begin"/>
        </w:r>
        <w:r w:rsidR="00C76840" w:rsidRPr="00B97A87">
          <w:rPr>
            <w:noProof/>
            <w:webHidden/>
          </w:rPr>
          <w:instrText xml:space="preserve"> PAGEREF _Toc447790018 \h </w:instrText>
        </w:r>
        <w:r w:rsidR="00C76840" w:rsidRPr="00B97A87">
          <w:rPr>
            <w:noProof/>
            <w:webHidden/>
          </w:rPr>
        </w:r>
        <w:r w:rsidR="00C76840"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5</w:t>
        </w:r>
        <w:r w:rsidR="00C76840" w:rsidRPr="00B97A87">
          <w:rPr>
            <w:noProof/>
            <w:webHidden/>
          </w:rPr>
          <w:fldChar w:fldCharType="end"/>
        </w:r>
      </w:hyperlink>
    </w:p>
    <w:p w:rsidR="00C76840" w:rsidRPr="00B97A87" w:rsidRDefault="00307A1B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47790019" w:history="1">
        <w:r w:rsidR="00C76840" w:rsidRPr="00B97A87">
          <w:rPr>
            <w:rStyle w:val="Hyperlink"/>
            <w:noProof/>
            <w:snapToGrid w:val="0"/>
          </w:rPr>
          <w:t>2</w:t>
        </w:r>
        <w:r w:rsidR="00C76840" w:rsidRPr="00B97A87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C76840" w:rsidRPr="00B97A87">
          <w:rPr>
            <w:rStyle w:val="Hyperlink"/>
            <w:noProof/>
            <w:snapToGrid w:val="0"/>
          </w:rPr>
          <w:t>Справочные документы</w:t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fldChar w:fldCharType="begin"/>
        </w:r>
        <w:r w:rsidR="00C76840" w:rsidRPr="00B97A87">
          <w:rPr>
            <w:noProof/>
            <w:webHidden/>
          </w:rPr>
          <w:instrText xml:space="preserve"> PAGEREF _Toc447790019 \h </w:instrText>
        </w:r>
        <w:r w:rsidR="00C76840" w:rsidRPr="00B97A87">
          <w:rPr>
            <w:noProof/>
            <w:webHidden/>
          </w:rPr>
        </w:r>
        <w:r w:rsidR="00C76840"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5</w:t>
        </w:r>
        <w:r w:rsidR="00C76840" w:rsidRPr="00B97A87">
          <w:rPr>
            <w:noProof/>
            <w:webHidden/>
          </w:rPr>
          <w:fldChar w:fldCharType="end"/>
        </w:r>
      </w:hyperlink>
    </w:p>
    <w:p w:rsidR="00C76840" w:rsidRPr="00B97A87" w:rsidRDefault="00307A1B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47790020" w:history="1">
        <w:r w:rsidR="00C76840" w:rsidRPr="00B97A87">
          <w:rPr>
            <w:rStyle w:val="Hyperlink"/>
            <w:noProof/>
            <w:snapToGrid w:val="0"/>
          </w:rPr>
          <w:t>3</w:t>
        </w:r>
        <w:r w:rsidR="00C76840" w:rsidRPr="00B97A87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C76840" w:rsidRPr="00B97A87">
          <w:rPr>
            <w:rStyle w:val="Hyperlink"/>
            <w:noProof/>
            <w:snapToGrid w:val="0"/>
          </w:rPr>
          <w:t>Определения</w:t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fldChar w:fldCharType="begin"/>
        </w:r>
        <w:r w:rsidR="00C76840" w:rsidRPr="00B97A87">
          <w:rPr>
            <w:noProof/>
            <w:webHidden/>
          </w:rPr>
          <w:instrText xml:space="preserve"> PAGEREF _Toc447790020 \h </w:instrText>
        </w:r>
        <w:r w:rsidR="00C76840" w:rsidRPr="00B97A87">
          <w:rPr>
            <w:noProof/>
            <w:webHidden/>
          </w:rPr>
        </w:r>
        <w:r w:rsidR="00C76840"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5</w:t>
        </w:r>
        <w:r w:rsidR="00C76840" w:rsidRPr="00B97A87">
          <w:rPr>
            <w:noProof/>
            <w:webHidden/>
          </w:rPr>
          <w:fldChar w:fldCharType="end"/>
        </w:r>
      </w:hyperlink>
    </w:p>
    <w:p w:rsidR="00C76840" w:rsidRPr="00B97A87" w:rsidRDefault="00307A1B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47790021" w:history="1">
        <w:r w:rsidR="00C76840" w:rsidRPr="00B97A87">
          <w:rPr>
            <w:rStyle w:val="Hyperlink"/>
            <w:noProof/>
          </w:rPr>
          <w:t>4</w:t>
        </w:r>
        <w:r w:rsidR="00C76840" w:rsidRPr="00B97A87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C76840" w:rsidRPr="00B97A87">
          <w:rPr>
            <w:rStyle w:val="Hyperlink"/>
            <w:noProof/>
          </w:rPr>
          <w:t>Сокращения</w:t>
        </w:r>
        <w:r w:rsidR="00C76840" w:rsidRPr="00B97A87">
          <w:rPr>
            <w:rStyle w:val="Hyperlink"/>
            <w:noProof/>
            <w:snapToGrid w:val="0"/>
          </w:rPr>
          <w:t xml:space="preserve"> и акронимы</w:t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fldChar w:fldCharType="begin"/>
        </w:r>
        <w:r w:rsidR="00C76840" w:rsidRPr="00B97A87">
          <w:rPr>
            <w:noProof/>
            <w:webHidden/>
          </w:rPr>
          <w:instrText xml:space="preserve"> PAGEREF _Toc447790021 \h </w:instrText>
        </w:r>
        <w:r w:rsidR="00C76840" w:rsidRPr="00B97A87">
          <w:rPr>
            <w:noProof/>
            <w:webHidden/>
          </w:rPr>
        </w:r>
        <w:r w:rsidR="00C76840"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6</w:t>
        </w:r>
        <w:r w:rsidR="00C76840" w:rsidRPr="00B97A87">
          <w:rPr>
            <w:noProof/>
            <w:webHidden/>
          </w:rPr>
          <w:fldChar w:fldCharType="end"/>
        </w:r>
      </w:hyperlink>
    </w:p>
    <w:p w:rsidR="00C76840" w:rsidRPr="00B97A87" w:rsidRDefault="00307A1B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47790022" w:history="1">
        <w:r w:rsidR="00C76840" w:rsidRPr="00B97A87">
          <w:rPr>
            <w:rStyle w:val="Hyperlink"/>
            <w:noProof/>
            <w:snapToGrid w:val="0"/>
          </w:rPr>
          <w:t>5</w:t>
        </w:r>
        <w:r w:rsidR="00C76840" w:rsidRPr="00B97A87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C76840" w:rsidRPr="00B97A87">
          <w:rPr>
            <w:rStyle w:val="Hyperlink"/>
            <w:noProof/>
            <w:snapToGrid w:val="0"/>
          </w:rPr>
          <w:t>Надлежащие регуляторные меры</w:t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fldChar w:fldCharType="begin"/>
        </w:r>
        <w:r w:rsidR="00C76840" w:rsidRPr="00B97A87">
          <w:rPr>
            <w:noProof/>
            <w:webHidden/>
          </w:rPr>
          <w:instrText xml:space="preserve"> PAGEREF _Toc447790022 \h </w:instrText>
        </w:r>
        <w:r w:rsidR="00C76840" w:rsidRPr="00B97A87">
          <w:rPr>
            <w:noProof/>
            <w:webHidden/>
          </w:rPr>
        </w:r>
        <w:r w:rsidR="00C76840"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6</w:t>
        </w:r>
        <w:r w:rsidR="00C76840" w:rsidRPr="00B97A87">
          <w:rPr>
            <w:noProof/>
            <w:webHidden/>
          </w:rPr>
          <w:fldChar w:fldCharType="end"/>
        </w:r>
      </w:hyperlink>
    </w:p>
    <w:p w:rsidR="00C76840" w:rsidRPr="00B97A87" w:rsidRDefault="00307A1B" w:rsidP="00C7684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left" w:leader="dot" w:pos="8789"/>
          <w:tab w:val="right" w:pos="9639"/>
        </w:tabs>
        <w:ind w:right="851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447790023" w:history="1">
        <w:r w:rsidR="00C76840" w:rsidRPr="00B97A87">
          <w:rPr>
            <w:rStyle w:val="Hyperlink"/>
            <w:noProof/>
            <w:lang w:eastAsia="ja-JP"/>
          </w:rPr>
          <w:t>6</w:t>
        </w:r>
        <w:r w:rsidR="00C76840" w:rsidRPr="00B97A87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C76840" w:rsidRPr="00B97A87">
          <w:rPr>
            <w:rStyle w:val="Hyperlink"/>
            <w:noProof/>
            <w:lang w:eastAsia="ja-JP"/>
          </w:rPr>
          <w:t xml:space="preserve">Методологические </w:t>
        </w:r>
        <w:r w:rsidR="00C76840" w:rsidRPr="00B97A87">
          <w:rPr>
            <w:rStyle w:val="Hyperlink"/>
            <w:noProof/>
          </w:rPr>
          <w:t>принципы</w:t>
        </w:r>
        <w:r w:rsidR="00C76840" w:rsidRPr="00B97A87">
          <w:rPr>
            <w:rStyle w:val="Hyperlink"/>
            <w:noProof/>
            <w:lang w:eastAsia="ja-JP"/>
          </w:rPr>
          <w:t xml:space="preserve"> определения </w:t>
        </w:r>
        <w:r w:rsidR="00C76840" w:rsidRPr="00B97A87">
          <w:rPr>
            <w:rStyle w:val="Hyperlink"/>
            <w:noProof/>
            <w:snapToGrid w:val="0"/>
          </w:rPr>
          <w:t>такс на международный мобильный роуминг</w:t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tab/>
        </w:r>
        <w:r w:rsidR="00C76840" w:rsidRPr="00B97A87">
          <w:rPr>
            <w:noProof/>
            <w:webHidden/>
          </w:rPr>
          <w:fldChar w:fldCharType="begin"/>
        </w:r>
        <w:r w:rsidR="00C76840" w:rsidRPr="00B97A87">
          <w:rPr>
            <w:noProof/>
            <w:webHidden/>
          </w:rPr>
          <w:instrText xml:space="preserve"> PAGEREF _Toc447790023 \h </w:instrText>
        </w:r>
        <w:r w:rsidR="00C76840" w:rsidRPr="00B97A87">
          <w:rPr>
            <w:noProof/>
            <w:webHidden/>
          </w:rPr>
        </w:r>
        <w:r w:rsidR="00C76840" w:rsidRPr="00B97A87">
          <w:rPr>
            <w:noProof/>
            <w:webHidden/>
          </w:rPr>
          <w:fldChar w:fldCharType="separate"/>
        </w:r>
        <w:r w:rsidR="00B97A87">
          <w:rPr>
            <w:noProof/>
            <w:webHidden/>
          </w:rPr>
          <w:t>6</w:t>
        </w:r>
        <w:r w:rsidR="00C76840" w:rsidRPr="00B97A87">
          <w:rPr>
            <w:noProof/>
            <w:webHidden/>
          </w:rPr>
          <w:fldChar w:fldCharType="end"/>
        </w:r>
      </w:hyperlink>
    </w:p>
    <w:p w:rsidR="00B97A87" w:rsidRPr="00B97A87" w:rsidRDefault="00C76840" w:rsidP="00B97A87">
      <w:r w:rsidRPr="00B97A87">
        <w:fldChar w:fldCharType="end"/>
      </w:r>
    </w:p>
    <w:p w:rsidR="00B97A87" w:rsidRPr="00B97A87" w:rsidRDefault="00B97A87" w:rsidP="00B97A87">
      <w:r w:rsidRPr="00B97A87">
        <w:br w:type="page"/>
      </w:r>
    </w:p>
    <w:p w:rsidR="00C76840" w:rsidRPr="00B97A87" w:rsidRDefault="00C76840" w:rsidP="00C76840">
      <w:pPr>
        <w:pStyle w:val="Heading1"/>
        <w:pageBreakBefore/>
        <w:rPr>
          <w:lang w:val="ru-RU"/>
        </w:rPr>
      </w:pPr>
      <w:bookmarkStart w:id="1" w:name="_Toc447790017"/>
      <w:r w:rsidRPr="00B97A87">
        <w:rPr>
          <w:lang w:val="ru-RU"/>
        </w:rPr>
        <w:lastRenderedPageBreak/>
        <w:t>Введение</w:t>
      </w:r>
      <w:bookmarkEnd w:id="1"/>
    </w:p>
    <w:p w:rsidR="00C76840" w:rsidRPr="00B97A87" w:rsidRDefault="00C76840" w:rsidP="00C76840">
      <w:r w:rsidRPr="00B97A87">
        <w:t>Неуклонно возрастет зависимость экономики от надежных, рентабельных, конкурентных и доступных в ценовом отношении технологий подвижной связи в глобальном масштабе. Вместе с тем оптовые тарифы на международный мобильный роуминг (ММР) отделены, как правило, от лежащих в их основе затрат, что может воздействовать на розничные тарифы, включая несогласованный и произвольный размер платы. Это, в свою очередь, может препятствовать конкуренции на рынке, а также воздействовать на инновации, благополучие потребителей, торговлю и экономику в целом. Если в результате этого возрастают таксы на международный роуминг (например, когда получаемые счета вызывают шок), национальным регуляторным органам полезно глубже понимать фактические затраты, которые несут операторы на оптовом и розничном уровнях в связи с обеспечением услуг международного роуминга.</w:t>
      </w:r>
    </w:p>
    <w:p w:rsidR="00C76840" w:rsidRPr="00B97A87" w:rsidRDefault="00C76840" w:rsidP="00C76840">
      <w:r w:rsidRPr="00B97A87">
        <w:t>Рекомендация МСЭ</w:t>
      </w:r>
      <w:r w:rsidRPr="00B97A87">
        <w:noBreakHyphen/>
        <w:t>T D.98 – это соглашение, которое заключили в 2012 году Государства-Члены и Члены Секторов. Эта Рекомендация направлена на расширение прав и возможностей потребителей и содействие принятию регуляторных мер и решений на рынке международного мобильного роуминга. В Рекомендации подчеркивается необходимость поощрения конкуренции в области роуминга, просвещения потребителей и рассмотрения надлежащих регуляторных мер, таких как применение регуляторными органами верхних пределов цен или такс. В основе данной новой Рекомендации лежит положительный опыт Рекомендации МСЭ</w:t>
      </w:r>
      <w:r w:rsidRPr="00B97A87">
        <w:noBreakHyphen/>
        <w:t>T D.98.</w:t>
      </w:r>
    </w:p>
    <w:p w:rsidR="00B97A87" w:rsidRPr="00B97A87" w:rsidRDefault="00B97A87" w:rsidP="00B97A87">
      <w:r w:rsidRPr="00B97A87">
        <w:br w:type="page"/>
      </w:r>
    </w:p>
    <w:p w:rsidR="00C76840" w:rsidRPr="00B97A87" w:rsidRDefault="00B97A87" w:rsidP="00B97A87">
      <w:pPr>
        <w:pStyle w:val="RecNo"/>
      </w:pPr>
      <w:r>
        <w:lastRenderedPageBreak/>
        <w:t xml:space="preserve">Проект </w:t>
      </w:r>
      <w:r w:rsidR="00C76840" w:rsidRPr="00B97A87">
        <w:t>Рекомендаци</w:t>
      </w:r>
      <w:r>
        <w:t>и</w:t>
      </w:r>
      <w:r w:rsidR="00C76840" w:rsidRPr="00B97A87">
        <w:t xml:space="preserve"> МСЭ-T D.97</w:t>
      </w:r>
    </w:p>
    <w:p w:rsidR="00C76840" w:rsidRPr="00B97A87" w:rsidRDefault="00C76840" w:rsidP="00C76840">
      <w:pPr>
        <w:pStyle w:val="Rectitle"/>
        <w:rPr>
          <w:sz w:val="24"/>
          <w:szCs w:val="24"/>
        </w:rPr>
      </w:pPr>
      <w:r w:rsidRPr="00B97A87">
        <w:t xml:space="preserve">Методологические принципы определения такс </w:t>
      </w:r>
      <w:r w:rsidRPr="00B97A87">
        <w:br/>
        <w:t>на международный мобильный роуминг</w:t>
      </w:r>
    </w:p>
    <w:p w:rsidR="00C76840" w:rsidRPr="00B97A87" w:rsidRDefault="00C76840" w:rsidP="00C76840">
      <w:pPr>
        <w:pStyle w:val="Heading1"/>
        <w:rPr>
          <w:lang w:val="ru-RU"/>
        </w:rPr>
      </w:pPr>
      <w:bookmarkStart w:id="2" w:name="_Toc443299650"/>
      <w:bookmarkStart w:id="3" w:name="_Toc447790018"/>
      <w:r w:rsidRPr="00B97A87">
        <w:rPr>
          <w:snapToGrid w:val="0"/>
          <w:lang w:val="ru-RU"/>
        </w:rPr>
        <w:t>1</w:t>
      </w:r>
      <w:r w:rsidRPr="00B97A87">
        <w:rPr>
          <w:snapToGrid w:val="0"/>
          <w:lang w:val="ru-RU"/>
        </w:rPr>
        <w:tab/>
        <w:t xml:space="preserve">Сфера </w:t>
      </w:r>
      <w:r w:rsidRPr="00B97A87">
        <w:rPr>
          <w:lang w:val="ru-RU"/>
        </w:rPr>
        <w:t>применения</w:t>
      </w:r>
      <w:bookmarkEnd w:id="2"/>
      <w:bookmarkEnd w:id="3"/>
    </w:p>
    <w:p w:rsidR="00C76840" w:rsidRPr="00B97A87" w:rsidRDefault="00C76840" w:rsidP="00C76840">
      <w:pPr>
        <w:rPr>
          <w:rFonts w:asciiTheme="majorBidi" w:hAnsiTheme="majorBidi" w:cstheme="majorBidi"/>
        </w:rPr>
      </w:pPr>
      <w:r w:rsidRPr="00B97A87">
        <w:rPr>
          <w:snapToGrid w:val="0"/>
        </w:rPr>
        <w:t>Настоящая Рекомендация базируется на успешном опыте применения Рекомендации МСЭ</w:t>
      </w:r>
      <w:r w:rsidRPr="00B97A87">
        <w:rPr>
          <w:snapToGrid w:val="0"/>
        </w:rPr>
        <w:noBreakHyphen/>
        <w:t>T D.98, и в ней предлагается возможный подход к снижению чрезмерных такс на роуминг в интересах потребителей – конечных пользователей, отрасли и экономики в целом.</w:t>
      </w:r>
      <w:r w:rsidRPr="00B97A87">
        <w:t xml:space="preserve"> При рассмотрении такс на ММР Государства-Члены должны рассматривать услуги ММР в совокупности с услугами передачи голоса, SMS и данных.</w:t>
      </w:r>
    </w:p>
    <w:p w:rsidR="00C76840" w:rsidRPr="00B97A87" w:rsidRDefault="00C76840" w:rsidP="00C76840">
      <w:pPr>
        <w:pStyle w:val="Heading1"/>
        <w:rPr>
          <w:lang w:val="ru-RU"/>
        </w:rPr>
      </w:pPr>
      <w:bookmarkStart w:id="4" w:name="_Toc443299651"/>
      <w:bookmarkStart w:id="5" w:name="_Toc447790019"/>
      <w:r w:rsidRPr="00B97A87">
        <w:rPr>
          <w:snapToGrid w:val="0"/>
          <w:lang w:val="ru-RU"/>
        </w:rPr>
        <w:t>2</w:t>
      </w:r>
      <w:r w:rsidRPr="00B97A87">
        <w:rPr>
          <w:snapToGrid w:val="0"/>
          <w:lang w:val="ru-RU"/>
        </w:rPr>
        <w:tab/>
        <w:t>Справочные документы</w:t>
      </w:r>
      <w:bookmarkEnd w:id="4"/>
      <w:bookmarkEnd w:id="5"/>
    </w:p>
    <w:p w:rsidR="00C76840" w:rsidRPr="00B97A87" w:rsidRDefault="00C76840" w:rsidP="00C76840">
      <w:pPr>
        <w:rPr>
          <w:snapToGrid w:val="0"/>
        </w:rPr>
      </w:pPr>
      <w:r w:rsidRPr="00B97A87">
        <w:rPr>
          <w:snapToGrid w:val="0"/>
        </w:rPr>
        <w:t>Указанные ниже Рекомендации МСЭ-Т и другие справочные документы содержат положения, которые путем ссылок на них в данном тексте составляют положения настоящей Рекомендации. На момент публикации указанные издания были действующими. Все Рекомендации и другие справочные документы могут подвергаться пересмотру; поэтому всем пользователям данной Рекомендации предлагается изучить возможность применения последнего издания Рекомендаций и других справочных документов, перечисленных ниже. Перечень действующих на настоящий момент Рекомендаций МСЭ-Т регулярно публикуется. Ссылка на документ, приведенный в настоящей Рекомендации, не придает ему как отдельному документу статуса Рекомендации.</w:t>
      </w:r>
    </w:p>
    <w:p w:rsidR="00C76840" w:rsidRPr="003B64AA" w:rsidRDefault="00C76840" w:rsidP="003B64AA">
      <w:pPr>
        <w:ind w:left="1871" w:hanging="1871"/>
      </w:pPr>
      <w:r w:rsidRPr="003B64AA">
        <w:t>[ITU-T D.93]</w:t>
      </w:r>
      <w:r w:rsidRPr="003B64AA">
        <w:tab/>
        <w:t xml:space="preserve">Рекомендация МСЭ-T D.93 (2008 г.), </w:t>
      </w:r>
      <w:r w:rsidRPr="003B64AA">
        <w:rPr>
          <w:i/>
          <w:iCs/>
        </w:rPr>
        <w:t>Начисление платы и учет в международной сухопутной подвижной телефонной службе (обеспечиваемой через системы сотовой радиосвязи)</w:t>
      </w:r>
      <w:r w:rsidRPr="003B64AA">
        <w:t>.</w:t>
      </w:r>
    </w:p>
    <w:p w:rsidR="00C76840" w:rsidRPr="003B64AA" w:rsidRDefault="00C76840" w:rsidP="003B64AA">
      <w:pPr>
        <w:ind w:left="1871" w:hanging="1871"/>
      </w:pPr>
      <w:r w:rsidRPr="003B64AA">
        <w:t>[ITU-T D.98]</w:t>
      </w:r>
      <w:r w:rsidRPr="003B64AA">
        <w:tab/>
        <w:t xml:space="preserve">Рекомендация МСЭ-T D.98 (2012 г.), </w:t>
      </w:r>
      <w:r w:rsidRPr="003B64AA">
        <w:rPr>
          <w:i/>
          <w:iCs/>
        </w:rPr>
        <w:t>Начисление платы при обслуживании в международном мобильном роуминге</w:t>
      </w:r>
      <w:r w:rsidRPr="003B64AA">
        <w:t>.</w:t>
      </w:r>
    </w:p>
    <w:p w:rsidR="00C76840" w:rsidRPr="003B64AA" w:rsidRDefault="00C76840" w:rsidP="003B64AA">
      <w:pPr>
        <w:ind w:left="1871" w:hanging="1871"/>
      </w:pPr>
      <w:r w:rsidRPr="003B64AA">
        <w:t>[ITU-T D.99]</w:t>
      </w:r>
      <w:r w:rsidRPr="003B64AA">
        <w:tab/>
        <w:t xml:space="preserve">Рекомендация МСЭ-T D.99 (2008 г.), </w:t>
      </w:r>
      <w:r w:rsidRPr="003B64AA">
        <w:rPr>
          <w:i/>
          <w:iCs/>
        </w:rPr>
        <w:t>Ориентировочная такса на завершение международных вызовов в сетях подвижной связи</w:t>
      </w:r>
      <w:r w:rsidRPr="003B64AA">
        <w:t>.</w:t>
      </w:r>
    </w:p>
    <w:p w:rsidR="00C76840" w:rsidRPr="003B64AA" w:rsidRDefault="00C76840" w:rsidP="003B64AA">
      <w:pPr>
        <w:ind w:left="1871" w:hanging="1871"/>
      </w:pPr>
      <w:r w:rsidRPr="003B64AA">
        <w:t>[ITU-T D.140]</w:t>
      </w:r>
      <w:r w:rsidRPr="003B64AA">
        <w:tab/>
        <w:t xml:space="preserve">Recommendation ITU-T D.140 (2002), </w:t>
      </w:r>
      <w:r w:rsidRPr="003B64AA">
        <w:rPr>
          <w:i/>
          <w:iCs/>
        </w:rPr>
        <w:t>Accounting rate principles for the international telephone service</w:t>
      </w:r>
      <w:r w:rsidRPr="003B64AA">
        <w:t>.</w:t>
      </w:r>
    </w:p>
    <w:p w:rsidR="00C76840" w:rsidRPr="00B97A87" w:rsidRDefault="00C76840" w:rsidP="00C76840">
      <w:pPr>
        <w:pStyle w:val="Heading1"/>
        <w:rPr>
          <w:lang w:val="ru-RU"/>
        </w:rPr>
      </w:pPr>
      <w:bookmarkStart w:id="6" w:name="_Toc443299652"/>
      <w:bookmarkStart w:id="7" w:name="_Toc447790020"/>
      <w:r w:rsidRPr="00B97A87">
        <w:rPr>
          <w:snapToGrid w:val="0"/>
          <w:lang w:val="ru-RU"/>
        </w:rPr>
        <w:t>3</w:t>
      </w:r>
      <w:r w:rsidRPr="00B97A87">
        <w:rPr>
          <w:snapToGrid w:val="0"/>
          <w:lang w:val="ru-RU"/>
        </w:rPr>
        <w:tab/>
        <w:t>Определения</w:t>
      </w:r>
      <w:bookmarkEnd w:id="6"/>
      <w:bookmarkEnd w:id="7"/>
    </w:p>
    <w:p w:rsidR="00C76840" w:rsidRPr="00B97A87" w:rsidRDefault="00C76840" w:rsidP="00C76840">
      <w:pPr>
        <w:rPr>
          <w:snapToGrid w:val="0"/>
          <w:lang w:eastAsia="ja-JP"/>
        </w:rPr>
      </w:pPr>
      <w:r w:rsidRPr="00B97A87">
        <w:rPr>
          <w:snapToGrid w:val="0"/>
          <w:lang w:eastAsia="ja-JP"/>
        </w:rPr>
        <w:t>ММР – это услуга (передача голоса, SMS/MMS, данных), которую абонент услуг подвижной связи с последующей или предварительной оплатой покупает у оператора подвижной связи в своей стране, то есть у своего "домашнего оператора". Роуминг предоставляет абоненту, находящемуся в другой стране, удобную возможность использования своего национального номера мобильного телефона для доступа к услугам передачи голоса,</w:t>
      </w:r>
      <w:r w:rsidRPr="00B97A87">
        <w:rPr>
          <w:lang w:eastAsia="ja-JP"/>
        </w:rPr>
        <w:t xml:space="preserve"> коротких сообщений</w:t>
      </w:r>
      <w:r w:rsidRPr="00B97A87">
        <w:rPr>
          <w:snapToGrid w:val="0"/>
          <w:lang w:eastAsia="ja-JP"/>
        </w:rPr>
        <w:t xml:space="preserve"> (</w:t>
      </w:r>
      <w:r w:rsidRPr="00B97A87">
        <w:rPr>
          <w:lang w:eastAsia="ja-JP"/>
        </w:rPr>
        <w:t xml:space="preserve">SMS) </w:t>
      </w:r>
      <w:r w:rsidRPr="00B97A87">
        <w:rPr>
          <w:snapToGrid w:val="0"/>
          <w:lang w:eastAsia="ja-JP"/>
        </w:rPr>
        <w:t xml:space="preserve">и данных благодаря доступу к сети оператора подвижной связи в стране, которую он посещает, то есть к сети "визитного оператора", с сохранением всех соглашений, заключенных со своим домашним оператором. </w:t>
      </w:r>
    </w:p>
    <w:p w:rsidR="00C76840" w:rsidRPr="00B97A87" w:rsidRDefault="00C76840" w:rsidP="00C76840">
      <w:pPr>
        <w:rPr>
          <w:snapToGrid w:val="0"/>
          <w:lang w:eastAsia="ja-JP"/>
        </w:rPr>
      </w:pPr>
      <w:r w:rsidRPr="00B97A87">
        <w:rPr>
          <w:snapToGrid w:val="0"/>
          <w:lang w:eastAsia="ja-JP"/>
        </w:rPr>
        <w:t xml:space="preserve">Оптовые и розничные тарифы на ММР – это цены, </w:t>
      </w:r>
      <w:r w:rsidRPr="00B97A87">
        <w:t>взимаемые</w:t>
      </w:r>
      <w:r w:rsidRPr="00B97A87">
        <w:rPr>
          <w:snapToGrid w:val="0"/>
          <w:lang w:eastAsia="ja-JP"/>
        </w:rPr>
        <w:t xml:space="preserve"> за услугу ММР, при этом: </w:t>
      </w:r>
    </w:p>
    <w:p w:rsidR="00C76840" w:rsidRPr="00B97A87" w:rsidRDefault="00C76840" w:rsidP="00C76840">
      <w:pPr>
        <w:pStyle w:val="enumlev1"/>
      </w:pPr>
      <w:r w:rsidRPr="00B97A87">
        <w:t>a)</w:t>
      </w:r>
      <w:r w:rsidRPr="00B97A87">
        <w:tab/>
        <w:t xml:space="preserve">оптовые тарифы на ММР – это цены, которые визитный оператор назначает домашнему оператору за предоставление абоненту домашнего оператора возможности использовать сеть визитного оператора </w:t>
      </w:r>
      <w:r w:rsidRPr="00B97A87">
        <w:rPr>
          <w:lang w:eastAsia="ja-JP"/>
        </w:rPr>
        <w:t>(в некоторых случаях называемые МОТ)</w:t>
      </w:r>
      <w:r w:rsidRPr="00B97A87">
        <w:t>; и</w:t>
      </w:r>
    </w:p>
    <w:p w:rsidR="00C76840" w:rsidRPr="00B97A87" w:rsidRDefault="00C76840" w:rsidP="00C76840">
      <w:pPr>
        <w:pStyle w:val="enumlev1"/>
        <w:rPr>
          <w:rFonts w:asciiTheme="majorBidi" w:hAnsiTheme="majorBidi" w:cstheme="majorBidi"/>
        </w:rPr>
      </w:pPr>
      <w:r w:rsidRPr="00B97A87">
        <w:t>b)</w:t>
      </w:r>
      <w:r w:rsidRPr="00B97A87">
        <w:tab/>
        <w:t>розничные тарифы на ММР – это цены, которые домашний оператор назначает своим абонентам за пользование услугами ММР.</w:t>
      </w:r>
    </w:p>
    <w:p w:rsidR="00C76840" w:rsidRPr="00B97A87" w:rsidRDefault="00C76840" w:rsidP="00C76840">
      <w:pPr>
        <w:pStyle w:val="Heading1"/>
        <w:pageBreakBefore/>
        <w:rPr>
          <w:lang w:val="ru-RU"/>
        </w:rPr>
      </w:pPr>
      <w:bookmarkStart w:id="8" w:name="_Toc443299653"/>
      <w:bookmarkStart w:id="9" w:name="_Toc447790021"/>
      <w:r w:rsidRPr="00B97A87">
        <w:rPr>
          <w:lang w:val="ru-RU"/>
        </w:rPr>
        <w:lastRenderedPageBreak/>
        <w:t>4</w:t>
      </w:r>
      <w:r w:rsidRPr="00B97A87">
        <w:rPr>
          <w:lang w:val="ru-RU"/>
        </w:rPr>
        <w:tab/>
        <w:t>Сокращения</w:t>
      </w:r>
      <w:r w:rsidRPr="00B97A87">
        <w:rPr>
          <w:snapToGrid w:val="0"/>
          <w:lang w:val="ru-RU"/>
        </w:rPr>
        <w:t xml:space="preserve"> и акронимы</w:t>
      </w:r>
      <w:bookmarkEnd w:id="8"/>
      <w:bookmarkEnd w:id="9"/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312"/>
        <w:gridCol w:w="730"/>
        <w:gridCol w:w="4830"/>
      </w:tblGrid>
      <w:tr w:rsidR="00C76840" w:rsidRPr="00B97A87" w:rsidTr="00BC4F50">
        <w:trPr>
          <w:jc w:val="center"/>
        </w:trPr>
        <w:tc>
          <w:tcPr>
            <w:tcW w:w="1051" w:type="dxa"/>
            <w:hideMark/>
          </w:tcPr>
          <w:p w:rsidR="00C76840" w:rsidRPr="00B97A87" w:rsidRDefault="00C76840" w:rsidP="00BC4F50">
            <w:r w:rsidRPr="00B97A87">
              <w:t>CDR</w:t>
            </w:r>
          </w:p>
        </w:tc>
        <w:tc>
          <w:tcPr>
            <w:tcW w:w="3312" w:type="dxa"/>
            <w:hideMark/>
          </w:tcPr>
          <w:p w:rsidR="00C76840" w:rsidRPr="00B97A87" w:rsidRDefault="00C76840" w:rsidP="00BC4F50">
            <w:r w:rsidRPr="00B97A87">
              <w:t>Call detail records</w:t>
            </w:r>
          </w:p>
        </w:tc>
        <w:tc>
          <w:tcPr>
            <w:tcW w:w="730" w:type="dxa"/>
          </w:tcPr>
          <w:p w:rsidR="00C76840" w:rsidRPr="00B97A87" w:rsidRDefault="00C76840" w:rsidP="00BC4F50"/>
        </w:tc>
        <w:tc>
          <w:tcPr>
            <w:tcW w:w="4830" w:type="dxa"/>
            <w:hideMark/>
          </w:tcPr>
          <w:p w:rsidR="00C76840" w:rsidRPr="00B97A87" w:rsidRDefault="00C76840" w:rsidP="00BC4F50">
            <w:r w:rsidRPr="00B97A87">
              <w:t>Записи данных о вызове</w:t>
            </w:r>
          </w:p>
        </w:tc>
      </w:tr>
      <w:tr w:rsidR="00C76840" w:rsidRPr="00B97A87" w:rsidTr="00BC4F50">
        <w:trPr>
          <w:jc w:val="center"/>
        </w:trPr>
        <w:tc>
          <w:tcPr>
            <w:tcW w:w="1051" w:type="dxa"/>
            <w:hideMark/>
          </w:tcPr>
          <w:p w:rsidR="00C76840" w:rsidRPr="00B97A87" w:rsidRDefault="00C76840" w:rsidP="00BC4F50">
            <w:r w:rsidRPr="00B97A87">
              <w:t>IMR</w:t>
            </w:r>
          </w:p>
        </w:tc>
        <w:tc>
          <w:tcPr>
            <w:tcW w:w="3312" w:type="dxa"/>
            <w:hideMark/>
          </w:tcPr>
          <w:p w:rsidR="00C76840" w:rsidRPr="00B97A87" w:rsidRDefault="00C76840" w:rsidP="00BC4F50">
            <w:r w:rsidRPr="00B97A87">
              <w:t>International mobile roaming</w:t>
            </w:r>
          </w:p>
        </w:tc>
        <w:tc>
          <w:tcPr>
            <w:tcW w:w="730" w:type="dxa"/>
            <w:hideMark/>
          </w:tcPr>
          <w:p w:rsidR="00C76840" w:rsidRPr="00B97A87" w:rsidRDefault="00C76840" w:rsidP="00BC4F50">
            <w:r w:rsidRPr="00B97A87">
              <w:t>ММР</w:t>
            </w:r>
          </w:p>
        </w:tc>
        <w:tc>
          <w:tcPr>
            <w:tcW w:w="4830" w:type="dxa"/>
            <w:hideMark/>
          </w:tcPr>
          <w:p w:rsidR="00C76840" w:rsidRPr="00B97A87" w:rsidRDefault="00C76840" w:rsidP="00BC4F50">
            <w:r w:rsidRPr="00B97A87">
              <w:t>Международный мобильный роуминг</w:t>
            </w:r>
          </w:p>
        </w:tc>
      </w:tr>
      <w:tr w:rsidR="00C76840" w:rsidRPr="00B97A87" w:rsidTr="00BC4F50">
        <w:trPr>
          <w:jc w:val="center"/>
        </w:trPr>
        <w:tc>
          <w:tcPr>
            <w:tcW w:w="1051" w:type="dxa"/>
            <w:hideMark/>
          </w:tcPr>
          <w:p w:rsidR="00C76840" w:rsidRPr="00B97A87" w:rsidRDefault="00C76840" w:rsidP="00BC4F50">
            <w:r w:rsidRPr="00B97A87">
              <w:t>IOT</w:t>
            </w:r>
          </w:p>
        </w:tc>
        <w:tc>
          <w:tcPr>
            <w:tcW w:w="3312" w:type="dxa"/>
            <w:hideMark/>
          </w:tcPr>
          <w:p w:rsidR="00C76840" w:rsidRPr="00B97A87" w:rsidRDefault="00C76840" w:rsidP="00BC4F50">
            <w:r w:rsidRPr="00B97A87">
              <w:t>Inter-operator tariffs</w:t>
            </w:r>
          </w:p>
        </w:tc>
        <w:tc>
          <w:tcPr>
            <w:tcW w:w="730" w:type="dxa"/>
          </w:tcPr>
          <w:p w:rsidR="00C76840" w:rsidRPr="00B97A87" w:rsidRDefault="00C76840" w:rsidP="00BC4F50">
            <w:r w:rsidRPr="00B97A87">
              <w:t>МОТ</w:t>
            </w:r>
          </w:p>
        </w:tc>
        <w:tc>
          <w:tcPr>
            <w:tcW w:w="4830" w:type="dxa"/>
            <w:hideMark/>
          </w:tcPr>
          <w:p w:rsidR="00C76840" w:rsidRPr="00B97A87" w:rsidRDefault="00C76840" w:rsidP="00BC4F50">
            <w:r w:rsidRPr="00B97A87">
              <w:t>Межоператорские тарифы</w:t>
            </w:r>
          </w:p>
        </w:tc>
      </w:tr>
      <w:tr w:rsidR="00C76840" w:rsidRPr="00B97A87" w:rsidTr="00BC4F50">
        <w:trPr>
          <w:jc w:val="center"/>
        </w:trPr>
        <w:tc>
          <w:tcPr>
            <w:tcW w:w="1051" w:type="dxa"/>
            <w:hideMark/>
          </w:tcPr>
          <w:p w:rsidR="00C76840" w:rsidRPr="00B97A87" w:rsidRDefault="00C76840" w:rsidP="00BC4F50">
            <w:r w:rsidRPr="00B97A87">
              <w:t>MMS</w:t>
            </w:r>
          </w:p>
        </w:tc>
        <w:tc>
          <w:tcPr>
            <w:tcW w:w="3312" w:type="dxa"/>
            <w:hideMark/>
          </w:tcPr>
          <w:p w:rsidR="00C76840" w:rsidRPr="00B97A87" w:rsidRDefault="00C76840" w:rsidP="00BC4F50">
            <w:r w:rsidRPr="00B97A87">
              <w:t>Multimedia Messaging Service</w:t>
            </w:r>
          </w:p>
        </w:tc>
        <w:tc>
          <w:tcPr>
            <w:tcW w:w="730" w:type="dxa"/>
          </w:tcPr>
          <w:p w:rsidR="00C76840" w:rsidRPr="00B97A87" w:rsidRDefault="00C76840" w:rsidP="00BC4F50"/>
        </w:tc>
        <w:tc>
          <w:tcPr>
            <w:tcW w:w="4830" w:type="dxa"/>
            <w:hideMark/>
          </w:tcPr>
          <w:p w:rsidR="00C76840" w:rsidRPr="00B97A87" w:rsidRDefault="00C76840" w:rsidP="00BC4F50">
            <w:r w:rsidRPr="00B97A87">
              <w:t>Услуга передачи мультимедийных сообщений</w:t>
            </w:r>
          </w:p>
        </w:tc>
      </w:tr>
      <w:tr w:rsidR="00C76840" w:rsidRPr="00B97A87" w:rsidTr="00BC4F50">
        <w:trPr>
          <w:jc w:val="center"/>
        </w:trPr>
        <w:tc>
          <w:tcPr>
            <w:tcW w:w="1051" w:type="dxa"/>
            <w:hideMark/>
          </w:tcPr>
          <w:p w:rsidR="00C76840" w:rsidRPr="00B97A87" w:rsidRDefault="00C76840" w:rsidP="00BC4F50">
            <w:r w:rsidRPr="00B97A87">
              <w:t>SMS</w:t>
            </w:r>
          </w:p>
        </w:tc>
        <w:tc>
          <w:tcPr>
            <w:tcW w:w="3312" w:type="dxa"/>
            <w:hideMark/>
          </w:tcPr>
          <w:p w:rsidR="00C76840" w:rsidRPr="00B97A87" w:rsidRDefault="00C76840" w:rsidP="00BC4F50">
            <w:r w:rsidRPr="00B97A87">
              <w:t>Short Message Service</w:t>
            </w:r>
          </w:p>
        </w:tc>
        <w:tc>
          <w:tcPr>
            <w:tcW w:w="730" w:type="dxa"/>
          </w:tcPr>
          <w:p w:rsidR="00C76840" w:rsidRPr="00B97A87" w:rsidRDefault="00C76840" w:rsidP="00BC4F50"/>
        </w:tc>
        <w:tc>
          <w:tcPr>
            <w:tcW w:w="4830" w:type="dxa"/>
            <w:hideMark/>
          </w:tcPr>
          <w:p w:rsidR="00C76840" w:rsidRPr="00B97A87" w:rsidRDefault="00C76840" w:rsidP="00BC4F50">
            <w:r w:rsidRPr="00B97A87">
              <w:t>Услуга передачи коротких сообщений</w:t>
            </w:r>
          </w:p>
        </w:tc>
      </w:tr>
      <w:tr w:rsidR="00C76840" w:rsidRPr="00B97A87" w:rsidTr="00BC4F50">
        <w:trPr>
          <w:jc w:val="center"/>
        </w:trPr>
        <w:tc>
          <w:tcPr>
            <w:tcW w:w="1051" w:type="dxa"/>
            <w:hideMark/>
          </w:tcPr>
          <w:p w:rsidR="00C76840" w:rsidRPr="00B97A87" w:rsidRDefault="00C76840" w:rsidP="00BC4F50">
            <w:r w:rsidRPr="00B97A87">
              <w:t>NRAs</w:t>
            </w:r>
          </w:p>
        </w:tc>
        <w:tc>
          <w:tcPr>
            <w:tcW w:w="3312" w:type="dxa"/>
            <w:hideMark/>
          </w:tcPr>
          <w:p w:rsidR="00C76840" w:rsidRPr="00B97A87" w:rsidRDefault="00C76840" w:rsidP="00BC4F50">
            <w:r w:rsidRPr="00B97A87">
              <w:t>Nationl Regulatory Authorities</w:t>
            </w:r>
          </w:p>
        </w:tc>
        <w:tc>
          <w:tcPr>
            <w:tcW w:w="730" w:type="dxa"/>
            <w:hideMark/>
          </w:tcPr>
          <w:p w:rsidR="00C76840" w:rsidRPr="00B97A87" w:rsidRDefault="00C76840" w:rsidP="00BC4F50">
            <w:r w:rsidRPr="00B97A87">
              <w:t>НРО</w:t>
            </w:r>
          </w:p>
        </w:tc>
        <w:tc>
          <w:tcPr>
            <w:tcW w:w="4830" w:type="dxa"/>
            <w:hideMark/>
          </w:tcPr>
          <w:p w:rsidR="00C76840" w:rsidRPr="00B97A87" w:rsidRDefault="00C76840" w:rsidP="00BC4F50">
            <w:r w:rsidRPr="00B97A87">
              <w:t>Национальные регуляторные органы</w:t>
            </w:r>
          </w:p>
        </w:tc>
      </w:tr>
    </w:tbl>
    <w:p w:rsidR="00C76840" w:rsidRPr="00B97A87" w:rsidRDefault="00C76840" w:rsidP="00C76840">
      <w:pPr>
        <w:pStyle w:val="Heading1"/>
        <w:rPr>
          <w:lang w:val="ru-RU"/>
        </w:rPr>
      </w:pPr>
      <w:bookmarkStart w:id="10" w:name="_Toc443299654"/>
      <w:bookmarkStart w:id="11" w:name="_Toc447790022"/>
      <w:r w:rsidRPr="00B97A87">
        <w:rPr>
          <w:snapToGrid w:val="0"/>
          <w:lang w:val="ru-RU"/>
        </w:rPr>
        <w:t>5</w:t>
      </w:r>
      <w:r w:rsidRPr="00B97A87">
        <w:rPr>
          <w:snapToGrid w:val="0"/>
          <w:lang w:val="ru-RU"/>
        </w:rPr>
        <w:tab/>
        <w:t>Надлежащие регуляторные меры</w:t>
      </w:r>
      <w:bookmarkEnd w:id="10"/>
      <w:bookmarkEnd w:id="11"/>
    </w:p>
    <w:p w:rsidR="00C76840" w:rsidRPr="00B97A87" w:rsidRDefault="00C76840" w:rsidP="00C76840">
      <w:pPr>
        <w:rPr>
          <w:lang w:eastAsia="ja-JP"/>
        </w:rPr>
      </w:pPr>
      <w:r w:rsidRPr="00B97A87">
        <w:rPr>
          <w:b/>
          <w:bCs/>
        </w:rPr>
        <w:t>5.1</w:t>
      </w:r>
      <w:r w:rsidRPr="00B97A87">
        <w:tab/>
      </w:r>
      <w:r w:rsidRPr="00B97A87">
        <w:rPr>
          <w:lang w:eastAsia="ja-JP"/>
        </w:rPr>
        <w:t xml:space="preserve">Согласно условиям, содержащимся в Рекомендации D.98, </w:t>
      </w:r>
      <w:r w:rsidRPr="00B97A87">
        <w:t>регуляторные и директивные органы могут, с учетом конкретных национальных или региональных условий, принимать регуляторные меры в отношении тарифов на услуги международного мобильного роуминга в интересах пользователей, содействуя конкуренции в целях обеспечения выгод для потребителей – конечных пользователей, в особенности ценовой приемлемости, доступности и большего числа услуг</w:t>
      </w:r>
      <w:r w:rsidRPr="00B97A87">
        <w:rPr>
          <w:lang w:eastAsia="ja-JP"/>
        </w:rPr>
        <w:t xml:space="preserve">. </w:t>
      </w:r>
    </w:p>
    <w:p w:rsidR="00C76840" w:rsidRPr="00B97A87" w:rsidRDefault="00C76840" w:rsidP="00C76840">
      <w:r w:rsidRPr="00B97A87">
        <w:rPr>
          <w:b/>
          <w:bCs/>
        </w:rPr>
        <w:t>5.2</w:t>
      </w:r>
      <w:r w:rsidRPr="00B97A87">
        <w:tab/>
        <w:t>В тех случаях, когда рыночные решения и расширение прав и возможностей потребителей оказываются недостаточными для снижения платы за международный роуминг, Государствам</w:t>
      </w:r>
      <w:r w:rsidRPr="00B97A87">
        <w:noBreakHyphen/>
        <w:t xml:space="preserve">Членам следует, в надлежащих случаях, взять на себя активную роль по установлению конкурентных и доступных в ценовом отношении такс на роуминг. </w:t>
      </w:r>
    </w:p>
    <w:p w:rsidR="00C76840" w:rsidRPr="00B97A87" w:rsidRDefault="00C76840" w:rsidP="00C76840">
      <w:pPr>
        <w:rPr>
          <w:lang w:eastAsia="ja-JP"/>
        </w:rPr>
      </w:pPr>
      <w:r w:rsidRPr="00B97A87">
        <w:rPr>
          <w:rFonts w:eastAsia="Batang"/>
          <w:b/>
          <w:bCs/>
        </w:rPr>
        <w:t>5.3</w:t>
      </w:r>
      <w:r w:rsidRPr="00B97A87">
        <w:rPr>
          <w:rFonts w:eastAsia="Batang"/>
        </w:rPr>
        <w:tab/>
        <w:t xml:space="preserve">В надлежащих случаях </w:t>
      </w:r>
      <w:r w:rsidRPr="00B97A87">
        <w:t>Государствам</w:t>
      </w:r>
      <w:r w:rsidRPr="00B97A87">
        <w:noBreakHyphen/>
        <w:t xml:space="preserve">Членам следует предоставлять регуляторным органам право на введение пропорциональных регуляторных мер или на регуляторное вмешательство в отношении тарифов на услуги международного мобильного роуминга в интересах потребителей – конечных пользователей. </w:t>
      </w:r>
      <w:r w:rsidRPr="00B97A87">
        <w:rPr>
          <w:lang w:eastAsia="ja-JP"/>
        </w:rPr>
        <w:t>Это может включать, в том числе, установление верхних пределов тарифов.</w:t>
      </w:r>
    </w:p>
    <w:p w:rsidR="00C76840" w:rsidRPr="00B97A87" w:rsidRDefault="00C76840" w:rsidP="00C76840">
      <w:r w:rsidRPr="00B97A87">
        <w:rPr>
          <w:b/>
          <w:bCs/>
          <w:snapToGrid w:val="0"/>
        </w:rPr>
        <w:t>5.4</w:t>
      </w:r>
      <w:r w:rsidRPr="00B97A87">
        <w:rPr>
          <w:snapToGrid w:val="0"/>
        </w:rPr>
        <w:tab/>
      </w:r>
      <w:r w:rsidRPr="00B97A87">
        <w:t xml:space="preserve">В силу самого характера услуги ММР усилия, направляемые Государствами-Членами на определение такс на ММР, должны быть а) многонациональными; b) двусторонними; или с) региональными. </w:t>
      </w:r>
    </w:p>
    <w:p w:rsidR="00C76840" w:rsidRPr="00B97A87" w:rsidRDefault="00C76840" w:rsidP="00C76840">
      <w:pPr>
        <w:rPr>
          <w:color w:val="000000"/>
        </w:rPr>
      </w:pPr>
      <w:r w:rsidRPr="00B97A87">
        <w:rPr>
          <w:b/>
          <w:bCs/>
          <w:snapToGrid w:val="0"/>
        </w:rPr>
        <w:t>5.5</w:t>
      </w:r>
      <w:r w:rsidRPr="00B97A87">
        <w:rPr>
          <w:snapToGrid w:val="0"/>
        </w:rPr>
        <w:tab/>
      </w:r>
      <w:r w:rsidRPr="00B97A87">
        <w:rPr>
          <w:rFonts w:eastAsia="Batang"/>
        </w:rPr>
        <w:t xml:space="preserve">Для достижения результатов </w:t>
      </w:r>
      <w:r w:rsidRPr="00B97A87">
        <w:rPr>
          <w:snapToGrid w:val="0"/>
        </w:rPr>
        <w:t>Государствам-Членам следует обеспечить, чтобы НРО (национальные регуляторные органы) имели необходимый мандат на получение соответствующих данных о роуминге от отечественных операторов (например, об оптовых и розничных ценах), для того чтобы содействовать предоставлению более конкурентных</w:t>
      </w:r>
      <w:r w:rsidRPr="00B97A87">
        <w:rPr>
          <w:color w:val="000000"/>
        </w:rPr>
        <w:t xml:space="preserve"> и приемлемых в ценовом отношении услуг роуминга.</w:t>
      </w:r>
    </w:p>
    <w:p w:rsidR="00C76840" w:rsidRPr="00B97A87" w:rsidRDefault="00C76840" w:rsidP="00C76840">
      <w:r w:rsidRPr="00B97A87">
        <w:rPr>
          <w:b/>
          <w:bCs/>
        </w:rPr>
        <w:t>5.6</w:t>
      </w:r>
      <w:r w:rsidRPr="00B97A87">
        <w:tab/>
      </w:r>
      <w:bookmarkStart w:id="12" w:name="lt_pId078"/>
      <w:r w:rsidRPr="00B97A87">
        <w:t>Если вмешательство представляется целесообразным – на многонациональной, двусторонней или региональной основе, регуляторные и директивные органы, в надлежащих случаях, должны обеспечивать одновременное осуществление договоренностей, с тем чтобы не допускать дисбаланса между странами, в которых согласованы эти меры</w:t>
      </w:r>
      <w:r w:rsidRPr="00B97A87">
        <w:rPr>
          <w:rFonts w:asciiTheme="majorBidi" w:hAnsiTheme="majorBidi" w:cstheme="majorBidi"/>
        </w:rPr>
        <w:t>.</w:t>
      </w:r>
      <w:bookmarkEnd w:id="12"/>
    </w:p>
    <w:p w:rsidR="00C76840" w:rsidRPr="00B97A87" w:rsidRDefault="00C76840" w:rsidP="00C76840">
      <w:pPr>
        <w:rPr>
          <w:lang w:eastAsia="ja-JP"/>
        </w:rPr>
      </w:pPr>
      <w:r w:rsidRPr="00B97A87">
        <w:rPr>
          <w:b/>
          <w:bCs/>
        </w:rPr>
        <w:t>5.7</w:t>
      </w:r>
      <w:r w:rsidRPr="00B97A87">
        <w:tab/>
      </w:r>
      <w:r w:rsidRPr="00B97A87">
        <w:rPr>
          <w:lang w:eastAsia="ja-JP"/>
        </w:rPr>
        <w:t xml:space="preserve">Учитывая, что конкурентный международный рынок электросвязи не может существовать, пока сохраняются значительные различия между национальными ценами и ценами на международный мобильный роуминг, цель должна заключаться в том, чтобы сократить различия между национальными тарифами и тарифами на международный мобильный роуминг. Однако в то же время вероятны признаваемые различия, обусловливаемые различиями в затратах между странами и регионами. </w:t>
      </w:r>
    </w:p>
    <w:p w:rsidR="00C76840" w:rsidRPr="00B97A87" w:rsidRDefault="00C76840" w:rsidP="003B64AA">
      <w:pPr>
        <w:pStyle w:val="Heading1"/>
        <w:keepNext/>
        <w:keepLines/>
        <w:rPr>
          <w:rFonts w:asciiTheme="majorBidi" w:hAnsiTheme="majorBidi" w:cstheme="majorBidi"/>
          <w:lang w:val="ru-RU"/>
        </w:rPr>
      </w:pPr>
      <w:bookmarkStart w:id="13" w:name="_Toc443299655"/>
      <w:bookmarkStart w:id="14" w:name="_Toc447790023"/>
      <w:r w:rsidRPr="00B97A87">
        <w:rPr>
          <w:lang w:val="ru-RU" w:eastAsia="ja-JP"/>
        </w:rPr>
        <w:lastRenderedPageBreak/>
        <w:t>6</w:t>
      </w:r>
      <w:r w:rsidRPr="00B97A87">
        <w:rPr>
          <w:lang w:val="ru-RU" w:eastAsia="ja-JP"/>
        </w:rPr>
        <w:tab/>
        <w:t xml:space="preserve">Методологические </w:t>
      </w:r>
      <w:r w:rsidRPr="00B97A87">
        <w:rPr>
          <w:lang w:val="ru-RU"/>
        </w:rPr>
        <w:t>принципы</w:t>
      </w:r>
      <w:r w:rsidRPr="00B97A87">
        <w:rPr>
          <w:lang w:val="ru-RU" w:eastAsia="ja-JP"/>
        </w:rPr>
        <w:t xml:space="preserve"> определения </w:t>
      </w:r>
      <w:r w:rsidRPr="00B97A87">
        <w:rPr>
          <w:snapToGrid w:val="0"/>
          <w:lang w:val="ru-RU"/>
        </w:rPr>
        <w:t>такс на международный мобильный роуминг</w:t>
      </w:r>
      <w:bookmarkEnd w:id="13"/>
      <w:bookmarkEnd w:id="14"/>
    </w:p>
    <w:p w:rsidR="00C76840" w:rsidRPr="00B97A87" w:rsidRDefault="00C76840" w:rsidP="003B64AA">
      <w:pPr>
        <w:keepNext/>
        <w:keepLines/>
        <w:rPr>
          <w:lang w:eastAsia="ja-JP"/>
        </w:rPr>
      </w:pPr>
      <w:r w:rsidRPr="00B97A87">
        <w:rPr>
          <w:b/>
          <w:bCs/>
          <w:lang w:eastAsia="ja-JP"/>
        </w:rPr>
        <w:t>6.1</w:t>
      </w:r>
      <w:r w:rsidRPr="00B97A87">
        <w:rPr>
          <w:lang w:eastAsia="ja-JP"/>
        </w:rPr>
        <w:tab/>
        <w:t>Регулирование розничных или оптовых тарифов на ММР должно осуществляться в соответствии по крайней мере с одним из указанных ниже принципов:</w:t>
      </w:r>
    </w:p>
    <w:p w:rsidR="00C76840" w:rsidRPr="00B97A87" w:rsidRDefault="00C76840" w:rsidP="00C76840">
      <w:pPr>
        <w:pStyle w:val="enumlev1"/>
      </w:pPr>
      <w:r w:rsidRPr="00B97A87">
        <w:t>a)</w:t>
      </w:r>
      <w:r w:rsidRPr="00B97A87">
        <w:rPr>
          <w:i/>
          <w:iCs/>
        </w:rPr>
        <w:tab/>
      </w:r>
      <w:r w:rsidRPr="00B97A87">
        <w:rPr>
          <w:b/>
          <w:bCs/>
        </w:rPr>
        <w:t>контрольные показатели</w:t>
      </w:r>
      <w:r w:rsidRPr="00B97A87">
        <w:t>: строятся на сопоставлении соответствующих розничных тарифов и оптовых тарифов/стоимости с учетом международной практики и передового опыта (при условии, что такие контрольные показатели применимы);</w:t>
      </w:r>
    </w:p>
    <w:p w:rsidR="00C76840" w:rsidRPr="00B97A87" w:rsidRDefault="00C76840" w:rsidP="00C76840">
      <w:pPr>
        <w:pStyle w:val="enumlev1"/>
      </w:pPr>
      <w:r w:rsidRPr="00B97A87">
        <w:t>b)</w:t>
      </w:r>
      <w:r w:rsidRPr="00B97A87">
        <w:rPr>
          <w:i/>
          <w:iCs/>
        </w:rPr>
        <w:tab/>
      </w:r>
      <w:r w:rsidRPr="00B97A87">
        <w:rPr>
          <w:b/>
          <w:bCs/>
        </w:rPr>
        <w:t>розничный тариф минус</w:t>
      </w:r>
      <w:r w:rsidRPr="00B97A87">
        <w:t xml:space="preserve">: оптовые тарифы на ММР оцениваются путем привязки к соответствующим розничным ценам, из которых вычитается процентная доля; </w:t>
      </w:r>
    </w:p>
    <w:p w:rsidR="00C76840" w:rsidRPr="00B97A87" w:rsidRDefault="00C76840" w:rsidP="00C76840">
      <w:pPr>
        <w:pStyle w:val="enumlev1"/>
      </w:pPr>
      <w:r w:rsidRPr="00B97A87">
        <w:t>c)</w:t>
      </w:r>
      <w:r w:rsidRPr="00B97A87">
        <w:rPr>
          <w:i/>
          <w:iCs/>
        </w:rPr>
        <w:tab/>
      </w:r>
      <w:r w:rsidRPr="00B97A87">
        <w:rPr>
          <w:b/>
          <w:bCs/>
        </w:rPr>
        <w:t>ориентирование на затраты</w:t>
      </w:r>
      <w:r w:rsidRPr="00B97A87">
        <w:t>: расчет оптовых цен на ММР путем определения соответствующих затрат на предоставление ММР, включая любые разумные нормы прибыли на уровне, который способствует привлечению инвестиций и инновациям. Следует принимать меры для обеспечения того, чтобы в этот анализ не включались искусственные и посторонние затраты.</w:t>
      </w:r>
    </w:p>
    <w:p w:rsidR="00C76840" w:rsidRPr="00B97A87" w:rsidRDefault="00C76840" w:rsidP="00C76840">
      <w:pPr>
        <w:rPr>
          <w:snapToGrid w:val="0"/>
        </w:rPr>
      </w:pPr>
      <w:r w:rsidRPr="00B97A87">
        <w:rPr>
          <w:b/>
          <w:bCs/>
          <w:snapToGrid w:val="0"/>
        </w:rPr>
        <w:t>6.2</w:t>
      </w:r>
      <w:r w:rsidRPr="00B97A87">
        <w:rPr>
          <w:snapToGrid w:val="0"/>
        </w:rPr>
        <w:tab/>
      </w:r>
      <w:bookmarkStart w:id="15" w:name="lt_pId090"/>
      <w:r w:rsidRPr="00B97A87">
        <w:rPr>
          <w:snapToGrid w:val="0"/>
        </w:rPr>
        <w:t>Конфиденциальность коммерческих соглашений следует обеспечивать с помощью инструментов НРО, таких как деперсонализация или агрегирование данных</w:t>
      </w:r>
      <w:r w:rsidRPr="00B97A87">
        <w:rPr>
          <w:rFonts w:asciiTheme="majorBidi" w:hAnsiTheme="majorBidi" w:cstheme="majorBidi"/>
        </w:rPr>
        <w:t>.</w:t>
      </w:r>
      <w:bookmarkEnd w:id="15"/>
    </w:p>
    <w:p w:rsidR="00C76840" w:rsidRPr="00B97A87" w:rsidRDefault="00C76840" w:rsidP="00C76840">
      <w:pPr>
        <w:rPr>
          <w:snapToGrid w:val="0"/>
        </w:rPr>
      </w:pPr>
      <w:r w:rsidRPr="00B97A87">
        <w:rPr>
          <w:b/>
          <w:bCs/>
          <w:snapToGrid w:val="0"/>
        </w:rPr>
        <w:t>6.3</w:t>
      </w:r>
      <w:r w:rsidRPr="00B97A87">
        <w:rPr>
          <w:snapToGrid w:val="0"/>
        </w:rPr>
        <w:tab/>
        <w:t>В случае если Государство-Член рассматривает применение подхода, основанного на учете затрат, при определении конкурентных и доступных в ценовом отношении такс на ММР</w:t>
      </w:r>
      <w:r w:rsidRPr="00B97A87">
        <w:t xml:space="preserve"> </w:t>
      </w:r>
      <w:r w:rsidRPr="00B97A87">
        <w:rPr>
          <w:snapToGrid w:val="0"/>
        </w:rPr>
        <w:t>следует учитывать, как минимум, следующие элементы</w:t>
      </w:r>
      <w:r w:rsidRPr="00B97A87">
        <w:t>:</w:t>
      </w:r>
    </w:p>
    <w:p w:rsidR="00C76840" w:rsidRPr="00B97A87" w:rsidRDefault="00C76840" w:rsidP="00C76840">
      <w:pPr>
        <w:pStyle w:val="enumlev1"/>
      </w:pPr>
      <w:r w:rsidRPr="00B97A87">
        <w:t>−</w:t>
      </w:r>
      <w:r w:rsidRPr="00B97A87">
        <w:tab/>
        <w:t>затраты на местный доступ, инициирование и завершение вызова;</w:t>
      </w:r>
    </w:p>
    <w:p w:rsidR="00C76840" w:rsidRPr="00B97A87" w:rsidRDefault="00C76840" w:rsidP="00C76840">
      <w:pPr>
        <w:pStyle w:val="enumlev1"/>
      </w:pPr>
      <w:bookmarkStart w:id="16" w:name="lt_pId093"/>
      <w:r w:rsidRPr="00B97A87">
        <w:t>−</w:t>
      </w:r>
      <w:r w:rsidRPr="00B97A87">
        <w:tab/>
        <w:t>затраты на завершение международных вызовов, затраты на международные шлюзы;</w:t>
      </w:r>
      <w:bookmarkEnd w:id="16"/>
    </w:p>
    <w:p w:rsidR="00C76840" w:rsidRPr="00B97A87" w:rsidRDefault="00C76840" w:rsidP="00C76840">
      <w:pPr>
        <w:pStyle w:val="enumlev1"/>
      </w:pPr>
      <w:r w:rsidRPr="00B97A87">
        <w:t>−</w:t>
      </w:r>
      <w:r w:rsidRPr="00B97A87">
        <w:tab/>
        <w:t>затраты на местное транспортирование;</w:t>
      </w:r>
    </w:p>
    <w:p w:rsidR="00C76840" w:rsidRPr="00B97A87" w:rsidRDefault="00C76840" w:rsidP="00C76840">
      <w:pPr>
        <w:pStyle w:val="enumlev1"/>
      </w:pPr>
      <w:r w:rsidRPr="00B97A87">
        <w:t>−</w:t>
      </w:r>
      <w:r w:rsidRPr="00B97A87">
        <w:tab/>
        <w:t>затраты на международное транспортирование;</w:t>
      </w:r>
    </w:p>
    <w:p w:rsidR="00C76840" w:rsidRPr="00B97A87" w:rsidRDefault="00C76840" w:rsidP="00C76840">
      <w:pPr>
        <w:pStyle w:val="enumlev1"/>
      </w:pPr>
      <w:r w:rsidRPr="00B97A87">
        <w:t>−</w:t>
      </w:r>
      <w:r w:rsidRPr="00B97A87">
        <w:tab/>
        <w:t>платежи непосредственно за роуминг, включая платежи по контракту, за выставление счетов и сигнализацию; и</w:t>
      </w:r>
    </w:p>
    <w:p w:rsidR="00C76840" w:rsidRPr="00B97A87" w:rsidRDefault="00C76840" w:rsidP="00C76840">
      <w:pPr>
        <w:pStyle w:val="enumlev1"/>
      </w:pPr>
      <w:r w:rsidRPr="00B97A87">
        <w:t>−</w:t>
      </w:r>
      <w:r w:rsidRPr="00B97A87">
        <w:tab/>
        <w:t>платежи розничного характера, включая затраты, связанные с выпиской счетов и международной обработкой (включая CDR и IOT).</w:t>
      </w:r>
    </w:p>
    <w:p w:rsidR="00C76840" w:rsidRPr="00B97A87" w:rsidRDefault="00C76840" w:rsidP="00C76840">
      <w:pPr>
        <w:rPr>
          <w:snapToGrid w:val="0"/>
        </w:rPr>
      </w:pPr>
      <w:r w:rsidRPr="00B97A87">
        <w:rPr>
          <w:b/>
          <w:bCs/>
          <w:snapToGrid w:val="0"/>
        </w:rPr>
        <w:t>6.4</w:t>
      </w:r>
      <w:r w:rsidRPr="00B97A87">
        <w:rPr>
          <w:snapToGrid w:val="0"/>
        </w:rPr>
        <w:tab/>
        <w:t>Эти элементы необходимо учитывать для предоставления в ММР услуг передачи голоса, SMS и данных, памятуя об общей тенденции к расширению использования услуг связи.</w:t>
      </w:r>
    </w:p>
    <w:p w:rsidR="00C76840" w:rsidRPr="00B97A87" w:rsidRDefault="00C76840" w:rsidP="00C76840">
      <w:pPr>
        <w:rPr>
          <w:snapToGrid w:val="0"/>
        </w:rPr>
      </w:pPr>
      <w:r w:rsidRPr="00B97A87">
        <w:rPr>
          <w:b/>
          <w:bCs/>
          <w:snapToGrid w:val="0"/>
        </w:rPr>
        <w:t>6.5</w:t>
      </w:r>
      <w:r w:rsidRPr="00B97A87">
        <w:rPr>
          <w:snapToGrid w:val="0"/>
        </w:rPr>
        <w:tab/>
        <w:t>При анализе элементов затрат следует учитывать как режим предварительной оплаты, так и режим последующей оплаты.</w:t>
      </w:r>
    </w:p>
    <w:p w:rsidR="00C76840" w:rsidRPr="00B97A87" w:rsidRDefault="00C76840" w:rsidP="00C76840">
      <w:r w:rsidRPr="00B97A87">
        <w:rPr>
          <w:b/>
          <w:bCs/>
          <w:snapToGrid w:val="0"/>
        </w:rPr>
        <w:t>6.6</w:t>
      </w:r>
      <w:r w:rsidRPr="00B97A87">
        <w:rPr>
          <w:snapToGrid w:val="0"/>
        </w:rPr>
        <w:tab/>
        <w:t>Государствам настоятельно рекомендуется рассматривать эти элементы затрат для построения детальных моделей затрат на роуминг, предпочтительно на многонациональной основе, с тем чтобы лучше понимать фактические затраты на предоставление услуг международного роуминга</w:t>
      </w:r>
      <w:r w:rsidRPr="00B97A87">
        <w:t>.</w:t>
      </w:r>
    </w:p>
    <w:p w:rsidR="00C76840" w:rsidRPr="00B97A87" w:rsidRDefault="00C76840" w:rsidP="00C76840">
      <w:pPr>
        <w:rPr>
          <w:snapToGrid w:val="0"/>
        </w:rPr>
      </w:pPr>
      <w:r w:rsidRPr="00B97A87">
        <w:rPr>
          <w:b/>
          <w:bCs/>
          <w:snapToGrid w:val="0"/>
        </w:rPr>
        <w:t>6.7</w:t>
      </w:r>
      <w:r w:rsidRPr="00B97A87">
        <w:rPr>
          <w:snapToGrid w:val="0"/>
        </w:rPr>
        <w:tab/>
        <w:t xml:space="preserve">При установлении ориентированных на затраты такс на международный мобильный роуминг в целях </w:t>
      </w:r>
      <w:r w:rsidRPr="00B97A87">
        <w:t>обеспечения выгод для потребителей – конечных пользователей, в особенности ценовой приемлемости, доступности и большего числа услуг,</w:t>
      </w:r>
      <w:r w:rsidRPr="00B97A87">
        <w:rPr>
          <w:snapToGrid w:val="0"/>
        </w:rPr>
        <w:t xml:space="preserve"> должны учитываться лежащие в основе этих затрат элементы оптовых и розничных тарифов. Государствам-Членам настоятельно рекомендуется устанавливать основу таких затрат по согласованию и во взаимодействии с операторами подвижной связи в духе прозрачности.</w:t>
      </w:r>
    </w:p>
    <w:p w:rsidR="00C76840" w:rsidRPr="00B97A87" w:rsidRDefault="00C76840" w:rsidP="00C76840">
      <w:pPr>
        <w:rPr>
          <w:rFonts w:asciiTheme="majorBidi" w:hAnsiTheme="majorBidi" w:cstheme="majorBidi"/>
        </w:rPr>
      </w:pPr>
      <w:r w:rsidRPr="00B97A87">
        <w:rPr>
          <w:b/>
          <w:bCs/>
          <w:snapToGrid w:val="0"/>
        </w:rPr>
        <w:t>6.8</w:t>
      </w:r>
      <w:r w:rsidRPr="00B97A87">
        <w:rPr>
          <w:snapToGrid w:val="0"/>
        </w:rPr>
        <w:tab/>
      </w:r>
      <w:bookmarkStart w:id="17" w:name="lt_pId105"/>
      <w:r w:rsidRPr="00B97A87">
        <w:rPr>
          <w:snapToGrid w:val="0"/>
        </w:rPr>
        <w:t>При установлении такс на ММР региональными или экономическими организациями следует учитывать негативное воздействие на другие части мира. Государствам-Членам настоятельно рекомендуется не допускать эффекта водяного матраса, который является результатом каких-либо регуляторных мер, принятых в целях снижения такс на ММР</w:t>
      </w:r>
      <w:bookmarkStart w:id="18" w:name="lt_pId106"/>
      <w:bookmarkEnd w:id="17"/>
      <w:r w:rsidRPr="00B97A87">
        <w:rPr>
          <w:rFonts w:asciiTheme="majorBidi" w:hAnsiTheme="majorBidi" w:cstheme="majorBidi"/>
        </w:rPr>
        <w:t>.</w:t>
      </w:r>
      <w:bookmarkEnd w:id="18"/>
    </w:p>
    <w:p w:rsidR="00C76840" w:rsidRPr="00B97A87" w:rsidRDefault="00C76840" w:rsidP="0032202E">
      <w:pPr>
        <w:pStyle w:val="Reasons"/>
      </w:pPr>
    </w:p>
    <w:p w:rsidR="001321F9" w:rsidRPr="00B97A87" w:rsidRDefault="00C76840" w:rsidP="00C76840">
      <w:pPr>
        <w:jc w:val="center"/>
      </w:pPr>
      <w:r w:rsidRPr="00B97A87">
        <w:t>______________</w:t>
      </w:r>
    </w:p>
    <w:sectPr w:rsidR="001321F9" w:rsidRPr="00B97A8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0B" w:rsidRDefault="00C4430B">
      <w:r>
        <w:separator/>
      </w:r>
    </w:p>
  </w:endnote>
  <w:endnote w:type="continuationSeparator" w:id="0">
    <w:p w:rsidR="00C4430B" w:rsidRDefault="00C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7A1B">
      <w:rPr>
        <w:noProof/>
      </w:rPr>
      <w:t>30.06.16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07A1B" w:rsidRDefault="00307A1B" w:rsidP="00307A1B">
    <w:pPr>
      <w:pStyle w:val="Footer"/>
      <w:rPr>
        <w:lang w:val="fr-CH"/>
      </w:rPr>
    </w:pPr>
    <w:r w:rsidRPr="005D6D3E">
      <w:rPr>
        <w:szCs w:val="12"/>
        <w:lang w:val="fr-CH"/>
      </w:rPr>
      <w:t>ITU-T\CONF-T\WTSA16\000\039</w:t>
    </w:r>
    <w:r>
      <w:rPr>
        <w:szCs w:val="12"/>
        <w:lang w:val="fr-CH"/>
      </w:rPr>
      <w:t>R</w:t>
    </w:r>
    <w:r w:rsidRPr="005D6D3E">
      <w:rPr>
        <w:szCs w:val="12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07A1B" w:rsidRDefault="00307A1B" w:rsidP="00307A1B">
    <w:pPr>
      <w:pStyle w:val="Footer"/>
      <w:rPr>
        <w:lang w:val="fr-CH"/>
      </w:rPr>
    </w:pPr>
    <w:r w:rsidRPr="005D6D3E">
      <w:rPr>
        <w:szCs w:val="12"/>
        <w:lang w:val="fr-CH"/>
      </w:rPr>
      <w:t>ITU-T\CONF-T\WTSA16\000\039</w:t>
    </w:r>
    <w:r>
      <w:rPr>
        <w:szCs w:val="12"/>
        <w:lang w:val="fr-CH"/>
      </w:rPr>
      <w:t>R</w:t>
    </w:r>
    <w:r w:rsidRPr="005D6D3E">
      <w:rPr>
        <w:szCs w:val="12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0B" w:rsidRDefault="00C4430B">
      <w:r>
        <w:rPr>
          <w:b/>
        </w:rPr>
        <w:t>_______________</w:t>
      </w:r>
    </w:p>
  </w:footnote>
  <w:footnote w:type="continuationSeparator" w:id="0">
    <w:p w:rsidR="00C4430B" w:rsidRDefault="00C4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7A1B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WTSA16/39-R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27B11"/>
    <w:rsid w:val="0003535B"/>
    <w:rsid w:val="000769B8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1F9"/>
    <w:rsid w:val="001434F1"/>
    <w:rsid w:val="001521AE"/>
    <w:rsid w:val="00155C24"/>
    <w:rsid w:val="00190D8B"/>
    <w:rsid w:val="001A5585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7A1B"/>
    <w:rsid w:val="00344EB8"/>
    <w:rsid w:val="00346BEC"/>
    <w:rsid w:val="003B64AA"/>
    <w:rsid w:val="003C583C"/>
    <w:rsid w:val="003F0078"/>
    <w:rsid w:val="003F351C"/>
    <w:rsid w:val="0040677A"/>
    <w:rsid w:val="00412A42"/>
    <w:rsid w:val="00432FFB"/>
    <w:rsid w:val="00434A7C"/>
    <w:rsid w:val="00434D03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20DD7"/>
    <w:rsid w:val="0062556C"/>
    <w:rsid w:val="00657DE0"/>
    <w:rsid w:val="00665A95"/>
    <w:rsid w:val="00687F81"/>
    <w:rsid w:val="00692C06"/>
    <w:rsid w:val="006A6E9B"/>
    <w:rsid w:val="007036B6"/>
    <w:rsid w:val="00730A90"/>
    <w:rsid w:val="00763F4F"/>
    <w:rsid w:val="00775720"/>
    <w:rsid w:val="007A08B5"/>
    <w:rsid w:val="00811633"/>
    <w:rsid w:val="00812452"/>
    <w:rsid w:val="00872232"/>
    <w:rsid w:val="00872FC8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97A87"/>
    <w:rsid w:val="00BA13A4"/>
    <w:rsid w:val="00BA1AA1"/>
    <w:rsid w:val="00BA35DC"/>
    <w:rsid w:val="00BC5313"/>
    <w:rsid w:val="00C20466"/>
    <w:rsid w:val="00C30A6E"/>
    <w:rsid w:val="00C324A8"/>
    <w:rsid w:val="00C4430B"/>
    <w:rsid w:val="00C56E7A"/>
    <w:rsid w:val="00C63928"/>
    <w:rsid w:val="00C72022"/>
    <w:rsid w:val="00C76840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rsid w:val="00C768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4A45EA"/>
    <w:rsid w:val="006C0398"/>
    <w:rsid w:val="006D0370"/>
    <w:rsid w:val="00811E71"/>
    <w:rsid w:val="00847326"/>
    <w:rsid w:val="008F6CE7"/>
    <w:rsid w:val="00954280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6295e1-dddc-44be-8de6-7d88367c4c79">Documents Proposals Manager (DPM)</DPM_x0020_Author>
    <DPM_x0020_File_x0020_name xmlns="736295e1-dddc-44be-8de6-7d88367c4c79">T13-WTSA.16-C-0039!!MSW-R</DPM_x0020_File_x0020_name>
    <DPM_x0020_Version xmlns="736295e1-dddc-44be-8de6-7d88367c4c79">DPM_v2016.6.21.1_prod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6295e1-dddc-44be-8de6-7d88367c4c79" targetNamespace="http://schemas.microsoft.com/office/2006/metadata/properties" ma:root="true" ma:fieldsID="d41af5c836d734370eb92e7ee5f83852" ns2:_="" ns3:_="">
    <xsd:import namespace="996b2e75-67fd-4955-a3b0-5ab9934cb50b"/>
    <xsd:import namespace="736295e1-dddc-44be-8de6-7d88367c4c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5e1-dddc-44be-8de6-7d88367c4c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736295e1-dddc-44be-8de6-7d88367c4c7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6295e1-dddc-44be-8de6-7d88367c4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1459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T13-WTSA.16-C-0039!!MSW-R</vt:lpstr>
    </vt:vector>
  </TitlesOfParts>
  <Manager>General Secretariat - Pool</Manager>
  <Company>International Telecommunication Union (ITU)</Company>
  <LinksUpToDate>false</LinksUpToDate>
  <CharactersWithSpaces>12150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T13-WTSA.16-C-0039!!MSW-R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Clark, Robert</cp:lastModifiedBy>
  <cp:revision>5</cp:revision>
  <cp:lastPrinted>2016-03-08T13:33:00Z</cp:lastPrinted>
  <dcterms:created xsi:type="dcterms:W3CDTF">2016-06-29T09:14:00Z</dcterms:created>
  <dcterms:modified xsi:type="dcterms:W3CDTF">2016-07-06T15:23:00Z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