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56"/>
        <w:tblW w:w="5089" w:type="pct"/>
        <w:tblLook w:val="0000" w:firstRow="0" w:lastRow="0" w:firstColumn="0" w:lastColumn="0" w:noHBand="0" w:noVBand="0"/>
      </w:tblPr>
      <w:tblGrid>
        <w:gridCol w:w="1382"/>
        <w:gridCol w:w="5422"/>
        <w:gridCol w:w="567"/>
        <w:gridCol w:w="2440"/>
      </w:tblGrid>
      <w:tr w:rsidR="001D581B" w:rsidTr="00C26BA2">
        <w:trPr>
          <w:cantSplit/>
        </w:trPr>
        <w:tc>
          <w:tcPr>
            <w:tcW w:w="1382" w:type="dxa"/>
            <w:vAlign w:val="center"/>
          </w:tcPr>
          <w:p w:rsidR="00CF1E9D" w:rsidRPr="00566A5B" w:rsidRDefault="00CF1E9D" w:rsidP="0067543A">
            <w:pPr>
              <w:rPr>
                <w:rFonts w:ascii="Verdana" w:hAnsi="Verdana" w:cs="Times New Roman Bold"/>
                <w:b/>
                <w:bCs/>
                <w:sz w:val="22"/>
                <w:szCs w:val="22"/>
              </w:rPr>
            </w:pPr>
            <w:r>
              <w:rPr>
                <w:noProof/>
                <w:lang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C26BA2">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Yasmine 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CF1E9D">
            <w:pPr>
              <w:spacing w:before="0"/>
              <w:jc w:val="right"/>
            </w:pPr>
            <w:r>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C26BA2">
        <w:trPr>
          <w:cantSplit/>
        </w:trPr>
        <w:tc>
          <w:tcPr>
            <w:tcW w:w="6804" w:type="dxa"/>
            <w:gridSpan w:val="2"/>
            <w:tcBorders>
              <w:bottom w:val="single" w:sz="12" w:space="0" w:color="auto"/>
            </w:tcBorders>
          </w:tcPr>
          <w:p w:rsidR="00595780" w:rsidRDefault="00595780" w:rsidP="0067543A">
            <w:pPr>
              <w:spacing w:before="0"/>
            </w:pPr>
          </w:p>
        </w:tc>
        <w:tc>
          <w:tcPr>
            <w:tcW w:w="3007" w:type="dxa"/>
            <w:gridSpan w:val="2"/>
            <w:tcBorders>
              <w:bottom w:val="single" w:sz="12" w:space="0" w:color="auto"/>
            </w:tcBorders>
          </w:tcPr>
          <w:p w:rsidR="00595780" w:rsidRDefault="00595780" w:rsidP="0067543A">
            <w:pPr>
              <w:spacing w:before="0"/>
            </w:pPr>
          </w:p>
        </w:tc>
      </w:tr>
      <w:tr w:rsidR="001D581B" w:rsidTr="00C26BA2">
        <w:trPr>
          <w:cantSplit/>
        </w:trPr>
        <w:tc>
          <w:tcPr>
            <w:tcW w:w="6804" w:type="dxa"/>
            <w:gridSpan w:val="2"/>
            <w:tcBorders>
              <w:top w:val="single" w:sz="12" w:space="0" w:color="auto"/>
            </w:tcBorders>
          </w:tcPr>
          <w:p w:rsidR="00595780" w:rsidRDefault="00595780" w:rsidP="0067543A">
            <w:pPr>
              <w:spacing w:before="0"/>
            </w:pPr>
          </w:p>
        </w:tc>
        <w:tc>
          <w:tcPr>
            <w:tcW w:w="3007" w:type="dxa"/>
            <w:gridSpan w:val="2"/>
          </w:tcPr>
          <w:p w:rsidR="00595780" w:rsidRPr="002074EC" w:rsidRDefault="00595780" w:rsidP="0067543A">
            <w:pPr>
              <w:spacing w:before="0"/>
              <w:rPr>
                <w:rFonts w:ascii="Verdana" w:hAnsi="Verdana"/>
                <w:b/>
                <w:bCs/>
                <w:sz w:val="20"/>
              </w:rPr>
            </w:pPr>
          </w:p>
        </w:tc>
      </w:tr>
      <w:tr w:rsidR="00C26BA2" w:rsidTr="00C26BA2">
        <w:trPr>
          <w:cantSplit/>
        </w:trPr>
        <w:tc>
          <w:tcPr>
            <w:tcW w:w="6804" w:type="dxa"/>
            <w:gridSpan w:val="2"/>
          </w:tcPr>
          <w:p w:rsidR="00C26BA2" w:rsidRDefault="00C26BA2" w:rsidP="00C26BA2">
            <w:pPr>
              <w:spacing w:before="0"/>
            </w:pPr>
            <w:r w:rsidRPr="00930FFD">
              <w:rPr>
                <w:rFonts w:ascii="Verdana" w:hAnsi="Verdana"/>
                <w:b/>
                <w:sz w:val="20"/>
                <w:lang w:val="en-US"/>
              </w:rPr>
              <w:t>SÉANCE PLÉNIÈRE</w:t>
            </w:r>
          </w:p>
        </w:tc>
        <w:tc>
          <w:tcPr>
            <w:tcW w:w="3007" w:type="dxa"/>
            <w:gridSpan w:val="2"/>
          </w:tcPr>
          <w:p w:rsidR="00C26BA2" w:rsidRPr="005677D9" w:rsidRDefault="00C26BA2" w:rsidP="00C26BA2">
            <w:pPr>
              <w:spacing w:before="0"/>
              <w:rPr>
                <w:rFonts w:ascii="Verdana" w:hAnsi="Verdana"/>
                <w:sz w:val="20"/>
                <w:lang w:val="en-US"/>
              </w:rPr>
            </w:pPr>
            <w:r w:rsidRPr="005677D9">
              <w:rPr>
                <w:rFonts w:ascii="Verdana" w:hAnsi="Verdana" w:cs="Traditional Arabic"/>
                <w:b/>
                <w:sz w:val="20"/>
                <w:lang w:val="en-US"/>
              </w:rPr>
              <w:t>Document 39</w:t>
            </w:r>
            <w:r w:rsidRPr="005677D9">
              <w:rPr>
                <w:rFonts w:ascii="Verdana" w:hAnsi="Verdana"/>
                <w:b/>
                <w:sz w:val="20"/>
                <w:lang w:val="en-US"/>
              </w:rPr>
              <w:t>-F</w:t>
            </w:r>
          </w:p>
        </w:tc>
      </w:tr>
      <w:tr w:rsidR="001D581B" w:rsidTr="00C26BA2">
        <w:trPr>
          <w:cantSplit/>
        </w:trPr>
        <w:tc>
          <w:tcPr>
            <w:tcW w:w="6804" w:type="dxa"/>
            <w:gridSpan w:val="2"/>
          </w:tcPr>
          <w:p w:rsidR="00595780" w:rsidRDefault="00595780" w:rsidP="0067543A">
            <w:pPr>
              <w:spacing w:before="0"/>
            </w:pPr>
          </w:p>
        </w:tc>
        <w:tc>
          <w:tcPr>
            <w:tcW w:w="3007" w:type="dxa"/>
            <w:gridSpan w:val="2"/>
          </w:tcPr>
          <w:p w:rsidR="00595780" w:rsidRDefault="00FB6848" w:rsidP="001D581B">
            <w:pPr>
              <w:spacing w:before="0"/>
            </w:pPr>
            <w:proofErr w:type="spellStart"/>
            <w:r>
              <w:rPr>
                <w:rFonts w:ascii="Verdana" w:hAnsi="Verdana"/>
                <w:b/>
                <w:sz w:val="20"/>
                <w:lang w:val="en-US"/>
              </w:rPr>
              <w:t>J</w:t>
            </w:r>
            <w:r w:rsidR="00C26BA2" w:rsidRPr="002A6F8F">
              <w:rPr>
                <w:rFonts w:ascii="Verdana" w:hAnsi="Verdana"/>
                <w:b/>
                <w:sz w:val="20"/>
                <w:lang w:val="en-US"/>
              </w:rPr>
              <w:t>uin</w:t>
            </w:r>
            <w:proofErr w:type="spellEnd"/>
            <w:r w:rsidR="00C26BA2" w:rsidRPr="002A6F8F">
              <w:rPr>
                <w:rFonts w:ascii="Verdana" w:hAnsi="Verdana"/>
                <w:b/>
                <w:sz w:val="20"/>
                <w:lang w:val="en-US"/>
              </w:rPr>
              <w:t xml:space="preserve"> 2016</w:t>
            </w:r>
          </w:p>
        </w:tc>
      </w:tr>
      <w:tr w:rsidR="001D581B" w:rsidTr="00C26BA2">
        <w:trPr>
          <w:cantSplit/>
        </w:trPr>
        <w:tc>
          <w:tcPr>
            <w:tcW w:w="6804" w:type="dxa"/>
            <w:gridSpan w:val="2"/>
          </w:tcPr>
          <w:p w:rsidR="00595780" w:rsidRDefault="00595780" w:rsidP="0067543A">
            <w:pPr>
              <w:spacing w:before="0"/>
            </w:pPr>
          </w:p>
        </w:tc>
        <w:tc>
          <w:tcPr>
            <w:tcW w:w="3007" w:type="dxa"/>
            <w:gridSpan w:val="2"/>
          </w:tcPr>
          <w:p w:rsidR="00595780" w:rsidRDefault="00C26BA2" w:rsidP="00FB6848">
            <w:pPr>
              <w:spacing w:before="0"/>
            </w:pPr>
            <w:r w:rsidRPr="002A6F8F">
              <w:rPr>
                <w:rFonts w:ascii="Verdana" w:hAnsi="Verdana"/>
                <w:b/>
                <w:sz w:val="20"/>
                <w:lang w:val="en-US"/>
              </w:rPr>
              <w:t xml:space="preserve">Original: </w:t>
            </w:r>
            <w:proofErr w:type="spellStart"/>
            <w:r w:rsidR="00FB6848">
              <w:rPr>
                <w:rFonts w:ascii="Verdana" w:hAnsi="Verdana"/>
                <w:b/>
                <w:sz w:val="20"/>
                <w:lang w:val="en-US"/>
              </w:rPr>
              <w:t>angl</w:t>
            </w:r>
            <w:r w:rsidRPr="002A6F8F">
              <w:rPr>
                <w:rFonts w:ascii="Verdana" w:hAnsi="Verdana"/>
                <w:b/>
                <w:sz w:val="20"/>
                <w:lang w:val="en-US"/>
              </w:rPr>
              <w:t>ais</w:t>
            </w:r>
            <w:proofErr w:type="spellEnd"/>
          </w:p>
        </w:tc>
      </w:tr>
      <w:tr w:rsidR="000032AD" w:rsidTr="00CD5CBE">
        <w:trPr>
          <w:cantSplit/>
        </w:trPr>
        <w:tc>
          <w:tcPr>
            <w:tcW w:w="9811" w:type="dxa"/>
            <w:gridSpan w:val="4"/>
          </w:tcPr>
          <w:p w:rsidR="000032AD" w:rsidRPr="002074EC" w:rsidRDefault="000032AD" w:rsidP="0067543A">
            <w:pPr>
              <w:spacing w:before="0"/>
              <w:rPr>
                <w:rFonts w:ascii="Verdana" w:hAnsi="Verdana"/>
                <w:b/>
                <w:bCs/>
                <w:sz w:val="20"/>
              </w:rPr>
            </w:pPr>
          </w:p>
        </w:tc>
      </w:tr>
      <w:tr w:rsidR="00595780" w:rsidRPr="00FB6848" w:rsidTr="00C26BA2">
        <w:trPr>
          <w:cantSplit/>
        </w:trPr>
        <w:tc>
          <w:tcPr>
            <w:tcW w:w="9811" w:type="dxa"/>
            <w:gridSpan w:val="4"/>
          </w:tcPr>
          <w:p w:rsidR="00595780" w:rsidRPr="00AB2FC3" w:rsidRDefault="00C26BA2" w:rsidP="0067543A">
            <w:pPr>
              <w:pStyle w:val="Source"/>
              <w:rPr>
                <w:lang w:val="fr-CH"/>
              </w:rPr>
            </w:pPr>
            <w:r w:rsidRPr="00AB2FC3">
              <w:rPr>
                <w:lang w:val="fr-CH"/>
              </w:rPr>
              <w:t>Commission d'études 3 de l'UIT-T</w:t>
            </w:r>
          </w:p>
        </w:tc>
      </w:tr>
      <w:tr w:rsidR="00595780" w:rsidRPr="00FB6848" w:rsidTr="00C26BA2">
        <w:trPr>
          <w:cantSplit/>
        </w:trPr>
        <w:tc>
          <w:tcPr>
            <w:tcW w:w="9811" w:type="dxa"/>
            <w:gridSpan w:val="4"/>
          </w:tcPr>
          <w:p w:rsidR="00595780" w:rsidRPr="00AB2FC3" w:rsidRDefault="00AB2FC3" w:rsidP="00F73322">
            <w:pPr>
              <w:pStyle w:val="Title1"/>
              <w:rPr>
                <w:lang w:val="fr-CH"/>
              </w:rPr>
            </w:pPr>
            <w:r w:rsidRPr="00AB2FC3">
              <w:rPr>
                <w:lang w:val="fr-CH"/>
              </w:rPr>
              <w:t xml:space="preserve">projet de nouvelle Recommandation UIT-T D.97 </w:t>
            </w:r>
            <w:r w:rsidR="00F73322">
              <w:rPr>
                <w:lang w:val="fr-CH"/>
              </w:rPr>
              <w:t>"</w:t>
            </w:r>
            <w:r w:rsidRPr="00AB2FC3">
              <w:rPr>
                <w:lang w:val="fr-CH"/>
              </w:rPr>
              <w:t>Principes méthodologiques de détermination des tarifs de l'itinérance mobile internationale</w:t>
            </w:r>
            <w:r w:rsidR="00F73322">
              <w:rPr>
                <w:lang w:val="fr-CH"/>
              </w:rPr>
              <w:t>"</w:t>
            </w:r>
            <w:r w:rsidRPr="00AB2FC3">
              <w:rPr>
                <w:lang w:val="fr-CH"/>
              </w:rPr>
              <w:t xml:space="preserve"> </w:t>
            </w:r>
            <w:r w:rsidR="00FE6F04">
              <w:rPr>
                <w:lang w:val="fr-CH"/>
              </w:rPr>
              <w:t xml:space="preserve">proposé </w:t>
            </w:r>
            <w:r w:rsidR="00F73322">
              <w:rPr>
                <w:lang w:val="fr-CH"/>
              </w:rPr>
              <w:br/>
            </w:r>
            <w:r w:rsidR="00FE6F04">
              <w:rPr>
                <w:lang w:val="fr-CH"/>
              </w:rPr>
              <w:t>pour approbation à l'amnt-16</w:t>
            </w:r>
          </w:p>
        </w:tc>
      </w:tr>
      <w:tr w:rsidR="00595780" w:rsidRPr="00FB6848" w:rsidTr="00C26BA2">
        <w:trPr>
          <w:cantSplit/>
        </w:trPr>
        <w:tc>
          <w:tcPr>
            <w:tcW w:w="9811" w:type="dxa"/>
            <w:gridSpan w:val="4"/>
          </w:tcPr>
          <w:p w:rsidR="00595780" w:rsidRPr="00AB2FC3" w:rsidRDefault="00595780" w:rsidP="001D581B">
            <w:pPr>
              <w:pStyle w:val="Title2"/>
              <w:rPr>
                <w:lang w:val="fr-CH"/>
              </w:rPr>
            </w:pPr>
          </w:p>
        </w:tc>
      </w:tr>
      <w:tr w:rsidR="00C26BA2" w:rsidRPr="00FB6848" w:rsidTr="00C26BA2">
        <w:trPr>
          <w:cantSplit/>
        </w:trPr>
        <w:tc>
          <w:tcPr>
            <w:tcW w:w="9811" w:type="dxa"/>
            <w:gridSpan w:val="4"/>
          </w:tcPr>
          <w:p w:rsidR="00C26BA2" w:rsidRPr="00AB2FC3" w:rsidRDefault="00C26BA2" w:rsidP="00C26BA2">
            <w:pPr>
              <w:pStyle w:val="Agendaitem"/>
              <w:rPr>
                <w:lang w:val="fr-CH"/>
              </w:rPr>
            </w:pPr>
          </w:p>
        </w:tc>
      </w:tr>
    </w:tbl>
    <w:p w:rsidR="00E11197" w:rsidRPr="00AB2FC3" w:rsidRDefault="00E11197" w:rsidP="00E11197">
      <w:pPr>
        <w:rPr>
          <w:lang w:val="fr-CH"/>
        </w:rPr>
      </w:pPr>
    </w:p>
    <w:tbl>
      <w:tblPr>
        <w:tblW w:w="5089" w:type="pct"/>
        <w:tblLayout w:type="fixed"/>
        <w:tblLook w:val="0000" w:firstRow="0" w:lastRow="0" w:firstColumn="0" w:lastColumn="0" w:noHBand="0" w:noVBand="0"/>
      </w:tblPr>
      <w:tblGrid>
        <w:gridCol w:w="1912"/>
        <w:gridCol w:w="7899"/>
      </w:tblGrid>
      <w:tr w:rsidR="00E11197" w:rsidRPr="00FB6848" w:rsidTr="00193AD1">
        <w:trPr>
          <w:cantSplit/>
        </w:trPr>
        <w:tc>
          <w:tcPr>
            <w:tcW w:w="1951" w:type="dxa"/>
          </w:tcPr>
          <w:p w:rsidR="00E11197" w:rsidRPr="00426748" w:rsidRDefault="00E11197" w:rsidP="00193AD1">
            <w:r>
              <w:rPr>
                <w:b/>
                <w:bCs/>
              </w:rPr>
              <w:t>Résumé</w:t>
            </w:r>
            <w:r w:rsidRPr="008F7104">
              <w:rPr>
                <w:b/>
                <w:bCs/>
              </w:rPr>
              <w:t>:</w:t>
            </w:r>
          </w:p>
        </w:tc>
        <w:sdt>
          <w:sdtPr>
            <w:rPr>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F73322" w:rsidRDefault="00FE6F04" w:rsidP="005F5F22">
                <w:pPr>
                  <w:rPr>
                    <w:lang w:val="fr-CH"/>
                  </w:rPr>
                </w:pPr>
                <w:r w:rsidRPr="00F73322">
                  <w:rPr>
                    <w:lang w:val="fr-CH"/>
                  </w:rPr>
                  <w:t>Le Document 39 de l'AMNT</w:t>
                </w:r>
                <w:r w:rsidR="005F5F22">
                  <w:rPr>
                    <w:lang w:val="fr-CH"/>
                  </w:rPr>
                  <w:t>-16</w:t>
                </w:r>
                <w:r w:rsidRPr="00F73322">
                  <w:rPr>
                    <w:lang w:val="fr-CH"/>
                  </w:rPr>
                  <w:t xml:space="preserve"> contient un projet de nouvelle Recommandation UIT-T D.97 soumis pour approbation à l'A</w:t>
                </w:r>
                <w:r w:rsidR="005F5F22">
                  <w:rPr>
                    <w:lang w:val="fr-CH"/>
                  </w:rPr>
                  <w:t>ssemblée</w:t>
                </w:r>
                <w:r w:rsidRPr="00F73322">
                  <w:rPr>
                    <w:lang w:val="fr-CH"/>
                  </w:rPr>
                  <w:t>. Le contenu du présent Document est identique à celui du Document COM3</w:t>
                </w:r>
                <w:r w:rsidR="005F5F22">
                  <w:rPr>
                    <w:lang w:val="fr-CH"/>
                  </w:rPr>
                  <w:t>-</w:t>
                </w:r>
                <w:r w:rsidRPr="00F73322">
                  <w:rPr>
                    <w:lang w:val="fr-CH"/>
                  </w:rPr>
                  <w:t>R20.</w:t>
                </w:r>
              </w:p>
            </w:tc>
          </w:sdtContent>
        </w:sdt>
      </w:tr>
    </w:tbl>
    <w:p w:rsidR="00F776DF" w:rsidRPr="00F73322" w:rsidRDefault="00F776DF">
      <w:pPr>
        <w:tabs>
          <w:tab w:val="clear" w:pos="1134"/>
          <w:tab w:val="clear" w:pos="1871"/>
          <w:tab w:val="clear" w:pos="2268"/>
        </w:tabs>
        <w:overflowPunct/>
        <w:autoSpaceDE/>
        <w:autoSpaceDN/>
        <w:adjustRightInd/>
        <w:spacing w:before="0"/>
        <w:textAlignment w:val="auto"/>
        <w:rPr>
          <w:lang w:val="fr-CH"/>
        </w:rPr>
      </w:pPr>
    </w:p>
    <w:p w:rsidR="00F776DF" w:rsidRPr="00F73322" w:rsidRDefault="00F776DF">
      <w:pPr>
        <w:tabs>
          <w:tab w:val="clear" w:pos="1134"/>
          <w:tab w:val="clear" w:pos="1871"/>
          <w:tab w:val="clear" w:pos="2268"/>
        </w:tabs>
        <w:overflowPunct/>
        <w:autoSpaceDE/>
        <w:autoSpaceDN/>
        <w:adjustRightInd/>
        <w:spacing w:before="0"/>
        <w:textAlignment w:val="auto"/>
        <w:rPr>
          <w:lang w:val="fr-CH"/>
        </w:rPr>
      </w:pPr>
      <w:r w:rsidRPr="00F73322">
        <w:rPr>
          <w:lang w:val="fr-CH"/>
        </w:rPr>
        <w:br w:type="page"/>
      </w:r>
    </w:p>
    <w:p w:rsidR="00987C1F" w:rsidRPr="00F73322" w:rsidRDefault="00987C1F" w:rsidP="00A811DC">
      <w:pPr>
        <w:rPr>
          <w:lang w:val="fr-CH"/>
        </w:rPr>
      </w:pPr>
    </w:p>
    <w:p w:rsidR="00C07B8D" w:rsidRPr="005677D9" w:rsidRDefault="00774992">
      <w:pPr>
        <w:pStyle w:val="Proposal"/>
        <w:rPr>
          <w:lang w:val="fr-CH"/>
        </w:rPr>
      </w:pPr>
      <w:r w:rsidRPr="005677D9">
        <w:rPr>
          <w:b/>
          <w:lang w:val="fr-CH"/>
        </w:rPr>
        <w:t>ADD</w:t>
      </w:r>
      <w:r w:rsidRPr="005677D9">
        <w:rPr>
          <w:lang w:val="fr-CH"/>
        </w:rPr>
        <w:tab/>
        <w:t>SG3/39/1</w:t>
      </w:r>
    </w:p>
    <w:p w:rsidR="005677D9" w:rsidRDefault="00774992" w:rsidP="005677D9">
      <w:pPr>
        <w:pStyle w:val="RecNo"/>
        <w:rPr>
          <w:lang w:val="fr-CH"/>
        </w:rPr>
      </w:pPr>
      <w:r>
        <w:rPr>
          <w:lang w:val="fr-CH"/>
        </w:rPr>
        <w:t>Projet de Recommandation</w:t>
      </w:r>
      <w:bookmarkStart w:id="0" w:name="_Toc448311715"/>
      <w:bookmarkStart w:id="1" w:name="_Toc448311657"/>
      <w:r w:rsidR="005677D9">
        <w:rPr>
          <w:lang w:val="fr-CH"/>
        </w:rPr>
        <w:t xml:space="preserve"> </w:t>
      </w:r>
      <w:r w:rsidR="00AB2FC3" w:rsidRPr="005677D9">
        <w:rPr>
          <w:lang w:val="fr-CH"/>
        </w:rPr>
        <w:t xml:space="preserve">UIT-T D.97 </w:t>
      </w:r>
    </w:p>
    <w:p w:rsidR="00AB2FC3" w:rsidRPr="005677D9" w:rsidRDefault="005677D9" w:rsidP="00FB6848">
      <w:pPr>
        <w:pStyle w:val="Rectitle"/>
        <w:rPr>
          <w:lang w:val="fr-CH"/>
        </w:rPr>
      </w:pPr>
      <w:r>
        <w:rPr>
          <w:lang w:val="fr-CH"/>
        </w:rPr>
        <w:t>P</w:t>
      </w:r>
      <w:r w:rsidR="00AB2FC3" w:rsidRPr="005677D9">
        <w:rPr>
          <w:lang w:val="fr-CH"/>
        </w:rPr>
        <w:t>rincipes m</w:t>
      </w:r>
      <w:r w:rsidR="00AB2FC3" w:rsidRPr="005677D9">
        <w:rPr>
          <w:lang w:val="fr-CH"/>
        </w:rPr>
        <w:t>é</w:t>
      </w:r>
      <w:r w:rsidR="00AB2FC3" w:rsidRPr="005677D9">
        <w:rPr>
          <w:lang w:val="fr-CH"/>
        </w:rPr>
        <w:t>thodologiques de d</w:t>
      </w:r>
      <w:r w:rsidR="00AB2FC3" w:rsidRPr="005677D9">
        <w:rPr>
          <w:lang w:val="fr-CH"/>
        </w:rPr>
        <w:t>é</w:t>
      </w:r>
      <w:r w:rsidR="00AB2FC3" w:rsidRPr="005677D9">
        <w:rPr>
          <w:lang w:val="fr-CH"/>
        </w:rPr>
        <w:t>termination des tarifs de l'itin</w:t>
      </w:r>
      <w:r w:rsidR="00AB2FC3" w:rsidRPr="005677D9">
        <w:rPr>
          <w:lang w:val="fr-CH"/>
        </w:rPr>
        <w:t>é</w:t>
      </w:r>
      <w:r w:rsidR="00AB2FC3" w:rsidRPr="005677D9">
        <w:rPr>
          <w:lang w:val="fr-CH"/>
        </w:rPr>
        <w:t xml:space="preserve">rance </w:t>
      </w:r>
      <w:r w:rsidR="00FB6848">
        <w:rPr>
          <w:lang w:val="fr-CH"/>
        </w:rPr>
        <w:br/>
      </w:r>
      <w:r w:rsidR="00AB2FC3" w:rsidRPr="005677D9">
        <w:rPr>
          <w:lang w:val="fr-CH"/>
        </w:rPr>
        <w:t>mobile internationale</w:t>
      </w:r>
      <w:bookmarkEnd w:id="0"/>
      <w:bookmarkEnd w:id="1"/>
    </w:p>
    <w:p w:rsidR="00AB2FC3" w:rsidRDefault="00AB2FC3" w:rsidP="00AB2FC3">
      <w:pPr>
        <w:pStyle w:val="Headingb"/>
      </w:pPr>
      <w:bookmarkStart w:id="2" w:name="_Toc448311716"/>
      <w:bookmarkStart w:id="3" w:name="_Toc448311658"/>
      <w:r>
        <w:t>Résumé</w:t>
      </w:r>
      <w:bookmarkEnd w:id="2"/>
      <w:bookmarkEnd w:id="3"/>
    </w:p>
    <w:p w:rsidR="00AB2FC3" w:rsidRDefault="00AB2FC3" w:rsidP="00AB2FC3">
      <w:pPr>
        <w:rPr>
          <w:lang w:val="fr-CH"/>
        </w:rPr>
      </w:pPr>
      <w:r>
        <w:rPr>
          <w:lang w:val="fr-CH"/>
        </w:rPr>
        <w:t>La Recommandation UIT-T D.97 "Principes méthodologiques de détermination des tarifs de l'itinérance mobile internationale", propose une approche permettant de réduire les tarifs d'itinérance excessifs, en insistant sur la nécessité d'encourager la concurrence sur le marché de l'itinérance, d'éduquer les consommateurs et d'envisager des mesures réglementaires appropriées comme le recours à un plafonnement des tarifs de l'itinérance.</w:t>
      </w:r>
    </w:p>
    <w:p w:rsidR="00AB2FC3" w:rsidRDefault="00AB2FC3" w:rsidP="00AB2FC3">
      <w:pPr>
        <w:pStyle w:val="Headingb"/>
      </w:pPr>
      <w:bookmarkStart w:id="4" w:name="_Toc448311717"/>
      <w:bookmarkStart w:id="5" w:name="_Toc448311659"/>
      <w:r>
        <w:t>Mots clés</w:t>
      </w:r>
      <w:bookmarkEnd w:id="4"/>
      <w:bookmarkEnd w:id="5"/>
    </w:p>
    <w:p w:rsidR="00AB2FC3" w:rsidRDefault="00AB2FC3" w:rsidP="00AB2FC3">
      <w:pPr>
        <w:rPr>
          <w:lang w:val="fr-CH"/>
        </w:rPr>
      </w:pPr>
      <w:r>
        <w:rPr>
          <w:lang w:val="fr-CH"/>
        </w:rPr>
        <w:t>&lt;Facultatif&gt;</w:t>
      </w:r>
    </w:p>
    <w:p w:rsidR="00AB2FC3" w:rsidRDefault="00AB2FC3" w:rsidP="00AB2FC3">
      <w:pPr>
        <w:overflowPunct/>
        <w:autoSpaceDE/>
        <w:adjustRightInd/>
        <w:spacing w:before="0"/>
        <w:rPr>
          <w:lang w:val="fr-CH"/>
        </w:rPr>
      </w:pPr>
      <w:r>
        <w:rPr>
          <w:lang w:val="fr-CH"/>
        </w:rPr>
        <w:br w:type="page"/>
      </w:r>
      <w:bookmarkStart w:id="6" w:name="_GoBack"/>
      <w:bookmarkEnd w:id="6"/>
    </w:p>
    <w:p w:rsidR="00AB2FC3" w:rsidRDefault="00AB2FC3" w:rsidP="00AB2FC3">
      <w:pPr>
        <w:overflowPunct/>
        <w:autoSpaceDE/>
        <w:adjustRightInd/>
        <w:spacing w:before="0" w:after="200"/>
        <w:jc w:val="center"/>
        <w:rPr>
          <w:b/>
          <w:bCs/>
          <w:lang w:val="fr-CH"/>
        </w:rPr>
      </w:pPr>
      <w:r>
        <w:rPr>
          <w:b/>
          <w:bCs/>
          <w:lang w:val="fr-CH"/>
        </w:rPr>
        <w:lastRenderedPageBreak/>
        <w:t>Table des matières</w:t>
      </w:r>
    </w:p>
    <w:p w:rsidR="00AB2FC3" w:rsidRDefault="00AB2FC3" w:rsidP="00AB2FC3">
      <w:pPr>
        <w:pStyle w:val="toc0"/>
      </w:pPr>
      <w:r>
        <w:tab/>
        <w:t>Page</w:t>
      </w:r>
    </w:p>
    <w:p w:rsidR="00AB2FC3" w:rsidRDefault="00AB2FC3" w:rsidP="00AB2FC3">
      <w:pPr>
        <w:pStyle w:val="TOC1"/>
        <w:rPr>
          <w:rFonts w:asciiTheme="minorHAnsi" w:eastAsiaTheme="minorEastAsia" w:hAnsiTheme="minorHAnsi" w:cstheme="minorBidi"/>
          <w:noProof/>
          <w:sz w:val="22"/>
          <w:szCs w:val="22"/>
          <w:lang w:val="en-US" w:eastAsia="zh-CN"/>
        </w:rPr>
      </w:pPr>
      <w:r>
        <w:fldChar w:fldCharType="begin"/>
      </w:r>
      <w:r>
        <w:instrText xml:space="preserve"> TOC \o "1-3" \h \z \t "Heading_b,1" </w:instrText>
      </w:r>
      <w:r>
        <w:fldChar w:fldCharType="separate"/>
      </w:r>
      <w:hyperlink r:id="rId12" w:anchor="_Toc448311718" w:history="1">
        <w:r>
          <w:rPr>
            <w:rStyle w:val="Hyperlink"/>
            <w:rFonts w:eastAsia="Calibri"/>
            <w:noProof/>
          </w:rPr>
          <w:t>Introduction</w:t>
        </w:r>
        <w:r>
          <w:rPr>
            <w:rStyle w:val="Hyperlink"/>
            <w:noProof/>
            <w:webHidden/>
          </w:rPr>
          <w:tab/>
        </w:r>
        <w:r>
          <w:rPr>
            <w:rStyle w:val="Hyperlink"/>
            <w:noProof/>
            <w:webHidden/>
          </w:rPr>
          <w:tab/>
        </w:r>
        <w:r>
          <w:rPr>
            <w:rStyle w:val="Hyperlink"/>
            <w:noProof/>
            <w:webHidden/>
          </w:rPr>
          <w:fldChar w:fldCharType="begin"/>
        </w:r>
        <w:r>
          <w:rPr>
            <w:rStyle w:val="Hyperlink"/>
            <w:noProof/>
            <w:webHidden/>
          </w:rPr>
          <w:instrText xml:space="preserve"> PAGEREF _Toc448311718 \h </w:instrText>
        </w:r>
        <w:r>
          <w:rPr>
            <w:rStyle w:val="Hyperlink"/>
            <w:noProof/>
            <w:webHidden/>
          </w:rPr>
        </w:r>
        <w:r>
          <w:rPr>
            <w:rStyle w:val="Hyperlink"/>
            <w:noProof/>
            <w:webHidden/>
          </w:rPr>
          <w:fldChar w:fldCharType="separate"/>
        </w:r>
        <w:r w:rsidR="00B340D8">
          <w:rPr>
            <w:rStyle w:val="Hyperlink"/>
            <w:noProof/>
            <w:webHidden/>
          </w:rPr>
          <w:t>4</w:t>
        </w:r>
        <w:r>
          <w:rPr>
            <w:rStyle w:val="Hyperlink"/>
            <w:noProof/>
            <w:webHidden/>
          </w:rPr>
          <w:fldChar w:fldCharType="end"/>
        </w:r>
      </w:hyperlink>
    </w:p>
    <w:p w:rsidR="00AB2FC3" w:rsidRDefault="001567F8" w:rsidP="00AB2FC3">
      <w:pPr>
        <w:pStyle w:val="TOC1"/>
        <w:rPr>
          <w:rFonts w:asciiTheme="minorHAnsi" w:eastAsiaTheme="minorEastAsia" w:hAnsiTheme="minorHAnsi" w:cstheme="minorBidi"/>
          <w:noProof/>
          <w:sz w:val="22"/>
          <w:szCs w:val="22"/>
          <w:lang w:val="en-US" w:eastAsia="zh-CN"/>
        </w:rPr>
      </w:pPr>
      <w:hyperlink r:id="rId13" w:anchor="_Toc448311719" w:history="1">
        <w:r w:rsidR="00AB2FC3">
          <w:rPr>
            <w:rStyle w:val="Hyperlink"/>
            <w:noProof/>
            <w:lang w:eastAsia="zh-CN"/>
          </w:rPr>
          <w:t>1</w:t>
        </w:r>
        <w:r w:rsidR="00AB2FC3">
          <w:rPr>
            <w:rStyle w:val="Hyperlink"/>
            <w:rFonts w:asciiTheme="minorHAnsi" w:eastAsiaTheme="minorEastAsia" w:hAnsiTheme="minorHAnsi" w:cstheme="minorBidi"/>
            <w:noProof/>
            <w:sz w:val="22"/>
            <w:szCs w:val="22"/>
            <w:lang w:val="en-US" w:eastAsia="zh-CN"/>
          </w:rPr>
          <w:tab/>
        </w:r>
        <w:r w:rsidR="00AB2FC3">
          <w:rPr>
            <w:rStyle w:val="Hyperlink"/>
            <w:noProof/>
            <w:lang w:eastAsia="zh-CN"/>
          </w:rPr>
          <w:t>Domaine</w:t>
        </w:r>
        <w:r w:rsidR="00AB2FC3">
          <w:rPr>
            <w:rStyle w:val="Hyperlink"/>
            <w:rFonts w:eastAsia="Calibri"/>
            <w:noProof/>
          </w:rPr>
          <w:t xml:space="preserve"> d'application</w:t>
        </w:r>
        <w:r w:rsidR="00AB2FC3">
          <w:rPr>
            <w:rStyle w:val="Hyperlink"/>
            <w:noProof/>
            <w:webHidden/>
          </w:rPr>
          <w:tab/>
        </w:r>
        <w:r w:rsidR="00AB2FC3">
          <w:rPr>
            <w:rStyle w:val="Hyperlink"/>
            <w:noProof/>
            <w:webHidden/>
          </w:rPr>
          <w:tab/>
        </w:r>
        <w:r w:rsidR="00AB2FC3">
          <w:rPr>
            <w:rStyle w:val="Hyperlink"/>
            <w:noProof/>
            <w:webHidden/>
          </w:rPr>
          <w:fldChar w:fldCharType="begin"/>
        </w:r>
        <w:r w:rsidR="00AB2FC3">
          <w:rPr>
            <w:rStyle w:val="Hyperlink"/>
            <w:noProof/>
            <w:webHidden/>
          </w:rPr>
          <w:instrText xml:space="preserve"> PAGEREF _Toc448311719 \h </w:instrText>
        </w:r>
        <w:r w:rsidR="00AB2FC3">
          <w:rPr>
            <w:rStyle w:val="Hyperlink"/>
            <w:noProof/>
            <w:webHidden/>
          </w:rPr>
        </w:r>
        <w:r w:rsidR="00AB2FC3">
          <w:rPr>
            <w:rStyle w:val="Hyperlink"/>
            <w:noProof/>
            <w:webHidden/>
          </w:rPr>
          <w:fldChar w:fldCharType="separate"/>
        </w:r>
        <w:r w:rsidR="00B340D8">
          <w:rPr>
            <w:rStyle w:val="Hyperlink"/>
            <w:noProof/>
            <w:webHidden/>
          </w:rPr>
          <w:t>5</w:t>
        </w:r>
        <w:r w:rsidR="00AB2FC3">
          <w:rPr>
            <w:rStyle w:val="Hyperlink"/>
            <w:noProof/>
            <w:webHidden/>
          </w:rPr>
          <w:fldChar w:fldCharType="end"/>
        </w:r>
      </w:hyperlink>
    </w:p>
    <w:p w:rsidR="00AB2FC3" w:rsidRDefault="001567F8" w:rsidP="00AB2FC3">
      <w:pPr>
        <w:pStyle w:val="TOC1"/>
        <w:rPr>
          <w:rFonts w:asciiTheme="minorHAnsi" w:eastAsiaTheme="minorEastAsia" w:hAnsiTheme="minorHAnsi" w:cstheme="minorBidi"/>
          <w:noProof/>
          <w:sz w:val="22"/>
          <w:szCs w:val="22"/>
          <w:lang w:val="en-US" w:eastAsia="zh-CN"/>
        </w:rPr>
      </w:pPr>
      <w:hyperlink r:id="rId14" w:anchor="_Toc448311720" w:history="1">
        <w:r w:rsidR="00AB2FC3">
          <w:rPr>
            <w:rStyle w:val="Hyperlink"/>
            <w:noProof/>
            <w:lang w:eastAsia="zh-CN"/>
          </w:rPr>
          <w:t>2</w:t>
        </w:r>
        <w:r w:rsidR="00AB2FC3">
          <w:rPr>
            <w:rStyle w:val="Hyperlink"/>
            <w:rFonts w:asciiTheme="minorHAnsi" w:eastAsiaTheme="minorEastAsia" w:hAnsiTheme="minorHAnsi" w:cstheme="minorBidi"/>
            <w:noProof/>
            <w:sz w:val="22"/>
            <w:szCs w:val="22"/>
            <w:lang w:val="en-US" w:eastAsia="zh-CN"/>
          </w:rPr>
          <w:tab/>
        </w:r>
        <w:r w:rsidR="00AB2FC3">
          <w:rPr>
            <w:rStyle w:val="Hyperlink"/>
            <w:noProof/>
            <w:lang w:eastAsia="zh-CN"/>
          </w:rPr>
          <w:t>Références</w:t>
        </w:r>
        <w:r w:rsidR="00AB2FC3">
          <w:rPr>
            <w:rStyle w:val="Hyperlink"/>
            <w:noProof/>
            <w:webHidden/>
          </w:rPr>
          <w:tab/>
        </w:r>
        <w:r w:rsidR="00AB2FC3">
          <w:rPr>
            <w:rStyle w:val="Hyperlink"/>
            <w:noProof/>
            <w:webHidden/>
          </w:rPr>
          <w:tab/>
        </w:r>
        <w:r w:rsidR="00AB2FC3">
          <w:rPr>
            <w:rStyle w:val="Hyperlink"/>
            <w:noProof/>
            <w:webHidden/>
          </w:rPr>
          <w:fldChar w:fldCharType="begin"/>
        </w:r>
        <w:r w:rsidR="00AB2FC3">
          <w:rPr>
            <w:rStyle w:val="Hyperlink"/>
            <w:noProof/>
            <w:webHidden/>
          </w:rPr>
          <w:instrText xml:space="preserve"> PAGEREF _Toc448311720 \h </w:instrText>
        </w:r>
        <w:r w:rsidR="00AB2FC3">
          <w:rPr>
            <w:rStyle w:val="Hyperlink"/>
            <w:noProof/>
            <w:webHidden/>
          </w:rPr>
        </w:r>
        <w:r w:rsidR="00AB2FC3">
          <w:rPr>
            <w:rStyle w:val="Hyperlink"/>
            <w:noProof/>
            <w:webHidden/>
          </w:rPr>
          <w:fldChar w:fldCharType="separate"/>
        </w:r>
        <w:r w:rsidR="00B340D8">
          <w:rPr>
            <w:rStyle w:val="Hyperlink"/>
            <w:noProof/>
            <w:webHidden/>
          </w:rPr>
          <w:t>5</w:t>
        </w:r>
        <w:r w:rsidR="00AB2FC3">
          <w:rPr>
            <w:rStyle w:val="Hyperlink"/>
            <w:noProof/>
            <w:webHidden/>
          </w:rPr>
          <w:fldChar w:fldCharType="end"/>
        </w:r>
      </w:hyperlink>
    </w:p>
    <w:p w:rsidR="00AB2FC3" w:rsidRDefault="001567F8" w:rsidP="00AB2FC3">
      <w:pPr>
        <w:pStyle w:val="TOC1"/>
        <w:rPr>
          <w:rFonts w:asciiTheme="minorHAnsi" w:eastAsiaTheme="minorEastAsia" w:hAnsiTheme="minorHAnsi" w:cstheme="minorBidi"/>
          <w:noProof/>
          <w:sz w:val="22"/>
          <w:szCs w:val="22"/>
          <w:lang w:val="en-US" w:eastAsia="zh-CN"/>
        </w:rPr>
      </w:pPr>
      <w:hyperlink r:id="rId15" w:anchor="_Toc448311721" w:history="1">
        <w:r w:rsidR="00AB2FC3">
          <w:rPr>
            <w:rStyle w:val="Hyperlink"/>
            <w:noProof/>
            <w:lang w:eastAsia="zh-CN"/>
          </w:rPr>
          <w:t>3</w:t>
        </w:r>
        <w:r w:rsidR="00AB2FC3">
          <w:rPr>
            <w:rStyle w:val="Hyperlink"/>
            <w:rFonts w:asciiTheme="minorHAnsi" w:eastAsiaTheme="minorEastAsia" w:hAnsiTheme="minorHAnsi" w:cstheme="minorBidi"/>
            <w:noProof/>
            <w:sz w:val="22"/>
            <w:szCs w:val="22"/>
            <w:lang w:val="en-US" w:eastAsia="zh-CN"/>
          </w:rPr>
          <w:tab/>
        </w:r>
        <w:r w:rsidR="00AB2FC3">
          <w:rPr>
            <w:rStyle w:val="Hyperlink"/>
            <w:noProof/>
            <w:lang w:eastAsia="zh-CN"/>
          </w:rPr>
          <w:t>Définitions</w:t>
        </w:r>
        <w:r w:rsidR="00AB2FC3">
          <w:rPr>
            <w:rStyle w:val="Hyperlink"/>
            <w:noProof/>
            <w:webHidden/>
          </w:rPr>
          <w:tab/>
        </w:r>
        <w:r w:rsidR="00AB2FC3">
          <w:rPr>
            <w:rStyle w:val="Hyperlink"/>
            <w:noProof/>
            <w:webHidden/>
          </w:rPr>
          <w:tab/>
        </w:r>
        <w:r w:rsidR="00AB2FC3">
          <w:rPr>
            <w:rStyle w:val="Hyperlink"/>
            <w:noProof/>
            <w:webHidden/>
          </w:rPr>
          <w:fldChar w:fldCharType="begin"/>
        </w:r>
        <w:r w:rsidR="00AB2FC3">
          <w:rPr>
            <w:rStyle w:val="Hyperlink"/>
            <w:noProof/>
            <w:webHidden/>
          </w:rPr>
          <w:instrText xml:space="preserve"> PAGEREF _Toc448311721 \h </w:instrText>
        </w:r>
        <w:r w:rsidR="00AB2FC3">
          <w:rPr>
            <w:rStyle w:val="Hyperlink"/>
            <w:noProof/>
            <w:webHidden/>
          </w:rPr>
        </w:r>
        <w:r w:rsidR="00AB2FC3">
          <w:rPr>
            <w:rStyle w:val="Hyperlink"/>
            <w:noProof/>
            <w:webHidden/>
          </w:rPr>
          <w:fldChar w:fldCharType="separate"/>
        </w:r>
        <w:r w:rsidR="00B340D8">
          <w:rPr>
            <w:rStyle w:val="Hyperlink"/>
            <w:noProof/>
            <w:webHidden/>
          </w:rPr>
          <w:t>5</w:t>
        </w:r>
        <w:r w:rsidR="00AB2FC3">
          <w:rPr>
            <w:rStyle w:val="Hyperlink"/>
            <w:noProof/>
            <w:webHidden/>
          </w:rPr>
          <w:fldChar w:fldCharType="end"/>
        </w:r>
      </w:hyperlink>
    </w:p>
    <w:p w:rsidR="00AB2FC3" w:rsidRDefault="001567F8" w:rsidP="00AB2FC3">
      <w:pPr>
        <w:pStyle w:val="TOC1"/>
        <w:rPr>
          <w:rFonts w:asciiTheme="minorHAnsi" w:eastAsiaTheme="minorEastAsia" w:hAnsiTheme="minorHAnsi" w:cstheme="minorBidi"/>
          <w:noProof/>
          <w:sz w:val="22"/>
          <w:szCs w:val="22"/>
          <w:lang w:val="en-US" w:eastAsia="zh-CN"/>
        </w:rPr>
      </w:pPr>
      <w:hyperlink r:id="rId16" w:anchor="_Toc448311722" w:history="1">
        <w:r w:rsidR="00AB2FC3">
          <w:rPr>
            <w:rStyle w:val="Hyperlink"/>
            <w:noProof/>
            <w:lang w:eastAsia="zh-CN"/>
          </w:rPr>
          <w:t>4</w:t>
        </w:r>
        <w:r w:rsidR="00AB2FC3">
          <w:rPr>
            <w:rStyle w:val="Hyperlink"/>
            <w:rFonts w:asciiTheme="minorHAnsi" w:eastAsiaTheme="minorEastAsia" w:hAnsiTheme="minorHAnsi" w:cstheme="minorBidi"/>
            <w:noProof/>
            <w:sz w:val="22"/>
            <w:szCs w:val="22"/>
            <w:lang w:val="en-US" w:eastAsia="zh-CN"/>
          </w:rPr>
          <w:tab/>
        </w:r>
        <w:r w:rsidR="00AB2FC3">
          <w:rPr>
            <w:rStyle w:val="Hyperlink"/>
            <w:noProof/>
            <w:lang w:eastAsia="zh-CN"/>
          </w:rPr>
          <w:t>Abréviations et acronymes</w:t>
        </w:r>
        <w:r w:rsidR="00AB2FC3">
          <w:rPr>
            <w:rStyle w:val="Hyperlink"/>
            <w:noProof/>
            <w:webHidden/>
          </w:rPr>
          <w:tab/>
        </w:r>
        <w:r w:rsidR="00AB2FC3">
          <w:rPr>
            <w:rStyle w:val="Hyperlink"/>
            <w:noProof/>
            <w:webHidden/>
          </w:rPr>
          <w:tab/>
        </w:r>
        <w:r w:rsidR="00AB2FC3">
          <w:rPr>
            <w:rStyle w:val="Hyperlink"/>
            <w:noProof/>
            <w:webHidden/>
          </w:rPr>
          <w:fldChar w:fldCharType="begin"/>
        </w:r>
        <w:r w:rsidR="00AB2FC3">
          <w:rPr>
            <w:rStyle w:val="Hyperlink"/>
            <w:noProof/>
            <w:webHidden/>
          </w:rPr>
          <w:instrText xml:space="preserve"> PAGEREF _Toc448311722 \h </w:instrText>
        </w:r>
        <w:r w:rsidR="00AB2FC3">
          <w:rPr>
            <w:rStyle w:val="Hyperlink"/>
            <w:noProof/>
            <w:webHidden/>
          </w:rPr>
        </w:r>
        <w:r w:rsidR="00AB2FC3">
          <w:rPr>
            <w:rStyle w:val="Hyperlink"/>
            <w:noProof/>
            <w:webHidden/>
          </w:rPr>
          <w:fldChar w:fldCharType="separate"/>
        </w:r>
        <w:r w:rsidR="00B340D8">
          <w:rPr>
            <w:rStyle w:val="Hyperlink"/>
            <w:noProof/>
            <w:webHidden/>
          </w:rPr>
          <w:t>6</w:t>
        </w:r>
        <w:r w:rsidR="00AB2FC3">
          <w:rPr>
            <w:rStyle w:val="Hyperlink"/>
            <w:noProof/>
            <w:webHidden/>
          </w:rPr>
          <w:fldChar w:fldCharType="end"/>
        </w:r>
      </w:hyperlink>
    </w:p>
    <w:p w:rsidR="00AB2FC3" w:rsidRDefault="001567F8" w:rsidP="00AB2FC3">
      <w:pPr>
        <w:pStyle w:val="TOC1"/>
        <w:rPr>
          <w:rFonts w:asciiTheme="minorHAnsi" w:eastAsiaTheme="minorEastAsia" w:hAnsiTheme="minorHAnsi" w:cstheme="minorBidi"/>
          <w:noProof/>
          <w:sz w:val="22"/>
          <w:szCs w:val="22"/>
          <w:lang w:val="en-US" w:eastAsia="zh-CN"/>
        </w:rPr>
      </w:pPr>
      <w:hyperlink r:id="rId17" w:anchor="_Toc448311723" w:history="1">
        <w:r w:rsidR="00AB2FC3">
          <w:rPr>
            <w:rStyle w:val="Hyperlink"/>
            <w:noProof/>
            <w:lang w:eastAsia="zh-CN"/>
          </w:rPr>
          <w:t>5</w:t>
        </w:r>
        <w:r w:rsidR="00AB2FC3">
          <w:rPr>
            <w:rStyle w:val="Hyperlink"/>
            <w:rFonts w:asciiTheme="minorHAnsi" w:eastAsiaTheme="minorEastAsia" w:hAnsiTheme="minorHAnsi" w:cstheme="minorBidi"/>
            <w:noProof/>
            <w:sz w:val="22"/>
            <w:szCs w:val="22"/>
            <w:lang w:val="en-US" w:eastAsia="zh-CN"/>
          </w:rPr>
          <w:tab/>
        </w:r>
        <w:r w:rsidR="00AB2FC3">
          <w:rPr>
            <w:rStyle w:val="Hyperlink"/>
            <w:noProof/>
            <w:lang w:eastAsia="zh-CN"/>
          </w:rPr>
          <w:t>Mesures réglementaires appropriées</w:t>
        </w:r>
        <w:r w:rsidR="00AB2FC3">
          <w:rPr>
            <w:rStyle w:val="Hyperlink"/>
            <w:noProof/>
            <w:webHidden/>
          </w:rPr>
          <w:tab/>
        </w:r>
        <w:r w:rsidR="00AB2FC3">
          <w:rPr>
            <w:rStyle w:val="Hyperlink"/>
            <w:noProof/>
            <w:webHidden/>
          </w:rPr>
          <w:tab/>
        </w:r>
        <w:r w:rsidR="00AB2FC3">
          <w:rPr>
            <w:rStyle w:val="Hyperlink"/>
            <w:noProof/>
            <w:webHidden/>
          </w:rPr>
          <w:fldChar w:fldCharType="begin"/>
        </w:r>
        <w:r w:rsidR="00AB2FC3">
          <w:rPr>
            <w:rStyle w:val="Hyperlink"/>
            <w:noProof/>
            <w:webHidden/>
          </w:rPr>
          <w:instrText xml:space="preserve"> PAGEREF _Toc448311723 \h </w:instrText>
        </w:r>
        <w:r w:rsidR="00AB2FC3">
          <w:rPr>
            <w:rStyle w:val="Hyperlink"/>
            <w:noProof/>
            <w:webHidden/>
          </w:rPr>
        </w:r>
        <w:r w:rsidR="00AB2FC3">
          <w:rPr>
            <w:rStyle w:val="Hyperlink"/>
            <w:noProof/>
            <w:webHidden/>
          </w:rPr>
          <w:fldChar w:fldCharType="separate"/>
        </w:r>
        <w:r w:rsidR="00B340D8">
          <w:rPr>
            <w:rStyle w:val="Hyperlink"/>
            <w:noProof/>
            <w:webHidden/>
          </w:rPr>
          <w:t>6</w:t>
        </w:r>
        <w:r w:rsidR="00AB2FC3">
          <w:rPr>
            <w:rStyle w:val="Hyperlink"/>
            <w:noProof/>
            <w:webHidden/>
          </w:rPr>
          <w:fldChar w:fldCharType="end"/>
        </w:r>
      </w:hyperlink>
    </w:p>
    <w:p w:rsidR="00AB2FC3" w:rsidRDefault="001567F8" w:rsidP="00AB2FC3">
      <w:pPr>
        <w:pStyle w:val="TOC1"/>
        <w:rPr>
          <w:rFonts w:asciiTheme="minorHAnsi" w:eastAsiaTheme="minorEastAsia" w:hAnsiTheme="minorHAnsi" w:cstheme="minorBidi"/>
          <w:noProof/>
          <w:sz w:val="22"/>
          <w:szCs w:val="22"/>
          <w:lang w:val="en-US" w:eastAsia="zh-CN"/>
        </w:rPr>
      </w:pPr>
      <w:hyperlink r:id="rId18" w:anchor="_Toc448311724" w:history="1">
        <w:r w:rsidR="00AB2FC3">
          <w:rPr>
            <w:rStyle w:val="Hyperlink"/>
            <w:noProof/>
            <w:lang w:eastAsia="zh-CN"/>
          </w:rPr>
          <w:t>6</w:t>
        </w:r>
        <w:r w:rsidR="00AB2FC3">
          <w:rPr>
            <w:rStyle w:val="Hyperlink"/>
            <w:rFonts w:asciiTheme="minorHAnsi" w:eastAsiaTheme="minorEastAsia" w:hAnsiTheme="minorHAnsi" w:cstheme="minorBidi"/>
            <w:noProof/>
            <w:sz w:val="22"/>
            <w:szCs w:val="22"/>
            <w:lang w:val="en-US" w:eastAsia="zh-CN"/>
          </w:rPr>
          <w:tab/>
        </w:r>
        <w:r w:rsidR="00AB2FC3">
          <w:rPr>
            <w:rStyle w:val="Hyperlink"/>
            <w:noProof/>
            <w:lang w:eastAsia="zh-CN"/>
          </w:rPr>
          <w:t xml:space="preserve">Principes méthodologiques de détermination des tarifs de l'itinérance </w:t>
        </w:r>
        <w:r w:rsidR="005F5F22">
          <w:rPr>
            <w:rStyle w:val="Hyperlink"/>
            <w:noProof/>
            <w:lang w:eastAsia="zh-CN"/>
          </w:rPr>
          <w:br/>
        </w:r>
        <w:r w:rsidR="00AB2FC3">
          <w:rPr>
            <w:rStyle w:val="Hyperlink"/>
            <w:noProof/>
            <w:lang w:eastAsia="zh-CN"/>
          </w:rPr>
          <w:t>mobile internationale</w:t>
        </w:r>
        <w:r w:rsidR="00AB2FC3">
          <w:rPr>
            <w:rStyle w:val="Hyperlink"/>
            <w:noProof/>
            <w:webHidden/>
          </w:rPr>
          <w:tab/>
        </w:r>
        <w:r w:rsidR="00AB2FC3">
          <w:rPr>
            <w:rStyle w:val="Hyperlink"/>
            <w:noProof/>
            <w:webHidden/>
          </w:rPr>
          <w:tab/>
        </w:r>
        <w:r w:rsidR="00AB2FC3">
          <w:rPr>
            <w:rStyle w:val="Hyperlink"/>
            <w:noProof/>
            <w:webHidden/>
          </w:rPr>
          <w:fldChar w:fldCharType="begin"/>
        </w:r>
        <w:r w:rsidR="00AB2FC3">
          <w:rPr>
            <w:rStyle w:val="Hyperlink"/>
            <w:noProof/>
            <w:webHidden/>
          </w:rPr>
          <w:instrText xml:space="preserve"> PAGEREF _Toc448311724 \h </w:instrText>
        </w:r>
        <w:r w:rsidR="00AB2FC3">
          <w:rPr>
            <w:rStyle w:val="Hyperlink"/>
            <w:noProof/>
            <w:webHidden/>
          </w:rPr>
        </w:r>
        <w:r w:rsidR="00AB2FC3">
          <w:rPr>
            <w:rStyle w:val="Hyperlink"/>
            <w:noProof/>
            <w:webHidden/>
          </w:rPr>
          <w:fldChar w:fldCharType="separate"/>
        </w:r>
        <w:r w:rsidR="00B340D8">
          <w:rPr>
            <w:rStyle w:val="Hyperlink"/>
            <w:noProof/>
            <w:webHidden/>
          </w:rPr>
          <w:t>7</w:t>
        </w:r>
        <w:r w:rsidR="00AB2FC3">
          <w:rPr>
            <w:rStyle w:val="Hyperlink"/>
            <w:noProof/>
            <w:webHidden/>
          </w:rPr>
          <w:fldChar w:fldCharType="end"/>
        </w:r>
      </w:hyperlink>
    </w:p>
    <w:p w:rsidR="00AB2FC3" w:rsidRDefault="00AB2FC3" w:rsidP="00AB2FC3">
      <w:pPr>
        <w:pStyle w:val="TOC1"/>
        <w:rPr>
          <w:rFonts w:eastAsia="Times New Roman"/>
        </w:rPr>
      </w:pPr>
      <w:r>
        <w:fldChar w:fldCharType="end"/>
      </w:r>
    </w:p>
    <w:p w:rsidR="00AB2FC3" w:rsidRDefault="00AB2FC3" w:rsidP="00AB2FC3">
      <w:pPr>
        <w:overflowPunct/>
        <w:autoSpaceDE/>
        <w:adjustRightInd/>
        <w:spacing w:before="0" w:after="200"/>
        <w:rPr>
          <w:b/>
          <w:sz w:val="28"/>
        </w:rPr>
      </w:pPr>
      <w:r>
        <w:br w:type="page"/>
      </w:r>
    </w:p>
    <w:p w:rsidR="00AB2FC3" w:rsidRDefault="00AB2FC3" w:rsidP="005F5F22">
      <w:pPr>
        <w:pStyle w:val="Headingb"/>
      </w:pPr>
      <w:bookmarkStart w:id="7" w:name="_Toc448311718"/>
      <w:r w:rsidRPr="005F5F22">
        <w:lastRenderedPageBreak/>
        <w:t>Introduction</w:t>
      </w:r>
      <w:bookmarkEnd w:id="7"/>
    </w:p>
    <w:p w:rsidR="00AB2FC3" w:rsidRDefault="00AB2FC3" w:rsidP="005F5F22">
      <w:pPr>
        <w:rPr>
          <w:rFonts w:eastAsia="Times New Roman"/>
          <w:lang w:val="fr-CH"/>
        </w:rPr>
      </w:pPr>
      <w:bookmarkStart w:id="8" w:name="lt_pId021"/>
      <w:r>
        <w:rPr>
          <w:lang w:val="fr-CH"/>
        </w:rPr>
        <w:t>L'économie dépend de plus en plus de technologies de communications mobiles fiables, rentables, compétitives et financièrement abordables à l'échelle mondiale.</w:t>
      </w:r>
      <w:bookmarkStart w:id="9" w:name="lt_pId022"/>
      <w:bookmarkEnd w:id="8"/>
      <w:r>
        <w:rPr>
          <w:lang w:val="fr-CH"/>
        </w:rPr>
        <w:t xml:space="preserve"> Cependant, lorsque les tarifs de gros de l'itinérance mobile internationale (IMR) sont dissociés des coûts sous-jacents, cela peut avoir une incidence sur les tarifs de détail, et conduire en particulier à des tarifs aléatoires et arbitraires.</w:t>
      </w:r>
      <w:bookmarkEnd w:id="9"/>
      <w:r>
        <w:rPr>
          <w:lang w:val="fr-CH"/>
        </w:rPr>
        <w:t xml:space="preserve"> </w:t>
      </w:r>
      <w:bookmarkStart w:id="10" w:name="lt_pId023"/>
      <w:r>
        <w:rPr>
          <w:lang w:val="fr-CH"/>
        </w:rPr>
        <w:t>Cette situation peut à son tour entraver la concurrence sur le marché et avoir un impact sur l'innovation, le bien-être des consommateurs, le commerce et l'économie dans son ensemble.</w:t>
      </w:r>
      <w:bookmarkEnd w:id="10"/>
      <w:r>
        <w:rPr>
          <w:lang w:val="fr-CH"/>
        </w:rPr>
        <w:t xml:space="preserve"> Lorsqu'il en résulte que les tarifs de l'itinérance internationale sont élevés (entraînant des factures astronomiques), il serait utile pour les autorités nationales de réglementation de mieux comprendre les coûts réels </w:t>
      </w:r>
      <w:bookmarkStart w:id="11" w:name="lt_pId025"/>
      <w:r>
        <w:rPr>
          <w:lang w:val="fr-CH"/>
        </w:rPr>
        <w:t>supportés par les opérateurs, qu'il s'agisse des coûts de gros ou de détail, pour la fourniture de services d'itinérance internationale.</w:t>
      </w:r>
      <w:bookmarkEnd w:id="11"/>
    </w:p>
    <w:p w:rsidR="00AB2FC3" w:rsidRDefault="00AB2FC3" w:rsidP="005F5F22">
      <w:pPr>
        <w:rPr>
          <w:lang w:val="fr-CH"/>
        </w:rPr>
      </w:pPr>
      <w:bookmarkStart w:id="12" w:name="lt_pId026"/>
      <w:r>
        <w:rPr>
          <w:lang w:val="fr-CH"/>
        </w:rPr>
        <w:t>La Recommandation UIT-T D.98 est un accord qui a été conclu par les Etats Membres et les Membres de Secteur en 2012.</w:t>
      </w:r>
      <w:bookmarkEnd w:id="12"/>
      <w:r>
        <w:rPr>
          <w:lang w:val="fr-CH"/>
        </w:rPr>
        <w:t xml:space="preserve"> </w:t>
      </w:r>
      <w:bookmarkStart w:id="13" w:name="lt_pId027"/>
      <w:r>
        <w:rPr>
          <w:lang w:val="fr-CH"/>
        </w:rPr>
        <w:t>Elle vise à renforcer le pouvoir des consommateurs et à promouvoir des mesures et des solutions réglementaires sur le marché de l'itinérance mobile internationale.</w:t>
      </w:r>
      <w:bookmarkEnd w:id="13"/>
      <w:r>
        <w:rPr>
          <w:lang w:val="fr-CH"/>
        </w:rPr>
        <w:t xml:space="preserve"> </w:t>
      </w:r>
      <w:bookmarkStart w:id="14" w:name="lt_pId028"/>
      <w:r>
        <w:rPr>
          <w:lang w:val="fr-CH"/>
        </w:rPr>
        <w:t>Elle insiste sur la nécessité d'encourager la concurrence en matière d'itinérance, d'éduquer les consommateurs et d'envisager des mesures réglementaires appropriées comme le recours à un plafonnement des prix ou des tarifs par les régulateurs.</w:t>
      </w:r>
      <w:bookmarkEnd w:id="14"/>
      <w:r>
        <w:rPr>
          <w:lang w:val="fr-CH"/>
        </w:rPr>
        <w:t xml:space="preserve"> </w:t>
      </w:r>
      <w:bookmarkStart w:id="15" w:name="lt_pId029"/>
      <w:r>
        <w:rPr>
          <w:lang w:val="fr-CH"/>
        </w:rPr>
        <w:t>La présente nouvelle Recommandation est fondée sur les bons résultats de l'application de la Recommandation UIT-T D.98.</w:t>
      </w:r>
      <w:bookmarkEnd w:id="15"/>
    </w:p>
    <w:p w:rsidR="00AB2FC3" w:rsidRDefault="00AB2FC3" w:rsidP="00AB2FC3">
      <w:pPr>
        <w:overflowPunct/>
        <w:autoSpaceDE/>
        <w:adjustRightInd/>
        <w:spacing w:before="0" w:after="200"/>
        <w:rPr>
          <w:rFonts w:asciiTheme="majorBidi" w:hAnsiTheme="majorBidi"/>
          <w:iCs/>
          <w:lang w:val="fr-CH"/>
        </w:rPr>
      </w:pPr>
      <w:r>
        <w:rPr>
          <w:rFonts w:asciiTheme="majorBidi" w:hAnsiTheme="majorBidi"/>
          <w:iCs/>
          <w:lang w:val="fr-CH"/>
        </w:rPr>
        <w:br w:type="page"/>
      </w:r>
    </w:p>
    <w:p w:rsidR="00AB2FC3" w:rsidRDefault="002B2F25" w:rsidP="00AB2FC3">
      <w:pPr>
        <w:pStyle w:val="RecNo"/>
        <w:rPr>
          <w:rFonts w:ascii="Times New Roman" w:hAnsi="Times New Roman"/>
          <w:lang w:val="fr-CH"/>
        </w:rPr>
      </w:pPr>
      <w:r>
        <w:rPr>
          <w:lang w:val="fr-CH"/>
        </w:rPr>
        <w:lastRenderedPageBreak/>
        <w:t>P</w:t>
      </w:r>
      <w:r w:rsidR="00AB2FC3">
        <w:rPr>
          <w:lang w:val="fr-CH"/>
        </w:rPr>
        <w:t>rojet de Recommandation UIT-T D.97</w:t>
      </w:r>
    </w:p>
    <w:p w:rsidR="00AB2FC3" w:rsidRDefault="00AB2FC3" w:rsidP="00AB2FC3">
      <w:pPr>
        <w:pStyle w:val="Rectitle"/>
        <w:rPr>
          <w:rFonts w:asciiTheme="majorBidi" w:hAnsiTheme="majorBidi"/>
          <w:iCs/>
          <w:lang w:val="fr-CH"/>
        </w:rPr>
      </w:pPr>
      <w:r>
        <w:rPr>
          <w:lang w:val="fr-CH"/>
        </w:rPr>
        <w:t>Principes m</w:t>
      </w:r>
      <w:r>
        <w:rPr>
          <w:lang w:val="fr-CH"/>
        </w:rPr>
        <w:t>é</w:t>
      </w:r>
      <w:r>
        <w:rPr>
          <w:lang w:val="fr-CH"/>
        </w:rPr>
        <w:t>thodologiques de d</w:t>
      </w:r>
      <w:r>
        <w:rPr>
          <w:lang w:val="fr-CH"/>
        </w:rPr>
        <w:t>é</w:t>
      </w:r>
      <w:r>
        <w:rPr>
          <w:lang w:val="fr-CH"/>
        </w:rPr>
        <w:t xml:space="preserve">termination des tarifs </w:t>
      </w:r>
      <w:r>
        <w:rPr>
          <w:lang w:val="fr-CH"/>
        </w:rPr>
        <w:br/>
        <w:t>de l'itin</w:t>
      </w:r>
      <w:r>
        <w:rPr>
          <w:lang w:val="fr-CH"/>
        </w:rPr>
        <w:t>é</w:t>
      </w:r>
      <w:r>
        <w:rPr>
          <w:lang w:val="fr-CH"/>
        </w:rPr>
        <w:t>rance mobile internationale</w:t>
      </w:r>
    </w:p>
    <w:p w:rsidR="00AB2FC3" w:rsidRDefault="00AB2FC3" w:rsidP="005F5F22">
      <w:pPr>
        <w:pStyle w:val="Heading1"/>
        <w:rPr>
          <w:lang w:val="fr-CH"/>
        </w:rPr>
      </w:pPr>
      <w:bookmarkStart w:id="16" w:name="_Toc442774546"/>
      <w:bookmarkStart w:id="17" w:name="_Toc442774640"/>
      <w:bookmarkStart w:id="18" w:name="_Toc448311719"/>
      <w:r>
        <w:rPr>
          <w:lang w:val="fr-CH" w:eastAsia="zh-CN"/>
        </w:rPr>
        <w:t>1</w:t>
      </w:r>
      <w:r>
        <w:rPr>
          <w:lang w:val="fr-CH"/>
        </w:rPr>
        <w:tab/>
      </w:r>
      <w:bookmarkStart w:id="19" w:name="lt_pId031"/>
      <w:r>
        <w:rPr>
          <w:lang w:val="fr-CH" w:eastAsia="zh-CN"/>
        </w:rPr>
        <w:t>Domaine</w:t>
      </w:r>
      <w:r>
        <w:rPr>
          <w:lang w:val="fr-CH"/>
        </w:rPr>
        <w:t xml:space="preserve"> </w:t>
      </w:r>
      <w:bookmarkEnd w:id="19"/>
      <w:r>
        <w:rPr>
          <w:lang w:val="fr-CH"/>
        </w:rPr>
        <w:t>d'application</w:t>
      </w:r>
      <w:bookmarkEnd w:id="16"/>
      <w:bookmarkEnd w:id="17"/>
      <w:bookmarkEnd w:id="18"/>
    </w:p>
    <w:p w:rsidR="00AB2FC3" w:rsidRDefault="00AB2FC3" w:rsidP="005F5F22">
      <w:pPr>
        <w:rPr>
          <w:rFonts w:eastAsia="Times New Roman"/>
          <w:lang w:val="fr-CH"/>
        </w:rPr>
      </w:pPr>
      <w:bookmarkStart w:id="20" w:name="lt_pId032"/>
      <w:r>
        <w:rPr>
          <w:lang w:val="fr-CH"/>
        </w:rPr>
        <w:t>La présente Recommandation s'appuie sur les bons résultats de l'application de la Recommandation UIT-T D.98 et propose une approche permettant de réduire les tarifs d'itinérance excessifs dans l'intérêt des consommateurs, du secteur et de l'économie.</w:t>
      </w:r>
      <w:bookmarkEnd w:id="20"/>
      <w:r>
        <w:rPr>
          <w:lang w:val="fr-CH"/>
        </w:rPr>
        <w:t xml:space="preserve"> Lors de l'examen des tarifs de </w:t>
      </w:r>
      <w:r>
        <w:rPr>
          <w:color w:val="000000"/>
          <w:lang w:val="fr-CH"/>
        </w:rPr>
        <w:t xml:space="preserve">l'IMR, les Etats Membres devraient prendre en considération les services IMR tels que les services de téléphonie, de SMS et de données. </w:t>
      </w:r>
    </w:p>
    <w:p w:rsidR="00AB2FC3" w:rsidRDefault="00AB2FC3" w:rsidP="005F5F22">
      <w:pPr>
        <w:pStyle w:val="Heading1"/>
        <w:rPr>
          <w:rFonts w:eastAsia="Calibri"/>
          <w:b w:val="0"/>
          <w:lang w:val="fr-CH"/>
        </w:rPr>
      </w:pPr>
      <w:bookmarkStart w:id="21" w:name="_Toc442774547"/>
      <w:bookmarkStart w:id="22" w:name="_Toc442774641"/>
      <w:bookmarkStart w:id="23" w:name="_Toc448311720"/>
      <w:r>
        <w:rPr>
          <w:lang w:val="fr-CH" w:eastAsia="zh-CN"/>
        </w:rPr>
        <w:t>2</w:t>
      </w:r>
      <w:r>
        <w:rPr>
          <w:lang w:val="fr-CH" w:eastAsia="zh-CN"/>
        </w:rPr>
        <w:tab/>
      </w:r>
      <w:bookmarkStart w:id="24" w:name="lt_pId035"/>
      <w:r>
        <w:rPr>
          <w:lang w:val="fr-CH" w:eastAsia="zh-CN"/>
        </w:rPr>
        <w:t>Références</w:t>
      </w:r>
      <w:bookmarkStart w:id="25" w:name="lt_pId036"/>
      <w:bookmarkEnd w:id="21"/>
      <w:bookmarkEnd w:id="22"/>
      <w:bookmarkEnd w:id="23"/>
      <w:bookmarkEnd w:id="24"/>
    </w:p>
    <w:bookmarkEnd w:id="25"/>
    <w:p w:rsidR="00AB2FC3" w:rsidRDefault="00AB2FC3" w:rsidP="005F5F22">
      <w:pPr>
        <w:rPr>
          <w:rFonts w:eastAsia="Times New Roman"/>
          <w:lang w:val="fr-CH"/>
        </w:rPr>
      </w:pPr>
      <w:r>
        <w:rPr>
          <w:lang w:val="fr-CH" w:eastAsia="zh-CN"/>
        </w:rPr>
        <w:t>Les Recommandations UIT-T et autres références suivantes contiennent des dispositions qui, par suite de la référence qui y est faite, constituent des dispositions de la présente Recommandation. Au moment de la publication, les éditions indiquées étaient en vigueur. Les Recommandations et autres références étant sujettes à révision, les utilisateurs de la présente Recommandation sont invités à rechercher la possibilité d'appliquer les éditions les plus récentes des Recommandations et autres références énumérées ci-dessous. Une liste des Recommandations UIT-T en vigueur est publiée périodiquement. La référence à un document figurant dans la présente Recommandation ne donne pas à ce document en tant que tel le statut de Recommandation.</w:t>
      </w:r>
    </w:p>
    <w:p w:rsidR="00AB2FC3" w:rsidRDefault="00AB2FC3" w:rsidP="00AB2FC3">
      <w:pPr>
        <w:ind w:left="1588" w:hanging="1588"/>
        <w:jc w:val="both"/>
        <w:rPr>
          <w:lang w:val="fr-CH"/>
        </w:rPr>
      </w:pPr>
      <w:bookmarkStart w:id="26" w:name="lt_pId041"/>
      <w:r>
        <w:rPr>
          <w:lang w:val="fr-CH"/>
        </w:rPr>
        <w:t>[UIT-T D.93]</w:t>
      </w:r>
      <w:r>
        <w:rPr>
          <w:lang w:val="fr-CH"/>
        </w:rPr>
        <w:tab/>
        <w:t xml:space="preserve">Recommandation UIT-T D.93 (2008), </w:t>
      </w:r>
      <w:r>
        <w:rPr>
          <w:i/>
          <w:iCs/>
          <w:lang w:val="fr-CH"/>
        </w:rPr>
        <w:t xml:space="preserve">Principes généraux de tarification et de comptabilité applicables au service téléphonique mobile terrestre international (assuré par des systèmes </w:t>
      </w:r>
      <w:proofErr w:type="spellStart"/>
      <w:r>
        <w:rPr>
          <w:i/>
          <w:iCs/>
          <w:lang w:val="fr-CH"/>
        </w:rPr>
        <w:t>radiocellulaires</w:t>
      </w:r>
      <w:proofErr w:type="spellEnd"/>
      <w:r>
        <w:rPr>
          <w:i/>
          <w:iCs/>
          <w:lang w:val="fr-CH"/>
        </w:rPr>
        <w:t>)</w:t>
      </w:r>
      <w:r>
        <w:rPr>
          <w:lang w:val="fr-CH"/>
        </w:rPr>
        <w:t>.</w:t>
      </w:r>
      <w:bookmarkEnd w:id="26"/>
    </w:p>
    <w:p w:rsidR="00AB2FC3" w:rsidRDefault="00AB2FC3" w:rsidP="00AB2FC3">
      <w:pPr>
        <w:ind w:left="1588" w:hanging="1588"/>
        <w:jc w:val="both"/>
        <w:rPr>
          <w:lang w:val="fr-CH"/>
        </w:rPr>
      </w:pPr>
      <w:bookmarkStart w:id="27" w:name="lt_pId044"/>
      <w:bookmarkStart w:id="28" w:name="lt_pId042"/>
      <w:r>
        <w:rPr>
          <w:lang w:val="fr-CH"/>
        </w:rPr>
        <w:t>[UIT-T D.98]</w:t>
      </w:r>
      <w:r>
        <w:rPr>
          <w:lang w:val="fr-CH"/>
        </w:rPr>
        <w:tab/>
        <w:t xml:space="preserve">Recommandation UIT-T D.98 (2012), </w:t>
      </w:r>
      <w:r>
        <w:rPr>
          <w:i/>
          <w:iCs/>
          <w:lang w:val="fr-CH"/>
        </w:rPr>
        <w:t>Taxation du service d'itinérance mobile internationale</w:t>
      </w:r>
      <w:r>
        <w:rPr>
          <w:lang w:val="fr-CH"/>
        </w:rPr>
        <w:t>.</w:t>
      </w:r>
      <w:bookmarkEnd w:id="27"/>
    </w:p>
    <w:p w:rsidR="00AB2FC3" w:rsidRDefault="00AB2FC3" w:rsidP="00AB2FC3">
      <w:pPr>
        <w:ind w:left="1588" w:hanging="1588"/>
        <w:jc w:val="both"/>
        <w:rPr>
          <w:lang w:val="fr-CH"/>
        </w:rPr>
      </w:pPr>
      <w:r>
        <w:rPr>
          <w:lang w:val="fr-CH"/>
        </w:rPr>
        <w:t>[UIT-T D.99]</w:t>
      </w:r>
      <w:r>
        <w:rPr>
          <w:lang w:val="fr-CH"/>
        </w:rPr>
        <w:tab/>
        <w:t xml:space="preserve">Recommandation UIT-T D.99 (2008), </w:t>
      </w:r>
      <w:r>
        <w:rPr>
          <w:i/>
          <w:iCs/>
          <w:lang w:val="fr-CH"/>
        </w:rPr>
        <w:t>Taxe indicative pour la terminaison internationale sur les réseaux mobiles</w:t>
      </w:r>
      <w:r>
        <w:rPr>
          <w:lang w:val="fr-CH"/>
        </w:rPr>
        <w:t>.</w:t>
      </w:r>
      <w:bookmarkEnd w:id="28"/>
    </w:p>
    <w:p w:rsidR="00AB2FC3" w:rsidRDefault="00AB2FC3" w:rsidP="00AB2FC3">
      <w:pPr>
        <w:ind w:left="1588" w:hanging="1588"/>
        <w:jc w:val="both"/>
        <w:rPr>
          <w:lang w:val="fr-CH"/>
        </w:rPr>
      </w:pPr>
      <w:bookmarkStart w:id="29" w:name="lt_pId043"/>
      <w:r>
        <w:rPr>
          <w:lang w:val="fr-CH"/>
        </w:rPr>
        <w:t>[UIT-T D.140]</w:t>
      </w:r>
      <w:r>
        <w:rPr>
          <w:lang w:val="fr-CH"/>
        </w:rPr>
        <w:tab/>
        <w:t xml:space="preserve">Recommandation UIT-T D.140 (2002), </w:t>
      </w:r>
      <w:r>
        <w:rPr>
          <w:i/>
          <w:iCs/>
          <w:lang w:val="fr-CH"/>
        </w:rPr>
        <w:t>Principes relatifs aux taxes de répartition applicables au service téléphonique international</w:t>
      </w:r>
      <w:r>
        <w:rPr>
          <w:lang w:val="fr-CH"/>
        </w:rPr>
        <w:t>.</w:t>
      </w:r>
      <w:bookmarkEnd w:id="29"/>
    </w:p>
    <w:p w:rsidR="00AB2FC3" w:rsidRDefault="00AB2FC3" w:rsidP="005F5F22">
      <w:pPr>
        <w:pStyle w:val="Heading1"/>
        <w:rPr>
          <w:lang w:val="fr-CH" w:eastAsia="zh-CN"/>
        </w:rPr>
      </w:pPr>
      <w:bookmarkStart w:id="30" w:name="_Toc442774548"/>
      <w:bookmarkStart w:id="31" w:name="_Toc442774642"/>
      <w:bookmarkStart w:id="32" w:name="_Toc448311721"/>
      <w:r>
        <w:rPr>
          <w:lang w:val="fr-CH" w:eastAsia="zh-CN"/>
        </w:rPr>
        <w:t>3</w:t>
      </w:r>
      <w:r>
        <w:rPr>
          <w:lang w:val="fr-CH" w:eastAsia="zh-CN"/>
        </w:rPr>
        <w:tab/>
      </w:r>
      <w:bookmarkStart w:id="33" w:name="lt_pId046"/>
      <w:r>
        <w:rPr>
          <w:lang w:val="fr-CH" w:eastAsia="zh-CN"/>
        </w:rPr>
        <w:t>Définitions</w:t>
      </w:r>
      <w:bookmarkEnd w:id="30"/>
      <w:bookmarkEnd w:id="31"/>
      <w:bookmarkEnd w:id="32"/>
      <w:bookmarkEnd w:id="33"/>
    </w:p>
    <w:p w:rsidR="00AB2FC3" w:rsidRDefault="00AB2FC3" w:rsidP="005F5F22">
      <w:pPr>
        <w:rPr>
          <w:lang w:val="fr-CH" w:eastAsia="ja-JP"/>
        </w:rPr>
      </w:pPr>
      <w:bookmarkStart w:id="34" w:name="lt_pId047"/>
      <w:r>
        <w:rPr>
          <w:lang w:val="fr-CH" w:eastAsia="ja-JP"/>
        </w:rPr>
        <w:t xml:space="preserve">L'IMR est un service (téléphonie, SMS/MMS, données) qu'un abonné à des services mobiles </w:t>
      </w:r>
      <w:proofErr w:type="spellStart"/>
      <w:r>
        <w:rPr>
          <w:lang w:val="fr-CH" w:eastAsia="ja-JP"/>
        </w:rPr>
        <w:t>postpayés</w:t>
      </w:r>
      <w:proofErr w:type="spellEnd"/>
      <w:r>
        <w:rPr>
          <w:lang w:val="fr-CH" w:eastAsia="ja-JP"/>
        </w:rPr>
        <w:t xml:space="preserve"> ou prépayés achète auprès d'un opérateur de téléphonie mobile de son pays d'origine, appelé "l'opérateur d'origine".</w:t>
      </w:r>
      <w:bookmarkEnd w:id="34"/>
      <w:r>
        <w:rPr>
          <w:lang w:val="fr-CH" w:eastAsia="ja-JP"/>
        </w:rPr>
        <w:t xml:space="preserve"> </w:t>
      </w:r>
      <w:bookmarkStart w:id="35" w:name="lt_pId048"/>
      <w:r>
        <w:rPr>
          <w:lang w:val="fr-CH" w:eastAsia="ja-JP"/>
        </w:rPr>
        <w:t>Il permet à l'abonné de pouvoir continuer à utiliser son numéro de téléphone mobile national et les services de téléphonie, de messages courts (SMS) et de données pendant un séjour à l'étranger, par le biais du réseau d'un opérateur de téléphonie mobile du pays visité, appelé le réseau de l'"opérateur visité", toutes les dispositions étant prises par l'opérateur d'origine.</w:t>
      </w:r>
      <w:bookmarkEnd w:id="35"/>
      <w:r>
        <w:rPr>
          <w:lang w:val="fr-CH" w:eastAsia="ja-JP"/>
        </w:rPr>
        <w:t xml:space="preserve"> </w:t>
      </w:r>
    </w:p>
    <w:p w:rsidR="00AB2FC3" w:rsidRDefault="00AB2FC3" w:rsidP="005F5F22">
      <w:pPr>
        <w:rPr>
          <w:lang w:val="fr-CH" w:eastAsia="ja-JP"/>
        </w:rPr>
      </w:pPr>
      <w:bookmarkStart w:id="36" w:name="lt_pId049"/>
      <w:r>
        <w:rPr>
          <w:lang w:val="fr-CH" w:eastAsia="ja-JP"/>
        </w:rPr>
        <w:t>Les tarifs de gros et de détail de l'IMR sont les prix facturés pour le service IMR, à savoir:</w:t>
      </w:r>
      <w:bookmarkEnd w:id="36"/>
    </w:p>
    <w:p w:rsidR="00AB2FC3" w:rsidRPr="00FB6848" w:rsidRDefault="00AB2FC3" w:rsidP="005F5F22">
      <w:pPr>
        <w:pStyle w:val="enumlev1"/>
        <w:rPr>
          <w:lang w:val="fr-CH"/>
        </w:rPr>
      </w:pPr>
      <w:r>
        <w:rPr>
          <w:lang w:val="fr-CH"/>
        </w:rPr>
        <w:t>a)</w:t>
      </w:r>
      <w:r>
        <w:rPr>
          <w:lang w:val="fr-CH"/>
        </w:rPr>
        <w:tab/>
      </w:r>
      <w:bookmarkStart w:id="37" w:name="lt_pId051"/>
      <w:r>
        <w:rPr>
          <w:lang w:val="fr-CH"/>
        </w:rPr>
        <w:t xml:space="preserve">les </w:t>
      </w:r>
      <w:r w:rsidRPr="00FB6848">
        <w:rPr>
          <w:lang w:val="fr-CH"/>
        </w:rPr>
        <w:t>tarifs de gros de l'IMR sont les prix facturés par l'opérateur visité à l'opérateur d'origine pour permettre aux abonnés de l'opérateur d'origine d'utiliser le réseau de l'opérateur visité (ces tarifs sont parfois appelés tarifs entre opérateurs (IOT));</w:t>
      </w:r>
      <w:bookmarkEnd w:id="37"/>
      <w:r w:rsidRPr="00FB6848">
        <w:rPr>
          <w:lang w:val="fr-CH"/>
        </w:rPr>
        <w:t xml:space="preserve"> et</w:t>
      </w:r>
    </w:p>
    <w:p w:rsidR="00AB2FC3" w:rsidRDefault="00AB2FC3" w:rsidP="005F5F22">
      <w:pPr>
        <w:pStyle w:val="enumlev1"/>
        <w:rPr>
          <w:lang w:val="fr-CH"/>
        </w:rPr>
      </w:pPr>
      <w:r w:rsidRPr="00FB6848">
        <w:rPr>
          <w:lang w:val="fr-CH"/>
        </w:rPr>
        <w:t>b)</w:t>
      </w:r>
      <w:r w:rsidRPr="00FB6848">
        <w:rPr>
          <w:lang w:val="fr-CH"/>
        </w:rPr>
        <w:tab/>
      </w:r>
      <w:bookmarkStart w:id="38" w:name="lt_pId053"/>
      <w:r w:rsidRPr="00FB6848">
        <w:rPr>
          <w:lang w:val="fr-CH"/>
        </w:rPr>
        <w:t>les tarifs de détail de l'IMR sont les prix que l'opérateur d'origine facture à ses abonnés pour utiliser</w:t>
      </w:r>
      <w:r>
        <w:rPr>
          <w:lang w:val="fr-CH"/>
        </w:rPr>
        <w:t xml:space="preserve"> les services IMR.</w:t>
      </w:r>
      <w:bookmarkEnd w:id="38"/>
    </w:p>
    <w:p w:rsidR="00AB2FC3" w:rsidRDefault="00AB2FC3" w:rsidP="005F5F22">
      <w:pPr>
        <w:pStyle w:val="Heading1"/>
        <w:rPr>
          <w:rFonts w:eastAsia="Calibri"/>
          <w:lang w:val="fr-CH"/>
        </w:rPr>
      </w:pPr>
      <w:bookmarkStart w:id="39" w:name="_Toc442774549"/>
      <w:bookmarkStart w:id="40" w:name="_Toc442774643"/>
      <w:bookmarkStart w:id="41" w:name="_Toc448311722"/>
      <w:r>
        <w:rPr>
          <w:lang w:val="fr-CH" w:eastAsia="zh-CN"/>
        </w:rPr>
        <w:lastRenderedPageBreak/>
        <w:t>4</w:t>
      </w:r>
      <w:r>
        <w:rPr>
          <w:lang w:val="fr-CH" w:eastAsia="zh-CN"/>
        </w:rPr>
        <w:tab/>
      </w:r>
      <w:bookmarkStart w:id="42" w:name="lt_pId055"/>
      <w:r>
        <w:rPr>
          <w:lang w:val="fr-CH" w:eastAsia="zh-CN"/>
        </w:rPr>
        <w:t>Abréviations et acronymes</w:t>
      </w:r>
      <w:bookmarkEnd w:id="39"/>
      <w:bookmarkEnd w:id="40"/>
      <w:bookmarkEnd w:id="41"/>
      <w:bookmarkEnd w:id="42"/>
    </w:p>
    <w:p w:rsidR="00AB2FC3" w:rsidRDefault="00AB2FC3" w:rsidP="00AB2FC3">
      <w:pPr>
        <w:jc w:val="both"/>
        <w:rPr>
          <w:rFonts w:eastAsia="Times New Roman"/>
          <w:lang w:val="fr-CH"/>
        </w:rPr>
      </w:pPr>
      <w:bookmarkStart w:id="43" w:name="lt_pId056"/>
      <w:r>
        <w:rPr>
          <w:lang w:val="fr-CH"/>
        </w:rPr>
        <w:t>CDR</w:t>
      </w:r>
      <w:bookmarkEnd w:id="43"/>
      <w:r>
        <w:rPr>
          <w:lang w:val="fr-CH"/>
        </w:rPr>
        <w:tab/>
        <w:t>relevé d'appels (</w:t>
      </w:r>
      <w:r>
        <w:rPr>
          <w:i/>
          <w:iCs/>
          <w:lang w:val="fr-CH"/>
        </w:rPr>
        <w:t xml:space="preserve">call </w:t>
      </w:r>
      <w:proofErr w:type="spellStart"/>
      <w:r>
        <w:rPr>
          <w:i/>
          <w:iCs/>
          <w:lang w:val="fr-CH"/>
        </w:rPr>
        <w:t>detail</w:t>
      </w:r>
      <w:proofErr w:type="spellEnd"/>
      <w:r>
        <w:rPr>
          <w:i/>
          <w:iCs/>
          <w:lang w:val="fr-CH"/>
        </w:rPr>
        <w:t xml:space="preserve"> record</w:t>
      </w:r>
      <w:r>
        <w:rPr>
          <w:lang w:val="fr-CH"/>
        </w:rPr>
        <w:t>)</w:t>
      </w:r>
    </w:p>
    <w:p w:rsidR="00AB2FC3" w:rsidRDefault="00AB2FC3" w:rsidP="00AB2FC3">
      <w:pPr>
        <w:jc w:val="both"/>
        <w:rPr>
          <w:lang w:val="fr-CH"/>
        </w:rPr>
      </w:pPr>
      <w:bookmarkStart w:id="44" w:name="lt_pId058"/>
      <w:r>
        <w:rPr>
          <w:lang w:val="fr-CH"/>
        </w:rPr>
        <w:t>IMR</w:t>
      </w:r>
      <w:bookmarkEnd w:id="44"/>
      <w:r>
        <w:rPr>
          <w:lang w:val="fr-CH"/>
        </w:rPr>
        <w:tab/>
      </w:r>
      <w:bookmarkStart w:id="45" w:name="lt_pId059"/>
      <w:r>
        <w:rPr>
          <w:lang w:val="fr-CH"/>
        </w:rPr>
        <w:t>itinérance mobile internationale</w:t>
      </w:r>
      <w:bookmarkEnd w:id="45"/>
      <w:r>
        <w:rPr>
          <w:lang w:val="fr-CH"/>
        </w:rPr>
        <w:t xml:space="preserve"> (</w:t>
      </w:r>
      <w:r>
        <w:rPr>
          <w:i/>
          <w:iCs/>
          <w:lang w:val="fr-CH"/>
        </w:rPr>
        <w:t xml:space="preserve">international mobile </w:t>
      </w:r>
      <w:proofErr w:type="spellStart"/>
      <w:r>
        <w:rPr>
          <w:i/>
          <w:iCs/>
          <w:lang w:val="fr-CH"/>
        </w:rPr>
        <w:t>roaming</w:t>
      </w:r>
      <w:proofErr w:type="spellEnd"/>
      <w:r>
        <w:rPr>
          <w:lang w:val="fr-CH"/>
        </w:rPr>
        <w:t>)</w:t>
      </w:r>
    </w:p>
    <w:p w:rsidR="00AB2FC3" w:rsidRDefault="00AB2FC3" w:rsidP="00AB2FC3">
      <w:pPr>
        <w:jc w:val="both"/>
        <w:rPr>
          <w:lang w:val="fr-CH"/>
        </w:rPr>
      </w:pPr>
      <w:bookmarkStart w:id="46" w:name="lt_pId060"/>
      <w:r>
        <w:rPr>
          <w:lang w:val="fr-CH"/>
        </w:rPr>
        <w:t>IOT</w:t>
      </w:r>
      <w:bookmarkEnd w:id="46"/>
      <w:r>
        <w:rPr>
          <w:lang w:val="fr-CH"/>
        </w:rPr>
        <w:tab/>
      </w:r>
      <w:bookmarkStart w:id="47" w:name="lt_pId061"/>
      <w:r>
        <w:rPr>
          <w:lang w:val="fr-CH"/>
        </w:rPr>
        <w:t>tarif entre opérateurs</w:t>
      </w:r>
      <w:bookmarkEnd w:id="47"/>
      <w:r>
        <w:rPr>
          <w:lang w:val="fr-CH"/>
        </w:rPr>
        <w:t xml:space="preserve"> (</w:t>
      </w:r>
      <w:r>
        <w:rPr>
          <w:i/>
          <w:iCs/>
          <w:lang w:val="fr-CH"/>
        </w:rPr>
        <w:t>inter-</w:t>
      </w:r>
      <w:proofErr w:type="spellStart"/>
      <w:r>
        <w:rPr>
          <w:i/>
          <w:iCs/>
          <w:lang w:val="fr-CH"/>
        </w:rPr>
        <w:t>operator</w:t>
      </w:r>
      <w:proofErr w:type="spellEnd"/>
      <w:r>
        <w:rPr>
          <w:i/>
          <w:iCs/>
          <w:lang w:val="fr-CH"/>
        </w:rPr>
        <w:t xml:space="preserve"> </w:t>
      </w:r>
      <w:proofErr w:type="spellStart"/>
      <w:r>
        <w:rPr>
          <w:i/>
          <w:iCs/>
          <w:lang w:val="fr-CH"/>
        </w:rPr>
        <w:t>tariff</w:t>
      </w:r>
      <w:proofErr w:type="spellEnd"/>
      <w:r>
        <w:rPr>
          <w:lang w:val="fr-CH"/>
        </w:rPr>
        <w:t>)</w:t>
      </w:r>
    </w:p>
    <w:p w:rsidR="00AB2FC3" w:rsidRDefault="00AB2FC3" w:rsidP="00AB2FC3">
      <w:pPr>
        <w:jc w:val="both"/>
        <w:rPr>
          <w:lang w:val="fr-CH"/>
        </w:rPr>
      </w:pPr>
      <w:bookmarkStart w:id="48" w:name="lt_pId062"/>
      <w:r>
        <w:rPr>
          <w:lang w:val="fr-CH"/>
        </w:rPr>
        <w:t>MMS</w:t>
      </w:r>
      <w:bookmarkEnd w:id="48"/>
      <w:r>
        <w:rPr>
          <w:lang w:val="fr-CH"/>
        </w:rPr>
        <w:tab/>
      </w:r>
      <w:bookmarkStart w:id="49" w:name="lt_pId063"/>
      <w:r>
        <w:rPr>
          <w:lang w:val="fr-CH"/>
        </w:rPr>
        <w:t>service de messagerie multimédia</w:t>
      </w:r>
      <w:bookmarkEnd w:id="49"/>
      <w:r>
        <w:rPr>
          <w:lang w:val="fr-CH"/>
        </w:rPr>
        <w:t xml:space="preserve"> (</w:t>
      </w:r>
      <w:proofErr w:type="spellStart"/>
      <w:r>
        <w:rPr>
          <w:i/>
          <w:iCs/>
          <w:lang w:val="fr-CH"/>
        </w:rPr>
        <w:t>multimedia</w:t>
      </w:r>
      <w:proofErr w:type="spellEnd"/>
      <w:r>
        <w:rPr>
          <w:i/>
          <w:iCs/>
          <w:lang w:val="fr-CH"/>
        </w:rPr>
        <w:t xml:space="preserve"> messaging service</w:t>
      </w:r>
      <w:r>
        <w:rPr>
          <w:lang w:val="fr-CH"/>
        </w:rPr>
        <w:t>)</w:t>
      </w:r>
    </w:p>
    <w:p w:rsidR="00AB2FC3" w:rsidRDefault="00AB2FC3" w:rsidP="00AB2FC3">
      <w:pPr>
        <w:jc w:val="both"/>
        <w:rPr>
          <w:lang w:val="fr-CH"/>
        </w:rPr>
      </w:pPr>
      <w:bookmarkStart w:id="50" w:name="lt_pId064"/>
      <w:r>
        <w:rPr>
          <w:lang w:val="fr-CH"/>
        </w:rPr>
        <w:t>NRA</w:t>
      </w:r>
      <w:r>
        <w:rPr>
          <w:lang w:val="fr-CH"/>
        </w:rPr>
        <w:tab/>
        <w:t>autorité nationale de réglementation (</w:t>
      </w:r>
      <w:r>
        <w:rPr>
          <w:i/>
          <w:iCs/>
          <w:lang w:val="fr-CH"/>
        </w:rPr>
        <w:t xml:space="preserve">national </w:t>
      </w:r>
      <w:proofErr w:type="spellStart"/>
      <w:r>
        <w:rPr>
          <w:i/>
          <w:iCs/>
          <w:lang w:val="fr-CH"/>
        </w:rPr>
        <w:t>regulatory</w:t>
      </w:r>
      <w:proofErr w:type="spellEnd"/>
      <w:r>
        <w:rPr>
          <w:i/>
          <w:iCs/>
          <w:lang w:val="fr-CH"/>
        </w:rPr>
        <w:t xml:space="preserve"> </w:t>
      </w:r>
      <w:proofErr w:type="spellStart"/>
      <w:r>
        <w:rPr>
          <w:i/>
          <w:iCs/>
          <w:lang w:val="fr-CH"/>
        </w:rPr>
        <w:t>authority</w:t>
      </w:r>
      <w:proofErr w:type="spellEnd"/>
      <w:r>
        <w:rPr>
          <w:lang w:val="fr-CH"/>
        </w:rPr>
        <w:t>)</w:t>
      </w:r>
    </w:p>
    <w:p w:rsidR="00AB2FC3" w:rsidRDefault="00AB2FC3" w:rsidP="00AB2FC3">
      <w:pPr>
        <w:jc w:val="both"/>
        <w:rPr>
          <w:lang w:val="fr-CH"/>
        </w:rPr>
      </w:pPr>
      <w:r>
        <w:rPr>
          <w:lang w:val="fr-CH"/>
        </w:rPr>
        <w:t>SMS</w:t>
      </w:r>
      <w:bookmarkEnd w:id="50"/>
      <w:r>
        <w:rPr>
          <w:lang w:val="fr-CH"/>
        </w:rPr>
        <w:t xml:space="preserve"> </w:t>
      </w:r>
      <w:r>
        <w:rPr>
          <w:lang w:val="fr-CH"/>
        </w:rPr>
        <w:tab/>
      </w:r>
      <w:bookmarkStart w:id="51" w:name="lt_pId065"/>
      <w:r>
        <w:rPr>
          <w:lang w:val="fr-CH"/>
        </w:rPr>
        <w:t>service de messages courts</w:t>
      </w:r>
      <w:bookmarkEnd w:id="51"/>
      <w:r>
        <w:rPr>
          <w:lang w:val="fr-CH"/>
        </w:rPr>
        <w:t xml:space="preserve"> (</w:t>
      </w:r>
      <w:r>
        <w:rPr>
          <w:i/>
          <w:iCs/>
          <w:lang w:val="fr-CH"/>
        </w:rPr>
        <w:t>short message service</w:t>
      </w:r>
      <w:r>
        <w:rPr>
          <w:lang w:val="fr-CH"/>
        </w:rPr>
        <w:t>)</w:t>
      </w:r>
    </w:p>
    <w:p w:rsidR="00AB2FC3" w:rsidRDefault="00AB2FC3" w:rsidP="005F5F22">
      <w:pPr>
        <w:pStyle w:val="Heading1"/>
        <w:rPr>
          <w:rFonts w:eastAsia="Calibri"/>
          <w:lang w:val="fr-CH"/>
        </w:rPr>
      </w:pPr>
      <w:bookmarkStart w:id="52" w:name="_Toc442774550"/>
      <w:bookmarkStart w:id="53" w:name="_Toc442774644"/>
      <w:bookmarkStart w:id="54" w:name="_Toc448311723"/>
      <w:r>
        <w:rPr>
          <w:lang w:val="fr-CH" w:eastAsia="zh-CN"/>
        </w:rPr>
        <w:t>5</w:t>
      </w:r>
      <w:r>
        <w:rPr>
          <w:lang w:val="fr-CH" w:eastAsia="zh-CN"/>
        </w:rPr>
        <w:tab/>
      </w:r>
      <w:bookmarkStart w:id="55" w:name="lt_pId069"/>
      <w:r>
        <w:rPr>
          <w:lang w:val="fr-CH" w:eastAsia="zh-CN"/>
        </w:rPr>
        <w:t xml:space="preserve">Mesures réglementaires </w:t>
      </w:r>
      <w:bookmarkEnd w:id="55"/>
      <w:r>
        <w:rPr>
          <w:lang w:val="fr-CH" w:eastAsia="zh-CN"/>
        </w:rPr>
        <w:t>appropriées</w:t>
      </w:r>
      <w:bookmarkEnd w:id="52"/>
      <w:bookmarkEnd w:id="53"/>
      <w:bookmarkEnd w:id="54"/>
    </w:p>
    <w:p w:rsidR="00AB2FC3" w:rsidRDefault="00AB2FC3" w:rsidP="005F5F22">
      <w:pPr>
        <w:rPr>
          <w:rFonts w:eastAsia="Times New Roman"/>
          <w:lang w:val="fr-CH"/>
        </w:rPr>
      </w:pPr>
      <w:r w:rsidRPr="007044CE">
        <w:rPr>
          <w:b/>
          <w:bCs/>
          <w:lang w:val="fr-CH"/>
        </w:rPr>
        <w:t>5.1</w:t>
      </w:r>
      <w:r>
        <w:rPr>
          <w:lang w:val="fr-CH"/>
        </w:rPr>
        <w:tab/>
      </w:r>
      <w:bookmarkStart w:id="56" w:name="lt_pId078"/>
      <w:r>
        <w:rPr>
          <w:lang w:val="fr-CH"/>
        </w:rPr>
        <w:t>Conformément à la Recommandation UIT-T D.98 et en tenant compte des conditions nationales ou régionales spécifiques, les régulateurs et les décideurs peuvent intervenir au niveau de la réglementation sur les tarifs du service d'itinérance mobile internationale dans l'intérêt des utilisateurs en encourageant la concurrence</w:t>
      </w:r>
      <w:bookmarkStart w:id="57" w:name="lt_pId079"/>
      <w:bookmarkEnd w:id="56"/>
      <w:r>
        <w:rPr>
          <w:lang w:val="fr-CH"/>
        </w:rPr>
        <w:t xml:space="preserve"> afin de permettre aux consommateurs de bénéficier, notamment, de tarifs abordables, d'une certaine disponibilité et de davantage de services.</w:t>
      </w:r>
      <w:bookmarkEnd w:id="57"/>
    </w:p>
    <w:p w:rsidR="00AB2FC3" w:rsidRDefault="00AB2FC3" w:rsidP="005F5F22">
      <w:pPr>
        <w:rPr>
          <w:lang w:val="fr-CH"/>
        </w:rPr>
      </w:pPr>
      <w:r w:rsidRPr="007044CE">
        <w:rPr>
          <w:b/>
          <w:bCs/>
          <w:lang w:val="fr-CH"/>
        </w:rPr>
        <w:t>5.2</w:t>
      </w:r>
      <w:r>
        <w:rPr>
          <w:lang w:val="fr-CH"/>
        </w:rPr>
        <w:tab/>
      </w:r>
      <w:bookmarkStart w:id="58" w:name="lt_pId071"/>
      <w:r>
        <w:rPr>
          <w:lang w:val="fr-CH"/>
        </w:rPr>
        <w:t xml:space="preserve">Dans les cas où les solutions existant sur le marché et le renforcement du pouvoir des consommateurs n'ont pas suffi à entraîner une baisse des tarifs de l'itinérance internationale, les Etats Membres devraient, le cas échéant, s'employer activement à établir des tarifs d'itinérance </w:t>
      </w:r>
      <w:bookmarkStart w:id="59" w:name="lt_pId072"/>
      <w:bookmarkEnd w:id="58"/>
      <w:r>
        <w:rPr>
          <w:lang w:val="fr-CH"/>
        </w:rPr>
        <w:t>compétitifs et financièrement abordables.</w:t>
      </w:r>
      <w:bookmarkEnd w:id="59"/>
    </w:p>
    <w:p w:rsidR="00AB2FC3" w:rsidRDefault="00AB2FC3" w:rsidP="005F5F22">
      <w:pPr>
        <w:rPr>
          <w:lang w:val="fr-CH"/>
        </w:rPr>
      </w:pPr>
      <w:r w:rsidRPr="007044CE">
        <w:rPr>
          <w:b/>
          <w:bCs/>
          <w:lang w:val="fr-CH"/>
        </w:rPr>
        <w:t>5.3</w:t>
      </w:r>
      <w:r>
        <w:rPr>
          <w:lang w:val="fr-CH"/>
        </w:rPr>
        <w:tab/>
        <w:t>Le cas échéant, les Etats Membres devraient donner aux régulateurs les moyens d'introduire des mesures réglementaires proportionnées ou d'intervenir de manière proportionnée au niveau de la réglementation concernant les tarifs du service d'itinérance mobile internationale dans l'intérêt des consommateurs, y compris, mais non exclusivement, de plafonner les tarifs.</w:t>
      </w:r>
    </w:p>
    <w:p w:rsidR="00AB2FC3" w:rsidRDefault="00AB2FC3" w:rsidP="005F5F22">
      <w:pPr>
        <w:rPr>
          <w:lang w:val="fr-CH"/>
        </w:rPr>
      </w:pPr>
      <w:r w:rsidRPr="007044CE">
        <w:rPr>
          <w:b/>
          <w:bCs/>
          <w:lang w:val="fr-CH"/>
        </w:rPr>
        <w:t>5.4</w:t>
      </w:r>
      <w:r>
        <w:rPr>
          <w:lang w:val="fr-CH"/>
        </w:rPr>
        <w:tab/>
      </w:r>
      <w:bookmarkStart w:id="60" w:name="lt_pId074"/>
      <w:r>
        <w:rPr>
          <w:lang w:val="fr-CH"/>
        </w:rPr>
        <w:t>Du fait de la nature même du service IMR, les efforts déployés par les Etats Membres pour déterminer les tarifs de l'IMR devraient se situer à un niveau: a) multinational, b) bilatéral ou c) régional.</w:t>
      </w:r>
      <w:bookmarkEnd w:id="60"/>
    </w:p>
    <w:p w:rsidR="00AB2FC3" w:rsidRDefault="00AB2FC3" w:rsidP="005F5F22">
      <w:pPr>
        <w:rPr>
          <w:lang w:val="fr-CH"/>
        </w:rPr>
      </w:pPr>
      <w:r w:rsidRPr="007044CE">
        <w:rPr>
          <w:rFonts w:eastAsia="Batang"/>
          <w:b/>
          <w:bCs/>
          <w:lang w:val="fr-CH"/>
        </w:rPr>
        <w:t>5.5</w:t>
      </w:r>
      <w:r>
        <w:rPr>
          <w:rFonts w:eastAsia="Batang"/>
          <w:lang w:val="fr-CH"/>
        </w:rPr>
        <w:tab/>
      </w:r>
      <w:bookmarkStart w:id="61" w:name="lt_pId076"/>
      <w:r>
        <w:rPr>
          <w:rFonts w:eastAsia="Batang"/>
          <w:lang w:val="fr-CH"/>
        </w:rPr>
        <w:t xml:space="preserve">Pour parvenir à des résultats, les Etats Membres devraient veiller à ce que les autorités nationales de réglementation (NRA) soient investies d'un mandat adéquat leur permettant de recueillir des données pertinentes sur l'itinérance auprès des opérateurs nationaux (tels que les prix de gros et les prix de détail), afin de pouvoir offrir des services d'itinérance plus </w:t>
      </w:r>
      <w:r>
        <w:rPr>
          <w:lang w:val="fr-CH"/>
        </w:rPr>
        <w:t>compétitifs</w:t>
      </w:r>
      <w:r>
        <w:rPr>
          <w:rFonts w:eastAsia="Batang"/>
          <w:lang w:val="fr-CH"/>
        </w:rPr>
        <w:t xml:space="preserve"> et financièrement </w:t>
      </w:r>
      <w:r>
        <w:rPr>
          <w:lang w:val="fr-CH"/>
        </w:rPr>
        <w:t>abordables.</w:t>
      </w:r>
      <w:bookmarkEnd w:id="61"/>
    </w:p>
    <w:p w:rsidR="00AB2FC3" w:rsidRDefault="00AB2FC3" w:rsidP="005F5F22">
      <w:pPr>
        <w:rPr>
          <w:lang w:val="fr-CH"/>
        </w:rPr>
      </w:pPr>
      <w:r w:rsidRPr="007044CE">
        <w:rPr>
          <w:b/>
          <w:bCs/>
          <w:lang w:val="fr-CH"/>
        </w:rPr>
        <w:t>5.6</w:t>
      </w:r>
      <w:r>
        <w:rPr>
          <w:lang w:val="fr-CH"/>
        </w:rPr>
        <w:tab/>
        <w:t>Lorsqu'une intervention est jugée appropriée, que ce soit au niveau multinational, bilatéral ou régional, les régulateurs et les décideurs, s'il y a lieu, devraient veiller à ce que les accords soient mis en œuvre de manière synchronisée afin de ne pas créer de déséquilibre entre les pays ayant approuvé les mesures.</w:t>
      </w:r>
    </w:p>
    <w:p w:rsidR="00AB2FC3" w:rsidRDefault="00AB2FC3" w:rsidP="00AB2FC3">
      <w:pPr>
        <w:rPr>
          <w:lang w:val="fr-CH"/>
        </w:rPr>
      </w:pPr>
      <w:r w:rsidRPr="007044CE">
        <w:rPr>
          <w:b/>
          <w:bCs/>
          <w:lang w:val="fr-CH"/>
        </w:rPr>
        <w:t>5.7</w:t>
      </w:r>
      <w:r>
        <w:rPr>
          <w:lang w:val="fr-CH"/>
        </w:rPr>
        <w:tab/>
      </w:r>
      <w:bookmarkStart w:id="62" w:name="lt_pId081"/>
      <w:r>
        <w:rPr>
          <w:lang w:val="fr-CH"/>
        </w:rPr>
        <w:t>En considérant qu'un marché international de télécommunication concurrentiel ne peut exister si des différences importantes subsistent entre les prix nationaux et les prix d'itinérance mobile internationale, l'objectif devrait être la réduction des différences entre les tarifs nationaux et les tarifs d'itinérance mobile internationale.</w:t>
      </w:r>
      <w:bookmarkEnd w:id="62"/>
      <w:r>
        <w:rPr>
          <w:lang w:val="fr-CH"/>
        </w:rPr>
        <w:t xml:space="preserve"> Toutefois, il convient dans le même temps de reconnaître que des différences sont susceptibles d'exister en raison des différences de coûts entre les pays et les régions.</w:t>
      </w:r>
    </w:p>
    <w:p w:rsidR="00AB2FC3" w:rsidRDefault="00AB2FC3" w:rsidP="005F5F22">
      <w:pPr>
        <w:pStyle w:val="Heading1"/>
        <w:rPr>
          <w:lang w:val="fr-CH" w:eastAsia="zh-CN"/>
        </w:rPr>
      </w:pPr>
      <w:bookmarkStart w:id="63" w:name="_Toc442774551"/>
      <w:bookmarkStart w:id="64" w:name="_Toc442774645"/>
      <w:bookmarkStart w:id="65" w:name="_Toc448311724"/>
      <w:r>
        <w:rPr>
          <w:lang w:val="fr-CH" w:eastAsia="zh-CN"/>
        </w:rPr>
        <w:lastRenderedPageBreak/>
        <w:t>6</w:t>
      </w:r>
      <w:r>
        <w:rPr>
          <w:lang w:val="fr-CH" w:eastAsia="zh-CN"/>
        </w:rPr>
        <w:tab/>
      </w:r>
      <w:bookmarkStart w:id="66" w:name="lt_pId083"/>
      <w:r>
        <w:rPr>
          <w:lang w:val="fr-CH" w:eastAsia="zh-CN"/>
        </w:rPr>
        <w:t>Principes méthodologiques de détermination des tarifs de l'itinérance mobile internationale</w:t>
      </w:r>
      <w:bookmarkStart w:id="67" w:name="lt_pId084"/>
      <w:bookmarkEnd w:id="63"/>
      <w:bookmarkEnd w:id="64"/>
      <w:bookmarkEnd w:id="65"/>
      <w:bookmarkEnd w:id="66"/>
    </w:p>
    <w:p w:rsidR="00AB2FC3" w:rsidRDefault="00AB2FC3" w:rsidP="005F5F22">
      <w:pPr>
        <w:rPr>
          <w:lang w:val="fr-CH"/>
        </w:rPr>
      </w:pPr>
      <w:r w:rsidRPr="007044CE">
        <w:rPr>
          <w:b/>
          <w:lang w:val="fr-CH"/>
        </w:rPr>
        <w:t>6.1</w:t>
      </w:r>
      <w:r>
        <w:rPr>
          <w:bCs/>
          <w:lang w:val="fr-CH"/>
        </w:rPr>
        <w:tab/>
        <w:t xml:space="preserve">La réglementation des tarifs de détail ou de gros de </w:t>
      </w:r>
      <w:r>
        <w:rPr>
          <w:lang w:val="fr-CH"/>
        </w:rPr>
        <w:t>l'IMR pourrait suivre au moins l'un des principes énumérés ci-dessous:</w:t>
      </w:r>
      <w:bookmarkEnd w:id="67"/>
    </w:p>
    <w:p w:rsidR="00AB2FC3" w:rsidRDefault="00AB2FC3" w:rsidP="00AB2FC3">
      <w:pPr>
        <w:pStyle w:val="enumlev1"/>
        <w:rPr>
          <w:lang w:val="fr-CH"/>
        </w:rPr>
      </w:pPr>
      <w:bookmarkStart w:id="68" w:name="lt_pId085"/>
      <w:r>
        <w:rPr>
          <w:lang w:val="fr-CH"/>
        </w:rPr>
        <w:t>a)</w:t>
      </w:r>
      <w:r>
        <w:rPr>
          <w:lang w:val="fr-CH"/>
        </w:rPr>
        <w:tab/>
      </w:r>
      <w:r>
        <w:rPr>
          <w:b/>
          <w:bCs/>
          <w:lang w:val="fr-CH"/>
        </w:rPr>
        <w:t>Analyse comparative</w:t>
      </w:r>
      <w:bookmarkStart w:id="69" w:name="lt_pId086"/>
      <w:bookmarkEnd w:id="68"/>
      <w:r>
        <w:rPr>
          <w:lang w:val="fr-CH"/>
        </w:rPr>
        <w:t>:</w:t>
      </w:r>
      <w:r>
        <w:rPr>
          <w:b/>
          <w:bCs/>
          <w:lang w:val="fr-CH"/>
        </w:rPr>
        <w:t xml:space="preserve"> </w:t>
      </w:r>
      <w:r>
        <w:rPr>
          <w:lang w:val="fr-CH"/>
        </w:rPr>
        <w:t>basée sur la comparaison des tarifs de détail ou des tarifs ou coûts de gros pertinents, compte tenu des bonnes pratiques et expériences internationales</w:t>
      </w:r>
      <w:bookmarkEnd w:id="69"/>
      <w:r>
        <w:rPr>
          <w:lang w:val="fr-CH"/>
        </w:rPr>
        <w:t xml:space="preserve"> (lorsque cette analyse comparative est disponible).</w:t>
      </w:r>
    </w:p>
    <w:p w:rsidR="00AB2FC3" w:rsidRDefault="00AB2FC3" w:rsidP="00AB2FC3">
      <w:pPr>
        <w:pStyle w:val="enumlev1"/>
        <w:rPr>
          <w:lang w:val="fr-CH"/>
        </w:rPr>
      </w:pPr>
      <w:bookmarkStart w:id="70" w:name="lt_pId087"/>
      <w:r>
        <w:rPr>
          <w:lang w:val="fr-CH"/>
        </w:rPr>
        <w:t>b)</w:t>
      </w:r>
      <w:r>
        <w:rPr>
          <w:lang w:val="fr-CH"/>
        </w:rPr>
        <w:tab/>
      </w:r>
      <w:r>
        <w:rPr>
          <w:b/>
          <w:bCs/>
          <w:lang w:val="fr-CH"/>
        </w:rPr>
        <w:t>Minoration au détail</w:t>
      </w:r>
      <w:bookmarkStart w:id="71" w:name="lt_pId088"/>
      <w:bookmarkEnd w:id="70"/>
      <w:r>
        <w:rPr>
          <w:lang w:val="fr-CH"/>
        </w:rPr>
        <w:t xml:space="preserve">: les tarifs de gros de l'IMR sont estimés à partir des prix de détail pertinents, en retranchant </w:t>
      </w:r>
      <w:bookmarkStart w:id="72" w:name="lt_pId089"/>
      <w:bookmarkEnd w:id="71"/>
      <w:r>
        <w:rPr>
          <w:lang w:val="fr-CH"/>
        </w:rPr>
        <w:t>un pourcentage.</w:t>
      </w:r>
    </w:p>
    <w:p w:rsidR="00AB2FC3" w:rsidRDefault="00AB2FC3" w:rsidP="00AB2FC3">
      <w:pPr>
        <w:pStyle w:val="enumlev1"/>
        <w:rPr>
          <w:rFonts w:eastAsia="Calibri"/>
          <w:lang w:val="fr-CH"/>
        </w:rPr>
      </w:pPr>
      <w:r>
        <w:rPr>
          <w:lang w:val="fr-CH"/>
        </w:rPr>
        <w:t>c)</w:t>
      </w:r>
      <w:r>
        <w:rPr>
          <w:lang w:val="fr-CH"/>
        </w:rPr>
        <w:tab/>
      </w:r>
      <w:r>
        <w:rPr>
          <w:b/>
          <w:bCs/>
          <w:lang w:val="fr-CH"/>
        </w:rPr>
        <w:t>Approche orientée vers les coûts</w:t>
      </w:r>
      <w:bookmarkEnd w:id="72"/>
      <w:r>
        <w:rPr>
          <w:lang w:val="fr-CH"/>
        </w:rPr>
        <w:t>:</w:t>
      </w:r>
      <w:r>
        <w:rPr>
          <w:b/>
          <w:bCs/>
          <w:lang w:val="fr-CH"/>
        </w:rPr>
        <w:t xml:space="preserve"> </w:t>
      </w:r>
      <w:r>
        <w:rPr>
          <w:lang w:val="fr-CH"/>
        </w:rPr>
        <w:t xml:space="preserve">calcul du coût de gros de l'IMR </w:t>
      </w:r>
      <w:r>
        <w:rPr>
          <w:rFonts w:eastAsia="Calibri"/>
          <w:lang w:val="fr-CH"/>
        </w:rPr>
        <w:t xml:space="preserve">en identifiant les coûts pertinents de fourniture de l'IMR, y compris tout taux de rentabilité raisonnable dont le niveau </w:t>
      </w:r>
      <w:r>
        <w:rPr>
          <w:lang w:val="fr-CH"/>
        </w:rPr>
        <w:t>permette</w:t>
      </w:r>
      <w:r>
        <w:rPr>
          <w:rFonts w:eastAsia="Calibri"/>
          <w:lang w:val="fr-CH"/>
        </w:rPr>
        <w:t xml:space="preserve"> de favoriser l'investissement et l'innovation. Il faut bien veiller à ce que des coûts artificiels et non liés à l'itinérance ne soient pas pris en compte dans cette analyse.</w:t>
      </w:r>
    </w:p>
    <w:p w:rsidR="00AB2FC3" w:rsidRDefault="00AB2FC3" w:rsidP="005F5F22">
      <w:pPr>
        <w:rPr>
          <w:rFonts w:eastAsia="Times New Roman"/>
          <w:lang w:val="fr-CH"/>
        </w:rPr>
      </w:pPr>
      <w:r w:rsidRPr="007044CE">
        <w:rPr>
          <w:b/>
          <w:bCs/>
          <w:lang w:val="fr-CH"/>
        </w:rPr>
        <w:t>6.2</w:t>
      </w:r>
      <w:r>
        <w:rPr>
          <w:lang w:val="fr-CH"/>
        </w:rPr>
        <w:tab/>
        <w:t>La confidentialité des accords commerciaux devrait être respectée au moyen d'outils fournis par les autorités NRA, par exemple d'anonymisation ou d'agrégation des données.</w:t>
      </w:r>
    </w:p>
    <w:p w:rsidR="00AB2FC3" w:rsidRDefault="00AB2FC3" w:rsidP="00AB2FC3">
      <w:pPr>
        <w:rPr>
          <w:lang w:val="fr-CH"/>
        </w:rPr>
      </w:pPr>
      <w:r w:rsidRPr="007044CE">
        <w:rPr>
          <w:b/>
          <w:lang w:val="fr-CH"/>
        </w:rPr>
        <w:t>6.3</w:t>
      </w:r>
      <w:r>
        <w:rPr>
          <w:lang w:val="fr-CH"/>
        </w:rPr>
        <w:tab/>
      </w:r>
      <w:bookmarkStart w:id="73" w:name="lt_pId093"/>
      <w:r>
        <w:rPr>
          <w:lang w:val="fr-CH"/>
        </w:rPr>
        <w:t>Si un Etat Membre envisage une approche orientée vers les coûts, il convient de prendre en compte, au minimum, les éléments suivants lors de l'estimation de tarifs compétitifs et financièrement abordables pour l'IMR:</w:t>
      </w:r>
      <w:bookmarkEnd w:id="73"/>
      <w:r>
        <w:rPr>
          <w:lang w:val="fr-CH"/>
        </w:rPr>
        <w:t xml:space="preserve"> </w:t>
      </w:r>
    </w:p>
    <w:p w:rsidR="00AB2FC3" w:rsidRDefault="00AB2FC3" w:rsidP="00AB2FC3">
      <w:pPr>
        <w:pStyle w:val="enumlev1"/>
        <w:rPr>
          <w:lang w:val="fr-CH"/>
        </w:rPr>
      </w:pPr>
      <w:r>
        <w:rPr>
          <w:lang w:val="fr-CH"/>
        </w:rPr>
        <w:t>–</w:t>
      </w:r>
      <w:r>
        <w:rPr>
          <w:lang w:val="fr-CH"/>
        </w:rPr>
        <w:tab/>
      </w:r>
      <w:bookmarkStart w:id="74" w:name="lt_pId095"/>
      <w:r>
        <w:rPr>
          <w:lang w:val="fr-CH"/>
        </w:rPr>
        <w:t>coûts d'accès, de lancement et de terminaison au niveau local;</w:t>
      </w:r>
      <w:bookmarkEnd w:id="74"/>
    </w:p>
    <w:p w:rsidR="00AB2FC3" w:rsidRDefault="00AB2FC3" w:rsidP="00AB2FC3">
      <w:pPr>
        <w:pStyle w:val="enumlev1"/>
        <w:rPr>
          <w:lang w:val="fr-CH"/>
        </w:rPr>
      </w:pPr>
      <w:r>
        <w:rPr>
          <w:lang w:val="fr-CH"/>
        </w:rPr>
        <w:t>–</w:t>
      </w:r>
      <w:r>
        <w:rPr>
          <w:lang w:val="fr-CH"/>
        </w:rPr>
        <w:tab/>
        <w:t>coûts de la terminaison internationale, coûts des passerelles internationales;</w:t>
      </w:r>
    </w:p>
    <w:p w:rsidR="00AB2FC3" w:rsidRDefault="00AB2FC3" w:rsidP="00AB2FC3">
      <w:pPr>
        <w:pStyle w:val="enumlev1"/>
        <w:rPr>
          <w:lang w:val="fr-CH"/>
        </w:rPr>
      </w:pPr>
      <w:r>
        <w:rPr>
          <w:lang w:val="fr-CH"/>
        </w:rPr>
        <w:t>–</w:t>
      </w:r>
      <w:r>
        <w:rPr>
          <w:lang w:val="fr-CH"/>
        </w:rPr>
        <w:tab/>
      </w:r>
      <w:bookmarkStart w:id="75" w:name="lt_pId097"/>
      <w:r>
        <w:rPr>
          <w:lang w:val="fr-CH"/>
        </w:rPr>
        <w:t>coûts du transport local;</w:t>
      </w:r>
      <w:bookmarkEnd w:id="75"/>
    </w:p>
    <w:p w:rsidR="00AB2FC3" w:rsidRDefault="00AB2FC3" w:rsidP="00AB2FC3">
      <w:pPr>
        <w:pStyle w:val="enumlev1"/>
        <w:rPr>
          <w:lang w:val="fr-CH"/>
        </w:rPr>
      </w:pPr>
      <w:r>
        <w:rPr>
          <w:lang w:val="fr-CH"/>
        </w:rPr>
        <w:t>–</w:t>
      </w:r>
      <w:r>
        <w:rPr>
          <w:lang w:val="fr-CH"/>
        </w:rPr>
        <w:tab/>
      </w:r>
      <w:bookmarkStart w:id="76" w:name="lt_pId099"/>
      <w:r>
        <w:rPr>
          <w:lang w:val="fr-CH"/>
        </w:rPr>
        <w:t>coûts du transport international;</w:t>
      </w:r>
      <w:bookmarkEnd w:id="76"/>
    </w:p>
    <w:p w:rsidR="00AB2FC3" w:rsidRDefault="00AB2FC3" w:rsidP="00AB2FC3">
      <w:pPr>
        <w:pStyle w:val="enumlev1"/>
        <w:rPr>
          <w:lang w:val="fr-CH"/>
        </w:rPr>
      </w:pPr>
      <w:r>
        <w:rPr>
          <w:lang w:val="fr-CH"/>
        </w:rPr>
        <w:t>–</w:t>
      </w:r>
      <w:r>
        <w:rPr>
          <w:lang w:val="fr-CH"/>
        </w:rPr>
        <w:tab/>
      </w:r>
      <w:bookmarkStart w:id="77" w:name="lt_pId101"/>
      <w:r>
        <w:rPr>
          <w:lang w:val="fr-CH"/>
        </w:rPr>
        <w:t>frais propres à l'itinérance, y compris les frais d'établissement du contrat, de facturation et de signalisation;</w:t>
      </w:r>
      <w:bookmarkEnd w:id="77"/>
      <w:r>
        <w:rPr>
          <w:lang w:val="fr-CH"/>
        </w:rPr>
        <w:t xml:space="preserve"> </w:t>
      </w:r>
    </w:p>
    <w:p w:rsidR="00AB2FC3" w:rsidRDefault="00AB2FC3" w:rsidP="00AB2FC3">
      <w:pPr>
        <w:pStyle w:val="enumlev1"/>
        <w:rPr>
          <w:lang w:val="fr-CH"/>
        </w:rPr>
      </w:pPr>
      <w:r>
        <w:rPr>
          <w:lang w:val="fr-CH"/>
        </w:rPr>
        <w:t>–</w:t>
      </w:r>
      <w:r>
        <w:rPr>
          <w:lang w:val="fr-CH"/>
        </w:rPr>
        <w:tab/>
      </w:r>
      <w:bookmarkStart w:id="78" w:name="lt_pId103"/>
      <w:r>
        <w:rPr>
          <w:lang w:val="fr-CH"/>
        </w:rPr>
        <w:t>frais propres à la vente au détail, en particulier les coûts de facturation et de traitement international (y compris les relevés CDR et les tarifs IOT).</w:t>
      </w:r>
      <w:bookmarkEnd w:id="78"/>
      <w:r>
        <w:rPr>
          <w:lang w:val="fr-CH"/>
        </w:rPr>
        <w:t xml:space="preserve"> </w:t>
      </w:r>
    </w:p>
    <w:p w:rsidR="00AB2FC3" w:rsidRDefault="00AB2FC3" w:rsidP="00AB2FC3">
      <w:pPr>
        <w:rPr>
          <w:lang w:val="fr-CH"/>
        </w:rPr>
      </w:pPr>
      <w:r w:rsidRPr="007044CE">
        <w:rPr>
          <w:b/>
          <w:bCs/>
          <w:lang w:val="fr-CH"/>
        </w:rPr>
        <w:t>6.4</w:t>
      </w:r>
      <w:r>
        <w:rPr>
          <w:lang w:val="fr-CH"/>
        </w:rPr>
        <w:tab/>
      </w:r>
      <w:bookmarkStart w:id="79" w:name="lt_pId105"/>
      <w:r>
        <w:rPr>
          <w:lang w:val="fr-CH"/>
        </w:rPr>
        <w:t>Ces éléments devraient être pris en compte pour les services IMR de téléphonie, de SMS et de données, étant donné la tendance générale à une utilisation croissante des services de communication.</w:t>
      </w:r>
      <w:bookmarkEnd w:id="79"/>
    </w:p>
    <w:p w:rsidR="00AB2FC3" w:rsidRDefault="00AB2FC3" w:rsidP="00AB2FC3">
      <w:pPr>
        <w:rPr>
          <w:lang w:val="fr-CH"/>
        </w:rPr>
      </w:pPr>
      <w:r w:rsidRPr="007044CE">
        <w:rPr>
          <w:b/>
          <w:bCs/>
          <w:lang w:val="fr-CH"/>
        </w:rPr>
        <w:t>6.5</w:t>
      </w:r>
      <w:r>
        <w:rPr>
          <w:lang w:val="fr-CH"/>
        </w:rPr>
        <w:tab/>
      </w:r>
      <w:bookmarkStart w:id="80" w:name="lt_pId107"/>
      <w:r>
        <w:rPr>
          <w:lang w:val="fr-CH"/>
        </w:rPr>
        <w:t xml:space="preserve">Lors de l'analyse des éléments de coûts, il convient de prendre en considération les deux modes que sont le prépaiement et le </w:t>
      </w:r>
      <w:proofErr w:type="spellStart"/>
      <w:r>
        <w:rPr>
          <w:lang w:val="fr-CH"/>
        </w:rPr>
        <w:t>postpaiement</w:t>
      </w:r>
      <w:proofErr w:type="spellEnd"/>
      <w:r>
        <w:rPr>
          <w:lang w:val="fr-CH"/>
        </w:rPr>
        <w:t>.</w:t>
      </w:r>
      <w:bookmarkEnd w:id="80"/>
    </w:p>
    <w:p w:rsidR="00AB2FC3" w:rsidRDefault="00AB2FC3" w:rsidP="00AB2FC3">
      <w:pPr>
        <w:rPr>
          <w:lang w:val="fr-CH"/>
        </w:rPr>
      </w:pPr>
      <w:r w:rsidRPr="007044CE">
        <w:rPr>
          <w:b/>
          <w:bCs/>
          <w:lang w:val="fr-CH"/>
        </w:rPr>
        <w:t>6.6</w:t>
      </w:r>
      <w:r>
        <w:rPr>
          <w:lang w:val="fr-CH"/>
        </w:rPr>
        <w:tab/>
      </w:r>
      <w:bookmarkStart w:id="81" w:name="lt_pId111"/>
      <w:r>
        <w:rPr>
          <w:lang w:val="fr-CH"/>
        </w:rPr>
        <w:t>Les Etats Membres sont encouragés à prendre en considération ces éléments de coût pour construire des modèles de coûts détaillés pour l'itinérance, de préférence à l'échelle multinationale, afin de mieux appréhender le coût réel de la fourniture de services d'itinérance internationale.</w:t>
      </w:r>
      <w:bookmarkEnd w:id="81"/>
    </w:p>
    <w:p w:rsidR="00AB2FC3" w:rsidRDefault="00AB2FC3" w:rsidP="00AB2FC3">
      <w:pPr>
        <w:rPr>
          <w:lang w:val="fr-CH"/>
        </w:rPr>
      </w:pPr>
      <w:r w:rsidRPr="007044CE">
        <w:rPr>
          <w:b/>
          <w:bCs/>
          <w:lang w:val="fr-CH"/>
        </w:rPr>
        <w:t>6.7</w:t>
      </w:r>
      <w:r>
        <w:rPr>
          <w:lang w:val="fr-CH"/>
        </w:rPr>
        <w:tab/>
      </w:r>
      <w:bookmarkStart w:id="82" w:name="lt_pId113"/>
      <w:r>
        <w:rPr>
          <w:lang w:val="fr-CH"/>
        </w:rPr>
        <w:t>Lors de l'établissement de tarifs d'itinérance mobile internationale orientés vers les coûts afin de permettre aux consommateurs de bénéficier, notamment, de tarifs abordables, d'une certaine disponibilité et de davantage de services, il convient de tenir compte des éléments de coût de gros et de détail sous-jacents pertinents.</w:t>
      </w:r>
      <w:bookmarkEnd w:id="82"/>
      <w:r>
        <w:rPr>
          <w:lang w:val="fr-CH"/>
        </w:rPr>
        <w:t xml:space="preserve"> </w:t>
      </w:r>
      <w:bookmarkStart w:id="83" w:name="lt_pId114"/>
      <w:r>
        <w:rPr>
          <w:lang w:val="fr-CH"/>
        </w:rPr>
        <w:t>Les Etats Membres sont encouragés à déterminer la base de ces coûts en concertation et en collaboration avec les opérateurs de téléphonie mobile dans un esprit de transparence.</w:t>
      </w:r>
      <w:bookmarkEnd w:id="83"/>
    </w:p>
    <w:p w:rsidR="00AB2FC3" w:rsidRDefault="00AB2FC3" w:rsidP="00AB2FC3">
      <w:pPr>
        <w:rPr>
          <w:lang w:val="fr-CH"/>
        </w:rPr>
      </w:pPr>
      <w:r>
        <w:rPr>
          <w:lang w:val="fr-CH"/>
        </w:rPr>
        <w:br w:type="page"/>
      </w:r>
    </w:p>
    <w:p w:rsidR="00AB2FC3" w:rsidRDefault="00AB2FC3" w:rsidP="00AB2FC3">
      <w:pPr>
        <w:rPr>
          <w:lang w:val="fr-CH"/>
        </w:rPr>
      </w:pPr>
      <w:r w:rsidRPr="007044CE">
        <w:rPr>
          <w:b/>
          <w:bCs/>
          <w:lang w:val="fr-CH"/>
        </w:rPr>
        <w:lastRenderedPageBreak/>
        <w:t>6.8</w:t>
      </w:r>
      <w:r>
        <w:rPr>
          <w:lang w:val="fr-CH"/>
        </w:rPr>
        <w:tab/>
        <w:t>Lors de l'établissement de tarifs de l'IMR par des organisations régionales ou économiques, il convient de tenir compte des incidences négatives ailleurs dans le monde. Les Etats Membres sont encouragés à éviter tout effet de vases communicants causé par toute mesure réglementaire prise pour réduire les tarifs de l'IMR.</w:t>
      </w:r>
    </w:p>
    <w:p w:rsidR="00AB2FC3" w:rsidRDefault="00AB2FC3" w:rsidP="00AB2FC3">
      <w:pPr>
        <w:pStyle w:val="Reasons"/>
        <w:rPr>
          <w:lang w:val="fr-CH"/>
        </w:rPr>
      </w:pPr>
    </w:p>
    <w:p w:rsidR="00AB2FC3" w:rsidRDefault="00AB2FC3" w:rsidP="00AB2FC3">
      <w:pPr>
        <w:rPr>
          <w:lang w:val="fr-CH"/>
        </w:rPr>
      </w:pPr>
    </w:p>
    <w:p w:rsidR="00AB2FC3" w:rsidRDefault="00AB2FC3" w:rsidP="00AB2FC3">
      <w:pPr>
        <w:rPr>
          <w:lang w:val="fr-CH"/>
        </w:rPr>
      </w:pPr>
    </w:p>
    <w:p w:rsidR="00AB2FC3" w:rsidRPr="00D76808" w:rsidRDefault="002B2F25" w:rsidP="002B2F25">
      <w:pPr>
        <w:jc w:val="center"/>
        <w:rPr>
          <w:lang w:val="fr-CH"/>
        </w:rPr>
      </w:pPr>
      <w:r>
        <w:rPr>
          <w:lang w:val="fr-CH"/>
        </w:rPr>
        <w:t>______________</w:t>
      </w:r>
    </w:p>
    <w:p w:rsidR="00C07B8D" w:rsidRPr="00AB2FC3" w:rsidRDefault="00C07B8D">
      <w:pPr>
        <w:pStyle w:val="Reasons"/>
        <w:rPr>
          <w:lang w:val="fr-CH"/>
        </w:rPr>
      </w:pPr>
    </w:p>
    <w:sectPr w:rsidR="00C07B8D" w:rsidRPr="00AB2FC3">
      <w:headerReference w:type="default" r:id="rId19"/>
      <w:footerReference w:type="even" r:id="rId20"/>
      <w:footerReference w:type="default" r:id="rId21"/>
      <w:footerReference w:type="first" r:id="rId22"/>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C14" w:rsidRDefault="00164C14">
      <w:r>
        <w:separator/>
      </w:r>
    </w:p>
  </w:endnote>
  <w:endnote w:type="continuationSeparator" w:id="0">
    <w:p w:rsidR="00164C14" w:rsidRDefault="00164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B340D8" w:rsidRDefault="00E45D05">
    <w:pPr>
      <w:ind w:right="360"/>
      <w:rPr>
        <w:lang w:val="fr-CH"/>
      </w:rPr>
    </w:pPr>
    <w:r>
      <w:fldChar w:fldCharType="begin"/>
    </w:r>
    <w:r w:rsidRPr="00B340D8">
      <w:rPr>
        <w:lang w:val="fr-CH"/>
      </w:rPr>
      <w:instrText xml:space="preserve"> FILENAME \p  \* MERGEFORMAT </w:instrText>
    </w:r>
    <w:r>
      <w:fldChar w:fldCharType="separate"/>
    </w:r>
    <w:r w:rsidR="00B340D8">
      <w:rPr>
        <w:noProof/>
        <w:lang w:val="fr-CH"/>
      </w:rPr>
      <w:t>P:\FRA\ITU-T\CONF-T\WTSA16\000\039F.docx</w:t>
    </w:r>
    <w:r>
      <w:fldChar w:fldCharType="end"/>
    </w:r>
    <w:r w:rsidRPr="00B340D8">
      <w:rPr>
        <w:lang w:val="fr-CH"/>
      </w:rPr>
      <w:tab/>
    </w:r>
    <w:r>
      <w:fldChar w:fldCharType="begin"/>
    </w:r>
    <w:r>
      <w:instrText xml:space="preserve"> SAVEDATE \@ DD.MM.YY </w:instrText>
    </w:r>
    <w:r>
      <w:fldChar w:fldCharType="separate"/>
    </w:r>
    <w:r w:rsidR="001567F8">
      <w:rPr>
        <w:noProof/>
      </w:rPr>
      <w:t>01.07.16</w:t>
    </w:r>
    <w:r>
      <w:fldChar w:fldCharType="end"/>
    </w:r>
    <w:r w:rsidRPr="00B340D8">
      <w:rPr>
        <w:lang w:val="fr-CH"/>
      </w:rPr>
      <w:tab/>
    </w:r>
    <w:r>
      <w:fldChar w:fldCharType="begin"/>
    </w:r>
    <w:r>
      <w:instrText xml:space="preserve"> PRINTDATE \@ DD.MM.YY </w:instrText>
    </w:r>
    <w:r>
      <w:fldChar w:fldCharType="separate"/>
    </w:r>
    <w:r w:rsidR="00B340D8">
      <w:rPr>
        <w:noProof/>
      </w:rPr>
      <w:t>27.06.16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1567F8" w:rsidRDefault="001567F8" w:rsidP="001567F8">
    <w:pPr>
      <w:pStyle w:val="Footer"/>
      <w:rPr>
        <w:lang w:val="fr-CH"/>
      </w:rPr>
    </w:pPr>
    <w:r w:rsidRPr="005D6D3E">
      <w:rPr>
        <w:szCs w:val="12"/>
        <w:lang w:val="fr-CH"/>
      </w:rPr>
      <w:t>ITU-T\CONF-T\WTSA16\000\039</w:t>
    </w:r>
    <w:r>
      <w:rPr>
        <w:szCs w:val="12"/>
        <w:lang w:val="fr-CH"/>
      </w:rPr>
      <w:t>F</w:t>
    </w:r>
    <w:r w:rsidRPr="005D6D3E">
      <w:rPr>
        <w:szCs w:val="12"/>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1567F8" w:rsidRDefault="001567F8" w:rsidP="001567F8">
    <w:pPr>
      <w:pStyle w:val="Footer"/>
      <w:rPr>
        <w:lang w:val="fr-CH"/>
      </w:rPr>
    </w:pPr>
    <w:r w:rsidRPr="005D6D3E">
      <w:rPr>
        <w:szCs w:val="12"/>
        <w:lang w:val="fr-CH"/>
      </w:rPr>
      <w:t>ITU-T\CONF-T\WTSA16\000\039</w:t>
    </w:r>
    <w:r>
      <w:rPr>
        <w:szCs w:val="12"/>
        <w:lang w:val="fr-CH"/>
      </w:rPr>
      <w:t>F</w:t>
    </w:r>
    <w:r w:rsidRPr="005D6D3E">
      <w:rPr>
        <w:szCs w:val="12"/>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C14" w:rsidRDefault="00164C14">
      <w:r>
        <w:rPr>
          <w:b/>
        </w:rPr>
        <w:t>_______________</w:t>
      </w:r>
    </w:p>
  </w:footnote>
  <w:footnote w:type="continuationSeparator" w:id="0">
    <w:p w:rsidR="00164C14" w:rsidRDefault="00164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1567F8">
      <w:rPr>
        <w:noProof/>
      </w:rPr>
      <w:t>8</w:t>
    </w:r>
    <w:r>
      <w:fldChar w:fldCharType="end"/>
    </w:r>
  </w:p>
  <w:p w:rsidR="00987C1F" w:rsidRDefault="00E07AF5" w:rsidP="00987C1F">
    <w:pPr>
      <w:pStyle w:val="Header"/>
    </w:pPr>
    <w:r>
      <w:t>AMNT16</w:t>
    </w:r>
    <w:r w:rsidR="00987C1F">
      <w:t>/39-</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7239"/>
    <w:rsid w:val="00086491"/>
    <w:rsid w:val="00091346"/>
    <w:rsid w:val="0009706C"/>
    <w:rsid w:val="000F73FF"/>
    <w:rsid w:val="00114CF7"/>
    <w:rsid w:val="00123B68"/>
    <w:rsid w:val="00126F2E"/>
    <w:rsid w:val="00146F6F"/>
    <w:rsid w:val="001567F8"/>
    <w:rsid w:val="00164C14"/>
    <w:rsid w:val="00187BD9"/>
    <w:rsid w:val="00190B55"/>
    <w:rsid w:val="001C3B5F"/>
    <w:rsid w:val="001D058F"/>
    <w:rsid w:val="001D581B"/>
    <w:rsid w:val="001D77E9"/>
    <w:rsid w:val="001E1430"/>
    <w:rsid w:val="002009EA"/>
    <w:rsid w:val="00202CA0"/>
    <w:rsid w:val="00216B6D"/>
    <w:rsid w:val="00250AF4"/>
    <w:rsid w:val="00271316"/>
    <w:rsid w:val="002B2A75"/>
    <w:rsid w:val="002B2F25"/>
    <w:rsid w:val="002D58BE"/>
    <w:rsid w:val="002E210D"/>
    <w:rsid w:val="003236A6"/>
    <w:rsid w:val="00332C56"/>
    <w:rsid w:val="00377BD3"/>
    <w:rsid w:val="003832C0"/>
    <w:rsid w:val="00384088"/>
    <w:rsid w:val="0039169B"/>
    <w:rsid w:val="003A7F8C"/>
    <w:rsid w:val="003B532E"/>
    <w:rsid w:val="003D0F8B"/>
    <w:rsid w:val="0041348E"/>
    <w:rsid w:val="00417AD4"/>
    <w:rsid w:val="00444030"/>
    <w:rsid w:val="004508E2"/>
    <w:rsid w:val="00476533"/>
    <w:rsid w:val="00492075"/>
    <w:rsid w:val="004969AD"/>
    <w:rsid w:val="004A26C4"/>
    <w:rsid w:val="004B13CB"/>
    <w:rsid w:val="004D5D5C"/>
    <w:rsid w:val="0050139F"/>
    <w:rsid w:val="0055140B"/>
    <w:rsid w:val="005677D9"/>
    <w:rsid w:val="00595780"/>
    <w:rsid w:val="005964AB"/>
    <w:rsid w:val="005C099A"/>
    <w:rsid w:val="005C31A5"/>
    <w:rsid w:val="005E10C9"/>
    <w:rsid w:val="005E61DD"/>
    <w:rsid w:val="005F5F22"/>
    <w:rsid w:val="006023DF"/>
    <w:rsid w:val="00657DE0"/>
    <w:rsid w:val="00685313"/>
    <w:rsid w:val="0069092B"/>
    <w:rsid w:val="00692833"/>
    <w:rsid w:val="006A6E9B"/>
    <w:rsid w:val="006B7C2A"/>
    <w:rsid w:val="006C23DA"/>
    <w:rsid w:val="006E3D45"/>
    <w:rsid w:val="006F580E"/>
    <w:rsid w:val="007044CE"/>
    <w:rsid w:val="007149F9"/>
    <w:rsid w:val="00733A30"/>
    <w:rsid w:val="00745AEE"/>
    <w:rsid w:val="00750F10"/>
    <w:rsid w:val="007742CA"/>
    <w:rsid w:val="00774992"/>
    <w:rsid w:val="00790D70"/>
    <w:rsid w:val="007D5320"/>
    <w:rsid w:val="008006C5"/>
    <w:rsid w:val="00800972"/>
    <w:rsid w:val="00804475"/>
    <w:rsid w:val="00811633"/>
    <w:rsid w:val="00813B79"/>
    <w:rsid w:val="00864CD2"/>
    <w:rsid w:val="00872FC8"/>
    <w:rsid w:val="008845D0"/>
    <w:rsid w:val="008A69FB"/>
    <w:rsid w:val="008B1AEA"/>
    <w:rsid w:val="008B43F2"/>
    <w:rsid w:val="008B6CFF"/>
    <w:rsid w:val="008C27E9"/>
    <w:rsid w:val="008D0B44"/>
    <w:rsid w:val="0092425C"/>
    <w:rsid w:val="009274B4"/>
    <w:rsid w:val="00934EA2"/>
    <w:rsid w:val="00940614"/>
    <w:rsid w:val="00944A5C"/>
    <w:rsid w:val="00952A66"/>
    <w:rsid w:val="00957670"/>
    <w:rsid w:val="00987C1F"/>
    <w:rsid w:val="009C3191"/>
    <w:rsid w:val="009C56E5"/>
    <w:rsid w:val="009E5FC8"/>
    <w:rsid w:val="009E687A"/>
    <w:rsid w:val="009F63E2"/>
    <w:rsid w:val="00A066F1"/>
    <w:rsid w:val="00A141AF"/>
    <w:rsid w:val="00A16D29"/>
    <w:rsid w:val="00A30305"/>
    <w:rsid w:val="00A31D2D"/>
    <w:rsid w:val="00A4600A"/>
    <w:rsid w:val="00A538A6"/>
    <w:rsid w:val="00A54C25"/>
    <w:rsid w:val="00A710E7"/>
    <w:rsid w:val="00A7372E"/>
    <w:rsid w:val="00A811DC"/>
    <w:rsid w:val="00A93B85"/>
    <w:rsid w:val="00A94A88"/>
    <w:rsid w:val="00AA0B18"/>
    <w:rsid w:val="00AA666F"/>
    <w:rsid w:val="00AB2FC3"/>
    <w:rsid w:val="00AB5A50"/>
    <w:rsid w:val="00AB7C5F"/>
    <w:rsid w:val="00B31EF6"/>
    <w:rsid w:val="00B340D8"/>
    <w:rsid w:val="00B639E9"/>
    <w:rsid w:val="00B817CD"/>
    <w:rsid w:val="00B94AD0"/>
    <w:rsid w:val="00BA5265"/>
    <w:rsid w:val="00BB3A95"/>
    <w:rsid w:val="00C0018F"/>
    <w:rsid w:val="00C07B8D"/>
    <w:rsid w:val="00C16A5A"/>
    <w:rsid w:val="00C20466"/>
    <w:rsid w:val="00C214ED"/>
    <w:rsid w:val="00C234E6"/>
    <w:rsid w:val="00C26BA2"/>
    <w:rsid w:val="00C324A8"/>
    <w:rsid w:val="00C54517"/>
    <w:rsid w:val="00C64CD8"/>
    <w:rsid w:val="00C97C68"/>
    <w:rsid w:val="00CA1A47"/>
    <w:rsid w:val="00CC247A"/>
    <w:rsid w:val="00CE388F"/>
    <w:rsid w:val="00CE5E47"/>
    <w:rsid w:val="00CF020F"/>
    <w:rsid w:val="00CF1E9D"/>
    <w:rsid w:val="00CF2B5B"/>
    <w:rsid w:val="00D14CE0"/>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E2A"/>
    <w:rsid w:val="00E26226"/>
    <w:rsid w:val="00E45D05"/>
    <w:rsid w:val="00E55816"/>
    <w:rsid w:val="00E55AEF"/>
    <w:rsid w:val="00E84ED7"/>
    <w:rsid w:val="00E917FD"/>
    <w:rsid w:val="00E976C1"/>
    <w:rsid w:val="00EA12E5"/>
    <w:rsid w:val="00EB55C6"/>
    <w:rsid w:val="00EF2B09"/>
    <w:rsid w:val="00F02766"/>
    <w:rsid w:val="00F05BD4"/>
    <w:rsid w:val="00F6155B"/>
    <w:rsid w:val="00F65C19"/>
    <w:rsid w:val="00F73322"/>
    <w:rsid w:val="00F7356B"/>
    <w:rsid w:val="00F776DF"/>
    <w:rsid w:val="00F840C7"/>
    <w:rsid w:val="00FB6848"/>
    <w:rsid w:val="00FD2546"/>
    <w:rsid w:val="00FD772E"/>
    <w:rsid w:val="00FE6F0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qFormat/>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A811DC"/>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styleId="Hyperlink">
    <w:name w:val="Hyperlink"/>
    <w:aliases w:val="하이퍼링크2,Style 58,超级链接,하이퍼링크21,超?级链"/>
    <w:basedOn w:val="DefaultParagraphFont"/>
    <w:uiPriority w:val="99"/>
    <w:semiHidden/>
    <w:unhideWhenUsed/>
    <w:rsid w:val="00AB2FC3"/>
    <w:rPr>
      <w:color w:val="0000FF"/>
      <w:u w:val="single"/>
    </w:rPr>
  </w:style>
  <w:style w:type="paragraph" w:customStyle="1" w:styleId="toc0">
    <w:name w:val="toc 0"/>
    <w:basedOn w:val="Normal"/>
    <w:next w:val="TOC1"/>
    <w:rsid w:val="00AB2FC3"/>
    <w:pPr>
      <w:tabs>
        <w:tab w:val="clear" w:pos="1134"/>
        <w:tab w:val="clear" w:pos="1871"/>
        <w:tab w:val="clear" w:pos="2268"/>
        <w:tab w:val="right" w:pos="9639"/>
      </w:tabs>
      <w:textAlignment w:val="auto"/>
    </w:pPr>
    <w:rPr>
      <w:rFonts w:eastAsia="Times New Roman"/>
      <w:b/>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79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P:\TRAD\F\LING\Montage\TSB\WTSA%20-%20400968-F.docx" TargetMode="External"/><Relationship Id="rId18" Type="http://schemas.openxmlformats.org/officeDocument/2006/relationships/hyperlink" Target="file:///P:\TRAD\F\LING\Montage\TSB\WTSA%20-%20400968-F.docx"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file:///P:\TRAD\F\LING\Montage\TSB\WTSA%20-%20400968-F.docx" TargetMode="External"/><Relationship Id="rId17" Type="http://schemas.openxmlformats.org/officeDocument/2006/relationships/hyperlink" Target="file:///P:\TRAD\F\LING\Montage\TSB\WTSA%20-%20400968-F.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P:\TRAD\F\LING\Montage\TSB\WTSA%20-%20400968-F.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file:///P:\TRAD\F\LING\Montage\TSB\WTSA%20-%20400968-F.docx"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P:\TRAD\F\LING\Montage\TSB\WTSA%20-%20400968-F.docx"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430751"/>
    <w:rsid w:val="007007B4"/>
    <w:rsid w:val="00832CBF"/>
    <w:rsid w:val="00B95CAC"/>
    <w:rsid w:val="00D83E31"/>
    <w:rsid w:val="00E927AD"/>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ba4edac-b726-4421-9926-2a6a67b51d80" targetNamespace="http://schemas.microsoft.com/office/2006/metadata/properties" ma:root="true" ma:fieldsID="d41af5c836d734370eb92e7ee5f83852" ns2:_="" ns3:_="">
    <xsd:import namespace="996b2e75-67fd-4955-a3b0-5ab9934cb50b"/>
    <xsd:import namespace="eba4edac-b726-4421-9926-2a6a67b51d8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ba4edac-b726-4421-9926-2a6a67b51d8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ba4edac-b726-4421-9926-2a6a67b51d80">Documents Proposals Manager (DPM)</DPM_x0020_Author>
    <DPM_x0020_File_x0020_name xmlns="eba4edac-b726-4421-9926-2a6a67b51d80">T13-WTSA.16-C-0039!!MSW-F</DPM_x0020_File_x0020_name>
    <DPM_x0020_Version xmlns="eba4edac-b726-4421-9926-2a6a67b51d80">DPM_v2016.6.21.1_prod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ba4edac-b726-4421-9926-2a6a67b5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terms/"/>
    <ds:schemaRef ds:uri="eba4edac-b726-4421-9926-2a6a67b51d80"/>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08A8F3EA-3A60-4B18-B21B-0D951DEE7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1793</Words>
  <Characters>11665</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T13-WTSA.16-C-0039!!MSW-F</vt:lpstr>
    </vt:vector>
  </TitlesOfParts>
  <Manager>General Secretariat - Pool</Manager>
  <Company>International Telecommunication Union (ITU)</Company>
  <LinksUpToDate>false</LinksUpToDate>
  <CharactersWithSpaces>13432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T13-WTSA.16-C-0039!!MSW-F</dc:title>
  <dc:subject>World Telecommunication Standardization Assembly</dc:subject>
  <dc:creator>Documents Proposals Manager (DPM)</dc:creator>
  <cp:keywords>DPM_v2016.6.21.1_prod</cp:keywords>
  <dc:description>Template used by DPM and CPI for the WTSA-16</dc:description>
  <cp:lastModifiedBy>Clark, Robert</cp:lastModifiedBy>
  <cp:revision>7</cp:revision>
  <cp:lastPrinted>2016-06-27T15:22:00Z</cp:lastPrinted>
  <dcterms:created xsi:type="dcterms:W3CDTF">2016-06-27T15:17:00Z</dcterms:created>
  <dcterms:modified xsi:type="dcterms:W3CDTF">2016-07-06T15:23:00Z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