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val="en-GB"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BD699C" w:rsidRDefault="0059285F" w:rsidP="00A25A43">
            <w:pPr>
              <w:spacing w:before="160"/>
              <w:jc w:val="left"/>
              <w:rPr>
                <w:rFonts w:asciiTheme="minorHAnsi" w:hAnsiTheme="minorHAnsi"/>
                <w:b/>
                <w:bCs/>
                <w:sz w:val="24"/>
                <w:szCs w:val="36"/>
                <w:rtl/>
                <w:lang w:bidi="ar-EG"/>
              </w:rPr>
            </w:pPr>
            <w:r w:rsidRPr="00BD699C">
              <w:rPr>
                <w:rFonts w:ascii="Verdana Bold" w:hAnsi="Verdana Bold" w:hint="cs"/>
                <w:b/>
                <w:bCs/>
                <w:sz w:val="24"/>
                <w:szCs w:val="36"/>
                <w:rtl/>
                <w:lang w:bidi="ar-EG"/>
              </w:rPr>
              <w:t xml:space="preserve">الجمعية العالمية لتقييس الاتصالات </w:t>
            </w:r>
            <w:r w:rsidRPr="00BD699C">
              <w:rPr>
                <w:rFonts w:ascii="Verdana Bold" w:hAnsi="Verdana Bold"/>
                <w:b/>
                <w:bCs/>
                <w:sz w:val="24"/>
                <w:szCs w:val="36"/>
                <w:lang w:bidi="ar-SY"/>
              </w:rPr>
              <w:t>(WTSA-</w:t>
            </w:r>
            <w:r w:rsidR="00B2000C" w:rsidRPr="00BD699C">
              <w:rPr>
                <w:rFonts w:ascii="Verdana Bold" w:hAnsi="Verdana Bold"/>
                <w:b/>
                <w:bCs/>
                <w:sz w:val="24"/>
                <w:szCs w:val="36"/>
                <w:lang w:bidi="ar-SY"/>
              </w:rPr>
              <w:t>16</w:t>
            </w:r>
            <w:r w:rsidRPr="00BD699C">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BD699C">
              <w:rPr>
                <w:rFonts w:ascii="Calibri" w:hAnsi="Calibri" w:hint="cs"/>
                <w:b/>
                <w:bCs/>
                <w:sz w:val="20"/>
                <w:szCs w:val="28"/>
                <w:rtl/>
                <w:lang w:bidi="ar-EG"/>
              </w:rPr>
              <w:t>ياسمين الحمامات</w:t>
            </w:r>
            <w:r w:rsidR="0059285F" w:rsidRPr="00BD699C">
              <w:rPr>
                <w:rFonts w:ascii="Calibri" w:hAnsi="Calibri" w:hint="cs"/>
                <w:b/>
                <w:bCs/>
                <w:sz w:val="20"/>
                <w:szCs w:val="28"/>
                <w:rtl/>
                <w:lang w:bidi="ar-EG"/>
              </w:rPr>
              <w:t xml:space="preserve">، </w:t>
            </w:r>
            <w:r w:rsidR="00092FC2" w:rsidRPr="00BD699C">
              <w:rPr>
                <w:rFonts w:ascii="Calibri" w:hAnsi="Calibri"/>
                <w:b/>
                <w:bCs/>
                <w:sz w:val="20"/>
                <w:szCs w:val="28"/>
                <w:lang w:bidi="ar-SY"/>
              </w:rPr>
              <w:t>25</w:t>
            </w:r>
            <w:r w:rsidR="0059285F" w:rsidRPr="00BD699C">
              <w:rPr>
                <w:rFonts w:ascii="Calibri" w:hAnsi="Calibri" w:hint="cs"/>
                <w:b/>
                <w:bCs/>
                <w:sz w:val="20"/>
                <w:szCs w:val="28"/>
                <w:rtl/>
                <w:lang w:bidi="ar-EG"/>
              </w:rPr>
              <w:t xml:space="preserve"> </w:t>
            </w:r>
            <w:r w:rsidR="00092FC2" w:rsidRPr="00BD699C">
              <w:rPr>
                <w:rFonts w:ascii="Calibri" w:hAnsi="Calibri" w:hint="cs"/>
                <w:b/>
                <w:bCs/>
                <w:sz w:val="20"/>
                <w:szCs w:val="28"/>
                <w:rtl/>
                <w:lang w:bidi="ar-EG"/>
              </w:rPr>
              <w:t xml:space="preserve">أكتوبر - </w:t>
            </w:r>
            <w:r w:rsidR="00092FC2" w:rsidRPr="00BD699C">
              <w:rPr>
                <w:rFonts w:ascii="Calibri" w:hAnsi="Calibri"/>
                <w:b/>
                <w:bCs/>
                <w:sz w:val="20"/>
                <w:szCs w:val="28"/>
                <w:lang w:bidi="ar-EG"/>
              </w:rPr>
              <w:t>3</w:t>
            </w:r>
            <w:r w:rsidR="00092FC2" w:rsidRPr="00BD699C">
              <w:rPr>
                <w:rFonts w:ascii="Calibri" w:hAnsi="Calibri" w:hint="cs"/>
                <w:b/>
                <w:bCs/>
                <w:sz w:val="20"/>
                <w:szCs w:val="28"/>
                <w:rtl/>
                <w:lang w:bidi="ar-EG"/>
              </w:rPr>
              <w:t xml:space="preserve"> نوفمبر</w:t>
            </w:r>
            <w:r w:rsidR="0059285F" w:rsidRPr="00BD699C">
              <w:rPr>
                <w:rFonts w:ascii="Calibri" w:hAnsi="Calibri" w:hint="cs"/>
                <w:b/>
                <w:bCs/>
                <w:sz w:val="20"/>
                <w:szCs w:val="28"/>
                <w:rtl/>
                <w:lang w:bidi="ar-EG"/>
              </w:rPr>
              <w:t xml:space="preserve"> </w:t>
            </w:r>
            <w:r w:rsidR="00092FC2" w:rsidRPr="00BD699C">
              <w:rPr>
                <w:rFonts w:ascii="Calibri" w:hAnsi="Calibri"/>
                <w:b/>
                <w:bCs/>
                <w:sz w:val="20"/>
                <w:szCs w:val="28"/>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val="en-GB"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7052DB" w:rsidRDefault="0022345D" w:rsidP="006754F6">
            <w:pPr>
              <w:pStyle w:val="Adress"/>
              <w:framePr w:hSpace="0" w:wrap="auto" w:xAlign="left" w:yAlign="inline"/>
              <w:rPr>
                <w:rtl/>
              </w:rPr>
            </w:pPr>
            <w:r w:rsidRPr="007052DB">
              <w:rPr>
                <w:rtl/>
              </w:rPr>
              <w:t xml:space="preserve">الوثيقة </w:t>
            </w:r>
            <w:r w:rsidRPr="007052DB">
              <w:t>39-</w:t>
            </w:r>
            <w:r w:rsidR="00BD699C" w:rsidRPr="007052DB">
              <w:t>A</w:t>
            </w:r>
            <w:r w:rsidRPr="007052DB">
              <w:rPr>
                <w:rFonts w:hint="cs"/>
                <w:rtl/>
              </w:rPr>
              <w:t xml:space="preserve"> </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7052DB" w:rsidRDefault="0022345D" w:rsidP="00A25A43">
            <w:pPr>
              <w:pStyle w:val="Adress"/>
              <w:framePr w:hSpace="0" w:wrap="auto" w:xAlign="left" w:yAlign="inline"/>
              <w:rPr>
                <w:rtl/>
              </w:rPr>
            </w:pPr>
            <w:r w:rsidRPr="007052DB">
              <w:rPr>
                <w:rFonts w:eastAsia="SimSun"/>
                <w:rtl/>
              </w:rPr>
              <w:t xml:space="preserve">يونيو </w:t>
            </w:r>
            <w:r w:rsidRPr="007052DB">
              <w:rPr>
                <w:rFonts w:eastAsia="SimSun"/>
              </w:rPr>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7052DB" w:rsidRDefault="0022345D" w:rsidP="00A25A43">
            <w:pPr>
              <w:pStyle w:val="Adress"/>
              <w:framePr w:hSpace="0" w:wrap="auto" w:xAlign="left" w:yAlign="inline"/>
              <w:rPr>
                <w:rFonts w:eastAsia="SimSun" w:hint="eastAsia"/>
              </w:rPr>
            </w:pPr>
            <w:r w:rsidRPr="007052DB">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A25A43">
        <w:trPr>
          <w:cantSplit/>
          <w:jc w:val="right"/>
        </w:trPr>
        <w:tc>
          <w:tcPr>
            <w:tcW w:w="5000" w:type="pct"/>
            <w:gridSpan w:val="4"/>
          </w:tcPr>
          <w:p w:rsidR="0022345D" w:rsidRPr="00E621A3" w:rsidRDefault="0022345D" w:rsidP="00BD699C">
            <w:pPr>
              <w:pStyle w:val="Source"/>
              <w:rPr>
                <w:rtl/>
              </w:rPr>
            </w:pPr>
            <w:r w:rsidRPr="008204AC">
              <w:rPr>
                <w:rtl/>
              </w:rPr>
              <w:t xml:space="preserve">لجنة الدراسات </w:t>
            </w:r>
            <w:r w:rsidR="00BD699C">
              <w:t>3</w:t>
            </w:r>
            <w:r w:rsidRPr="008204AC">
              <w:rPr>
                <w:rtl/>
              </w:rPr>
              <w:t xml:space="preserve"> لقطاع تقييس الاتصالات</w:t>
            </w:r>
          </w:p>
        </w:tc>
      </w:tr>
      <w:tr w:rsidR="0022345D" w:rsidRPr="00E07379" w:rsidTr="00A25A43">
        <w:trPr>
          <w:cantSplit/>
          <w:jc w:val="right"/>
        </w:trPr>
        <w:tc>
          <w:tcPr>
            <w:tcW w:w="5000" w:type="pct"/>
            <w:gridSpan w:val="4"/>
          </w:tcPr>
          <w:p w:rsidR="0022345D" w:rsidRPr="00BD6EF3" w:rsidRDefault="009C2576" w:rsidP="00543390">
            <w:pPr>
              <w:pStyle w:val="Title1"/>
              <w:spacing w:before="240"/>
            </w:pPr>
            <w:r>
              <w:rPr>
                <w:rFonts w:hint="cs"/>
                <w:rtl/>
              </w:rPr>
              <w:t xml:space="preserve">مشروع </w:t>
            </w:r>
            <w:r w:rsidRPr="009C2576">
              <w:rPr>
                <w:rtl/>
                <w:lang w:bidi="ar-SA"/>
              </w:rPr>
              <w:t>التوصية</w:t>
            </w:r>
            <w:r w:rsidRPr="009C2576">
              <w:rPr>
                <w:rtl/>
                <w:lang w:bidi="ar-SY"/>
              </w:rPr>
              <w:t xml:space="preserve"> </w:t>
            </w:r>
            <w:r>
              <w:rPr>
                <w:rFonts w:hint="cs"/>
                <w:rtl/>
                <w:lang w:bidi="ar-SY"/>
              </w:rPr>
              <w:t xml:space="preserve">الجديدة </w:t>
            </w:r>
            <w:r w:rsidRPr="009C2576">
              <w:t>ITU-T D.97</w:t>
            </w:r>
            <w:r>
              <w:rPr>
                <w:rFonts w:hint="cs"/>
                <w:rtl/>
              </w:rPr>
              <w:t xml:space="preserve"> </w:t>
            </w:r>
            <w:r w:rsidRPr="009C2576">
              <w:rPr>
                <w:rtl/>
                <w:lang w:bidi="ar-SA"/>
              </w:rPr>
              <w:t xml:space="preserve">بشأن </w:t>
            </w:r>
            <w:r w:rsidR="00DF7DCB">
              <w:rPr>
                <w:rFonts w:hint="cs"/>
                <w:rtl/>
                <w:lang w:bidi="ar-SA"/>
              </w:rPr>
              <w:t>"</w:t>
            </w:r>
            <w:r w:rsidRPr="009C2576">
              <w:rPr>
                <w:rtl/>
                <w:lang w:bidi="ar-SA"/>
              </w:rPr>
              <w:t>المبادئ المنهجية لتحديد رسوم التجوال الدولي المتنقل</w:t>
            </w:r>
            <w:r w:rsidR="00DF7DCB">
              <w:rPr>
                <w:rFonts w:hint="cs"/>
                <w:rtl/>
                <w:lang w:bidi="ar-SA"/>
              </w:rPr>
              <w:t>": نص مقترح للحصول على موافقة الجمعية العالمية لتقييس الاتصالات لعا</w:t>
            </w:r>
            <w:r w:rsidR="00DF7DCB">
              <w:rPr>
                <w:rFonts w:hint="cs"/>
                <w:rtl/>
              </w:rPr>
              <w:t>م</w:t>
            </w:r>
            <w:r w:rsidR="00543390">
              <w:rPr>
                <w:rFonts w:hint="eastAsia"/>
                <w:rtl/>
              </w:rPr>
              <w:t> </w:t>
            </w:r>
            <w:r w:rsidR="00DF7DCB">
              <w:t>2016</w:t>
            </w:r>
          </w:p>
        </w:tc>
      </w:tr>
      <w:tr w:rsidR="0022345D" w:rsidRPr="00E07379" w:rsidTr="00A25A43">
        <w:trPr>
          <w:cantSplit/>
          <w:jc w:val="right"/>
        </w:trPr>
        <w:tc>
          <w:tcPr>
            <w:tcW w:w="5000" w:type="pct"/>
            <w:gridSpan w:val="4"/>
          </w:tcPr>
          <w:p w:rsidR="0022345D" w:rsidRPr="00BD6EF3" w:rsidRDefault="0022345D" w:rsidP="00A25A43">
            <w:pPr>
              <w:pStyle w:val="Title2"/>
              <w:rPr>
                <w:rtl/>
              </w:rPr>
            </w:pP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193AD1">
        <w:trPr>
          <w:cantSplit/>
          <w:jc w:val="right"/>
        </w:trPr>
        <w:tc>
          <w:tcPr>
            <w:tcW w:w="8505" w:type="dxa"/>
          </w:tcPr>
          <w:p w:rsidR="006157A3" w:rsidRPr="00246F07" w:rsidRDefault="00246F07" w:rsidP="00193AD1">
            <w:pPr>
              <w:rPr>
                <w:rtl/>
                <w:lang w:bidi="ar-EG"/>
              </w:rPr>
            </w:pPr>
            <w:r>
              <w:rPr>
                <w:rFonts w:hint="cs"/>
                <w:rtl/>
              </w:rPr>
              <w:t xml:space="preserve">تتضمن الوثيقة </w:t>
            </w:r>
            <w:r>
              <w:t>39</w:t>
            </w:r>
            <w:r>
              <w:rPr>
                <w:rFonts w:hint="cs"/>
                <w:rtl/>
                <w:lang w:bidi="ar-EG"/>
              </w:rPr>
              <w:t xml:space="preserve"> للجمعية العالمية لتقييس الاتصالات لعام </w:t>
            </w:r>
            <w:r>
              <w:rPr>
                <w:lang w:bidi="ar-EG"/>
              </w:rPr>
              <w:t>2016</w:t>
            </w:r>
            <w:r>
              <w:rPr>
                <w:rFonts w:hint="cs"/>
                <w:rtl/>
                <w:lang w:bidi="ar-EG"/>
              </w:rPr>
              <w:t xml:space="preserve"> مشروع التوصية الجديدة </w:t>
            </w:r>
            <w:r>
              <w:rPr>
                <w:lang w:bidi="ar-EG"/>
              </w:rPr>
              <w:t>ITU</w:t>
            </w:r>
            <w:r>
              <w:rPr>
                <w:lang w:bidi="ar-EG"/>
              </w:rPr>
              <w:noBreakHyphen/>
              <w:t>T D.97</w:t>
            </w:r>
            <w:r>
              <w:rPr>
                <w:rFonts w:hint="cs"/>
                <w:rtl/>
                <w:lang w:bidi="ar-EG"/>
              </w:rPr>
              <w:t xml:space="preserve"> المقدم للحصول على موافقة الجمعية. ومحتوى هذه الوثيقة مطابق لنص التقرير </w:t>
            </w:r>
            <w:r>
              <w:rPr>
                <w:lang w:bidi="ar-EG"/>
              </w:rPr>
              <w:t>COM3</w:t>
            </w:r>
            <w:r>
              <w:rPr>
                <w:lang w:bidi="ar-EG"/>
              </w:rPr>
              <w:noBreakHyphen/>
              <w:t>R20</w:t>
            </w:r>
            <w:r>
              <w:rPr>
                <w:rFonts w:hint="cs"/>
                <w:rtl/>
                <w:lang w:bidi="ar-EG"/>
              </w:rPr>
              <w:t>.</w:t>
            </w:r>
          </w:p>
        </w:tc>
        <w:tc>
          <w:tcPr>
            <w:tcW w:w="1058" w:type="dxa"/>
          </w:tcPr>
          <w:p w:rsidR="006157A3" w:rsidRPr="00E70E87" w:rsidRDefault="006157A3" w:rsidP="00193AD1">
            <w:r w:rsidRPr="00BD699C">
              <w:rPr>
                <w:b/>
                <w:bCs/>
                <w:rtl/>
                <w:lang w:bidi="ar-EG"/>
              </w:rPr>
              <w:t>ملخص</w:t>
            </w:r>
            <w:r w:rsidRPr="00E70E87">
              <w:t>:</w:t>
            </w:r>
          </w:p>
        </w:tc>
      </w:tr>
    </w:tbl>
    <w:p w:rsidR="00C82615" w:rsidRDefault="00C82615">
      <w:pPr>
        <w:tabs>
          <w:tab w:val="clear" w:pos="1134"/>
        </w:tabs>
        <w:bidi w:val="0"/>
        <w:spacing w:before="0" w:after="160" w:line="259" w:lineRule="auto"/>
        <w:jc w:val="left"/>
        <w:rPr>
          <w:rtl/>
        </w:rPr>
      </w:pPr>
      <w:r>
        <w:br w:type="page"/>
      </w:r>
    </w:p>
    <w:p w:rsidR="00E021A9" w:rsidRDefault="00A00852">
      <w:pPr>
        <w:pStyle w:val="Proposal"/>
      </w:pPr>
      <w:r>
        <w:lastRenderedPageBreak/>
        <w:t>ADD</w:t>
      </w:r>
      <w:r>
        <w:tab/>
        <w:t>SG3/39/1</w:t>
      </w:r>
    </w:p>
    <w:p w:rsidR="006326C2" w:rsidRPr="00A45302" w:rsidRDefault="00E838AD" w:rsidP="00A87683">
      <w:pPr>
        <w:pStyle w:val="RecNo"/>
        <w:jc w:val="left"/>
        <w:rPr>
          <w:bCs/>
          <w:rtl/>
          <w:lang w:bidi="ar-EG"/>
        </w:rPr>
      </w:pPr>
      <w:r w:rsidRPr="00A45302">
        <w:rPr>
          <w:bCs/>
          <w:rtl/>
          <w:lang w:bidi="ar-EG"/>
        </w:rPr>
        <w:t>مشروع التوصية</w:t>
      </w:r>
      <w:r w:rsidRPr="00A45302">
        <w:rPr>
          <w:bCs/>
          <w:rtl/>
          <w:lang w:bidi="ar-SY"/>
        </w:rPr>
        <w:t xml:space="preserve"> </w:t>
      </w:r>
      <w:r w:rsidRPr="00A45302">
        <w:rPr>
          <w:bCs/>
          <w:lang w:bidi="ar-EG"/>
        </w:rPr>
        <w:t>ITU-T</w:t>
      </w:r>
      <w:r w:rsidR="00A87683">
        <w:rPr>
          <w:bCs/>
          <w:lang w:bidi="ar-EG"/>
        </w:rPr>
        <w:t> </w:t>
      </w:r>
      <w:r w:rsidRPr="00A45302">
        <w:rPr>
          <w:bCs/>
          <w:lang w:bidi="ar-EG"/>
        </w:rPr>
        <w:t>D.97</w:t>
      </w:r>
    </w:p>
    <w:p w:rsidR="0022345D" w:rsidRPr="00341DD0" w:rsidRDefault="00E838AD" w:rsidP="006326C2">
      <w:pPr>
        <w:pStyle w:val="Rectitle"/>
        <w:rPr>
          <w:rtl/>
          <w:lang w:bidi="ar-EG"/>
        </w:rPr>
      </w:pPr>
      <w:r w:rsidRPr="00E838AD">
        <w:rPr>
          <w:rtl/>
        </w:rPr>
        <w:t xml:space="preserve">المبادئ المنهجية لتحديد </w:t>
      </w:r>
      <w:r w:rsidRPr="00E838AD">
        <w:rPr>
          <w:rtl/>
          <w:lang w:bidi="ar-EG"/>
        </w:rPr>
        <w:t>رسوم التجوال الدولي المتنقل</w:t>
      </w:r>
    </w:p>
    <w:p w:rsidR="006326C2" w:rsidRDefault="006326C2" w:rsidP="006326C2">
      <w:pPr>
        <w:pStyle w:val="Headingb0"/>
      </w:pPr>
      <w:r>
        <w:rPr>
          <w:rtl/>
        </w:rPr>
        <w:t>ملخص</w:t>
      </w:r>
    </w:p>
    <w:p w:rsidR="006326C2" w:rsidRDefault="006326C2" w:rsidP="00131743">
      <w:pPr>
        <w:rPr>
          <w:b/>
          <w:bCs/>
          <w:rtl/>
        </w:rPr>
      </w:pPr>
      <w:r>
        <w:rPr>
          <w:rtl/>
        </w:rPr>
        <w:t>ت</w:t>
      </w:r>
      <w:r>
        <w:rPr>
          <w:rtl/>
          <w:lang w:bidi="ar-EG"/>
        </w:rPr>
        <w:t>ُ</w:t>
      </w:r>
      <w:r>
        <w:rPr>
          <w:rtl/>
        </w:rPr>
        <w:t>قترح في التوصية</w:t>
      </w:r>
      <w:r w:rsidR="00531359">
        <w:rPr>
          <w:rFonts w:hint="cs"/>
          <w:rtl/>
        </w:rPr>
        <w:t xml:space="preserve"> </w:t>
      </w:r>
      <w:r>
        <w:rPr>
          <w:lang w:bidi="ar-EG"/>
        </w:rPr>
        <w:t>ITU-T</w:t>
      </w:r>
      <w:r w:rsidR="00531359">
        <w:rPr>
          <w:lang w:bidi="ar-EG"/>
        </w:rPr>
        <w:t> </w:t>
      </w:r>
      <w:r>
        <w:rPr>
          <w:lang w:bidi="ar-EG"/>
        </w:rPr>
        <w:t>D.97</w:t>
      </w:r>
      <w:r w:rsidR="00531359">
        <w:rPr>
          <w:rFonts w:hint="cs"/>
          <w:rtl/>
          <w:lang w:bidi="ar-EG"/>
        </w:rPr>
        <w:t xml:space="preserve"> </w:t>
      </w:r>
      <w:r>
        <w:rPr>
          <w:rtl/>
        </w:rPr>
        <w:t>"المبادئ المنهجية لتحديد رسوم التجوال الدولي المتنقل"، نُهُج يمكن اتباعها لتقليص أسعار التجوال المفرطة وتسلط الضوء على ضرورة تشجيع المنافسة في سوق التجوال وتثقيف المستهلكين والنظر في إجراءات تنظيمية مناسبة مثل فرض أسقف لأسعار التجوال</w:t>
      </w:r>
      <w:r w:rsidR="00131743">
        <w:rPr>
          <w:rFonts w:hint="cs"/>
          <w:b/>
          <w:bCs/>
          <w:rtl/>
        </w:rPr>
        <w:t>.</w:t>
      </w:r>
    </w:p>
    <w:p w:rsidR="006326C2" w:rsidRDefault="00A45302" w:rsidP="006326C2">
      <w:pPr>
        <w:pStyle w:val="Headingb0"/>
        <w:rPr>
          <w:rtl/>
        </w:rPr>
      </w:pPr>
      <w:r>
        <w:rPr>
          <w:rFonts w:hint="cs"/>
          <w:rtl/>
        </w:rPr>
        <w:t>مصطلحات أساسية</w:t>
      </w:r>
    </w:p>
    <w:p w:rsidR="006326C2" w:rsidRDefault="006326C2" w:rsidP="006326C2">
      <w:pPr>
        <w:rPr>
          <w:rtl/>
          <w:lang w:bidi="ar-EG"/>
        </w:rPr>
      </w:pPr>
      <w:r>
        <w:rPr>
          <w:rtl/>
          <w:lang w:bidi="ar-EG"/>
        </w:rPr>
        <w:t>&lt;اختياري&gt;</w:t>
      </w:r>
    </w:p>
    <w:p w:rsidR="006326C2" w:rsidRDefault="006326C2" w:rsidP="00B216F4">
      <w:pPr>
        <w:rPr>
          <w:rtl/>
          <w:lang w:bidi="ar-EG"/>
        </w:rPr>
      </w:pPr>
      <w:r>
        <w:rPr>
          <w:rtl/>
        </w:rPr>
        <w:br w:type="page"/>
      </w:r>
      <w:bookmarkStart w:id="0" w:name="_GoBack"/>
      <w:bookmarkEnd w:id="0"/>
    </w:p>
    <w:p w:rsidR="006326C2" w:rsidRDefault="006326C2" w:rsidP="006326C2">
      <w:pPr>
        <w:pStyle w:val="Headingb0"/>
        <w:jc w:val="center"/>
        <w:rPr>
          <w:lang w:bidi="ar-SY"/>
        </w:rPr>
      </w:pPr>
      <w:r>
        <w:rPr>
          <w:rtl/>
          <w:lang w:bidi="ar-SY"/>
        </w:rPr>
        <w:lastRenderedPageBreak/>
        <w:t>جدول المحتويات</w:t>
      </w:r>
    </w:p>
    <w:p w:rsidR="006326C2" w:rsidRDefault="006326C2" w:rsidP="006326C2">
      <w:pPr>
        <w:pStyle w:val="TOC1"/>
        <w:jc w:val="right"/>
        <w:rPr>
          <w:b/>
          <w:bCs/>
          <w:rtl/>
          <w:lang w:bidi="ar-EG"/>
        </w:rPr>
      </w:pPr>
      <w:r>
        <w:rPr>
          <w:b/>
          <w:bCs/>
          <w:rtl/>
          <w:lang w:bidi="ar-EG"/>
        </w:rPr>
        <w:t>الصفحة</w:t>
      </w:r>
    </w:p>
    <w:p w:rsidR="006326C2" w:rsidRDefault="006326C2" w:rsidP="00665E27">
      <w:pPr>
        <w:pStyle w:val="TOC1"/>
        <w:rPr>
          <w:rFonts w:asciiTheme="minorHAnsi" w:hAnsiTheme="minorHAnsi" w:cstheme="minorBidi"/>
          <w:noProof/>
          <w:szCs w:val="22"/>
          <w:rtl/>
          <w:lang w:val="en-GB" w:bidi="ar-EG"/>
        </w:rPr>
      </w:pPr>
      <w:r>
        <w:rPr>
          <w:b/>
          <w:bCs/>
          <w:rtl/>
          <w:lang w:bidi="ar-SY"/>
        </w:rPr>
        <w:fldChar w:fldCharType="begin"/>
      </w:r>
      <w:r>
        <w:rPr>
          <w:b/>
          <w:bCs/>
          <w:rtl/>
          <w:lang w:bidi="ar-SY"/>
        </w:rPr>
        <w:instrText xml:space="preserve"> </w:instrText>
      </w:r>
      <w:r>
        <w:rPr>
          <w:b/>
          <w:bCs/>
          <w:lang w:bidi="ar-SY"/>
        </w:rPr>
        <w:instrText>TOC</w:instrText>
      </w:r>
      <w:r>
        <w:rPr>
          <w:b/>
          <w:bCs/>
          <w:rtl/>
          <w:lang w:bidi="ar-SY"/>
        </w:rPr>
        <w:instrText xml:space="preserve"> \</w:instrText>
      </w:r>
      <w:r>
        <w:rPr>
          <w:b/>
          <w:bCs/>
          <w:lang w:bidi="ar-SY"/>
        </w:rPr>
        <w:instrText>o "1-3" \h \z \u</w:instrText>
      </w:r>
      <w:r>
        <w:rPr>
          <w:b/>
          <w:bCs/>
          <w:rtl/>
          <w:lang w:bidi="ar-SY"/>
        </w:rPr>
        <w:instrText xml:space="preserve"> </w:instrText>
      </w:r>
      <w:r>
        <w:rPr>
          <w:b/>
          <w:bCs/>
          <w:rtl/>
          <w:lang w:bidi="ar-SY"/>
        </w:rPr>
        <w:fldChar w:fldCharType="separate"/>
      </w:r>
      <w:hyperlink r:id="rId10" w:anchor="_Toc448847221" w:history="1">
        <w:r>
          <w:rPr>
            <w:rStyle w:val="Hyperlink"/>
            <w:noProof/>
            <w:rtl/>
            <w:lang w:bidi="ar-EG"/>
          </w:rPr>
          <w:t>مقدمة</w:t>
        </w:r>
        <w:r>
          <w:rPr>
            <w:rStyle w:val="Hyperlink"/>
            <w:noProof/>
            <w:webHidden/>
          </w:rPr>
          <w:tab/>
        </w:r>
        <w:r>
          <w:rPr>
            <w:rStyle w:val="Hyperlink"/>
            <w:noProof/>
            <w:webHidden/>
          </w:rPr>
          <w:tab/>
        </w:r>
        <w:r>
          <w:rPr>
            <w:rStyle w:val="Hyperlink"/>
            <w:noProof/>
            <w:webHidden/>
          </w:rPr>
          <w:tab/>
        </w:r>
        <w:r>
          <w:rPr>
            <w:rStyle w:val="Hyperlink"/>
            <w:noProof/>
            <w:webHidden/>
          </w:rPr>
          <w:tab/>
        </w:r>
      </w:hyperlink>
      <w:r w:rsidR="00665E27">
        <w:t>4</w:t>
      </w:r>
    </w:p>
    <w:p w:rsidR="006326C2" w:rsidRDefault="005D6D3E" w:rsidP="00665E27">
      <w:pPr>
        <w:pStyle w:val="TOC1"/>
        <w:rPr>
          <w:rFonts w:asciiTheme="minorHAnsi" w:hAnsiTheme="minorHAnsi" w:cstheme="minorBidi"/>
          <w:noProof/>
          <w:szCs w:val="22"/>
          <w:rtl/>
          <w:lang w:val="en-GB" w:bidi="ar-EG"/>
        </w:rPr>
      </w:pPr>
      <w:hyperlink r:id="rId11" w:anchor="_Toc448847222" w:history="1">
        <w:r w:rsidR="006326C2">
          <w:rPr>
            <w:rStyle w:val="Hyperlink"/>
            <w:noProof/>
            <w:lang w:bidi="ar-SY"/>
          </w:rPr>
          <w:t>1</w:t>
        </w:r>
        <w:r w:rsidR="006326C2">
          <w:rPr>
            <w:rStyle w:val="Hyperlink"/>
            <w:rFonts w:asciiTheme="minorHAnsi" w:hAnsiTheme="minorHAnsi" w:cstheme="minorBidi"/>
            <w:noProof/>
            <w:szCs w:val="22"/>
            <w:lang w:val="en-GB"/>
          </w:rPr>
          <w:tab/>
        </w:r>
        <w:r w:rsidR="006326C2">
          <w:rPr>
            <w:rStyle w:val="Hyperlink"/>
            <w:noProof/>
            <w:rtl/>
            <w:lang w:bidi="ar-EG"/>
          </w:rPr>
          <w:t>مجال التطبيق</w:t>
        </w:r>
        <w:r w:rsidR="006326C2">
          <w:rPr>
            <w:rStyle w:val="Hyperlink"/>
            <w:noProof/>
            <w:webHidden/>
          </w:rPr>
          <w:tab/>
        </w:r>
        <w:r w:rsidR="006326C2">
          <w:rPr>
            <w:rStyle w:val="Hyperlink"/>
            <w:noProof/>
            <w:webHidden/>
          </w:rPr>
          <w:tab/>
        </w:r>
      </w:hyperlink>
      <w:r w:rsidR="00665E27">
        <w:t>5</w:t>
      </w:r>
    </w:p>
    <w:p w:rsidR="006326C2" w:rsidRDefault="005D6D3E" w:rsidP="00665E27">
      <w:pPr>
        <w:pStyle w:val="TOC1"/>
        <w:rPr>
          <w:rFonts w:asciiTheme="minorHAnsi" w:hAnsiTheme="minorHAnsi" w:cstheme="minorBidi"/>
          <w:noProof/>
          <w:szCs w:val="22"/>
          <w:rtl/>
          <w:lang w:val="en-GB"/>
        </w:rPr>
      </w:pPr>
      <w:hyperlink r:id="rId12" w:anchor="_Toc448847223" w:history="1">
        <w:r w:rsidR="006326C2">
          <w:rPr>
            <w:rStyle w:val="Hyperlink"/>
            <w:noProof/>
            <w:lang w:bidi="ar-SY"/>
          </w:rPr>
          <w:t>2</w:t>
        </w:r>
        <w:r w:rsidR="006326C2">
          <w:rPr>
            <w:rStyle w:val="Hyperlink"/>
            <w:rFonts w:asciiTheme="minorHAnsi" w:hAnsiTheme="minorHAnsi" w:cstheme="minorBidi"/>
            <w:noProof/>
            <w:szCs w:val="22"/>
            <w:lang w:val="en-GB"/>
          </w:rPr>
          <w:tab/>
        </w:r>
        <w:r w:rsidR="006326C2">
          <w:rPr>
            <w:rStyle w:val="Hyperlink"/>
            <w:noProof/>
            <w:rtl/>
            <w:lang w:bidi="ar-EG"/>
          </w:rPr>
          <w:t>المراجع</w:t>
        </w:r>
        <w:r w:rsidR="006326C2">
          <w:rPr>
            <w:rStyle w:val="Hyperlink"/>
            <w:noProof/>
            <w:webHidden/>
          </w:rPr>
          <w:tab/>
        </w:r>
        <w:r w:rsidR="006326C2">
          <w:rPr>
            <w:rStyle w:val="Hyperlink"/>
            <w:noProof/>
            <w:webHidden/>
          </w:rPr>
          <w:tab/>
        </w:r>
      </w:hyperlink>
      <w:r w:rsidR="00665E27">
        <w:t>5</w:t>
      </w:r>
    </w:p>
    <w:p w:rsidR="006326C2" w:rsidRDefault="005D6D3E" w:rsidP="00665E27">
      <w:pPr>
        <w:pStyle w:val="TOC1"/>
        <w:rPr>
          <w:rFonts w:asciiTheme="minorHAnsi" w:hAnsiTheme="minorHAnsi" w:cstheme="minorBidi"/>
          <w:noProof/>
          <w:szCs w:val="22"/>
          <w:lang w:val="en-GB"/>
        </w:rPr>
      </w:pPr>
      <w:hyperlink r:id="rId13" w:anchor="_Toc448847224" w:history="1">
        <w:r w:rsidR="006326C2">
          <w:rPr>
            <w:rStyle w:val="Hyperlink"/>
            <w:noProof/>
            <w:lang w:bidi="ar-SY"/>
          </w:rPr>
          <w:t>3</w:t>
        </w:r>
        <w:r w:rsidR="006326C2">
          <w:rPr>
            <w:rStyle w:val="Hyperlink"/>
            <w:rFonts w:asciiTheme="minorHAnsi" w:hAnsiTheme="minorHAnsi" w:cstheme="minorBidi"/>
            <w:noProof/>
            <w:szCs w:val="22"/>
            <w:lang w:val="en-GB"/>
          </w:rPr>
          <w:tab/>
        </w:r>
        <w:r w:rsidR="006326C2">
          <w:rPr>
            <w:rStyle w:val="Hyperlink"/>
            <w:noProof/>
            <w:rtl/>
            <w:lang w:bidi="ar-EG"/>
          </w:rPr>
          <w:t>التعاريف</w:t>
        </w:r>
        <w:r w:rsidR="006326C2">
          <w:rPr>
            <w:rStyle w:val="Hyperlink"/>
            <w:noProof/>
            <w:webHidden/>
            <w:rtl/>
          </w:rPr>
          <w:tab/>
        </w:r>
        <w:r w:rsidR="006326C2">
          <w:rPr>
            <w:rStyle w:val="Hyperlink"/>
            <w:noProof/>
            <w:webHidden/>
          </w:rPr>
          <w:tab/>
        </w:r>
      </w:hyperlink>
      <w:r w:rsidR="00665E27">
        <w:t>5</w:t>
      </w:r>
    </w:p>
    <w:p w:rsidR="006326C2" w:rsidRDefault="005D6D3E" w:rsidP="00665E27">
      <w:pPr>
        <w:pStyle w:val="TOC1"/>
        <w:rPr>
          <w:rFonts w:asciiTheme="minorHAnsi" w:hAnsiTheme="minorHAnsi" w:cstheme="minorBidi"/>
          <w:noProof/>
          <w:szCs w:val="22"/>
          <w:lang w:val="en-GB"/>
        </w:rPr>
      </w:pPr>
      <w:hyperlink r:id="rId14" w:anchor="_Toc448847225" w:history="1">
        <w:r w:rsidR="006326C2">
          <w:rPr>
            <w:rStyle w:val="Hyperlink"/>
            <w:noProof/>
            <w:lang w:bidi="ar-SY"/>
          </w:rPr>
          <w:t>4</w:t>
        </w:r>
        <w:r w:rsidR="006326C2">
          <w:rPr>
            <w:rStyle w:val="Hyperlink"/>
            <w:rFonts w:asciiTheme="minorHAnsi" w:hAnsiTheme="minorHAnsi" w:cstheme="minorBidi"/>
            <w:noProof/>
            <w:szCs w:val="22"/>
            <w:lang w:val="en-GB"/>
          </w:rPr>
          <w:tab/>
        </w:r>
        <w:r w:rsidR="006326C2">
          <w:rPr>
            <w:rStyle w:val="Hyperlink"/>
            <w:noProof/>
            <w:rtl/>
            <w:lang w:bidi="ar-EG"/>
          </w:rPr>
          <w:t>المختصرات والأسماء المختصرة</w:t>
        </w:r>
        <w:r w:rsidR="006326C2">
          <w:rPr>
            <w:rStyle w:val="Hyperlink"/>
            <w:noProof/>
            <w:webHidden/>
            <w:rtl/>
          </w:rPr>
          <w:tab/>
        </w:r>
        <w:r w:rsidR="006326C2">
          <w:rPr>
            <w:rStyle w:val="Hyperlink"/>
            <w:noProof/>
            <w:webHidden/>
          </w:rPr>
          <w:tab/>
        </w:r>
      </w:hyperlink>
      <w:r w:rsidR="00665E27">
        <w:t>6</w:t>
      </w:r>
    </w:p>
    <w:p w:rsidR="006326C2" w:rsidRDefault="005D6D3E" w:rsidP="00665E27">
      <w:pPr>
        <w:pStyle w:val="TOC1"/>
        <w:rPr>
          <w:rFonts w:asciiTheme="minorHAnsi" w:hAnsiTheme="minorHAnsi" w:cstheme="minorBidi"/>
          <w:noProof/>
          <w:szCs w:val="22"/>
          <w:lang w:val="en-GB"/>
        </w:rPr>
      </w:pPr>
      <w:hyperlink r:id="rId15" w:anchor="_Toc448847226" w:history="1">
        <w:r w:rsidR="006326C2">
          <w:rPr>
            <w:rStyle w:val="Hyperlink"/>
            <w:noProof/>
            <w:lang w:bidi="ar-SY"/>
          </w:rPr>
          <w:t>5</w:t>
        </w:r>
        <w:r w:rsidR="006326C2">
          <w:rPr>
            <w:rStyle w:val="Hyperlink"/>
            <w:rFonts w:asciiTheme="minorHAnsi" w:hAnsiTheme="minorHAnsi" w:cstheme="minorBidi"/>
            <w:noProof/>
            <w:szCs w:val="22"/>
            <w:lang w:val="en-GB"/>
          </w:rPr>
          <w:tab/>
        </w:r>
        <w:r w:rsidR="006326C2">
          <w:rPr>
            <w:rStyle w:val="Hyperlink"/>
            <w:noProof/>
            <w:rtl/>
            <w:lang w:bidi="ar-SY"/>
          </w:rPr>
          <w:t>الإجراءات التنظيمية المناسبة</w:t>
        </w:r>
        <w:r w:rsidR="006326C2">
          <w:rPr>
            <w:rStyle w:val="Hyperlink"/>
            <w:noProof/>
            <w:webHidden/>
            <w:rtl/>
          </w:rPr>
          <w:tab/>
        </w:r>
        <w:r w:rsidR="006326C2">
          <w:rPr>
            <w:rStyle w:val="Hyperlink"/>
            <w:noProof/>
            <w:webHidden/>
          </w:rPr>
          <w:tab/>
        </w:r>
      </w:hyperlink>
      <w:r w:rsidR="00665E27">
        <w:t>6</w:t>
      </w:r>
    </w:p>
    <w:p w:rsidR="006326C2" w:rsidRDefault="005D6D3E" w:rsidP="00665E27">
      <w:pPr>
        <w:pStyle w:val="TOC1"/>
        <w:rPr>
          <w:rFonts w:asciiTheme="minorHAnsi" w:hAnsiTheme="minorHAnsi" w:cstheme="minorBidi"/>
          <w:noProof/>
          <w:szCs w:val="22"/>
          <w:lang w:val="en-GB"/>
        </w:rPr>
      </w:pPr>
      <w:hyperlink r:id="rId16" w:anchor="_Toc448847227" w:history="1">
        <w:r w:rsidR="006326C2">
          <w:rPr>
            <w:rStyle w:val="Hyperlink"/>
            <w:noProof/>
            <w:lang w:bidi="ar-SY"/>
          </w:rPr>
          <w:t>6</w:t>
        </w:r>
        <w:r w:rsidR="006326C2">
          <w:rPr>
            <w:rStyle w:val="Hyperlink"/>
            <w:rFonts w:asciiTheme="minorHAnsi" w:hAnsiTheme="minorHAnsi" w:cstheme="minorBidi"/>
            <w:noProof/>
            <w:szCs w:val="22"/>
            <w:lang w:val="en-GB"/>
          </w:rPr>
          <w:tab/>
        </w:r>
        <w:r w:rsidR="006326C2">
          <w:rPr>
            <w:rStyle w:val="Hyperlink"/>
            <w:noProof/>
            <w:rtl/>
          </w:rPr>
          <w:t>المبادئ المنهجية لتحديد أسعار التجوال الدولي المتنقل</w:t>
        </w:r>
        <w:r w:rsidR="006326C2">
          <w:rPr>
            <w:rStyle w:val="Hyperlink"/>
            <w:noProof/>
            <w:webHidden/>
          </w:rPr>
          <w:tab/>
        </w:r>
        <w:r w:rsidR="006326C2">
          <w:rPr>
            <w:rStyle w:val="Hyperlink"/>
            <w:noProof/>
            <w:webHidden/>
          </w:rPr>
          <w:tab/>
        </w:r>
      </w:hyperlink>
      <w:r w:rsidR="00665E27">
        <w:t>6</w:t>
      </w:r>
    </w:p>
    <w:p w:rsidR="006326C2" w:rsidRDefault="006326C2" w:rsidP="00C56BC3">
      <w:pPr>
        <w:rPr>
          <w:rtl/>
          <w:lang w:bidi="ar-EG"/>
        </w:rPr>
      </w:pPr>
      <w:r>
        <w:rPr>
          <w:rtl/>
          <w:lang w:bidi="ar-SY"/>
        </w:rPr>
        <w:fldChar w:fldCharType="end"/>
      </w:r>
    </w:p>
    <w:p w:rsidR="006326C2" w:rsidRDefault="006326C2" w:rsidP="00C56BC3">
      <w:pPr>
        <w:rPr>
          <w:lang w:bidi="ar-SY"/>
        </w:rPr>
      </w:pPr>
      <w:r>
        <w:rPr>
          <w:lang w:bidi="ar-SY"/>
        </w:rPr>
        <w:br w:type="page"/>
      </w:r>
    </w:p>
    <w:p w:rsidR="006326C2" w:rsidRDefault="006326C2" w:rsidP="006326C2">
      <w:pPr>
        <w:pStyle w:val="Headingb0"/>
        <w:rPr>
          <w:lang w:bidi="ar-EG"/>
        </w:rPr>
      </w:pPr>
      <w:bookmarkStart w:id="1" w:name="_Toc448847221"/>
      <w:r>
        <w:rPr>
          <w:rtl/>
          <w:lang w:bidi="ar-EG"/>
        </w:rPr>
        <w:lastRenderedPageBreak/>
        <w:t>مقدمة</w:t>
      </w:r>
      <w:bookmarkEnd w:id="1"/>
    </w:p>
    <w:p w:rsidR="006326C2" w:rsidRDefault="006326C2" w:rsidP="006326C2">
      <w:pPr>
        <w:rPr>
          <w:lang w:val="en-GB" w:bidi="ar-SY"/>
        </w:rPr>
      </w:pPr>
      <w:r>
        <w:rPr>
          <w:rtl/>
          <w:lang w:bidi="ar-EG"/>
        </w:rPr>
        <w:t xml:space="preserve">يزداد الاقتصاد اعتماداً على تكنولوجيا الاتصالات المتنقلة التي تتسم بالاعتمادية والفعالية من حيث التكاليف والتنافسية والميسورية من حيث التكلفة على الصعيد العالمي. بيد أنه نظراً إلى أن تعريفات التجوال الدولي المتنقل </w:t>
      </w:r>
      <w:r>
        <w:rPr>
          <w:lang w:bidi="ar-SY"/>
        </w:rPr>
        <w:t>(IMR)</w:t>
      </w:r>
      <w:r>
        <w:rPr>
          <w:rtl/>
          <w:lang w:bidi="ar-EG"/>
        </w:rPr>
        <w:t xml:space="preserve"> </w:t>
      </w:r>
      <w:r>
        <w:rPr>
          <w:rFonts w:hint="cs"/>
          <w:rtl/>
          <w:lang w:bidi="ar-EG"/>
        </w:rPr>
        <w:t>بأسعار الجملة تميل إلى عدم الارتباط بتكلفته الأساسية، فإن ذلك يمكن أن يؤثر على أسعار التجزئة، بما في ذلك وجود رسوم غير متسقة وعشوائية. ويعوق ذلك بدوره المنافسة في السوق كما يؤثر على الابتكار ورفاه المستهلكين والتجارة والاقتصاد بشكل عام. وإذا كان ذلك يؤدي إلى أن تصبح أسعار التجوال الدولي أعلى مما يتسبب في (حدوث الصدمات عند مطالعة الفواتير مثلاً)، فإن هيئات التنظيم الوطنية ستستفيد من الوصول إلى فهم أفضل للتكاليف الفعلية التي يتحملها المشغلون على صعيدي البيع بالجملة والتجزئة على السواء، وذلك عند تقديم خدمات التجوال الدولي.</w:t>
      </w:r>
    </w:p>
    <w:p w:rsidR="006326C2" w:rsidRDefault="006326C2" w:rsidP="00A0498F">
      <w:pPr>
        <w:rPr>
          <w:lang w:bidi="ar-EG"/>
        </w:rPr>
      </w:pPr>
      <w:r>
        <w:rPr>
          <w:rtl/>
          <w:lang w:bidi="ar-EG"/>
        </w:rPr>
        <w:t>والتوصية </w:t>
      </w:r>
      <w:r>
        <w:rPr>
          <w:lang w:val="en-GB" w:bidi="ar-SY"/>
        </w:rPr>
        <w:t>ITU</w:t>
      </w:r>
      <w:r>
        <w:rPr>
          <w:lang w:val="en-GB" w:bidi="ar-SY"/>
        </w:rPr>
        <w:noBreakHyphen/>
        <w:t>T D.98</w:t>
      </w:r>
      <w:r>
        <w:rPr>
          <w:rtl/>
          <w:lang w:val="en-GB" w:bidi="ar-EG"/>
        </w:rPr>
        <w:t xml:space="preserve"> </w:t>
      </w:r>
      <w:r>
        <w:rPr>
          <w:rtl/>
          <w:lang w:bidi="ar-EG"/>
        </w:rPr>
        <w:t>بمثابة اتفاق أُبرم بين الدول الأعضاء في الاتحاد الدولي للاتصالات وأعضاء قطاعاته في </w:t>
      </w:r>
      <w:r>
        <w:rPr>
          <w:lang w:bidi="ar-SY"/>
        </w:rPr>
        <w:t>2012</w:t>
      </w:r>
      <w:r>
        <w:rPr>
          <w:rtl/>
          <w:lang w:bidi="ar-EG"/>
        </w:rPr>
        <w:t>. إنها ترمي إلى تمكين المستهلكين وإلى النهوض بتدابير التنظيم وبالحلول في سوق التجوال الدولي المتنقل. وهي تشير إلى ضرورة تشجيع المنافسة في مجال التجوال وتثقيف المستهلكين، والنظر في إجراءات تنظيمية مناسبة مثل استعمال هيئات التنظيم لأسقف الأسعار أو الرسوم. وتستند هذه التوصية الجديدة إلى نجاح تطبيق التوصية </w:t>
      </w:r>
      <w:r>
        <w:rPr>
          <w:lang w:val="en-GB" w:bidi="ar-SY"/>
        </w:rPr>
        <w:t>ITU</w:t>
      </w:r>
      <w:r>
        <w:rPr>
          <w:lang w:val="en-GB" w:bidi="ar-SY"/>
        </w:rPr>
        <w:noBreakHyphen/>
        <w:t>T D.98</w:t>
      </w:r>
      <w:r>
        <w:rPr>
          <w:rtl/>
          <w:lang w:bidi="ar-EG"/>
        </w:rPr>
        <w:t>.</w:t>
      </w:r>
    </w:p>
    <w:p w:rsidR="00665E27" w:rsidRDefault="00665E27">
      <w:pPr>
        <w:tabs>
          <w:tab w:val="clear" w:pos="1134"/>
        </w:tabs>
        <w:bidi w:val="0"/>
        <w:spacing w:before="0" w:after="160" w:line="259" w:lineRule="auto"/>
        <w:jc w:val="left"/>
        <w:rPr>
          <w:rFonts w:ascii="Times New Roman Bold" w:hAnsi="Times New Roman Bold"/>
          <w:bCs/>
          <w:sz w:val="28"/>
          <w:szCs w:val="40"/>
          <w:rtl/>
          <w:lang w:bidi="ar-EG"/>
        </w:rPr>
      </w:pPr>
      <w:r>
        <w:rPr>
          <w:b/>
          <w:bCs/>
          <w:rtl/>
          <w:lang w:bidi="ar-EG"/>
        </w:rPr>
        <w:br w:type="page"/>
      </w:r>
    </w:p>
    <w:p w:rsidR="006326C2" w:rsidRPr="00AC2730" w:rsidRDefault="004A0710" w:rsidP="00740F4C">
      <w:pPr>
        <w:pStyle w:val="RecNo"/>
        <w:jc w:val="left"/>
        <w:rPr>
          <w:bCs/>
          <w:szCs w:val="36"/>
          <w:lang w:eastAsia="zh-CN"/>
        </w:rPr>
      </w:pPr>
      <w:r>
        <w:rPr>
          <w:rFonts w:hint="cs"/>
          <w:b w:val="0"/>
          <w:bCs/>
          <w:rtl/>
          <w:lang w:bidi="ar-EG"/>
        </w:rPr>
        <w:lastRenderedPageBreak/>
        <w:t xml:space="preserve">مشروع </w:t>
      </w:r>
      <w:r w:rsidR="006326C2">
        <w:rPr>
          <w:b w:val="0"/>
          <w:bCs/>
          <w:rtl/>
          <w:lang w:bidi="ar-EG"/>
        </w:rPr>
        <w:t>التوصية</w:t>
      </w:r>
      <w:r w:rsidR="006326C2">
        <w:rPr>
          <w:b w:val="0"/>
          <w:bCs/>
          <w:rtl/>
          <w:lang w:bidi="ar-SY"/>
        </w:rPr>
        <w:t xml:space="preserve"> </w:t>
      </w:r>
      <w:r w:rsidR="006326C2">
        <w:rPr>
          <w:b w:val="0"/>
          <w:bCs/>
          <w:lang w:bidi="ar-SY"/>
        </w:rPr>
        <w:t>ITU-T</w:t>
      </w:r>
      <w:r w:rsidR="00740F4C">
        <w:rPr>
          <w:b w:val="0"/>
          <w:bCs/>
          <w:lang w:bidi="ar-SY"/>
        </w:rPr>
        <w:t> </w:t>
      </w:r>
      <w:r w:rsidR="006326C2">
        <w:rPr>
          <w:b w:val="0"/>
          <w:bCs/>
          <w:lang w:bidi="ar-SY"/>
        </w:rPr>
        <w:t>D.97</w:t>
      </w:r>
    </w:p>
    <w:p w:rsidR="006326C2" w:rsidRDefault="006326C2" w:rsidP="006326C2">
      <w:pPr>
        <w:pStyle w:val="Rectitle"/>
        <w:rPr>
          <w:rtl/>
        </w:rPr>
      </w:pPr>
      <w:r>
        <w:rPr>
          <w:rtl/>
        </w:rPr>
        <w:t xml:space="preserve">المبادئ المنهجية لتحديد </w:t>
      </w:r>
      <w:r>
        <w:rPr>
          <w:rtl/>
          <w:lang w:bidi="ar-EG"/>
        </w:rPr>
        <w:t>رسوم التجوال الدولي المتنقل</w:t>
      </w:r>
    </w:p>
    <w:p w:rsidR="006326C2" w:rsidRDefault="006326C2" w:rsidP="006326C2">
      <w:pPr>
        <w:pStyle w:val="Heading1"/>
        <w:rPr>
          <w:rtl/>
        </w:rPr>
      </w:pPr>
      <w:bookmarkStart w:id="2" w:name="_Toc448847222"/>
      <w:r>
        <w:rPr>
          <w:lang w:bidi="ar-SY"/>
        </w:rPr>
        <w:t>1</w:t>
      </w:r>
      <w:r>
        <w:rPr>
          <w:lang w:bidi="ar-SY"/>
        </w:rPr>
        <w:tab/>
      </w:r>
      <w:r>
        <w:rPr>
          <w:rtl/>
        </w:rPr>
        <w:t>مجال التطبيق</w:t>
      </w:r>
      <w:bookmarkEnd w:id="2"/>
    </w:p>
    <w:p w:rsidR="006326C2" w:rsidRDefault="006326C2" w:rsidP="006326C2">
      <w:pPr>
        <w:rPr>
          <w:rtl/>
          <w:lang w:bidi="ar-EG"/>
        </w:rPr>
      </w:pPr>
      <w:r>
        <w:rPr>
          <w:rtl/>
          <w:lang w:bidi="ar-EG"/>
        </w:rPr>
        <w:t>تستند التوصية الحالية إلى النجاح في تطبيق التوصية </w:t>
      </w:r>
      <w:r>
        <w:rPr>
          <w:lang w:bidi="ar-SY"/>
        </w:rPr>
        <w:t>ITU</w:t>
      </w:r>
      <w:r>
        <w:rPr>
          <w:lang w:bidi="ar-SY"/>
        </w:rPr>
        <w:noBreakHyphen/>
        <w:t>T D.98</w:t>
      </w:r>
      <w:r>
        <w:rPr>
          <w:rtl/>
          <w:lang w:bidi="ar-EG"/>
        </w:rPr>
        <w:t>، ويُقترح في إطارها منحى يمكن اتّباعه لتقليص أسعار التجوال، ولا سيما حيث تكون هذه الأسعار مفرطة، وذلك لصالح المستهلكين من المستعملين النهائيين والصناعة والاقتصاد. وعند استعراض أسعار التجوال الدولي المتنقل، ينبغي للدول الأعضاء أن تأخذ في الحسبان خدمات التجوال الدولي المتنقل بما فيها الخدمات الصوتية وخدمات الرسائل القصيرة وخدمات البيانات.</w:t>
      </w:r>
    </w:p>
    <w:p w:rsidR="006326C2" w:rsidRDefault="006326C2" w:rsidP="006326C2">
      <w:pPr>
        <w:pStyle w:val="Heading1"/>
        <w:rPr>
          <w:rtl/>
        </w:rPr>
      </w:pPr>
      <w:bookmarkStart w:id="3" w:name="_Toc448847223"/>
      <w:bookmarkStart w:id="4" w:name="_Toc442966536"/>
      <w:r>
        <w:rPr>
          <w:lang w:bidi="ar-SY"/>
        </w:rPr>
        <w:t>2</w:t>
      </w:r>
      <w:r>
        <w:rPr>
          <w:lang w:bidi="ar-SY"/>
        </w:rPr>
        <w:tab/>
      </w:r>
      <w:r>
        <w:rPr>
          <w:rtl/>
        </w:rPr>
        <w:t>المراجع</w:t>
      </w:r>
      <w:bookmarkEnd w:id="3"/>
      <w:bookmarkEnd w:id="4"/>
    </w:p>
    <w:p w:rsidR="006326C2" w:rsidRDefault="006326C2" w:rsidP="006326C2">
      <w:pPr>
        <w:rPr>
          <w:rtl/>
          <w:lang w:bidi="ar-EG"/>
        </w:rPr>
      </w:pPr>
      <w:r>
        <w:rPr>
          <w:rtl/>
          <w:lang w:bidi="ar-EG"/>
        </w:rPr>
        <w:t>يتضمن ما يلي من توصيات قطاع تقييس الاتصالات في الاتحاد الدولي للاتصالات وغيرها من المراجع أحكاماً تندرج، من خلال الإحالة إليها في النص الحالي، في عِداد أحكام التوصية الحالية. وعند نشر التوصية الحالية كانت الطبعات المذكورة من المراجع المعنية سارية المفعول. لكن لـمّا كانت جميع التوصيات وغيرها من المراجع تخضع لعمليات مراجعة فيوصى بأن يدرس من يطبِّقون التوصية الحالية إمكانية تطبيق أحدث طبعة من التوصيات وسائر المراجع المذكورة أدناه. وتُنشر بانتظام قائمة بتوصيات قطاع تقييس الاتصالات السارية. والإشارة إلى وثيقة ما في هذه التوصية، لا يضفي على الوثيقة في حد ذاتها صفة التوصية.</w:t>
      </w:r>
    </w:p>
    <w:p w:rsidR="006326C2" w:rsidRDefault="006326C2" w:rsidP="008F719F">
      <w:pPr>
        <w:tabs>
          <w:tab w:val="left" w:pos="1701"/>
        </w:tabs>
        <w:ind w:left="2160" w:hanging="2160"/>
        <w:rPr>
          <w:rtl/>
          <w:lang w:bidi="ar-EG"/>
        </w:rPr>
      </w:pPr>
      <w:r>
        <w:rPr>
          <w:lang w:bidi="ar-SY"/>
        </w:rPr>
        <w:t>[ITU</w:t>
      </w:r>
      <w:r>
        <w:rPr>
          <w:lang w:bidi="ar-SY"/>
        </w:rPr>
        <w:noBreakHyphen/>
        <w:t>T D.93]</w:t>
      </w:r>
      <w:r>
        <w:rPr>
          <w:rtl/>
        </w:rPr>
        <w:tab/>
        <w:t>-</w:t>
      </w:r>
      <w:r>
        <w:rPr>
          <w:rtl/>
          <w:lang w:bidi="ar-EG"/>
        </w:rPr>
        <w:tab/>
        <w:t>التوصية </w:t>
      </w:r>
      <w:r>
        <w:rPr>
          <w:lang w:bidi="ar-SY"/>
        </w:rPr>
        <w:t>(2008) ITU</w:t>
      </w:r>
      <w:r>
        <w:rPr>
          <w:lang w:bidi="ar-SY"/>
        </w:rPr>
        <w:noBreakHyphen/>
        <w:t>T D.93</w:t>
      </w:r>
      <w:r>
        <w:rPr>
          <w:rtl/>
          <w:lang w:bidi="ar-EG"/>
        </w:rPr>
        <w:t xml:space="preserve">، </w:t>
      </w:r>
      <w:r>
        <w:rPr>
          <w:i/>
          <w:iCs/>
          <w:rtl/>
          <w:lang w:bidi="ar-EG"/>
        </w:rPr>
        <w:t>الترسيم والمحاسبة في الخدمة الهاتفية المتنقلة البرية الدولية (المقدمة عبر الأنظمة الراديوية الخلوية)</w:t>
      </w:r>
      <w:r>
        <w:rPr>
          <w:rtl/>
          <w:lang w:bidi="ar-EG"/>
        </w:rPr>
        <w:t>.</w:t>
      </w:r>
    </w:p>
    <w:p w:rsidR="006326C2" w:rsidRDefault="006326C2" w:rsidP="006326C2">
      <w:pPr>
        <w:tabs>
          <w:tab w:val="left" w:pos="1701"/>
        </w:tabs>
        <w:rPr>
          <w:rtl/>
          <w:lang w:bidi="ar-EG"/>
        </w:rPr>
      </w:pPr>
      <w:r>
        <w:rPr>
          <w:lang w:bidi="ar-SY"/>
        </w:rPr>
        <w:t>[ITU-T D.98]</w:t>
      </w:r>
      <w:r>
        <w:rPr>
          <w:rtl/>
          <w:lang w:bidi="ar-EG"/>
        </w:rPr>
        <w:tab/>
        <w:t>-</w:t>
      </w:r>
      <w:r>
        <w:rPr>
          <w:rtl/>
          <w:lang w:bidi="ar-EG"/>
        </w:rPr>
        <w:tab/>
        <w:t>التوصية </w:t>
      </w:r>
      <w:r>
        <w:rPr>
          <w:lang w:bidi="ar-SY"/>
        </w:rPr>
        <w:t>(2012) ITU</w:t>
      </w:r>
      <w:r>
        <w:rPr>
          <w:lang w:bidi="ar-SY"/>
        </w:rPr>
        <w:noBreakHyphen/>
        <w:t>T D.98</w:t>
      </w:r>
      <w:r>
        <w:rPr>
          <w:rtl/>
          <w:lang w:bidi="ar-EG"/>
        </w:rPr>
        <w:t xml:space="preserve">، </w:t>
      </w:r>
      <w:r>
        <w:rPr>
          <w:i/>
          <w:iCs/>
          <w:rtl/>
          <w:lang w:bidi="ar-EG"/>
        </w:rPr>
        <w:t>الترسيم في خدمة التجوال الدولي المتنقل</w:t>
      </w:r>
      <w:r>
        <w:rPr>
          <w:rtl/>
          <w:lang w:bidi="ar-EG"/>
        </w:rPr>
        <w:t>.</w:t>
      </w:r>
    </w:p>
    <w:p w:rsidR="006326C2" w:rsidRDefault="006326C2" w:rsidP="006326C2">
      <w:pPr>
        <w:tabs>
          <w:tab w:val="left" w:pos="1701"/>
        </w:tabs>
        <w:rPr>
          <w:rtl/>
          <w:lang w:bidi="ar-EG"/>
        </w:rPr>
      </w:pPr>
      <w:r>
        <w:rPr>
          <w:lang w:bidi="ar-SY"/>
        </w:rPr>
        <w:t>[ITU-T D.99]</w:t>
      </w:r>
      <w:r>
        <w:rPr>
          <w:rtl/>
          <w:lang w:bidi="ar-EG"/>
        </w:rPr>
        <w:tab/>
        <w:t>-</w:t>
      </w:r>
      <w:r>
        <w:rPr>
          <w:rtl/>
          <w:lang w:bidi="ar-EG"/>
        </w:rPr>
        <w:tab/>
        <w:t>التوصية </w:t>
      </w:r>
      <w:r>
        <w:rPr>
          <w:lang w:bidi="ar-SY"/>
        </w:rPr>
        <w:t>(2008) ITU</w:t>
      </w:r>
      <w:r>
        <w:rPr>
          <w:lang w:bidi="ar-SY"/>
        </w:rPr>
        <w:noBreakHyphen/>
        <w:t>T D.99</w:t>
      </w:r>
      <w:r>
        <w:rPr>
          <w:rtl/>
          <w:lang w:bidi="ar-EG"/>
        </w:rPr>
        <w:t>،</w:t>
      </w:r>
      <w:r>
        <w:rPr>
          <w:i/>
          <w:iCs/>
          <w:rtl/>
          <w:lang w:bidi="ar-EG"/>
        </w:rPr>
        <w:t xml:space="preserve"> رسم إرشادي لإنهاء الاتصالات الدولية على الشبكات المتنقلة</w:t>
      </w:r>
      <w:r>
        <w:rPr>
          <w:rtl/>
          <w:lang w:bidi="ar-EG"/>
        </w:rPr>
        <w:t>.</w:t>
      </w:r>
    </w:p>
    <w:p w:rsidR="006326C2" w:rsidRDefault="006326C2" w:rsidP="006326C2">
      <w:pPr>
        <w:tabs>
          <w:tab w:val="left" w:pos="1701"/>
        </w:tabs>
        <w:rPr>
          <w:rtl/>
          <w:lang w:bidi="ar-EG"/>
        </w:rPr>
      </w:pPr>
      <w:r>
        <w:rPr>
          <w:lang w:bidi="ar-SY"/>
        </w:rPr>
        <w:t>[ITU-T D.140]</w:t>
      </w:r>
      <w:r>
        <w:rPr>
          <w:rtl/>
          <w:lang w:bidi="ar-EG"/>
        </w:rPr>
        <w:tab/>
        <w:t>-</w:t>
      </w:r>
      <w:r>
        <w:rPr>
          <w:rtl/>
          <w:lang w:bidi="ar-EG"/>
        </w:rPr>
        <w:tab/>
        <w:t>التوصية </w:t>
      </w:r>
      <w:r>
        <w:rPr>
          <w:lang w:bidi="ar-SY"/>
        </w:rPr>
        <w:t>(2002) ITU</w:t>
      </w:r>
      <w:r>
        <w:rPr>
          <w:lang w:bidi="ar-SY"/>
        </w:rPr>
        <w:noBreakHyphen/>
        <w:t>T D.140</w:t>
      </w:r>
      <w:r>
        <w:rPr>
          <w:rtl/>
          <w:lang w:bidi="ar-EG"/>
        </w:rPr>
        <w:t xml:space="preserve">، </w:t>
      </w:r>
      <w:r>
        <w:rPr>
          <w:i/>
          <w:iCs/>
          <w:rtl/>
          <w:lang w:bidi="ar-EG"/>
        </w:rPr>
        <w:t>مبادئ بشأن رسوم المحاسبة للخدمة الهاتفية الدولية</w:t>
      </w:r>
      <w:r>
        <w:rPr>
          <w:rtl/>
          <w:lang w:bidi="ar-EG"/>
        </w:rPr>
        <w:t>.</w:t>
      </w:r>
    </w:p>
    <w:p w:rsidR="006326C2" w:rsidRDefault="006326C2" w:rsidP="006326C2">
      <w:pPr>
        <w:pStyle w:val="Heading1"/>
        <w:rPr>
          <w:rtl/>
        </w:rPr>
      </w:pPr>
      <w:bookmarkStart w:id="5" w:name="_Toc448847224"/>
      <w:bookmarkStart w:id="6" w:name="_Toc442966537"/>
      <w:r>
        <w:rPr>
          <w:lang w:bidi="ar-SY"/>
        </w:rPr>
        <w:t>3</w:t>
      </w:r>
      <w:r>
        <w:rPr>
          <w:lang w:bidi="ar-SY"/>
        </w:rPr>
        <w:tab/>
      </w:r>
      <w:r>
        <w:rPr>
          <w:rtl/>
        </w:rPr>
        <w:t>التعاريف</w:t>
      </w:r>
      <w:bookmarkEnd w:id="5"/>
      <w:bookmarkEnd w:id="6"/>
    </w:p>
    <w:p w:rsidR="006326C2" w:rsidRDefault="006326C2" w:rsidP="006326C2">
      <w:pPr>
        <w:rPr>
          <w:rtl/>
          <w:lang w:bidi="ar-EG"/>
        </w:rPr>
      </w:pPr>
      <w:r>
        <w:rPr>
          <w:rtl/>
          <w:lang w:bidi="ar-EG"/>
        </w:rPr>
        <w:t xml:space="preserve">التجوال الدولي المتنقل </w:t>
      </w:r>
      <w:r>
        <w:rPr>
          <w:lang w:bidi="ar-SY"/>
        </w:rPr>
        <w:t>(IMR)</w:t>
      </w:r>
      <w:r>
        <w:rPr>
          <w:rtl/>
          <w:lang w:bidi="ar-EG"/>
        </w:rPr>
        <w:t xml:space="preserve"> هو خدمة (من الخدمات الصوتية وخدمات الرسائل القصيرة/الرسائل المتعددة الوسائط وخدمات البيانات) يشتريها مشترك في الخدمات التي تقدَّم لقاء رسوم مسبقة الدفع أو لاحقة الدفع من مشغِّل خدمات متنقلة في بلده الأصلي، يسمّى "المشغِّل الأصلي". وتتيح هذه الخدمة للمشترك فرصة مريحة من أجل مواصلة استعمال رقم هاتفه المتنقل الوطني والنفاذ به إلى الخدمات الصوتية </w:t>
      </w:r>
      <w:r>
        <w:rPr>
          <w:lang w:bidi="ar-SY"/>
        </w:rPr>
        <w:t>(SMS)</w:t>
      </w:r>
      <w:r>
        <w:rPr>
          <w:rtl/>
          <w:lang w:bidi="ar-EG"/>
        </w:rPr>
        <w:t xml:space="preserve"> </w:t>
      </w:r>
      <w:r>
        <w:rPr>
          <w:rFonts w:hint="cs"/>
          <w:rtl/>
          <w:lang w:bidi="ar-EG"/>
        </w:rPr>
        <w:t>وخدمات الرسائل القصيرة وخدمات البيانات خلال زيارته لبلد آخر من خلال النفاذ إلى شبكة مشغِّل خدمة متنقلة في البلد المزُور، يسمّى "المشغل المزور" - حيث يتولى المشغل الأصلي جميع</w:t>
      </w:r>
      <w:r>
        <w:rPr>
          <w:rFonts w:hint="cs"/>
          <w:lang w:bidi="ar-EG"/>
        </w:rPr>
        <w:t xml:space="preserve"> </w:t>
      </w:r>
      <w:r>
        <w:rPr>
          <w:rtl/>
          <w:lang w:bidi="ar-EG"/>
        </w:rPr>
        <w:t>الترتيبات.</w:t>
      </w:r>
    </w:p>
    <w:p w:rsidR="006326C2" w:rsidRDefault="006326C2" w:rsidP="006326C2">
      <w:pPr>
        <w:rPr>
          <w:rtl/>
          <w:lang w:bidi="ar-EG"/>
        </w:rPr>
      </w:pPr>
      <w:r>
        <w:rPr>
          <w:rtl/>
          <w:lang w:bidi="ar-EG"/>
        </w:rPr>
        <w:t>وتعريفات الجملة والتجزئة للتجوال الدولي المتنقل هي الأسعار التي تُدفع مقابل توفير خدماته، حيث:</w:t>
      </w:r>
    </w:p>
    <w:p w:rsidR="006326C2" w:rsidRDefault="006326C2" w:rsidP="006326C2">
      <w:pPr>
        <w:pStyle w:val="enumlev10"/>
        <w:rPr>
          <w:rtl/>
        </w:rPr>
      </w:pPr>
      <w:r>
        <w:rPr>
          <w:rtl/>
        </w:rPr>
        <w:t xml:space="preserve"> </w:t>
      </w:r>
      <w:bookmarkStart w:id="7" w:name="_Toc442966538"/>
      <w:r>
        <w:rPr>
          <w:rtl/>
        </w:rPr>
        <w:t>أ )</w:t>
      </w:r>
      <w:r>
        <w:rPr>
          <w:rtl/>
        </w:rPr>
        <w:tab/>
        <w:t>تعريفات الجملة للتجوال الدولي المتنقل هي الأسعار التي يحصِّلها المشغِّل المزُور من المشغِّل الأصلي لقاء إتاحة المشغل المزور استعمال شبكته لمشتركي المشغِّل الأصلي (وتسمى أحياناً تعريفات مطبقة فيما بين المشغلين </w:t>
      </w:r>
      <w:r>
        <w:t>(IOT)</w:t>
      </w:r>
      <w:r>
        <w:rPr>
          <w:rtl/>
        </w:rPr>
        <w:t>)؛</w:t>
      </w:r>
      <w:bookmarkEnd w:id="7"/>
    </w:p>
    <w:p w:rsidR="006326C2" w:rsidRDefault="006326C2" w:rsidP="006326C2">
      <w:pPr>
        <w:pStyle w:val="enumlev10"/>
        <w:rPr>
          <w:rtl/>
        </w:rPr>
      </w:pPr>
      <w:bookmarkStart w:id="8" w:name="_Toc442966539"/>
      <w:r>
        <w:rPr>
          <w:rtl/>
        </w:rPr>
        <w:t>ب)</w:t>
      </w:r>
      <w:r>
        <w:rPr>
          <w:rtl/>
        </w:rPr>
        <w:tab/>
        <w:t>تعريفات التجزئة للتجوال الدولي المتنقل هي الأسعار التي يحصِّلها المشغِّل الأصلي من مشتركيه لقاء استعمال خدمات التجوال الدولي المتنقل.</w:t>
      </w:r>
      <w:bookmarkEnd w:id="8"/>
    </w:p>
    <w:p w:rsidR="006326C2" w:rsidRDefault="006326C2" w:rsidP="006326C2">
      <w:pPr>
        <w:pStyle w:val="Heading1"/>
        <w:rPr>
          <w:rtl/>
        </w:rPr>
      </w:pPr>
      <w:bookmarkStart w:id="9" w:name="_Toc448847225"/>
      <w:bookmarkStart w:id="10" w:name="_Toc442966540"/>
      <w:r>
        <w:rPr>
          <w:lang w:bidi="ar-SY"/>
        </w:rPr>
        <w:lastRenderedPageBreak/>
        <w:t>4</w:t>
      </w:r>
      <w:r>
        <w:rPr>
          <w:lang w:bidi="ar-SY"/>
        </w:rPr>
        <w:tab/>
      </w:r>
      <w:r>
        <w:rPr>
          <w:rtl/>
        </w:rPr>
        <w:t>المختصرات والأسماء المختصرة</w:t>
      </w:r>
      <w:bookmarkEnd w:id="9"/>
      <w:bookmarkEnd w:id="10"/>
    </w:p>
    <w:p w:rsidR="006326C2" w:rsidRDefault="006326C2" w:rsidP="006326C2">
      <w:pPr>
        <w:rPr>
          <w:rtl/>
          <w:lang w:bidi="ar-SY"/>
        </w:rPr>
      </w:pPr>
      <w:r>
        <w:rPr>
          <w:lang w:bidi="ar-SY"/>
        </w:rPr>
        <w:t>CDR</w:t>
      </w:r>
      <w:r>
        <w:rPr>
          <w:rtl/>
          <w:lang w:bidi="ar-EG"/>
        </w:rPr>
        <w:tab/>
      </w:r>
      <w:r>
        <w:rPr>
          <w:rtl/>
        </w:rPr>
        <w:t xml:space="preserve">سجلات تفاصيل النداءات </w:t>
      </w:r>
      <w:r>
        <w:rPr>
          <w:i/>
          <w:iCs/>
          <w:lang w:bidi="ar-SY"/>
        </w:rPr>
        <w:t>(Call Detail Records)</w:t>
      </w:r>
    </w:p>
    <w:p w:rsidR="006326C2" w:rsidRDefault="006326C2" w:rsidP="006326C2">
      <w:pPr>
        <w:rPr>
          <w:lang w:bidi="ar-EG"/>
        </w:rPr>
      </w:pPr>
      <w:r>
        <w:rPr>
          <w:lang w:val="fr-FR" w:bidi="ar-SY"/>
        </w:rPr>
        <w:t>IMR</w:t>
      </w:r>
      <w:r>
        <w:rPr>
          <w:rtl/>
          <w:lang w:bidi="ar-EG"/>
        </w:rPr>
        <w:tab/>
        <w:t xml:space="preserve">التجوال الدولي المتنقل </w:t>
      </w:r>
      <w:r>
        <w:rPr>
          <w:i/>
          <w:iCs/>
          <w:lang w:bidi="ar-SY"/>
        </w:rPr>
        <w:t>(International Mobile Roaming)</w:t>
      </w:r>
    </w:p>
    <w:p w:rsidR="006326C2" w:rsidRDefault="006326C2" w:rsidP="006326C2">
      <w:pPr>
        <w:rPr>
          <w:rtl/>
          <w:lang w:bidi="ar-EG"/>
        </w:rPr>
      </w:pPr>
      <w:r>
        <w:rPr>
          <w:lang w:val="fr-FR" w:bidi="ar-SY"/>
        </w:rPr>
        <w:t>IOT</w:t>
      </w:r>
      <w:r>
        <w:rPr>
          <w:rtl/>
          <w:lang w:bidi="ar-EG"/>
        </w:rPr>
        <w:tab/>
        <w:t xml:space="preserve">التعريفات المطبَّقة فيما بين المشغِّلين </w:t>
      </w:r>
      <w:r>
        <w:rPr>
          <w:i/>
          <w:iCs/>
          <w:lang w:bidi="ar-SY"/>
        </w:rPr>
        <w:t>(Inter Operator Tariffs)</w:t>
      </w:r>
    </w:p>
    <w:p w:rsidR="006326C2" w:rsidRDefault="006326C2" w:rsidP="006326C2">
      <w:pPr>
        <w:rPr>
          <w:rtl/>
          <w:lang w:bidi="ar-EG"/>
        </w:rPr>
      </w:pPr>
      <w:r>
        <w:rPr>
          <w:lang w:bidi="ar-SY"/>
        </w:rPr>
        <w:t>MMS</w:t>
      </w:r>
      <w:r>
        <w:rPr>
          <w:rtl/>
          <w:lang w:bidi="ar-EG"/>
        </w:rPr>
        <w:tab/>
        <w:t xml:space="preserve">خدمة الرسائل متعددة الوسائط </w:t>
      </w:r>
      <w:r>
        <w:rPr>
          <w:i/>
          <w:iCs/>
          <w:lang w:bidi="ar-SY"/>
        </w:rPr>
        <w:t>(Multimedia Messaging Service)</w:t>
      </w:r>
    </w:p>
    <w:p w:rsidR="006326C2" w:rsidRDefault="006326C2" w:rsidP="006326C2">
      <w:pPr>
        <w:rPr>
          <w:rtl/>
          <w:lang w:bidi="ar-EG"/>
        </w:rPr>
      </w:pPr>
      <w:r>
        <w:rPr>
          <w:lang w:bidi="ar-SY"/>
        </w:rPr>
        <w:t>SMS</w:t>
      </w:r>
      <w:r>
        <w:rPr>
          <w:rtl/>
          <w:lang w:bidi="ar-EG"/>
        </w:rPr>
        <w:tab/>
      </w:r>
      <w:r>
        <w:rPr>
          <w:rtl/>
        </w:rPr>
        <w:t xml:space="preserve">خدمة الرسائل القصيرة </w:t>
      </w:r>
      <w:r>
        <w:rPr>
          <w:i/>
          <w:iCs/>
          <w:lang w:bidi="ar-SY"/>
        </w:rPr>
        <w:t>(Short Message Service)</w:t>
      </w:r>
    </w:p>
    <w:p w:rsidR="006326C2" w:rsidRDefault="006326C2" w:rsidP="006326C2">
      <w:pPr>
        <w:rPr>
          <w:rtl/>
          <w:lang w:bidi="ar-SY"/>
        </w:rPr>
      </w:pPr>
      <w:r>
        <w:rPr>
          <w:lang w:bidi="ar-SY"/>
        </w:rPr>
        <w:t>NRA</w:t>
      </w:r>
      <w:r>
        <w:rPr>
          <w:rtl/>
          <w:lang w:bidi="ar-EG"/>
        </w:rPr>
        <w:tab/>
      </w:r>
      <w:r>
        <w:rPr>
          <w:rtl/>
        </w:rPr>
        <w:t xml:space="preserve">هيئات التنظيم الوطنية </w:t>
      </w:r>
      <w:r>
        <w:rPr>
          <w:i/>
          <w:iCs/>
          <w:lang w:bidi="ar-SY"/>
        </w:rPr>
        <w:t>(National Regulatory Authorities)</w:t>
      </w:r>
    </w:p>
    <w:p w:rsidR="006326C2" w:rsidRDefault="006326C2" w:rsidP="006326C2">
      <w:pPr>
        <w:pStyle w:val="Heading1"/>
      </w:pPr>
      <w:bookmarkStart w:id="11" w:name="_Toc448847226"/>
      <w:bookmarkStart w:id="12" w:name="_Toc442966541"/>
      <w:r>
        <w:rPr>
          <w:lang w:bidi="ar-SY"/>
        </w:rPr>
        <w:t>5</w:t>
      </w:r>
      <w:r>
        <w:rPr>
          <w:lang w:bidi="ar-SY"/>
        </w:rPr>
        <w:tab/>
      </w:r>
      <w:r>
        <w:rPr>
          <w:rtl/>
          <w:lang w:bidi="ar-SY"/>
        </w:rPr>
        <w:t>الإجراءات التنظيمية المناسبة</w:t>
      </w:r>
      <w:bookmarkEnd w:id="11"/>
      <w:bookmarkEnd w:id="12"/>
    </w:p>
    <w:p w:rsidR="006326C2" w:rsidRDefault="006326C2" w:rsidP="006326C2">
      <w:pPr>
        <w:rPr>
          <w:rtl/>
          <w:lang w:bidi="ar-SY"/>
        </w:rPr>
      </w:pPr>
      <w:r w:rsidRPr="00702D87">
        <w:rPr>
          <w:b/>
          <w:bCs/>
          <w:lang w:bidi="ar-SY"/>
        </w:rPr>
        <w:t>1.5</w:t>
      </w:r>
      <w:r>
        <w:rPr>
          <w:rtl/>
          <w:lang w:bidi="ar-SY"/>
        </w:rPr>
        <w:tab/>
        <w:t>طبقاً لشروط التوصية </w:t>
      </w:r>
      <w:r>
        <w:rPr>
          <w:lang w:bidi="ar-SY"/>
        </w:rPr>
        <w:t>D.98</w:t>
      </w:r>
      <w:r>
        <w:rPr>
          <w:rtl/>
          <w:lang w:bidi="ar-SY"/>
        </w:rPr>
        <w:t>، يمكن لهيئات التنظيم وواضعي السياسات، مع مراعاة الظروف الوطنية أو الإقليمية المحددة، أن تقوم بتدخلات تنظيمية بشأن تعريفات خدمات التجوال الدولي المتنقل لصالح المستعملين عن طريق تشجيع المنافسة لتحقيق فوائد للمستهلكين من المستعملين النهائيين، خاصةً ميسورية الأسعار والتيسر وزيادة الخدمات.</w:t>
      </w:r>
    </w:p>
    <w:p w:rsidR="006326C2" w:rsidRDefault="006326C2" w:rsidP="006326C2">
      <w:pPr>
        <w:rPr>
          <w:rtl/>
          <w:lang w:bidi="ar-SY"/>
        </w:rPr>
      </w:pPr>
      <w:r w:rsidRPr="00702D87">
        <w:rPr>
          <w:b/>
          <w:bCs/>
          <w:lang w:bidi="ar-SY"/>
        </w:rPr>
        <w:t>2.5</w:t>
      </w:r>
      <w:r>
        <w:rPr>
          <w:rtl/>
          <w:lang w:bidi="ar-SY"/>
        </w:rPr>
        <w:tab/>
        <w:t>عندما تكون الحلول القائمة على السوق وتوعية المستهلك غير كافية لتخفيض رسوم التجوال الدولي، ينبغي للدول الأعضاء، حسب الاقتضاء، أن تضطلع بدور فعّال من أجل تحديد رسوم تنافسية وميسورة للتجوال.</w:t>
      </w:r>
    </w:p>
    <w:p w:rsidR="006326C2" w:rsidRDefault="006326C2" w:rsidP="006326C2">
      <w:pPr>
        <w:rPr>
          <w:rtl/>
          <w:lang w:bidi="ar-SY"/>
        </w:rPr>
      </w:pPr>
      <w:r w:rsidRPr="00702D87">
        <w:rPr>
          <w:b/>
          <w:bCs/>
          <w:lang w:bidi="ar-SY"/>
        </w:rPr>
        <w:t>3.5</w:t>
      </w:r>
      <w:r>
        <w:rPr>
          <w:rtl/>
          <w:lang w:bidi="ar-SY"/>
        </w:rPr>
        <w:tab/>
        <w:t>ينبغي للدول الأعضاء، حسب الاقتضاء، تمكين هيئات التنظيم من اتخاذ تدابير أو القيام بتدخلات تنظيمية تناسبية بشأن تعريفات خدمات التجوال الدولي المتنقل لصالح المستهلكين من المستعملين النهائيين. ويمكن لذلك أن يشمل، على سبيل الذكر وليس الحصر، تحديد أسقف للتعريفات.</w:t>
      </w:r>
    </w:p>
    <w:p w:rsidR="006326C2" w:rsidRDefault="006326C2" w:rsidP="006326C2">
      <w:pPr>
        <w:rPr>
          <w:rtl/>
          <w:lang w:bidi="ar-SY"/>
        </w:rPr>
      </w:pPr>
      <w:r w:rsidRPr="00702D87">
        <w:rPr>
          <w:b/>
          <w:bCs/>
          <w:lang w:bidi="ar-SY"/>
        </w:rPr>
        <w:t>4.5</w:t>
      </w:r>
      <w:r>
        <w:rPr>
          <w:rtl/>
          <w:lang w:bidi="ar-SY"/>
        </w:rPr>
        <w:tab/>
        <w:t>نظراً للطابع الخاص جداً لخدمة التجوال الدولي المتنقل، ينبغي للجهود التي تبذلها الدول الأعضاء لتحديد أسعار هذه الخدمة أن تكون أ) متعددة الأطراف؛ ب) ثنائية؛ أو ج) إقليمية.</w:t>
      </w:r>
    </w:p>
    <w:p w:rsidR="006326C2" w:rsidRDefault="006326C2" w:rsidP="006326C2">
      <w:pPr>
        <w:rPr>
          <w:rtl/>
          <w:lang w:bidi="ar-SY"/>
        </w:rPr>
      </w:pPr>
      <w:r w:rsidRPr="00702D87">
        <w:rPr>
          <w:b/>
          <w:bCs/>
          <w:lang w:bidi="ar-SY"/>
        </w:rPr>
        <w:t>5.5</w:t>
      </w:r>
      <w:r>
        <w:rPr>
          <w:rtl/>
          <w:lang w:bidi="ar-SY"/>
        </w:rPr>
        <w:tab/>
        <w:t>ولتحقيق نتائج بهذا الشأن، ينبغي أن تكفل الدول الأعضاء تمتع الهيئات التنظيمية الوطنية </w:t>
      </w:r>
      <w:r>
        <w:rPr>
          <w:lang w:bidi="ar-SY"/>
        </w:rPr>
        <w:t>(NRA)</w:t>
      </w:r>
      <w:r>
        <w:rPr>
          <w:rtl/>
          <w:lang w:bidi="ar-SY"/>
        </w:rPr>
        <w:t xml:space="preserve"> بالولاية اللازمة للحصول على بيانات التجوال ذات الصلة من المشغلين المحليين (مثل أسعار البيع بالجملة والتجزئة) من أجل توفير خدمات تجوال أكثر تنافسيةً وبأسعار أيسر.</w:t>
      </w:r>
    </w:p>
    <w:p w:rsidR="006326C2" w:rsidRDefault="006326C2" w:rsidP="006326C2">
      <w:pPr>
        <w:rPr>
          <w:rtl/>
          <w:lang w:bidi="ar-SY"/>
        </w:rPr>
      </w:pPr>
      <w:r w:rsidRPr="00702D87">
        <w:rPr>
          <w:b/>
          <w:bCs/>
          <w:lang w:bidi="ar-SY"/>
        </w:rPr>
        <w:t>6.5</w:t>
      </w:r>
      <w:r>
        <w:rPr>
          <w:rtl/>
          <w:lang w:bidi="ar-SY"/>
        </w:rPr>
        <w:tab/>
        <w:t>إذا رؤي أن من المناسب التدخل، سواء كان متعدد الأطراف أو ثنائياً أو إقليمياً، ينبغي لهيئات التنظيم وواضعي السياسات، حسب الاقتضاء، كفالة تزامن تنفيذ الترتيبات بحيث لا ينشأ خلل بين البلدان المتفقة على التدابير.</w:t>
      </w:r>
    </w:p>
    <w:p w:rsidR="006326C2" w:rsidRDefault="006326C2" w:rsidP="006326C2">
      <w:pPr>
        <w:rPr>
          <w:rtl/>
          <w:lang w:bidi="ar-SY"/>
        </w:rPr>
      </w:pPr>
      <w:r w:rsidRPr="00702D87">
        <w:rPr>
          <w:b/>
          <w:bCs/>
          <w:lang w:bidi="ar-SY"/>
        </w:rPr>
        <w:t>7.5</w:t>
      </w:r>
      <w:r>
        <w:rPr>
          <w:rtl/>
          <w:lang w:bidi="ar-SY"/>
        </w:rPr>
        <w:tab/>
        <w:t>وبالنظر إلى أن سوق الاتصالات الدولية التنافسية لا يمكن وجودها ما دامت هناك اختلافات كبيرة بين الأسعار المحلية والأسعار الدولية للتجوال المتنقل، فمن الضروري أن يكون الهدف هو تقليص الاختلافات بين التعريفات المحلية والتعريفات الدولية للتجوال المتنقل. ومع ذلك، ينبغي الاعتراف في الوقت نفسه باحتمال وجود اختلافات نظراً إلى التفاوتات ف</w:t>
      </w:r>
      <w:r>
        <w:rPr>
          <w:rtl/>
        </w:rPr>
        <w:t>ي</w:t>
      </w:r>
      <w:r>
        <w:rPr>
          <w:rtl/>
          <w:lang w:bidi="ar-SY"/>
        </w:rPr>
        <w:t> التكاليف بين البلدان والمناطق.</w:t>
      </w:r>
    </w:p>
    <w:p w:rsidR="006326C2" w:rsidRDefault="006326C2" w:rsidP="006326C2">
      <w:pPr>
        <w:pStyle w:val="Heading1"/>
        <w:rPr>
          <w:rtl/>
          <w:lang w:bidi="ar-SA"/>
        </w:rPr>
      </w:pPr>
      <w:bookmarkStart w:id="13" w:name="_Toc448847227"/>
      <w:bookmarkStart w:id="14" w:name="_Toc442966542"/>
      <w:r>
        <w:rPr>
          <w:lang w:bidi="ar-SY"/>
        </w:rPr>
        <w:t>6</w:t>
      </w:r>
      <w:r>
        <w:rPr>
          <w:rtl/>
        </w:rPr>
        <w:tab/>
        <w:t>المبادئ المنهجية لتحديد أسعار التجوال الدولي المتنقل</w:t>
      </w:r>
      <w:bookmarkEnd w:id="13"/>
      <w:bookmarkEnd w:id="14"/>
    </w:p>
    <w:p w:rsidR="006326C2" w:rsidRDefault="006326C2" w:rsidP="006326C2">
      <w:pPr>
        <w:rPr>
          <w:rtl/>
          <w:lang w:bidi="ar-EG"/>
        </w:rPr>
      </w:pPr>
      <w:r w:rsidRPr="0008630D">
        <w:rPr>
          <w:b/>
          <w:bCs/>
          <w:lang w:bidi="ar-SY"/>
        </w:rPr>
        <w:t>1.6</w:t>
      </w:r>
      <w:r>
        <w:rPr>
          <w:lang w:bidi="ar-SY"/>
        </w:rPr>
        <w:tab/>
      </w:r>
      <w:r>
        <w:rPr>
          <w:rtl/>
          <w:lang w:bidi="ar-EG"/>
        </w:rPr>
        <w:t>يمكن عند تنظيم أسعار التجوال الدولي المتنقل بالتجزئة أو الجملة اتّباع أحد المبادئ الواردة أدناه:</w:t>
      </w:r>
    </w:p>
    <w:p w:rsidR="006326C2" w:rsidRDefault="0008630D" w:rsidP="0008630D">
      <w:pPr>
        <w:pStyle w:val="enumlev10"/>
        <w:rPr>
          <w:rtl/>
        </w:rPr>
      </w:pPr>
      <w:bookmarkStart w:id="15" w:name="_Toc442966543"/>
      <w:r>
        <w:rPr>
          <w:rFonts w:hint="cs"/>
          <w:rtl/>
        </w:rPr>
        <w:t> </w:t>
      </w:r>
      <w:r w:rsidR="006326C2">
        <w:rPr>
          <w:rtl/>
        </w:rPr>
        <w:t>أ</w:t>
      </w:r>
      <w:r>
        <w:rPr>
          <w:rFonts w:hint="eastAsia"/>
          <w:rtl/>
        </w:rPr>
        <w:t> </w:t>
      </w:r>
      <w:r w:rsidR="006326C2">
        <w:rPr>
          <w:rtl/>
        </w:rPr>
        <w:t>)</w:t>
      </w:r>
      <w:r w:rsidR="006326C2">
        <w:rPr>
          <w:b/>
          <w:bCs/>
          <w:rtl/>
        </w:rPr>
        <w:tab/>
        <w:t>مقارنة مرجعية</w:t>
      </w:r>
      <w:r w:rsidR="006326C2">
        <w:rPr>
          <w:rtl/>
        </w:rPr>
        <w:t>: بالاستناد إلى المقارنة بين أسعار التجزئة أو تكاليف/رسوم الجملة مع مراعاة أفضل الممارسات والتجارب الدولية (حيثما تتوفر هذه المقارنات المرجعية)؛</w:t>
      </w:r>
      <w:bookmarkEnd w:id="15"/>
    </w:p>
    <w:p w:rsidR="006326C2" w:rsidRDefault="006326C2" w:rsidP="006326C2">
      <w:pPr>
        <w:pStyle w:val="enumlev10"/>
        <w:rPr>
          <w:rtl/>
        </w:rPr>
      </w:pPr>
      <w:bookmarkStart w:id="16" w:name="_Toc442966544"/>
      <w:r>
        <w:rPr>
          <w:rtl/>
        </w:rPr>
        <w:lastRenderedPageBreak/>
        <w:t>ب)</w:t>
      </w:r>
      <w:r>
        <w:rPr>
          <w:b/>
          <w:bCs/>
          <w:rtl/>
        </w:rPr>
        <w:tab/>
      </w:r>
      <w:r>
        <w:rPr>
          <w:b/>
          <w:bCs/>
          <w:spacing w:val="-2"/>
          <w:rtl/>
        </w:rPr>
        <w:t>طرح سعر التجزئة</w:t>
      </w:r>
      <w:r>
        <w:rPr>
          <w:spacing w:val="-2"/>
          <w:rtl/>
        </w:rPr>
        <w:t>: تُقدر رسوم الجملة للتجوال الدولي المتنقل بالرجوع إلى أسعار التجزئة ذات الصلة، مع طرح نسبة مئوية؛</w:t>
      </w:r>
      <w:bookmarkEnd w:id="16"/>
    </w:p>
    <w:p w:rsidR="006326C2" w:rsidRDefault="006326C2" w:rsidP="006326C2">
      <w:pPr>
        <w:pStyle w:val="enumlev10"/>
      </w:pPr>
      <w:bookmarkStart w:id="17" w:name="_Toc442966545"/>
      <w:r>
        <w:rPr>
          <w:rtl/>
        </w:rPr>
        <w:t>ج)</w:t>
      </w:r>
      <w:r>
        <w:rPr>
          <w:b/>
          <w:bCs/>
          <w:rtl/>
        </w:rPr>
        <w:tab/>
        <w:t>الاستناد إلى التكاليف</w:t>
      </w:r>
      <w:r>
        <w:rPr>
          <w:rtl/>
        </w:rPr>
        <w:t>: تُحسب التكلفة بأسعار الجملة للتجوال الدولي المتنقل من خلال تحديد التكاليف ذات الصلة بتوفير خدمات التجوال الدولي المتنقل، بما في ذلك معدل معقول للعوائد بما يسمح لتشجيع الاستثمار والابتكار. ويجب توخي الحذر لضمان عدم إدراج تكاليف غير حقيقية أو غير مناسبة في</w:t>
      </w:r>
      <w:r>
        <w:rPr>
          <w:rFonts w:hint="cs"/>
        </w:rPr>
        <w:t xml:space="preserve"> </w:t>
      </w:r>
      <w:r>
        <w:rPr>
          <w:rtl/>
        </w:rPr>
        <w:t>هذا</w:t>
      </w:r>
      <w:r>
        <w:rPr>
          <w:rFonts w:hint="cs"/>
        </w:rPr>
        <w:t xml:space="preserve"> </w:t>
      </w:r>
      <w:r>
        <w:rPr>
          <w:rtl/>
        </w:rPr>
        <w:t>التحليل.</w:t>
      </w:r>
      <w:bookmarkEnd w:id="17"/>
    </w:p>
    <w:p w:rsidR="006326C2" w:rsidRDefault="006326C2" w:rsidP="006326C2">
      <w:pPr>
        <w:rPr>
          <w:rtl/>
          <w:lang w:bidi="ar-SY"/>
        </w:rPr>
      </w:pPr>
      <w:r w:rsidRPr="008E1500">
        <w:rPr>
          <w:b/>
          <w:bCs/>
          <w:lang w:bidi="ar-SY"/>
        </w:rPr>
        <w:t>2.6</w:t>
      </w:r>
      <w:r>
        <w:rPr>
          <w:rtl/>
          <w:lang w:bidi="ar-SY"/>
        </w:rPr>
        <w:tab/>
        <w:t>ينبغي احترام سرية الاتفاقات التجارية من خلال أدوات لهيئات التنظيم الوطنية مثل طمس الهوية أو تجميع البيانات.</w:t>
      </w:r>
    </w:p>
    <w:p w:rsidR="006326C2" w:rsidRDefault="006326C2" w:rsidP="006326C2">
      <w:pPr>
        <w:rPr>
          <w:rtl/>
          <w:lang w:bidi="ar-SY"/>
        </w:rPr>
      </w:pPr>
      <w:r w:rsidRPr="008E1500">
        <w:rPr>
          <w:b/>
          <w:bCs/>
          <w:lang w:bidi="ar-SY"/>
        </w:rPr>
        <w:t>3.6</w:t>
      </w:r>
      <w:r>
        <w:rPr>
          <w:rtl/>
          <w:lang w:bidi="ar-SY"/>
        </w:rPr>
        <w:tab/>
        <w:t>وإذا رأت إحدى الدول الأعضاء اتّباع نهج قائم على التكاليف، فإنه ينبغي مراعاة العناصر التالية، على الأقل، عند تقدير أسعار تنافسية وميسورة للتجوال الدولي المتنقل:</w:t>
      </w:r>
    </w:p>
    <w:p w:rsidR="006326C2" w:rsidRDefault="006326C2" w:rsidP="006326C2">
      <w:pPr>
        <w:pStyle w:val="enumlev10"/>
        <w:rPr>
          <w:lang w:val="en-GB"/>
        </w:rPr>
      </w:pPr>
      <w:bookmarkStart w:id="18" w:name="_Toc442966546"/>
      <w:r>
        <w:rPr>
          <w:rtl/>
        </w:rPr>
        <w:t>-</w:t>
      </w:r>
      <w:r>
        <w:rPr>
          <w:rtl/>
        </w:rPr>
        <w:tab/>
        <w:t>التكاليف المحلية للنفاذ وإنشاء الاتصال وإنهائه؛</w:t>
      </w:r>
      <w:bookmarkEnd w:id="18"/>
    </w:p>
    <w:p w:rsidR="006326C2" w:rsidRDefault="006326C2" w:rsidP="006326C2">
      <w:pPr>
        <w:pStyle w:val="enumlev10"/>
      </w:pPr>
      <w:bookmarkStart w:id="19" w:name="_Toc442966547"/>
      <w:r>
        <w:rPr>
          <w:rtl/>
        </w:rPr>
        <w:t>-</w:t>
      </w:r>
      <w:r>
        <w:rPr>
          <w:rtl/>
        </w:rPr>
        <w:tab/>
        <w:t>تكاليف إنهاء الاتصالات الدولية وتكاليف البوابات الدولية؛</w:t>
      </w:r>
      <w:bookmarkEnd w:id="19"/>
    </w:p>
    <w:p w:rsidR="006326C2" w:rsidRDefault="006326C2" w:rsidP="006326C2">
      <w:pPr>
        <w:pStyle w:val="enumlev10"/>
        <w:rPr>
          <w:rtl/>
          <w:lang w:val="en-GB"/>
        </w:rPr>
      </w:pPr>
      <w:bookmarkStart w:id="20" w:name="_Toc442966548"/>
      <w:r>
        <w:rPr>
          <w:rtl/>
        </w:rPr>
        <w:t>-</w:t>
      </w:r>
      <w:r>
        <w:rPr>
          <w:rtl/>
        </w:rPr>
        <w:tab/>
        <w:t>تكاليف النقل المحلي؛</w:t>
      </w:r>
      <w:bookmarkEnd w:id="20"/>
    </w:p>
    <w:p w:rsidR="006326C2" w:rsidRDefault="006326C2" w:rsidP="006326C2">
      <w:pPr>
        <w:pStyle w:val="enumlev10"/>
        <w:rPr>
          <w:lang w:val="en-GB"/>
        </w:rPr>
      </w:pPr>
      <w:bookmarkStart w:id="21" w:name="_Toc442966549"/>
      <w:r>
        <w:rPr>
          <w:rtl/>
        </w:rPr>
        <w:t>-</w:t>
      </w:r>
      <w:r>
        <w:rPr>
          <w:rtl/>
        </w:rPr>
        <w:tab/>
        <w:t>تكاليف النقل الدولي؛</w:t>
      </w:r>
      <w:bookmarkEnd w:id="21"/>
    </w:p>
    <w:p w:rsidR="006326C2" w:rsidRDefault="006326C2" w:rsidP="006326C2">
      <w:pPr>
        <w:pStyle w:val="enumlev10"/>
      </w:pPr>
      <w:bookmarkStart w:id="22" w:name="_Toc442966550"/>
      <w:r>
        <w:rPr>
          <w:rtl/>
        </w:rPr>
        <w:t>-</w:t>
      </w:r>
      <w:r>
        <w:rPr>
          <w:rtl/>
        </w:rPr>
        <w:tab/>
        <w:t>الرسوم الخاصة بالتجوال بما فيها الرسوم الخاصة بإبرام العقود والفوترة والتشوير؛</w:t>
      </w:r>
      <w:bookmarkEnd w:id="22"/>
    </w:p>
    <w:p w:rsidR="006326C2" w:rsidRDefault="006326C2" w:rsidP="006326C2">
      <w:pPr>
        <w:pStyle w:val="enumlev10"/>
        <w:rPr>
          <w:rtl/>
        </w:rPr>
      </w:pPr>
      <w:bookmarkStart w:id="23" w:name="_Toc442966551"/>
      <w:r>
        <w:rPr>
          <w:rtl/>
        </w:rPr>
        <w:t>-</w:t>
      </w:r>
      <w:r>
        <w:rPr>
          <w:rtl/>
        </w:rPr>
        <w:tab/>
        <w:t>الرسوم الخاصة بالبيع بالتجزئة بما فيها تكاليف إعداد الفواتير وتكاليف المعالجة الدولية (بما في ذلك سجلات تفاصيل النداءات </w:t>
      </w:r>
      <w:r>
        <w:rPr>
          <w:lang w:val="en-GB"/>
        </w:rPr>
        <w:t>(CDR)</w:t>
      </w:r>
      <w:r>
        <w:rPr>
          <w:rtl/>
        </w:rPr>
        <w:t xml:space="preserve"> والتعريفات المطبَّقة فيما بين المشغلين </w:t>
      </w:r>
      <w:r>
        <w:rPr>
          <w:lang w:val="en-GB"/>
        </w:rPr>
        <w:t>(IOT)</w:t>
      </w:r>
      <w:r>
        <w:rPr>
          <w:rtl/>
        </w:rPr>
        <w:t>).</w:t>
      </w:r>
      <w:bookmarkEnd w:id="23"/>
    </w:p>
    <w:p w:rsidR="006326C2" w:rsidRDefault="006326C2" w:rsidP="006326C2">
      <w:pPr>
        <w:rPr>
          <w:rtl/>
          <w:lang w:bidi="ar-SY"/>
        </w:rPr>
      </w:pPr>
      <w:r w:rsidRPr="008E1500">
        <w:rPr>
          <w:b/>
          <w:bCs/>
          <w:lang w:bidi="ar-SY"/>
        </w:rPr>
        <w:t>4.6</w:t>
      </w:r>
      <w:r>
        <w:rPr>
          <w:rtl/>
          <w:lang w:bidi="ar-SY"/>
        </w:rPr>
        <w:tab/>
        <w:t>ينبغي النظر في هذه العناصر فيما</w:t>
      </w:r>
      <w:r>
        <w:rPr>
          <w:rFonts w:hint="cs"/>
          <w:lang w:bidi="ar-SY"/>
        </w:rPr>
        <w:t xml:space="preserve"> </w:t>
      </w:r>
      <w:r>
        <w:rPr>
          <w:rtl/>
          <w:lang w:bidi="ar-SY"/>
        </w:rPr>
        <w:t>يتعلق بالخدمات الصوتية وخدمات الرسائل القصيرة وخدمات البيانات للتجوال الدولي المتنقل، وذلك بالنظر إلى الاتجاه العام نحو الاستعمال المتزايد لخدمات</w:t>
      </w:r>
      <w:r>
        <w:rPr>
          <w:rFonts w:hint="cs"/>
          <w:lang w:bidi="ar-SY"/>
        </w:rPr>
        <w:t xml:space="preserve"> </w:t>
      </w:r>
      <w:r>
        <w:rPr>
          <w:rtl/>
          <w:lang w:bidi="ar-SY"/>
        </w:rPr>
        <w:t>الاتصالات.</w:t>
      </w:r>
    </w:p>
    <w:p w:rsidR="006326C2" w:rsidRDefault="006326C2" w:rsidP="006326C2">
      <w:pPr>
        <w:rPr>
          <w:rtl/>
          <w:lang w:bidi="ar-SY"/>
        </w:rPr>
      </w:pPr>
      <w:r w:rsidRPr="008E1500">
        <w:rPr>
          <w:b/>
          <w:bCs/>
          <w:lang w:bidi="ar-SY"/>
        </w:rPr>
        <w:t>5.6</w:t>
      </w:r>
      <w:r>
        <w:rPr>
          <w:rtl/>
          <w:lang w:bidi="ar-SY"/>
        </w:rPr>
        <w:tab/>
        <w:t>ينبغي عند تحليل عناصر التكلفة مراعاة طريقة الدفع المسبق وطريقة الدفع اللاحق.</w:t>
      </w:r>
    </w:p>
    <w:p w:rsidR="006326C2" w:rsidRDefault="006326C2" w:rsidP="006326C2">
      <w:pPr>
        <w:rPr>
          <w:rtl/>
          <w:lang w:bidi="ar-SY"/>
        </w:rPr>
      </w:pPr>
      <w:r w:rsidRPr="008E1500">
        <w:rPr>
          <w:b/>
          <w:bCs/>
          <w:lang w:bidi="ar-SY"/>
        </w:rPr>
        <w:t>6.6</w:t>
      </w:r>
      <w:r>
        <w:rPr>
          <w:rtl/>
          <w:lang w:bidi="ar-SY"/>
        </w:rPr>
        <w:tab/>
        <w:t>تشجع الدول الأعضاء على النظر في عناصر التكلفة هذه عند وضع نماذج مفصلة لتكاليف التجوال بغية الإحاطة بشكل أفضل بالتكلفة الفعلية المترتبة عن تقديم خدمات التجوال الدولي، ويفضل أن يُجرى ذلك على أساس متعدد الجنسيات.</w:t>
      </w:r>
    </w:p>
    <w:p w:rsidR="006326C2" w:rsidRDefault="006326C2" w:rsidP="006326C2">
      <w:pPr>
        <w:rPr>
          <w:rtl/>
          <w:lang w:bidi="ar-SY"/>
        </w:rPr>
      </w:pPr>
      <w:r w:rsidRPr="008E1500">
        <w:rPr>
          <w:b/>
          <w:bCs/>
          <w:lang w:bidi="ar-SY"/>
        </w:rPr>
        <w:t>7.6</w:t>
      </w:r>
      <w:r>
        <w:rPr>
          <w:rtl/>
          <w:lang w:bidi="ar-SY"/>
        </w:rPr>
        <w:tab/>
        <w:t>ينبغي أن يراعى عند وضع أسعار التجوال الدولي المتنقل المستندة إلى التكاليف من أجل تحقيق فوائد للمستهلكين من المستعملين النهائيين لا سيما ميسورية الأسعار والتيسر وزيادة الخدمات، عناصر التكاليف الأساسية ذات الصلة للبيع بالجملة والتجزئة. وتُشجَّع الدول الأعضاء على تحديد أساس هذه التكاليف من خلال التشاور والتعاون مع مشغلي الاتصالات المتنقلة بروح من الشفافية.</w:t>
      </w:r>
    </w:p>
    <w:p w:rsidR="006326C2" w:rsidRDefault="006326C2" w:rsidP="006326C2">
      <w:pPr>
        <w:rPr>
          <w:rtl/>
          <w:lang w:bidi="ar-EG"/>
        </w:rPr>
      </w:pPr>
      <w:r w:rsidRPr="008E1500">
        <w:rPr>
          <w:b/>
          <w:bCs/>
          <w:lang w:bidi="ar-SY"/>
        </w:rPr>
        <w:t>8.6</w:t>
      </w:r>
      <w:r>
        <w:rPr>
          <w:rtl/>
          <w:lang w:bidi="ar-SY"/>
        </w:rPr>
        <w:tab/>
        <w:t>ينبغي للمنظمات الإقليمية أو الاقتصادية أن تراعي، عند تحديد أسعار التجوال الدولي المتنقل، الآثار السلبية لذلك على مناطق أخرى من العالم. وتشجع الدول الأعضاء على تفادي أي تأثيرات عكسية نتيجةً لأي إجراء تنظيمي يتخذ لخفض أسعار التجوال الدولي</w:t>
      </w:r>
      <w:r>
        <w:rPr>
          <w:rFonts w:hint="cs"/>
          <w:lang w:bidi="ar-SY"/>
        </w:rPr>
        <w:t xml:space="preserve"> </w:t>
      </w:r>
      <w:r>
        <w:rPr>
          <w:rtl/>
          <w:lang w:bidi="ar-SY"/>
        </w:rPr>
        <w:t>المتنقل.</w:t>
      </w:r>
    </w:p>
    <w:p w:rsidR="006326C2" w:rsidRDefault="006326C2" w:rsidP="006326C2">
      <w:pPr>
        <w:spacing w:before="600"/>
        <w:jc w:val="center"/>
        <w:rPr>
          <w:rtl/>
          <w:lang w:bidi="ar-EG"/>
        </w:rPr>
      </w:pPr>
      <w:r>
        <w:rPr>
          <w:rtl/>
          <w:lang w:bidi="ar-EG"/>
        </w:rPr>
        <w:t>___________</w:t>
      </w:r>
    </w:p>
    <w:sectPr w:rsidR="006326C2">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5DA" w:rsidRDefault="00C265DA" w:rsidP="00E07379">
      <w:pPr>
        <w:spacing w:before="0" w:line="240" w:lineRule="auto"/>
      </w:pPr>
      <w:r>
        <w:separator/>
      </w:r>
    </w:p>
  </w:endnote>
  <w:endnote w:type="continuationSeparator" w:id="0">
    <w:p w:rsidR="00C265DA" w:rsidRDefault="00C265D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5D6D3E" w:rsidRDefault="005D6D3E" w:rsidP="005D6D3E">
    <w:pPr>
      <w:pStyle w:val="Footer"/>
      <w:rPr>
        <w:lang w:val="fr-CH"/>
      </w:rPr>
    </w:pPr>
    <w:r w:rsidRPr="005D6D3E">
      <w:rPr>
        <w:szCs w:val="12"/>
        <w:lang w:val="fr-CH"/>
      </w:rPr>
      <w:t>ITU-T\CONF-T\WTSA16\000\039A.DOC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5D6D3E" w:rsidRDefault="005D6D3E" w:rsidP="005D6D3E">
    <w:pPr>
      <w:pStyle w:val="Footer"/>
      <w:rPr>
        <w:lang w:val="fr-CH"/>
      </w:rPr>
    </w:pPr>
    <w:r w:rsidRPr="005D6D3E">
      <w:rPr>
        <w:szCs w:val="12"/>
        <w:lang w:val="fr-CH"/>
      </w:rPr>
      <w:t>ITU-T\CONF-T\WTSA16\000\039A.DOC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5DA" w:rsidRDefault="00C265DA" w:rsidP="00E07379">
      <w:pPr>
        <w:spacing w:before="0" w:line="240" w:lineRule="auto"/>
      </w:pPr>
      <w:r>
        <w:separator/>
      </w:r>
    </w:p>
  </w:footnote>
  <w:footnote w:type="continuationSeparator" w:id="0">
    <w:p w:rsidR="00C265DA" w:rsidRDefault="00C265DA"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5D6D3E">
      <w:rPr>
        <w:rStyle w:val="PageNumber"/>
        <w:noProof/>
        <w:sz w:val="18"/>
        <w:szCs w:val="18"/>
      </w:rPr>
      <w:t>7</w:t>
    </w:r>
    <w:r w:rsidRPr="005D6C0D">
      <w:rPr>
        <w:rStyle w:val="PageNumber"/>
        <w:sz w:val="18"/>
        <w:szCs w:val="18"/>
      </w:rPr>
      <w:fldChar w:fldCharType="end"/>
    </w:r>
    <w:r w:rsidRPr="005D6C0D">
      <w:rPr>
        <w:rStyle w:val="PageNumber"/>
        <w:sz w:val="18"/>
        <w:szCs w:val="18"/>
        <w:rtl/>
      </w:rPr>
      <w:br/>
    </w:r>
    <w:r w:rsidR="005D6C0D" w:rsidRPr="005D6C0D">
      <w:rPr>
        <w:sz w:val="18"/>
        <w:szCs w:val="24"/>
      </w:rPr>
      <w:t>WTSA16/39-A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46444"/>
    <w:rsid w:val="0006023B"/>
    <w:rsid w:val="0008630D"/>
    <w:rsid w:val="0008638B"/>
    <w:rsid w:val="00090574"/>
    <w:rsid w:val="00092FC2"/>
    <w:rsid w:val="000A1677"/>
    <w:rsid w:val="000B407F"/>
    <w:rsid w:val="000F0B1C"/>
    <w:rsid w:val="000F1D42"/>
    <w:rsid w:val="000F4D07"/>
    <w:rsid w:val="00102A03"/>
    <w:rsid w:val="00131743"/>
    <w:rsid w:val="00173915"/>
    <w:rsid w:val="002161E8"/>
    <w:rsid w:val="0022345D"/>
    <w:rsid w:val="00225854"/>
    <w:rsid w:val="0023283D"/>
    <w:rsid w:val="00246F07"/>
    <w:rsid w:val="00252E0C"/>
    <w:rsid w:val="00276881"/>
    <w:rsid w:val="002978F4"/>
    <w:rsid w:val="002B028D"/>
    <w:rsid w:val="002B435E"/>
    <w:rsid w:val="002C4DAE"/>
    <w:rsid w:val="002E6541"/>
    <w:rsid w:val="002F5560"/>
    <w:rsid w:val="0030486B"/>
    <w:rsid w:val="003275AC"/>
    <w:rsid w:val="00333D29"/>
    <w:rsid w:val="003409F4"/>
    <w:rsid w:val="00357185"/>
    <w:rsid w:val="003C475F"/>
    <w:rsid w:val="003E4132"/>
    <w:rsid w:val="003F678F"/>
    <w:rsid w:val="0042686F"/>
    <w:rsid w:val="004367CE"/>
    <w:rsid w:val="00443869"/>
    <w:rsid w:val="004712C6"/>
    <w:rsid w:val="00497703"/>
    <w:rsid w:val="004A0710"/>
    <w:rsid w:val="004F0F06"/>
    <w:rsid w:val="00501E0E"/>
    <w:rsid w:val="005204D7"/>
    <w:rsid w:val="00531359"/>
    <w:rsid w:val="00543390"/>
    <w:rsid w:val="00552BC5"/>
    <w:rsid w:val="0055516A"/>
    <w:rsid w:val="0056374C"/>
    <w:rsid w:val="0056614F"/>
    <w:rsid w:val="0057656F"/>
    <w:rsid w:val="00576731"/>
    <w:rsid w:val="0059285F"/>
    <w:rsid w:val="005A24B1"/>
    <w:rsid w:val="005B7B8A"/>
    <w:rsid w:val="005D6476"/>
    <w:rsid w:val="005D6C0D"/>
    <w:rsid w:val="005D6D3E"/>
    <w:rsid w:val="005E5283"/>
    <w:rsid w:val="005E58F5"/>
    <w:rsid w:val="00606660"/>
    <w:rsid w:val="006157A3"/>
    <w:rsid w:val="00620E60"/>
    <w:rsid w:val="006326C2"/>
    <w:rsid w:val="0063315A"/>
    <w:rsid w:val="0065591D"/>
    <w:rsid w:val="00662C5A"/>
    <w:rsid w:val="00665E27"/>
    <w:rsid w:val="00670AF5"/>
    <w:rsid w:val="006754F6"/>
    <w:rsid w:val="006C1556"/>
    <w:rsid w:val="006C5ACC"/>
    <w:rsid w:val="006F267F"/>
    <w:rsid w:val="006F63F7"/>
    <w:rsid w:val="006F6F03"/>
    <w:rsid w:val="00702D87"/>
    <w:rsid w:val="007052DB"/>
    <w:rsid w:val="00706D7A"/>
    <w:rsid w:val="00726AEC"/>
    <w:rsid w:val="00740F4C"/>
    <w:rsid w:val="007530CA"/>
    <w:rsid w:val="0079553D"/>
    <w:rsid w:val="007B01CC"/>
    <w:rsid w:val="007F646C"/>
    <w:rsid w:val="00803D7E"/>
    <w:rsid w:val="00803F08"/>
    <w:rsid w:val="008235CD"/>
    <w:rsid w:val="00823A07"/>
    <w:rsid w:val="00835FEC"/>
    <w:rsid w:val="008513CB"/>
    <w:rsid w:val="00874D9C"/>
    <w:rsid w:val="008A1810"/>
    <w:rsid w:val="008E1500"/>
    <w:rsid w:val="008F719F"/>
    <w:rsid w:val="00917694"/>
    <w:rsid w:val="009263CD"/>
    <w:rsid w:val="00930E6D"/>
    <w:rsid w:val="00972CA2"/>
    <w:rsid w:val="00982B28"/>
    <w:rsid w:val="00992593"/>
    <w:rsid w:val="009C17E1"/>
    <w:rsid w:val="009C2576"/>
    <w:rsid w:val="009C35ED"/>
    <w:rsid w:val="009F1C12"/>
    <w:rsid w:val="00A00852"/>
    <w:rsid w:val="00A0498F"/>
    <w:rsid w:val="00A25A43"/>
    <w:rsid w:val="00A3295B"/>
    <w:rsid w:val="00A42AE5"/>
    <w:rsid w:val="00A45302"/>
    <w:rsid w:val="00A52B61"/>
    <w:rsid w:val="00A64820"/>
    <w:rsid w:val="00A71DD6"/>
    <w:rsid w:val="00A723C7"/>
    <w:rsid w:val="00A87683"/>
    <w:rsid w:val="00A97F94"/>
    <w:rsid w:val="00AB1309"/>
    <w:rsid w:val="00AC2730"/>
    <w:rsid w:val="00AC2C52"/>
    <w:rsid w:val="00AD1503"/>
    <w:rsid w:val="00AE7244"/>
    <w:rsid w:val="00B02F46"/>
    <w:rsid w:val="00B2000C"/>
    <w:rsid w:val="00B20ADE"/>
    <w:rsid w:val="00B216F4"/>
    <w:rsid w:val="00B66B9A"/>
    <w:rsid w:val="00B82089"/>
    <w:rsid w:val="00B970AE"/>
    <w:rsid w:val="00BA1427"/>
    <w:rsid w:val="00BD699C"/>
    <w:rsid w:val="00BE49D0"/>
    <w:rsid w:val="00BF2C38"/>
    <w:rsid w:val="00C23331"/>
    <w:rsid w:val="00C265DA"/>
    <w:rsid w:val="00C442F2"/>
    <w:rsid w:val="00C56BC3"/>
    <w:rsid w:val="00C674FE"/>
    <w:rsid w:val="00C7297D"/>
    <w:rsid w:val="00C75633"/>
    <w:rsid w:val="00C8242E"/>
    <w:rsid w:val="00C82615"/>
    <w:rsid w:val="00C867DB"/>
    <w:rsid w:val="00CA2A38"/>
    <w:rsid w:val="00CA50FF"/>
    <w:rsid w:val="00CC3CD2"/>
    <w:rsid w:val="00CD123C"/>
    <w:rsid w:val="00CD2085"/>
    <w:rsid w:val="00CE2EE1"/>
    <w:rsid w:val="00CF3FFD"/>
    <w:rsid w:val="00D0494C"/>
    <w:rsid w:val="00D14BEB"/>
    <w:rsid w:val="00D21C89"/>
    <w:rsid w:val="00D45542"/>
    <w:rsid w:val="00D77D0F"/>
    <w:rsid w:val="00DA1CF0"/>
    <w:rsid w:val="00DB2271"/>
    <w:rsid w:val="00DB5659"/>
    <w:rsid w:val="00DC24B4"/>
    <w:rsid w:val="00DD7A05"/>
    <w:rsid w:val="00DF16DC"/>
    <w:rsid w:val="00DF5361"/>
    <w:rsid w:val="00DF7DCB"/>
    <w:rsid w:val="00E009A1"/>
    <w:rsid w:val="00E00D15"/>
    <w:rsid w:val="00E021A9"/>
    <w:rsid w:val="00E071BE"/>
    <w:rsid w:val="00E07379"/>
    <w:rsid w:val="00E14494"/>
    <w:rsid w:val="00E17033"/>
    <w:rsid w:val="00E32189"/>
    <w:rsid w:val="00E45211"/>
    <w:rsid w:val="00E53B9A"/>
    <w:rsid w:val="00E7380C"/>
    <w:rsid w:val="00E74BE7"/>
    <w:rsid w:val="00E838AD"/>
    <w:rsid w:val="00E86CC9"/>
    <w:rsid w:val="00E96624"/>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qFormat/>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customStyle="1" w:styleId="Headingb0">
    <w:name w:val="Heading b"/>
    <w:basedOn w:val="Normal"/>
    <w:qFormat/>
    <w:rsid w:val="006326C2"/>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inorEastAsia" w:hAnsi="Times New Roman Bold"/>
      <w:b/>
      <w:bCs/>
      <w:lang w:eastAsia="zh-CN"/>
    </w:rPr>
  </w:style>
  <w:style w:type="paragraph" w:customStyle="1" w:styleId="enumlev10">
    <w:name w:val="enumlev 1"/>
    <w:basedOn w:val="Normal"/>
    <w:qFormat/>
    <w:rsid w:val="006326C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1575">
      <w:bodyDiv w:val="1"/>
      <w:marLeft w:val="0"/>
      <w:marRight w:val="0"/>
      <w:marTop w:val="0"/>
      <w:marBottom w:val="0"/>
      <w:divBdr>
        <w:top w:val="none" w:sz="0" w:space="0" w:color="auto"/>
        <w:left w:val="none" w:sz="0" w:space="0" w:color="auto"/>
        <w:bottom w:val="none" w:sz="0" w:space="0" w:color="auto"/>
        <w:right w:val="none" w:sz="0" w:space="0" w:color="auto"/>
      </w:divBdr>
    </w:div>
    <w:div w:id="332336863">
      <w:bodyDiv w:val="1"/>
      <w:marLeft w:val="0"/>
      <w:marRight w:val="0"/>
      <w:marTop w:val="0"/>
      <w:marBottom w:val="0"/>
      <w:divBdr>
        <w:top w:val="none" w:sz="0" w:space="0" w:color="auto"/>
        <w:left w:val="none" w:sz="0" w:space="0" w:color="auto"/>
        <w:bottom w:val="none" w:sz="0" w:space="0" w:color="auto"/>
        <w:right w:val="none" w:sz="0" w:space="0" w:color="auto"/>
      </w:divBdr>
    </w:div>
    <w:div w:id="922379144">
      <w:bodyDiv w:val="1"/>
      <w:marLeft w:val="0"/>
      <w:marRight w:val="0"/>
      <w:marTop w:val="0"/>
      <w:marBottom w:val="0"/>
      <w:divBdr>
        <w:top w:val="none" w:sz="0" w:space="0" w:color="auto"/>
        <w:left w:val="none" w:sz="0" w:space="0" w:color="auto"/>
        <w:bottom w:val="none" w:sz="0" w:space="0" w:color="auto"/>
        <w:right w:val="none" w:sz="0" w:space="0" w:color="auto"/>
      </w:divBdr>
    </w:div>
    <w:div w:id="102205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R:\REFTXT\REFTXT2016\ITU-T\COM-T\COM03\R\020A.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R:\REFTXT\REFTXT2016\ITU-T\COM-T\COM03\R\020A.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R:\REFTXT\REFTXT2016\ITU-T\COM-T\COM03\R\020A.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R:\REFTXT\REFTXT2016\ITU-T\COM-T\COM03\R\020A.DOCX" TargetMode="External"/><Relationship Id="rId5" Type="http://schemas.openxmlformats.org/officeDocument/2006/relationships/webSettings" Target="webSettings.xml"/><Relationship Id="rId15" Type="http://schemas.openxmlformats.org/officeDocument/2006/relationships/hyperlink" Target="file:///R:\REFTXT\REFTXT2016\ITU-T\COM-T\COM03\R\020A.DOCX" TargetMode="External"/><Relationship Id="rId10" Type="http://schemas.openxmlformats.org/officeDocument/2006/relationships/hyperlink" Target="file:///R:\REFTXT\REFTXT2016\ITU-T\COM-T\COM03\R\020A.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R:\REFTXT\REFTXT2016\ITU-T\COM-T\COM03\R\020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ECA5E-FC60-4D4E-A864-BFE08AAD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T13-WTSA.16-C-0039!!MSW-A</vt:lpstr>
    </vt:vector>
  </TitlesOfParts>
  <Company>International Telecommunication Union (ITU)</Company>
  <LinksUpToDate>false</LinksUpToDate>
  <CharactersWithSpaces>10277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T13-WTSA.16-C-0039!!MSW-A</dc:title>
  <dc:subject>World Telecommunication Standardization Assembly</dc:subject>
  <dc:creator>Documents Proposals Manager (DPM)</dc:creator>
  <cp:keywords>DPM_v2016.7.4.1_prod</cp:keywords>
  <dc:description>Template used by DPM and CPI for the WTSA-16</dc:description>
  <cp:lastModifiedBy>Clark, Robert</cp:lastModifiedBy>
  <cp:revision>28</cp:revision>
  <cp:lastPrinted>2016-06-07T13:25:00Z</cp:lastPrinted>
  <dcterms:created xsi:type="dcterms:W3CDTF">2016-07-05T07:47:00Z</dcterms:created>
  <dcterms:modified xsi:type="dcterms:W3CDTF">2016-07-06T15:22:00Z</dcterms:modified>
  <cp:category>Conference document</cp:category>
</cp:coreProperties>
</file>