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4E4873" w:rsidTr="00190D8B">
        <w:trPr>
          <w:cantSplit/>
        </w:trPr>
        <w:tc>
          <w:tcPr>
            <w:tcW w:w="1560" w:type="dxa"/>
          </w:tcPr>
          <w:p w:rsidR="00261604" w:rsidRPr="004E487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487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E4873" w:rsidRDefault="00261604" w:rsidP="00772EF8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487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4E487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E4873">
              <w:rPr>
                <w:rFonts w:ascii="Verdana" w:hAnsi="Verdana" w:cs="Arial"/>
                <w:b/>
                <w:bCs/>
                <w:sz w:val="18"/>
                <w:szCs w:val="18"/>
              </w:rPr>
              <w:t>Ясмин</w:t>
            </w:r>
            <w:r w:rsidR="00772EF8" w:rsidRPr="004E4873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Pr="004E487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E487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E4873" w:rsidRDefault="00261604" w:rsidP="00190D8B">
            <w:pPr>
              <w:spacing w:line="240" w:lineRule="atLeast"/>
              <w:jc w:val="right"/>
            </w:pPr>
            <w:r w:rsidRPr="004E487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E4873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4E487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4E487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E4873" w:rsidTr="00190D8B">
        <w:trPr>
          <w:cantSplit/>
        </w:trPr>
        <w:tc>
          <w:tcPr>
            <w:tcW w:w="6946" w:type="dxa"/>
            <w:gridSpan w:val="2"/>
          </w:tcPr>
          <w:p w:rsidR="00E11080" w:rsidRPr="004E487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487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4E4873" w:rsidRDefault="00E11080" w:rsidP="00772EF8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E4873">
              <w:rPr>
                <w:rFonts w:ascii="Verdana" w:hAnsi="Verdana"/>
                <w:b/>
                <w:bCs/>
                <w:sz w:val="18"/>
                <w:szCs w:val="18"/>
              </w:rPr>
              <w:t>Документ 38-R</w:t>
            </w:r>
          </w:p>
        </w:tc>
      </w:tr>
      <w:tr w:rsidR="00E11080" w:rsidRPr="004E4873" w:rsidTr="00190D8B">
        <w:trPr>
          <w:cantSplit/>
        </w:trPr>
        <w:tc>
          <w:tcPr>
            <w:tcW w:w="6946" w:type="dxa"/>
            <w:gridSpan w:val="2"/>
          </w:tcPr>
          <w:p w:rsidR="00E11080" w:rsidRPr="004E487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E4873" w:rsidRDefault="004E4873" w:rsidP="004E487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4873">
              <w:rPr>
                <w:rFonts w:ascii="Verdana" w:hAnsi="Verdana"/>
                <w:b/>
                <w:bCs/>
                <w:sz w:val="18"/>
                <w:szCs w:val="18"/>
              </w:rPr>
              <w:t xml:space="preserve">Июнь </w:t>
            </w:r>
            <w:r w:rsidR="00E11080" w:rsidRPr="004E4873">
              <w:rPr>
                <w:rFonts w:ascii="Verdana" w:hAnsi="Verdana"/>
                <w:b/>
                <w:bCs/>
                <w:sz w:val="18"/>
                <w:szCs w:val="18"/>
              </w:rPr>
              <w:t>2016 года</w:t>
            </w:r>
          </w:p>
        </w:tc>
      </w:tr>
      <w:tr w:rsidR="00E11080" w:rsidRPr="004E4873" w:rsidTr="00190D8B">
        <w:trPr>
          <w:cantSplit/>
        </w:trPr>
        <w:tc>
          <w:tcPr>
            <w:tcW w:w="6946" w:type="dxa"/>
            <w:gridSpan w:val="2"/>
          </w:tcPr>
          <w:p w:rsidR="00E11080" w:rsidRPr="004E487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E4873" w:rsidRDefault="00E11080" w:rsidP="00CA7F3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4873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CA7F39" w:rsidRPr="004E487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4E4873" w:rsidTr="00190D8B">
        <w:trPr>
          <w:cantSplit/>
        </w:trPr>
        <w:tc>
          <w:tcPr>
            <w:tcW w:w="9781" w:type="dxa"/>
            <w:gridSpan w:val="4"/>
          </w:tcPr>
          <w:p w:rsidR="00E11080" w:rsidRPr="004E487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E4873" w:rsidTr="00190D8B">
        <w:trPr>
          <w:cantSplit/>
        </w:trPr>
        <w:tc>
          <w:tcPr>
            <w:tcW w:w="9781" w:type="dxa"/>
            <w:gridSpan w:val="4"/>
          </w:tcPr>
          <w:p w:rsidR="00E11080" w:rsidRPr="004E4873" w:rsidRDefault="00E11080" w:rsidP="00FC5283">
            <w:pPr>
              <w:pStyle w:val="Source"/>
            </w:pPr>
            <w:r w:rsidRPr="004E4873">
              <w:t>3-я Исследовательская комиссия МСЭ-Т</w:t>
            </w:r>
          </w:p>
        </w:tc>
      </w:tr>
      <w:tr w:rsidR="00E11080" w:rsidRPr="004E4873" w:rsidTr="00190D8B">
        <w:trPr>
          <w:cantSplit/>
        </w:trPr>
        <w:tc>
          <w:tcPr>
            <w:tcW w:w="9781" w:type="dxa"/>
            <w:gridSpan w:val="4"/>
          </w:tcPr>
          <w:p w:rsidR="00E11080" w:rsidRPr="004E4873" w:rsidRDefault="00FC5283" w:rsidP="004E4873">
            <w:pPr>
              <w:pStyle w:val="Title1"/>
            </w:pPr>
            <w:r w:rsidRPr="004E4873">
              <w:t>проект новой рекомендации мсэ</w:t>
            </w:r>
            <w:r w:rsidR="00E11080" w:rsidRPr="004E4873">
              <w:t>-T D.53 "</w:t>
            </w:r>
            <w:r w:rsidR="00790687" w:rsidRPr="004E4873">
              <w:rPr>
                <w:lang w:bidi="fa-IR"/>
              </w:rPr>
              <w:t>Международные аспекты универсального обслуживания</w:t>
            </w:r>
            <w:r w:rsidR="00E11080" w:rsidRPr="004E4873">
              <w:t>"</w:t>
            </w:r>
            <w:r w:rsidR="004E4873" w:rsidRPr="004E4873">
              <w:t>, предложенный для утверждения на васэ-16</w:t>
            </w:r>
          </w:p>
        </w:tc>
      </w:tr>
      <w:tr w:rsidR="00E11080" w:rsidRPr="004E4873" w:rsidTr="00190D8B">
        <w:trPr>
          <w:cantSplit/>
        </w:trPr>
        <w:tc>
          <w:tcPr>
            <w:tcW w:w="9781" w:type="dxa"/>
            <w:gridSpan w:val="4"/>
          </w:tcPr>
          <w:p w:rsidR="00E11080" w:rsidRPr="004E4873" w:rsidRDefault="00E11080" w:rsidP="00190D8B">
            <w:pPr>
              <w:pStyle w:val="Title2"/>
            </w:pPr>
          </w:p>
        </w:tc>
      </w:tr>
      <w:tr w:rsidR="00E11080" w:rsidRPr="004E4873" w:rsidTr="00190D8B">
        <w:trPr>
          <w:cantSplit/>
        </w:trPr>
        <w:tc>
          <w:tcPr>
            <w:tcW w:w="9781" w:type="dxa"/>
            <w:gridSpan w:val="4"/>
          </w:tcPr>
          <w:p w:rsidR="00E11080" w:rsidRPr="004E487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E487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E4873" w:rsidTr="00193AD1">
        <w:trPr>
          <w:cantSplit/>
        </w:trPr>
        <w:tc>
          <w:tcPr>
            <w:tcW w:w="1560" w:type="dxa"/>
          </w:tcPr>
          <w:p w:rsidR="001434F1" w:rsidRPr="004E4873" w:rsidRDefault="001434F1" w:rsidP="00193AD1">
            <w:r w:rsidRPr="004E4873">
              <w:rPr>
                <w:b/>
                <w:bCs/>
                <w:szCs w:val="22"/>
              </w:rPr>
              <w:t>Резюме</w:t>
            </w:r>
            <w:r w:rsidRPr="004E487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E4873" w:rsidRDefault="004E4873" w:rsidP="004E4873">
                <w:r w:rsidRPr="004E4873">
                  <w:t>В Документе</w:t>
                </w:r>
                <w:r w:rsidR="00FC5283" w:rsidRPr="004E4873">
                  <w:t xml:space="preserve"> 38 </w:t>
                </w:r>
                <w:r w:rsidRPr="004E4873">
                  <w:t xml:space="preserve">ВАСЭ-16 приводится проект новой Рекомендации МСЭ-Т </w:t>
                </w:r>
                <w:r w:rsidR="00FC5283" w:rsidRPr="004E4873">
                  <w:t xml:space="preserve">D.53 </w:t>
                </w:r>
                <w:r w:rsidRPr="004E4873">
                  <w:t xml:space="preserve">для утверждения на ВАСЭ-16. Содержание данного документа идентично содержанию Документа </w:t>
                </w:r>
                <w:r w:rsidR="00FC5283" w:rsidRPr="004E4873">
                  <w:t>COM</w:t>
                </w:r>
                <w:r w:rsidRPr="004E4873">
                  <w:t xml:space="preserve"> </w:t>
                </w:r>
                <w:r w:rsidR="00FC5283" w:rsidRPr="004E4873">
                  <w:t xml:space="preserve">3 </w:t>
                </w:r>
                <w:r w:rsidRPr="004E4873">
                  <w:t xml:space="preserve">− </w:t>
                </w:r>
                <w:r w:rsidR="00FC5283" w:rsidRPr="004E4873">
                  <w:t>R</w:t>
                </w:r>
                <w:r w:rsidRPr="004E4873">
                  <w:t xml:space="preserve"> </w:t>
                </w:r>
                <w:r w:rsidR="00FC5283" w:rsidRPr="004E4873">
                  <w:t>18.</w:t>
                </w:r>
              </w:p>
            </w:tc>
          </w:sdtContent>
        </w:sdt>
      </w:tr>
    </w:tbl>
    <w:p w:rsidR="0092220F" w:rsidRPr="004E4873" w:rsidRDefault="0092220F" w:rsidP="004E4873"/>
    <w:p w:rsidR="0092220F" w:rsidRPr="004E4873" w:rsidRDefault="0092220F" w:rsidP="004E4873">
      <w:r w:rsidRPr="004E4873">
        <w:br w:type="page"/>
      </w:r>
    </w:p>
    <w:p w:rsidR="00A0779E" w:rsidRPr="004E4873" w:rsidRDefault="00CA7F39">
      <w:pPr>
        <w:pStyle w:val="Proposal"/>
      </w:pPr>
      <w:r w:rsidRPr="004E4873">
        <w:lastRenderedPageBreak/>
        <w:t>ADD</w:t>
      </w:r>
      <w:r w:rsidRPr="004E4873">
        <w:tab/>
        <w:t>SG3/38/1</w:t>
      </w:r>
    </w:p>
    <w:p w:rsidR="005E1139" w:rsidRPr="004E4873" w:rsidRDefault="00FC5283" w:rsidP="004E4873">
      <w:pPr>
        <w:pStyle w:val="RecNo"/>
      </w:pPr>
      <w:r w:rsidRPr="004E4873">
        <w:t>Проект Рекомендации МСЭ-Т D.53</w:t>
      </w:r>
    </w:p>
    <w:p w:rsidR="00FC5283" w:rsidRPr="004E4873" w:rsidRDefault="00FC5283" w:rsidP="00FC5283">
      <w:pPr>
        <w:pStyle w:val="Rectitle"/>
        <w:rPr>
          <w:lang w:bidi="fa-IR"/>
        </w:rPr>
      </w:pPr>
      <w:r w:rsidRPr="004E4873">
        <w:rPr>
          <w:lang w:bidi="fa-IR"/>
        </w:rPr>
        <w:t>Международные аспекты универсального обслуживания</w:t>
      </w:r>
    </w:p>
    <w:p w:rsidR="00FC5283" w:rsidRPr="004E4873" w:rsidRDefault="00FC5283" w:rsidP="00FC5283">
      <w:pPr>
        <w:pStyle w:val="Headingb"/>
        <w:rPr>
          <w:lang w:val="ru-RU"/>
        </w:rPr>
      </w:pPr>
      <w:r w:rsidRPr="004E4873">
        <w:rPr>
          <w:lang w:val="ru-RU"/>
        </w:rPr>
        <w:t>Резюме</w:t>
      </w:r>
    </w:p>
    <w:p w:rsidR="00FC5283" w:rsidRPr="004E4873" w:rsidRDefault="00FC5283" w:rsidP="00FC5283">
      <w:r w:rsidRPr="004E4873">
        <w:t xml:space="preserve">В Рекомендации МСЭ-Т D.53 "Международные аспекты универсального обслуживания" признается суверенное право Государств-Членов на определение и регулирование своей политики в области универсального обслуживания/универсального доступа и при этом предлагаются общие принципы, которые служили бы ориентиром для правительств и регуляторных органов в установлении ими целей и выполнении функций управления в связи с фондами универсального обслуживания в глобализованной цифровой среде. </w:t>
      </w:r>
    </w:p>
    <w:p w:rsidR="00FC5283" w:rsidRPr="004E4873" w:rsidRDefault="00FC5283" w:rsidP="00FC5283">
      <w:pPr>
        <w:pStyle w:val="Headingb"/>
        <w:rPr>
          <w:lang w:val="ru-RU"/>
        </w:rPr>
      </w:pPr>
      <w:r w:rsidRPr="004E4873">
        <w:rPr>
          <w:lang w:val="ru-RU"/>
        </w:rPr>
        <w:t>Ключевые слова</w:t>
      </w:r>
    </w:p>
    <w:p w:rsidR="00FC5283" w:rsidRPr="004E4873" w:rsidRDefault="00FC5283" w:rsidP="004E4873">
      <w:r w:rsidRPr="004E4873">
        <w:t>&lt;</w:t>
      </w:r>
      <w:r w:rsidR="004E4873" w:rsidRPr="004E4873">
        <w:t>Факультативно</w:t>
      </w:r>
      <w:r w:rsidRPr="004E4873">
        <w:t>&gt;</w:t>
      </w:r>
    </w:p>
    <w:p w:rsidR="00FC5283" w:rsidRPr="004E4873" w:rsidRDefault="00FC5283" w:rsidP="00FC5283">
      <w:r w:rsidRPr="004E4873">
        <w:br w:type="page"/>
      </w:r>
      <w:bookmarkStart w:id="0" w:name="_GoBack"/>
      <w:bookmarkEnd w:id="0"/>
    </w:p>
    <w:p w:rsidR="00FC5283" w:rsidRPr="004E4873" w:rsidRDefault="00FC5283" w:rsidP="00FC5283">
      <w:pPr>
        <w:jc w:val="center"/>
        <w:rPr>
          <w:b/>
          <w:bCs/>
        </w:rPr>
      </w:pPr>
      <w:r w:rsidRPr="004E4873">
        <w:rPr>
          <w:b/>
          <w:bCs/>
        </w:rPr>
        <w:lastRenderedPageBreak/>
        <w:t>Содержание</w:t>
      </w:r>
    </w:p>
    <w:p w:rsidR="00FC5283" w:rsidRPr="004E4873" w:rsidRDefault="00FC5283" w:rsidP="00FC5283">
      <w:pPr>
        <w:jc w:val="right"/>
        <w:rPr>
          <w:b/>
          <w:bCs/>
        </w:rPr>
      </w:pPr>
      <w:r w:rsidRPr="004E4873">
        <w:rPr>
          <w:b/>
          <w:bCs/>
        </w:rPr>
        <w:t>Стр</w:t>
      </w:r>
      <w:r w:rsidRPr="004E4873">
        <w:t>.</w:t>
      </w:r>
    </w:p>
    <w:p w:rsidR="00FC5283" w:rsidRPr="004E4873" w:rsidRDefault="00FC5283" w:rsidP="00FC52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r w:rsidRPr="004E4873">
        <w:fldChar w:fldCharType="begin"/>
      </w:r>
      <w:r w:rsidRPr="004E4873">
        <w:instrText xml:space="preserve"> TOC \o "1-2" \h \z \u </w:instrText>
      </w:r>
      <w:r w:rsidRPr="004E4873">
        <w:fldChar w:fldCharType="separate"/>
      </w:r>
      <w:hyperlink w:anchor="_Toc447875366" w:history="1">
        <w:r w:rsidRPr="004E4873">
          <w:rPr>
            <w:rStyle w:val="Hyperlink"/>
          </w:rPr>
          <w:t>Введение</w:t>
        </w:r>
        <w:r w:rsidRPr="004E4873">
          <w:rPr>
            <w:webHidden/>
          </w:rPr>
          <w:tab/>
        </w:r>
        <w:r w:rsidRPr="004E4873">
          <w:rPr>
            <w:webHidden/>
          </w:rPr>
          <w:tab/>
        </w:r>
        <w:r w:rsidRPr="004E4873">
          <w:rPr>
            <w:webHidden/>
          </w:rPr>
          <w:fldChar w:fldCharType="begin"/>
        </w:r>
        <w:r w:rsidRPr="004E4873">
          <w:rPr>
            <w:webHidden/>
          </w:rPr>
          <w:instrText xml:space="preserve"> PAGEREF _Toc447875366 \h </w:instrText>
        </w:r>
        <w:r w:rsidRPr="004E4873">
          <w:rPr>
            <w:webHidden/>
          </w:rPr>
        </w:r>
        <w:r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4</w:t>
        </w:r>
        <w:r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67" w:history="1">
        <w:r w:rsidR="00FC5283" w:rsidRPr="004E4873">
          <w:rPr>
            <w:rStyle w:val="Hyperlink"/>
            <w:lang w:bidi="fa-IR"/>
          </w:rPr>
          <w:t>1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  <w:lang w:bidi="fa-IR"/>
          </w:rPr>
          <w:t>Сфера применения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_Toc447875367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5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68" w:history="1">
        <w:r w:rsidR="00FC5283" w:rsidRPr="004E4873">
          <w:rPr>
            <w:rStyle w:val="Hyperlink"/>
          </w:rPr>
          <w:t>2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Справочные документы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_Toc447875368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5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69" w:history="1">
        <w:r w:rsidR="00FC5283" w:rsidRPr="004E4873">
          <w:rPr>
            <w:rStyle w:val="Hyperlink"/>
          </w:rPr>
          <w:t>3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Принципы универсального обслуживания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_Toc447875369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5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2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left="1134"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70" w:history="1">
        <w:r w:rsidR="00FC5283" w:rsidRPr="004E4873">
          <w:rPr>
            <w:rStyle w:val="Hyperlink"/>
          </w:rPr>
          <w:t>3.1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Понятие универсального обслуживания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_Toc447875370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5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2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left="1134"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71" w:history="1">
        <w:r w:rsidR="00FC5283" w:rsidRPr="004E4873">
          <w:rPr>
            <w:rStyle w:val="Hyperlink"/>
          </w:rPr>
          <w:t>3.2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Определение внешних сил, предопределяющих успех проектов в области универсального обслуживания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_Toc447875371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5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2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left="1134"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72" w:history="1">
        <w:r w:rsidR="00FC5283" w:rsidRPr="004E4873">
          <w:rPr>
            <w:rStyle w:val="Hyperlink"/>
          </w:rPr>
          <w:t>3.3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Как проекты в области универсального обслуживания могут содействовать в решении проблемы ограничений пропускной способности, связанных с международными интернет-соединениями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_Toc447875372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6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73" w:history="1">
        <w:r w:rsidR="00FC5283" w:rsidRPr="004E4873">
          <w:rPr>
            <w:rStyle w:val="Hyperlink"/>
          </w:rPr>
          <w:t>4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Универсальное обслуживание в глобальном контексте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_Toc447875373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6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826ADB" w:rsidP="00FC52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47875374" w:history="1">
        <w:r w:rsidR="00FC5283" w:rsidRPr="004E4873">
          <w:rPr>
            <w:rStyle w:val="Hyperlink"/>
          </w:rPr>
          <w:t>5</w:t>
        </w:r>
        <w:r w:rsidR="00FC5283" w:rsidRPr="004E4873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FC5283" w:rsidRPr="004E4873">
          <w:rPr>
            <w:rStyle w:val="Hyperlink"/>
          </w:rPr>
          <w:t>Руководящие указания по повышению эффективности политики в области универсального обслуживания и по соблюдению такой политики</w:t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tab/>
        </w:r>
        <w:r w:rsidR="00FC5283" w:rsidRPr="004E4873">
          <w:rPr>
            <w:webHidden/>
          </w:rPr>
          <w:fldChar w:fldCharType="begin"/>
        </w:r>
        <w:r w:rsidR="00FC5283" w:rsidRPr="004E4873">
          <w:rPr>
            <w:webHidden/>
          </w:rPr>
          <w:instrText xml:space="preserve"> PAGEREF _Toc447875374 \h </w:instrText>
        </w:r>
        <w:r w:rsidR="00FC5283" w:rsidRPr="004E4873">
          <w:rPr>
            <w:webHidden/>
          </w:rPr>
        </w:r>
        <w:r w:rsidR="00FC5283" w:rsidRPr="004E4873">
          <w:rPr>
            <w:webHidden/>
          </w:rPr>
          <w:fldChar w:fldCharType="separate"/>
        </w:r>
        <w:r w:rsidR="004E4873" w:rsidRPr="004E4873">
          <w:rPr>
            <w:webHidden/>
          </w:rPr>
          <w:t>6</w:t>
        </w:r>
        <w:r w:rsidR="00FC5283" w:rsidRPr="004E4873">
          <w:rPr>
            <w:webHidden/>
          </w:rPr>
          <w:fldChar w:fldCharType="end"/>
        </w:r>
      </w:hyperlink>
    </w:p>
    <w:p w:rsidR="00FC5283" w:rsidRPr="004E4873" w:rsidRDefault="00FC5283" w:rsidP="004E4873">
      <w:r w:rsidRPr="004E4873">
        <w:fldChar w:fldCharType="end"/>
      </w:r>
    </w:p>
    <w:p w:rsidR="00FC5283" w:rsidRPr="004E4873" w:rsidRDefault="00FC5283" w:rsidP="004E4873">
      <w:r w:rsidRPr="004E4873">
        <w:br w:type="page"/>
      </w:r>
    </w:p>
    <w:p w:rsidR="00FC5283" w:rsidRPr="004E4873" w:rsidRDefault="00FC5283" w:rsidP="00FC5283">
      <w:pPr>
        <w:pStyle w:val="Heading1"/>
        <w:rPr>
          <w:lang w:val="ru-RU"/>
        </w:rPr>
      </w:pPr>
      <w:bookmarkStart w:id="1" w:name="_Toc447875366"/>
      <w:r w:rsidRPr="004E4873">
        <w:rPr>
          <w:lang w:val="ru-RU"/>
        </w:rPr>
        <w:lastRenderedPageBreak/>
        <w:t>Введение</w:t>
      </w:r>
      <w:bookmarkEnd w:id="1"/>
    </w:p>
    <w:p w:rsidR="00FC5283" w:rsidRPr="004E4873" w:rsidRDefault="00FC5283" w:rsidP="00FC5283">
      <w:r w:rsidRPr="004E4873">
        <w:t xml:space="preserve">В прошлом и даже в настоящее время Государства-Члены придерживались и придерживаются различных подходов к универсальному обслуживанию, как это видно из опубликованного МСЭ в 2013 году "Исследования финансирования универсального обслуживания и универсальной цифровой интеграции". Успех различных государств в управлении своими проектами в области универсального обслуживания в существенной степени был основан на способности адаптировать политику регулирования и универсального обслуживания к изменяющимся условиям и имеющимся на рынке технологиям. </w:t>
      </w:r>
    </w:p>
    <w:p w:rsidR="00FC5283" w:rsidRPr="004E4873" w:rsidRDefault="00FC5283" w:rsidP="00FC5283">
      <w:r w:rsidRPr="004E4873">
        <w:t xml:space="preserve">В связи с этим нормативно-правовые базы, которые являются достаточно гибкими, чтобы адаптироваться к быстрым технологическим и рыночным изменениям, позволили правительствам и регуляторным органам осуществлять эффективные проекты в области универсального обслуживания, в том числе, например, в области широкополосной связи, которая является не только одной из задач универсального обслуживания, но и основной контрольной переменной, принимая во внимание неоспоримую роль широкополосной связи как катализатора экономического роста в государствах. </w:t>
      </w:r>
    </w:p>
    <w:p w:rsidR="00FC5283" w:rsidRPr="004E4873" w:rsidRDefault="00FC5283" w:rsidP="00FC5283">
      <w:r w:rsidRPr="004E4873">
        <w:t xml:space="preserve">Поскольку широкополосная связь является фактором, не только зависящим от внутренних условий в каждом государстве, но и имеющим в высокой степени международный характер, следует понимать, что в настоящее время на успех политики в области универсального обслуживания, имеющей решающее значение для развития широкополосной связи, в значительной степени влияют такие внешние условия, которые неподконтрольны каждому государству. </w:t>
      </w:r>
    </w:p>
    <w:p w:rsidR="00FC5283" w:rsidRPr="004E4873" w:rsidRDefault="00FC5283" w:rsidP="004E4873">
      <w:r w:rsidRPr="004E4873">
        <w:br w:type="page"/>
      </w:r>
    </w:p>
    <w:p w:rsidR="00FC5283" w:rsidRPr="004E4873" w:rsidRDefault="00FC5283" w:rsidP="00FC5283">
      <w:pPr>
        <w:pStyle w:val="RecNo"/>
        <w:rPr>
          <w:lang w:bidi="fa-IR"/>
        </w:rPr>
      </w:pPr>
      <w:r w:rsidRPr="004E4873">
        <w:rPr>
          <w:lang w:bidi="fa-IR"/>
        </w:rPr>
        <w:lastRenderedPageBreak/>
        <w:t>Проект Рекомендации МСЭ-T D.53</w:t>
      </w:r>
    </w:p>
    <w:p w:rsidR="00FC5283" w:rsidRPr="004E4873" w:rsidRDefault="00FC5283" w:rsidP="00FC5283">
      <w:pPr>
        <w:pStyle w:val="Rectitle"/>
        <w:rPr>
          <w:lang w:bidi="fa-IR"/>
        </w:rPr>
      </w:pPr>
      <w:r w:rsidRPr="004E4873">
        <w:rPr>
          <w:lang w:bidi="fa-IR"/>
        </w:rPr>
        <w:t>Международные аспекты универсального обслуживания</w:t>
      </w:r>
    </w:p>
    <w:p w:rsidR="00FC5283" w:rsidRPr="004E4873" w:rsidRDefault="00FC5283" w:rsidP="00FC5283">
      <w:pPr>
        <w:pStyle w:val="Heading1"/>
        <w:rPr>
          <w:lang w:val="ru-RU" w:bidi="fa-IR"/>
        </w:rPr>
      </w:pPr>
      <w:bookmarkStart w:id="2" w:name="_Toc447875367"/>
      <w:r w:rsidRPr="004E4873">
        <w:rPr>
          <w:lang w:val="ru-RU" w:bidi="fa-IR"/>
        </w:rPr>
        <w:t>1</w:t>
      </w:r>
      <w:r w:rsidRPr="004E4873">
        <w:rPr>
          <w:lang w:val="ru-RU" w:bidi="fa-IR"/>
        </w:rPr>
        <w:tab/>
        <w:t>Сфера применения</w:t>
      </w:r>
      <w:bookmarkEnd w:id="2"/>
      <w:r w:rsidRPr="004E4873">
        <w:rPr>
          <w:lang w:val="ru-RU" w:bidi="fa-IR"/>
        </w:rPr>
        <w:t xml:space="preserve"> </w:t>
      </w:r>
    </w:p>
    <w:p w:rsidR="00FC5283" w:rsidRPr="004E4873" w:rsidRDefault="00FC5283" w:rsidP="00FC5283">
      <w:r w:rsidRPr="004E4873">
        <w:t>В настоящей Рекомендации предлагаются общие принципы, которые служили бы ориентиром для Государств-Членов, соответствующих правительственных учреждений и регуляторных органов в установлении ими целей и выполнении функций управления в связи с фондами универсального обслуживания в контексте глобальной интеграции, когда задачи политики в области универсального обслуживания не только зависят от внутренних факторов, но и подвергаются воздействию неконтролируемых внешних условий и обусловливаются ими.</w:t>
      </w:r>
    </w:p>
    <w:p w:rsidR="00FC5283" w:rsidRPr="004E4873" w:rsidRDefault="00FC5283" w:rsidP="00790687">
      <w:pPr>
        <w:pStyle w:val="Heading1"/>
        <w:rPr>
          <w:lang w:val="ru-RU"/>
        </w:rPr>
      </w:pPr>
      <w:bookmarkStart w:id="3" w:name="_Toc447875368"/>
      <w:r w:rsidRPr="004E4873">
        <w:rPr>
          <w:lang w:val="ru-RU"/>
        </w:rPr>
        <w:t>2</w:t>
      </w:r>
      <w:r w:rsidRPr="004E4873">
        <w:rPr>
          <w:lang w:val="ru-RU"/>
        </w:rPr>
        <w:tab/>
      </w:r>
      <w:r w:rsidRPr="004E4873">
        <w:rPr>
          <w:lang w:val="ru-RU" w:bidi="fa-IR"/>
        </w:rPr>
        <w:t>Справочные</w:t>
      </w:r>
      <w:r w:rsidRPr="004E4873">
        <w:rPr>
          <w:lang w:val="ru-RU"/>
        </w:rPr>
        <w:t xml:space="preserve"> документы</w:t>
      </w:r>
      <w:bookmarkEnd w:id="3"/>
    </w:p>
    <w:p w:rsidR="00FC5283" w:rsidRPr="004E4873" w:rsidRDefault="00FC5283" w:rsidP="00FC5283">
      <w:r w:rsidRPr="004E4873">
        <w:t xml:space="preserve">Указанные ниже Рекомендации МСЭ-Т и другие источники содержат положения, которые путем ссылки на них в данном тексте составляют положения настоящей Рекомендации. На момент публикации указанные издания были действующими. Все Рекомендации и другие источники могут подвергаться пересмотру, поэтому пользователям данной Рекомендации предлагается изучить возможность применения последнего издания Рекомендаций и других источников, перечисленных ниже. Список действующих в настоящее время Рекомендаций МСЭ-Т регулярно публикуется. Ссылка в настоящей Рекомендации на какой-либо документ не придает ему как отдельному документу статус Рекомендации. </w:t>
      </w:r>
    </w:p>
    <w:p w:rsidR="00FC5283" w:rsidRPr="004E4873" w:rsidRDefault="00FC5283" w:rsidP="00FC5283">
      <w:r w:rsidRPr="004E4873">
        <w:t>[ITU-T D.50]</w:t>
      </w:r>
      <w:r w:rsidRPr="004E4873">
        <w:tab/>
        <w:t xml:space="preserve">Рекомендация МСЭ-T D.50 (2011 г.), </w:t>
      </w:r>
      <w:r w:rsidRPr="004E4873">
        <w:rPr>
          <w:i/>
          <w:iCs/>
        </w:rPr>
        <w:t>Международные интернет-соединения</w:t>
      </w:r>
      <w:r w:rsidRPr="004E4873">
        <w:t>.</w:t>
      </w:r>
    </w:p>
    <w:p w:rsidR="00FC5283" w:rsidRPr="004E4873" w:rsidRDefault="00FC5283" w:rsidP="00790687">
      <w:pPr>
        <w:pStyle w:val="Heading1"/>
        <w:rPr>
          <w:lang w:val="ru-RU"/>
        </w:rPr>
      </w:pPr>
      <w:bookmarkStart w:id="4" w:name="_Toc447875369"/>
      <w:r w:rsidRPr="004E4873">
        <w:rPr>
          <w:lang w:val="ru-RU"/>
        </w:rPr>
        <w:t>3</w:t>
      </w:r>
      <w:r w:rsidRPr="004E4873">
        <w:rPr>
          <w:lang w:val="ru-RU"/>
        </w:rPr>
        <w:tab/>
      </w:r>
      <w:r w:rsidRPr="004E4873">
        <w:rPr>
          <w:lang w:val="ru-RU" w:bidi="fa-IR"/>
        </w:rPr>
        <w:t>Принципы</w:t>
      </w:r>
      <w:r w:rsidRPr="004E4873">
        <w:rPr>
          <w:lang w:val="ru-RU"/>
        </w:rPr>
        <w:t xml:space="preserve"> универсального обслуживания</w:t>
      </w:r>
      <w:bookmarkEnd w:id="4"/>
    </w:p>
    <w:p w:rsidR="00FC5283" w:rsidRPr="004E4873" w:rsidRDefault="00FC5283" w:rsidP="00790687">
      <w:pPr>
        <w:pStyle w:val="Heading2"/>
        <w:rPr>
          <w:lang w:val="ru-RU"/>
        </w:rPr>
      </w:pPr>
      <w:bookmarkStart w:id="5" w:name="_Toc447875370"/>
      <w:r w:rsidRPr="004E4873">
        <w:rPr>
          <w:lang w:val="ru-RU"/>
        </w:rPr>
        <w:t>3.1</w:t>
      </w:r>
      <w:r w:rsidRPr="004E4873">
        <w:rPr>
          <w:lang w:val="ru-RU"/>
        </w:rPr>
        <w:tab/>
        <w:t>Понятие универсального обслуживания</w:t>
      </w:r>
      <w:bookmarkEnd w:id="5"/>
      <w:r w:rsidRPr="004E4873">
        <w:rPr>
          <w:lang w:val="ru-RU"/>
        </w:rPr>
        <w:t xml:space="preserve"> </w:t>
      </w:r>
    </w:p>
    <w:p w:rsidR="00FC5283" w:rsidRPr="004E4873" w:rsidRDefault="00FC5283" w:rsidP="00FC5283">
      <w:r w:rsidRPr="004E4873">
        <w:t xml:space="preserve">Широко признано, что универсальное обслуживание имеет три основополагающих принципа: </w:t>
      </w:r>
    </w:p>
    <w:p w:rsidR="00FC5283" w:rsidRPr="004E4873" w:rsidRDefault="00FC5283" w:rsidP="00FC5283">
      <w:r w:rsidRPr="004E4873">
        <w:rPr>
          <w:b/>
        </w:rPr>
        <w:t>Наличие</w:t>
      </w:r>
      <w:r w:rsidRPr="004E4873">
        <w:rPr>
          <w:bCs/>
        </w:rPr>
        <w:t>:</w:t>
      </w:r>
      <w:r w:rsidRPr="004E4873">
        <w:t> уровень обслуживания должен быть одинаковым для всех пользователей в любом месте и в любое время.</w:t>
      </w:r>
    </w:p>
    <w:p w:rsidR="00FC5283" w:rsidRPr="004E4873" w:rsidRDefault="00FC5283" w:rsidP="00FC5283">
      <w:r w:rsidRPr="004E4873">
        <w:rPr>
          <w:b/>
        </w:rPr>
        <w:t>Приемлемость в ценовом отношении</w:t>
      </w:r>
      <w:r w:rsidRPr="004E4873">
        <w:rPr>
          <w:bCs/>
        </w:rPr>
        <w:t>:</w:t>
      </w:r>
      <w:r w:rsidRPr="004E4873">
        <w:t xml:space="preserve"> цена услуги не должна быть чрезмерно высокой, что отрицательно воздействовало бы на доступ. </w:t>
      </w:r>
    </w:p>
    <w:p w:rsidR="00FC5283" w:rsidRPr="004E4873" w:rsidRDefault="00FC5283" w:rsidP="00FC5283">
      <w:r w:rsidRPr="004E4873">
        <w:rPr>
          <w:b/>
        </w:rPr>
        <w:t>Доступность</w:t>
      </w:r>
      <w:r w:rsidRPr="004E4873">
        <w:rPr>
          <w:bCs/>
        </w:rPr>
        <w:t>:</w:t>
      </w:r>
      <w:r w:rsidRPr="004E4873">
        <w:t xml:space="preserve"> к абонентам следует относиться одинаковым образом с точки зрения услуг, цены, качества обслуживания, вне зависимости от того, где и когда они получают доступ к услуге. </w:t>
      </w:r>
    </w:p>
    <w:p w:rsidR="00FC5283" w:rsidRPr="004E4873" w:rsidRDefault="00FC5283" w:rsidP="00FC5283">
      <w:r w:rsidRPr="004E4873">
        <w:t xml:space="preserve">Принимая во внимание, что универсальное обслуживание определяется как один из инструментов и одна из основных задач широкополосной связи, то с учетом международного характера данного фактора как наличие, так и приемлемость в ценовом отношении этой услуги в той или иной стране в целом в существенной степени будут увязаны со стоимостью международных интернет-соединений, вследствие чего государства должны включать в проводимый ими анализ присущие широкополосной связи характеристики, с тем чтобы учесть в проектах в области универсального обслуживания все внешние силы, которые предопределяют его успех в национальном масштабе. </w:t>
      </w:r>
    </w:p>
    <w:p w:rsidR="00FC5283" w:rsidRPr="004E4873" w:rsidRDefault="00FC5283" w:rsidP="00790687">
      <w:pPr>
        <w:pStyle w:val="Heading2"/>
        <w:rPr>
          <w:lang w:val="ru-RU"/>
        </w:rPr>
      </w:pPr>
      <w:bookmarkStart w:id="6" w:name="_Toc447875371"/>
      <w:r w:rsidRPr="004E4873">
        <w:rPr>
          <w:lang w:val="ru-RU"/>
        </w:rPr>
        <w:t>3.2</w:t>
      </w:r>
      <w:r w:rsidRPr="004E4873">
        <w:rPr>
          <w:lang w:val="ru-RU"/>
        </w:rPr>
        <w:tab/>
        <w:t>Определение внешних сил, предопределяющих успех проектов в области универсального обслуживания</w:t>
      </w:r>
      <w:bookmarkEnd w:id="6"/>
      <w:r w:rsidRPr="004E4873">
        <w:rPr>
          <w:lang w:val="ru-RU"/>
        </w:rPr>
        <w:t xml:space="preserve"> </w:t>
      </w:r>
    </w:p>
    <w:p w:rsidR="00FC5283" w:rsidRPr="004E4873" w:rsidRDefault="00FC5283" w:rsidP="00FC5283">
      <w:r w:rsidRPr="004E4873">
        <w:t xml:space="preserve">Государствам-Членам и регуляторным органам при разработке, адаптации или пересмотре направлений политики, нормативных положений или проектов в области универсального обслуживания/универсального доступа следует уделять особое внимание следующим моментам: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>Уровень конкуренции на рынке в обеспечении международной пропускной способности интернета как на местном, так и на региональном уровнях.</w:t>
      </w:r>
    </w:p>
    <w:p w:rsidR="00FC5283" w:rsidRPr="004E4873" w:rsidRDefault="00CA7F39" w:rsidP="00790687">
      <w:pPr>
        <w:pStyle w:val="enumlev1"/>
      </w:pPr>
      <w:r w:rsidRPr="004E4873">
        <w:lastRenderedPageBreak/>
        <w:t>–</w:t>
      </w:r>
      <w:r w:rsidR="00FC5283" w:rsidRPr="004E4873">
        <w:tab/>
        <w:t xml:space="preserve">Изменение цен и вопросов, связанных с налогообложением, для международного транзита, цен контрактов на неотъемлемое право пользования (IRU) или других видов контрактов на обеспечение международной пропускной способности интернета.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Способность заключать одноранговые контракты на обеспечение международной пропускной способности интернета между национальными операторами, региональными операторами и операторами других стран мира и способствовать их выполнению. </w:t>
      </w:r>
    </w:p>
    <w:p w:rsidR="00FC5283" w:rsidRPr="004E4873" w:rsidRDefault="00FC5283" w:rsidP="00790687">
      <w:pPr>
        <w:pStyle w:val="Heading2"/>
        <w:rPr>
          <w:lang w:val="ru-RU"/>
        </w:rPr>
      </w:pPr>
      <w:bookmarkStart w:id="7" w:name="_Toc447875372"/>
      <w:r w:rsidRPr="004E4873">
        <w:rPr>
          <w:lang w:val="ru-RU"/>
        </w:rPr>
        <w:t>3.3</w:t>
      </w:r>
      <w:r w:rsidRPr="004E4873">
        <w:rPr>
          <w:lang w:val="ru-RU"/>
        </w:rPr>
        <w:tab/>
        <w:t>Как проекты в области универсального обслуживания могут содействовать в решении проблемы ограничений пропускной способности, связанных с международными интернет-соединениями</w:t>
      </w:r>
      <w:bookmarkEnd w:id="7"/>
      <w:r w:rsidRPr="004E4873">
        <w:rPr>
          <w:lang w:val="ru-RU"/>
        </w:rPr>
        <w:t xml:space="preserve"> </w:t>
      </w:r>
    </w:p>
    <w:p w:rsidR="00FC5283" w:rsidRPr="004E4873" w:rsidRDefault="00FC5283" w:rsidP="00790687">
      <w:r w:rsidRPr="004E4873">
        <w:t xml:space="preserve">Администрациям и регуляторным органам Государств-Членов следует уменьшить воздействие экономических и контрактных условий международных интернет-соединений на уровень выполнения политики и проектов в области универсального обслуживания с помощью использования фондов универсального обслуживания для содействия осуществлению и поддержки следующих инициатив: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Создание и/или укрепление национальных или региональных </w:t>
      </w:r>
      <w:r w:rsidR="00FC5283" w:rsidRPr="004E4873">
        <w:rPr>
          <w:rFonts w:eastAsia="SimSun"/>
        </w:rPr>
        <w:t>пунктов обмена трафиком интернета (</w:t>
      </w:r>
      <w:r w:rsidR="00FC5283" w:rsidRPr="004E4873">
        <w:t>IXP).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Создание и/или укрепление центров обработки данных как на национальном, так и на региональном уровнях. </w:t>
      </w:r>
    </w:p>
    <w:p w:rsidR="00FC5283" w:rsidRPr="004E4873" w:rsidRDefault="00FC5283" w:rsidP="00790687">
      <w:pPr>
        <w:pStyle w:val="Heading1"/>
        <w:rPr>
          <w:lang w:val="ru-RU"/>
        </w:rPr>
      </w:pPr>
      <w:bookmarkStart w:id="8" w:name="_Toc447875373"/>
      <w:r w:rsidRPr="004E4873">
        <w:rPr>
          <w:lang w:val="ru-RU"/>
        </w:rPr>
        <w:t>4</w:t>
      </w:r>
      <w:r w:rsidRPr="004E4873">
        <w:rPr>
          <w:lang w:val="ru-RU"/>
        </w:rPr>
        <w:tab/>
        <w:t>Универсальное обслуживание в глобальном контексте</w:t>
      </w:r>
      <w:bookmarkEnd w:id="8"/>
    </w:p>
    <w:p w:rsidR="00FC5283" w:rsidRPr="004E4873" w:rsidRDefault="00FC5283" w:rsidP="00790687">
      <w:r w:rsidRPr="004E4873">
        <w:t xml:space="preserve">Если позволяет законодательство, то для того чтобы уменьшить общенациональное воздействие стоимости международных интернет-соединений в том или ином регионе или группе государств, администрации и регуляторные органы этих Государств-Членов могут заключать и выполнять двусторонние или многосторонние соглашения по инвестированию средств фондов универсального обслуживания в проекты по созданию общей инфраструктуры в качестве основы для </w:t>
      </w:r>
      <w:r w:rsidRPr="004E4873">
        <w:rPr>
          <w:color w:val="000000"/>
        </w:rPr>
        <w:t xml:space="preserve">обеспечения международной пропускной способности интернета. </w:t>
      </w:r>
    </w:p>
    <w:p w:rsidR="00FC5283" w:rsidRPr="004E4873" w:rsidRDefault="00FC5283" w:rsidP="00790687">
      <w:pPr>
        <w:pStyle w:val="Heading1"/>
        <w:rPr>
          <w:lang w:val="ru-RU"/>
        </w:rPr>
      </w:pPr>
      <w:bookmarkStart w:id="9" w:name="_Toc447875374"/>
      <w:r w:rsidRPr="004E4873">
        <w:rPr>
          <w:lang w:val="ru-RU"/>
        </w:rPr>
        <w:t>5</w:t>
      </w:r>
      <w:r w:rsidRPr="004E4873">
        <w:rPr>
          <w:lang w:val="ru-RU"/>
        </w:rPr>
        <w:tab/>
        <w:t>Руководящие указания по повышению эффективности политики в области универсального обслуживания и по соблюдению такой политики</w:t>
      </w:r>
      <w:bookmarkEnd w:id="9"/>
    </w:p>
    <w:p w:rsidR="00FC5283" w:rsidRPr="004E4873" w:rsidRDefault="00FC5283" w:rsidP="00790687">
      <w:r w:rsidRPr="004E4873">
        <w:t xml:space="preserve">Рекомендуется, чтобы Государства-Члены рассматривали следующие меры: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Способствовать тому, чтобы национальные и международные поставщики финансировали универсальное обслуживание в условиях прозрачности и недискриминации.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>Содействовать, по возможности, созданию партнерств государственного и частного секторов для подготовки проектов в области универсального обслуживания.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>Снижать стоимость международных интернет-соединений.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По возможности, способствовать снижению таможенных пошлин на оборудование электросвязи.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Способствовать инвестициям в услуги в сельских районах, в частности для учреждений здравоохранения и образования, даже если эффективность инвестиций заметна не сразу.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 xml:space="preserve">Повышать доступность новых технологий с конкретными целями развития широкополосных сетей и технологий, а также сетей сотовой подвижной связи следующего поколения. </w:t>
      </w:r>
    </w:p>
    <w:p w:rsidR="00FC5283" w:rsidRPr="004E4873" w:rsidRDefault="00CA7F39" w:rsidP="00790687">
      <w:pPr>
        <w:pStyle w:val="enumlev1"/>
      </w:pPr>
      <w:r w:rsidRPr="004E4873">
        <w:t>–</w:t>
      </w:r>
      <w:r w:rsidR="00FC5283" w:rsidRPr="004E4873">
        <w:tab/>
        <w:t>Обеспечивать условия, поддерживающие инвестиции несмотря на скорость, с которой становятся устаревшими современные сети и системы электросвязи.</w:t>
      </w:r>
    </w:p>
    <w:p w:rsidR="00FC5283" w:rsidRPr="004E4873" w:rsidRDefault="00CA7F39" w:rsidP="00790687">
      <w:pPr>
        <w:pStyle w:val="enumlev1"/>
      </w:pPr>
      <w:r w:rsidRPr="004E4873">
        <w:lastRenderedPageBreak/>
        <w:t>–</w:t>
      </w:r>
      <w:r w:rsidR="00FC5283" w:rsidRPr="004E4873">
        <w:tab/>
        <w:t>Соответствовать международным нормативным положениям, таким как Рекомендация МСЭ</w:t>
      </w:r>
      <w:r w:rsidR="00FC5283" w:rsidRPr="004E4873">
        <w:noBreakHyphen/>
        <w:t xml:space="preserve">Т D.50, которая содействует применению между странами платежных механизмов, учитывающих затраты развивающихся стран на доступ в интернет. </w:t>
      </w:r>
    </w:p>
    <w:p w:rsidR="00790687" w:rsidRPr="004E4873" w:rsidRDefault="00790687" w:rsidP="0032202E">
      <w:pPr>
        <w:pStyle w:val="Reasons"/>
      </w:pPr>
    </w:p>
    <w:p w:rsidR="00790687" w:rsidRPr="004E4873" w:rsidRDefault="00790687">
      <w:pPr>
        <w:jc w:val="center"/>
      </w:pPr>
      <w:r w:rsidRPr="004E4873">
        <w:t>______________</w:t>
      </w:r>
    </w:p>
    <w:sectPr w:rsidR="00790687" w:rsidRPr="004E487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0B" w:rsidRDefault="00C4430B">
      <w:r>
        <w:separator/>
      </w:r>
    </w:p>
  </w:endnote>
  <w:endnote w:type="continuationSeparator" w:id="0">
    <w:p w:rsidR="00C4430B" w:rsidRDefault="00C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6ADB">
      <w:rPr>
        <w:noProof/>
      </w:rPr>
      <w:t>01.07.16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26ADB" w:rsidRDefault="00826ADB" w:rsidP="00826ADB">
    <w:pPr>
      <w:pStyle w:val="Footer"/>
      <w:rPr>
        <w:lang w:val="fr-CH"/>
      </w:rPr>
    </w:pPr>
    <w:r w:rsidRPr="00B66F99">
      <w:rPr>
        <w:lang w:val="fr-CH"/>
      </w:rPr>
      <w:t>ITU-T\CONF-T\WTSA16\000\03</w:t>
    </w:r>
    <w:r>
      <w:rPr>
        <w:lang w:val="fr-CH"/>
      </w:rPr>
      <w:t>8R</w:t>
    </w:r>
    <w:r w:rsidRPr="00B66F9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26ADB" w:rsidRDefault="00826ADB" w:rsidP="00826ADB">
    <w:pPr>
      <w:pStyle w:val="Footer"/>
      <w:rPr>
        <w:lang w:val="fr-CH"/>
      </w:rPr>
    </w:pPr>
    <w:r w:rsidRPr="00B66F99">
      <w:rPr>
        <w:lang w:val="fr-CH"/>
      </w:rPr>
      <w:t>ITU-T\CONF-T\WTSA16\000\03</w:t>
    </w:r>
    <w:r>
      <w:rPr>
        <w:lang w:val="fr-CH"/>
      </w:rPr>
      <w:t>8</w:t>
    </w:r>
    <w:r>
      <w:rPr>
        <w:lang w:val="fr-CH"/>
      </w:rPr>
      <w:t>R</w:t>
    </w:r>
    <w:r w:rsidRPr="00B66F99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0B" w:rsidRDefault="00C4430B">
      <w:r>
        <w:rPr>
          <w:b/>
        </w:rPr>
        <w:t>_______________</w:t>
      </w:r>
    </w:p>
  </w:footnote>
  <w:footnote w:type="continuationSeparator" w:id="0">
    <w:p w:rsidR="00C4430B" w:rsidRDefault="00C4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26ADB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WTSA16/38-R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769B8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90D8B"/>
    <w:rsid w:val="001A5585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4873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20DD7"/>
    <w:rsid w:val="0062556C"/>
    <w:rsid w:val="00657DE0"/>
    <w:rsid w:val="00665A95"/>
    <w:rsid w:val="00687F81"/>
    <w:rsid w:val="00692C06"/>
    <w:rsid w:val="006A6E9B"/>
    <w:rsid w:val="007036B6"/>
    <w:rsid w:val="00730A90"/>
    <w:rsid w:val="00763F4F"/>
    <w:rsid w:val="00772EF8"/>
    <w:rsid w:val="00775720"/>
    <w:rsid w:val="00790687"/>
    <w:rsid w:val="007A08B5"/>
    <w:rsid w:val="00811633"/>
    <w:rsid w:val="00812452"/>
    <w:rsid w:val="00826ADB"/>
    <w:rsid w:val="00872232"/>
    <w:rsid w:val="00872FC8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E5FC8"/>
    <w:rsid w:val="00A0779E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C5313"/>
    <w:rsid w:val="00C20466"/>
    <w:rsid w:val="00C30A6E"/>
    <w:rsid w:val="00C324A8"/>
    <w:rsid w:val="00C4430B"/>
    <w:rsid w:val="00C56E7A"/>
    <w:rsid w:val="00C63928"/>
    <w:rsid w:val="00C72022"/>
    <w:rsid w:val="00CA7F39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528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C0398"/>
    <w:rsid w:val="006D0370"/>
    <w:rsid w:val="00811E71"/>
    <w:rsid w:val="00847326"/>
    <w:rsid w:val="008F6CE7"/>
    <w:rsid w:val="00954280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c76725-ee04-4aa6-b665-af6b41a93210" targetNamespace="http://schemas.microsoft.com/office/2006/metadata/properties" ma:root="true" ma:fieldsID="d41af5c836d734370eb92e7ee5f83852" ns2:_="" ns3:_="">
    <xsd:import namespace="996b2e75-67fd-4955-a3b0-5ab9934cb50b"/>
    <xsd:import namespace="06c76725-ee04-4aa6-b665-af6b41a932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6725-ee04-4aa6-b665-af6b41a932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c76725-ee04-4aa6-b665-af6b41a93210">Documents Proposals Manager (DPM)</DPM_x0020_Author>
    <DPM_x0020_File_x0020_name xmlns="06c76725-ee04-4aa6-b665-af6b41a93210">T13-WTSA.16-C-0038!!MSW-R</DPM_x0020_File_x0020_name>
    <DPM_x0020_Version xmlns="06c76725-ee04-4aa6-b665-af6b41a93210">DPM_v2016.6.21.1_prod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c76725-ee04-4aa6-b665-af6b41a93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www.w3.org/XML/1998/namespace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6c76725-ee04-4aa6-b665-af6b41a9321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07B50-6C03-4C4C-8217-56B56A79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1113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T13-WTSA.16-C-0038!!MSW-R</vt:lpstr>
    </vt:vector>
  </TitlesOfParts>
  <Manager>General Secretariat - Pool</Manager>
  <Company>International Telecommunication Union (ITU)</Company>
  <LinksUpToDate>false</LinksUpToDate>
  <CharactersWithSpaces>10091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T13-WTSA.16-C-0038!!MSW-R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Clark, Robert</cp:lastModifiedBy>
  <cp:revision>6</cp:revision>
  <cp:lastPrinted>2016-03-08T13:33:00Z</cp:lastPrinted>
  <dcterms:created xsi:type="dcterms:W3CDTF">2016-06-28T14:43:00Z</dcterms:created>
  <dcterms:modified xsi:type="dcterms:W3CDTF">2016-07-06T14:51:00Z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