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4A0" w:firstRow="1" w:lastRow="0" w:firstColumn="1" w:lastColumn="0" w:noHBand="0" w:noVBand="1"/>
      </w:tblPr>
      <w:tblGrid>
        <w:gridCol w:w="1383"/>
        <w:gridCol w:w="5231"/>
        <w:gridCol w:w="3197"/>
      </w:tblGrid>
      <w:tr w:rsidR="009759FE" w:rsidTr="00E2414B">
        <w:trPr>
          <w:cantSplit/>
        </w:trPr>
        <w:tc>
          <w:tcPr>
            <w:tcW w:w="1383" w:type="dxa"/>
            <w:vAlign w:val="center"/>
            <w:hideMark/>
          </w:tcPr>
          <w:p w:rsidR="009759FE" w:rsidRPr="00031E6B" w:rsidRDefault="009759FE" w:rsidP="00E2414B">
            <w:pPr>
              <w:spacing w:after="160"/>
              <w:rPr>
                <w:rFonts w:ascii="Verdana" w:hAnsi="Verdana" w:cs="Times New Roman Bold"/>
                <w:b/>
                <w:bCs/>
                <w:sz w:val="22"/>
                <w:szCs w:val="22"/>
              </w:rPr>
            </w:pPr>
            <w:r w:rsidRPr="00031E6B">
              <w:rPr>
                <w:noProof/>
                <w:lang w:eastAsia="zh-CN"/>
              </w:rPr>
              <w:drawing>
                <wp:inline distT="0" distB="0" distL="0" distR="0" wp14:anchorId="52D918C0" wp14:editId="6D975018">
                  <wp:extent cx="723900" cy="800100"/>
                  <wp:effectExtent l="0" t="0" r="0" b="0"/>
                  <wp:docPr id="5" name="Picture 5" descr="itu_logo" title="ITU logo"/>
                  <wp:cNvGraphicFramePr/>
                  <a:graphic xmlns:a="http://schemas.openxmlformats.org/drawingml/2006/main">
                    <a:graphicData uri="http://schemas.openxmlformats.org/drawingml/2006/picture">
                      <pic:pic xmlns:pic="http://schemas.openxmlformats.org/drawingml/2006/picture">
                        <pic:nvPicPr>
                          <pic:cNvPr id="3" name="Picture 3" descr="itu_logo" title="ITU logo"/>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7550" cy="799465"/>
                          </a:xfrm>
                          <a:prstGeom prst="rect">
                            <a:avLst/>
                          </a:prstGeom>
                          <a:noFill/>
                          <a:ln>
                            <a:noFill/>
                          </a:ln>
                        </pic:spPr>
                      </pic:pic>
                    </a:graphicData>
                  </a:graphic>
                </wp:inline>
              </w:drawing>
            </w:r>
          </w:p>
        </w:tc>
        <w:tc>
          <w:tcPr>
            <w:tcW w:w="5231" w:type="dxa"/>
            <w:vAlign w:val="center"/>
            <w:hideMark/>
          </w:tcPr>
          <w:p w:rsidR="009759FE" w:rsidRPr="00031E6B" w:rsidRDefault="009759FE" w:rsidP="00E2414B">
            <w:pPr>
              <w:rPr>
                <w:rFonts w:ascii="Verdana" w:hAnsi="Verdana" w:cs="Times New Roman Bold"/>
                <w:b/>
                <w:bCs/>
                <w:szCs w:val="24"/>
                <w:lang w:eastAsia="zh-CN"/>
              </w:rPr>
            </w:pPr>
            <w:r w:rsidRPr="00031E6B">
              <w:rPr>
                <w:rFonts w:ascii="Verdana" w:hAnsi="Verdana" w:cs="Times New Roman Bold" w:hint="eastAsia"/>
                <w:b/>
                <w:bCs/>
                <w:szCs w:val="24"/>
                <w:lang w:eastAsia="zh-CN"/>
              </w:rPr>
              <w:t>世界电信标准化全会</w:t>
            </w:r>
          </w:p>
          <w:p w:rsidR="009759FE" w:rsidRPr="00400909" w:rsidRDefault="009759FE" w:rsidP="00E2414B">
            <w:pPr>
              <w:rPr>
                <w:rFonts w:ascii="Verdana" w:hAnsi="Verdana" w:cs="Times New Roman Bold"/>
                <w:b/>
                <w:bCs/>
                <w:sz w:val="22"/>
                <w:szCs w:val="22"/>
                <w:lang w:eastAsia="zh-CN"/>
              </w:rPr>
            </w:pPr>
            <w:r w:rsidRPr="00400909">
              <w:rPr>
                <w:rFonts w:ascii="Verdana" w:hAnsi="Verdana" w:cs="Times New Roman Bold"/>
                <w:b/>
                <w:bCs/>
                <w:szCs w:val="24"/>
                <w:lang w:eastAsia="zh-CN"/>
              </w:rPr>
              <w:t>（</w:t>
            </w:r>
            <w:r w:rsidRPr="00400909">
              <w:rPr>
                <w:rFonts w:ascii="Verdana" w:hAnsi="Verdana" w:cs="Times New Roman Bold"/>
                <w:b/>
                <w:bCs/>
                <w:szCs w:val="24"/>
                <w:lang w:eastAsia="zh-CN"/>
              </w:rPr>
              <w:t>WTSA-16</w:t>
            </w:r>
            <w:r w:rsidRPr="00400909">
              <w:rPr>
                <w:rFonts w:ascii="Verdana" w:hAnsi="Verdana" w:cs="Times New Roman Bold"/>
                <w:b/>
                <w:bCs/>
                <w:szCs w:val="24"/>
                <w:lang w:eastAsia="zh-CN"/>
              </w:rPr>
              <w:t>）</w:t>
            </w:r>
            <w:r w:rsidRPr="00400909">
              <w:rPr>
                <w:rFonts w:ascii="Verdana" w:hAnsi="Verdana" w:cs="Times New Roman Bold"/>
                <w:b/>
                <w:bCs/>
                <w:lang w:eastAsia="zh-CN"/>
              </w:rPr>
              <w:br/>
            </w:r>
            <w:r w:rsidRPr="00400909">
              <w:rPr>
                <w:rFonts w:ascii="Verdana" w:hAnsi="Verdana" w:cs="Times New Roman Bold"/>
                <w:b/>
                <w:bCs/>
                <w:sz w:val="20"/>
                <w:lang w:eastAsia="zh-CN"/>
              </w:rPr>
              <w:t>2016</w:t>
            </w:r>
            <w:r w:rsidRPr="00400909">
              <w:rPr>
                <w:rFonts w:ascii="Verdana" w:hAnsi="Verdana" w:cs="Times New Roman Bold"/>
                <w:b/>
                <w:bCs/>
                <w:sz w:val="20"/>
                <w:lang w:eastAsia="zh-CN"/>
              </w:rPr>
              <w:t>年</w:t>
            </w:r>
            <w:r w:rsidRPr="00400909">
              <w:rPr>
                <w:rFonts w:ascii="Verdana" w:hAnsi="Verdana" w:cs="Times New Roman Bold"/>
                <w:b/>
                <w:bCs/>
                <w:sz w:val="20"/>
                <w:lang w:eastAsia="zh-CN"/>
              </w:rPr>
              <w:t>10</w:t>
            </w:r>
            <w:r w:rsidRPr="00400909">
              <w:rPr>
                <w:rFonts w:ascii="Verdana" w:hAnsi="Verdana" w:cs="Times New Roman Bold"/>
                <w:b/>
                <w:bCs/>
                <w:sz w:val="20"/>
                <w:lang w:eastAsia="zh-CN"/>
              </w:rPr>
              <w:t>月</w:t>
            </w:r>
            <w:r w:rsidRPr="00400909">
              <w:rPr>
                <w:rFonts w:ascii="Verdana" w:hAnsi="Verdana" w:cs="Times New Roman Bold"/>
                <w:b/>
                <w:bCs/>
                <w:sz w:val="20"/>
                <w:lang w:eastAsia="zh-CN"/>
              </w:rPr>
              <w:t>25</w:t>
            </w:r>
            <w:r w:rsidRPr="00400909">
              <w:rPr>
                <w:rFonts w:ascii="Verdana" w:hAnsi="Verdana" w:cs="Times New Roman Bold"/>
                <w:b/>
                <w:bCs/>
                <w:sz w:val="20"/>
                <w:lang w:eastAsia="zh-CN"/>
              </w:rPr>
              <w:t>日</w:t>
            </w:r>
            <w:r w:rsidRPr="00400909">
              <w:rPr>
                <w:rFonts w:ascii="Verdana" w:hAnsi="Verdana" w:cs="Times New Roman Bold"/>
                <w:b/>
                <w:bCs/>
                <w:sz w:val="20"/>
                <w:lang w:eastAsia="zh-CN"/>
              </w:rPr>
              <w:t>-11</w:t>
            </w:r>
            <w:r w:rsidRPr="00400909">
              <w:rPr>
                <w:rFonts w:ascii="Verdana" w:hAnsi="Verdana" w:cs="Times New Roman Bold"/>
                <w:b/>
                <w:bCs/>
                <w:sz w:val="20"/>
                <w:lang w:eastAsia="zh-CN"/>
              </w:rPr>
              <w:t>月</w:t>
            </w:r>
            <w:r w:rsidRPr="00400909">
              <w:rPr>
                <w:rFonts w:ascii="Verdana" w:hAnsi="Verdana" w:cs="Times New Roman Bold"/>
                <w:b/>
                <w:bCs/>
                <w:sz w:val="20"/>
                <w:lang w:eastAsia="zh-CN"/>
              </w:rPr>
              <w:t>3</w:t>
            </w:r>
            <w:r w:rsidRPr="00400909">
              <w:rPr>
                <w:rFonts w:ascii="Verdana" w:hAnsi="Verdana" w:cs="Times New Roman Bold"/>
                <w:b/>
                <w:bCs/>
                <w:sz w:val="20"/>
                <w:lang w:eastAsia="zh-CN"/>
              </w:rPr>
              <w:t>日，哈马马特</w:t>
            </w:r>
            <w:r w:rsidR="00E4252D" w:rsidRPr="00400909">
              <w:rPr>
                <w:rFonts w:ascii="Verdana" w:hAnsi="Verdana" w:cs="Times New Roman Bold"/>
                <w:b/>
                <w:bCs/>
                <w:sz w:val="20"/>
                <w:lang w:eastAsia="zh-CN"/>
              </w:rPr>
              <w:t>-</w:t>
            </w:r>
            <w:r w:rsidR="00E4252D" w:rsidRPr="00400909">
              <w:rPr>
                <w:rFonts w:ascii="Verdana" w:hAnsi="Verdana" w:cs="Times New Roman Bold"/>
                <w:b/>
                <w:bCs/>
                <w:sz w:val="20"/>
                <w:lang w:eastAsia="zh-CN"/>
              </w:rPr>
              <w:t>亚斯敏</w:t>
            </w:r>
          </w:p>
        </w:tc>
        <w:tc>
          <w:tcPr>
            <w:tcW w:w="3197" w:type="dxa"/>
            <w:vAlign w:val="center"/>
            <w:hideMark/>
          </w:tcPr>
          <w:p w:rsidR="009759FE" w:rsidRPr="00031E6B" w:rsidRDefault="009759FE" w:rsidP="00E2414B">
            <w:pPr>
              <w:spacing w:after="160"/>
              <w:jc w:val="right"/>
              <w:rPr>
                <w:sz w:val="22"/>
                <w:szCs w:val="22"/>
              </w:rPr>
            </w:pPr>
            <w:r w:rsidRPr="00031E6B">
              <w:rPr>
                <w:noProof/>
                <w:lang w:eastAsia="zh-CN"/>
              </w:rPr>
              <w:drawing>
                <wp:inline distT="0" distB="0" distL="0" distR="0" wp14:anchorId="60E89A75" wp14:editId="567A7084">
                  <wp:extent cx="885825" cy="790575"/>
                  <wp:effectExtent l="0" t="0" r="9525" b="9525"/>
                  <wp:docPr id="4" name="Picture 4" descr="Title: 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CCITT/ITU-T 60th Anniversary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5825" cy="790575"/>
                          </a:xfrm>
                          <a:prstGeom prst="rect">
                            <a:avLst/>
                          </a:prstGeom>
                          <a:noFill/>
                          <a:ln>
                            <a:noFill/>
                          </a:ln>
                        </pic:spPr>
                      </pic:pic>
                    </a:graphicData>
                  </a:graphic>
                </wp:inline>
              </w:drawing>
            </w:r>
          </w:p>
        </w:tc>
      </w:tr>
      <w:tr w:rsidR="009759FE" w:rsidRPr="000A3B30" w:rsidTr="00E2414B">
        <w:trPr>
          <w:cantSplit/>
        </w:trPr>
        <w:tc>
          <w:tcPr>
            <w:tcW w:w="6614" w:type="dxa"/>
            <w:gridSpan w:val="2"/>
            <w:tcBorders>
              <w:top w:val="nil"/>
              <w:left w:val="nil"/>
              <w:bottom w:val="single" w:sz="12" w:space="0" w:color="auto"/>
              <w:right w:val="nil"/>
            </w:tcBorders>
          </w:tcPr>
          <w:p w:rsidR="009759FE" w:rsidRPr="000A3B30" w:rsidRDefault="009759FE" w:rsidP="00E2414B">
            <w:pPr>
              <w:spacing w:before="0"/>
              <w:rPr>
                <w:rFonts w:eastAsia="Times New Roman"/>
              </w:rPr>
            </w:pPr>
          </w:p>
        </w:tc>
        <w:tc>
          <w:tcPr>
            <w:tcW w:w="3197" w:type="dxa"/>
            <w:tcBorders>
              <w:top w:val="nil"/>
              <w:left w:val="nil"/>
              <w:bottom w:val="single" w:sz="12" w:space="0" w:color="auto"/>
              <w:right w:val="nil"/>
            </w:tcBorders>
          </w:tcPr>
          <w:p w:rsidR="009759FE" w:rsidRPr="000A3B30" w:rsidRDefault="009759FE" w:rsidP="00E2414B">
            <w:pPr>
              <w:spacing w:before="0"/>
              <w:rPr>
                <w:rFonts w:eastAsia="Times New Roman"/>
              </w:rPr>
            </w:pPr>
          </w:p>
        </w:tc>
      </w:tr>
      <w:tr w:rsidR="009759FE" w:rsidTr="00E2414B">
        <w:trPr>
          <w:cantSplit/>
        </w:trPr>
        <w:tc>
          <w:tcPr>
            <w:tcW w:w="6614" w:type="dxa"/>
            <w:gridSpan w:val="2"/>
            <w:tcBorders>
              <w:top w:val="single" w:sz="12" w:space="0" w:color="auto"/>
              <w:left w:val="nil"/>
              <w:bottom w:val="nil"/>
              <w:right w:val="nil"/>
            </w:tcBorders>
          </w:tcPr>
          <w:p w:rsidR="009759FE" w:rsidRPr="00400909" w:rsidRDefault="009759FE" w:rsidP="00E2414B">
            <w:pPr>
              <w:spacing w:before="0"/>
              <w:rPr>
                <w:rFonts w:eastAsia="Times New Roman"/>
              </w:rPr>
            </w:pPr>
          </w:p>
        </w:tc>
        <w:tc>
          <w:tcPr>
            <w:tcW w:w="3197" w:type="dxa"/>
          </w:tcPr>
          <w:p w:rsidR="009759FE" w:rsidRPr="00031E6B" w:rsidRDefault="009759FE" w:rsidP="00E2414B">
            <w:pPr>
              <w:spacing w:before="0"/>
              <w:rPr>
                <w:rFonts w:ascii="Verdana" w:hAnsi="Verdana"/>
                <w:b/>
                <w:bCs/>
                <w:sz w:val="20"/>
                <w:szCs w:val="22"/>
              </w:rPr>
            </w:pPr>
          </w:p>
        </w:tc>
      </w:tr>
      <w:tr w:rsidR="000A3B30" w:rsidTr="00E2414B">
        <w:trPr>
          <w:cantSplit/>
        </w:trPr>
        <w:tc>
          <w:tcPr>
            <w:tcW w:w="6614" w:type="dxa"/>
            <w:gridSpan w:val="2"/>
          </w:tcPr>
          <w:p w:rsidR="000A3B30" w:rsidRPr="00031E6B" w:rsidRDefault="000A3B30" w:rsidP="00E2414B">
            <w:pPr>
              <w:spacing w:before="0"/>
              <w:rPr>
                <w:sz w:val="22"/>
                <w:szCs w:val="22"/>
              </w:rPr>
            </w:pPr>
            <w:proofErr w:type="spellStart"/>
            <w:r w:rsidRPr="00A466E6">
              <w:rPr>
                <w:rFonts w:ascii="Verdana" w:hAnsi="Verdana"/>
                <w:b/>
                <w:sz w:val="20"/>
              </w:rPr>
              <w:t>全体会议</w:t>
            </w:r>
            <w:proofErr w:type="spellEnd"/>
          </w:p>
        </w:tc>
        <w:tc>
          <w:tcPr>
            <w:tcW w:w="3197" w:type="dxa"/>
            <w:hideMark/>
          </w:tcPr>
          <w:p w:rsidR="000A3B30" w:rsidRPr="009823F4" w:rsidRDefault="000A3B30" w:rsidP="00E2414B">
            <w:pPr>
              <w:spacing w:before="0"/>
              <w:rPr>
                <w:rFonts w:ascii="Calibri" w:hAnsi="Calibri"/>
                <w:sz w:val="20"/>
              </w:rPr>
            </w:pPr>
            <w:proofErr w:type="spellStart"/>
            <w:r w:rsidRPr="009823F4">
              <w:rPr>
                <w:rFonts w:ascii="Calibri" w:hAnsi="Calibri" w:cs="Traditional Arabic"/>
                <w:b/>
                <w:sz w:val="20"/>
              </w:rPr>
              <w:t>文件</w:t>
            </w:r>
            <w:proofErr w:type="spellEnd"/>
            <w:r w:rsidRPr="009823F4">
              <w:rPr>
                <w:rFonts w:ascii="Calibri" w:hAnsi="Calibri" w:cs="Traditional Arabic"/>
                <w:b/>
                <w:sz w:val="20"/>
              </w:rPr>
              <w:t xml:space="preserve"> </w:t>
            </w:r>
            <w:r w:rsidRPr="009823F4">
              <w:rPr>
                <w:rFonts w:ascii="Verdana" w:hAnsi="Verdana"/>
                <w:b/>
                <w:bCs/>
                <w:sz w:val="20"/>
              </w:rPr>
              <w:t>38-C</w:t>
            </w:r>
          </w:p>
        </w:tc>
      </w:tr>
      <w:tr w:rsidR="000A3B30" w:rsidTr="00E2414B">
        <w:trPr>
          <w:cantSplit/>
        </w:trPr>
        <w:tc>
          <w:tcPr>
            <w:tcW w:w="6614" w:type="dxa"/>
            <w:gridSpan w:val="2"/>
          </w:tcPr>
          <w:p w:rsidR="000A3B30" w:rsidRPr="00C324A8" w:rsidRDefault="000A3B30" w:rsidP="00E2414B">
            <w:pPr>
              <w:spacing w:before="0"/>
              <w:rPr>
                <w:rFonts w:ascii="Verdana" w:hAnsi="Verdana"/>
                <w:b/>
                <w:smallCaps/>
                <w:sz w:val="20"/>
              </w:rPr>
            </w:pPr>
          </w:p>
        </w:tc>
        <w:tc>
          <w:tcPr>
            <w:tcW w:w="3197" w:type="dxa"/>
            <w:hideMark/>
          </w:tcPr>
          <w:p w:rsidR="000A3B30" w:rsidRPr="009823F4" w:rsidRDefault="000A3B30" w:rsidP="00E2414B">
            <w:pPr>
              <w:spacing w:before="0"/>
              <w:rPr>
                <w:rFonts w:ascii="Calibri" w:hAnsi="Calibri"/>
                <w:sz w:val="20"/>
              </w:rPr>
            </w:pPr>
            <w:r w:rsidRPr="009823F4">
              <w:rPr>
                <w:rFonts w:ascii="Verdana" w:hAnsi="Verdana"/>
                <w:b/>
                <w:bCs/>
                <w:sz w:val="20"/>
              </w:rPr>
              <w:t>2016</w:t>
            </w:r>
            <w:r w:rsidRPr="009823F4">
              <w:rPr>
                <w:rFonts w:ascii="Calibri" w:hAnsi="Calibri"/>
                <w:b/>
                <w:bCs/>
                <w:sz w:val="20"/>
              </w:rPr>
              <w:t>年</w:t>
            </w:r>
            <w:r w:rsidRPr="009823F4">
              <w:rPr>
                <w:rFonts w:ascii="Verdana" w:hAnsi="Verdana"/>
                <w:b/>
                <w:bCs/>
                <w:sz w:val="20"/>
              </w:rPr>
              <w:t>6</w:t>
            </w:r>
            <w:r w:rsidRPr="009823F4">
              <w:rPr>
                <w:rFonts w:ascii="Calibri" w:hAnsi="Calibri"/>
                <w:b/>
                <w:bCs/>
                <w:sz w:val="20"/>
              </w:rPr>
              <w:t>月</w:t>
            </w:r>
          </w:p>
        </w:tc>
      </w:tr>
      <w:tr w:rsidR="000A3B30" w:rsidTr="00E2414B">
        <w:trPr>
          <w:cantSplit/>
        </w:trPr>
        <w:tc>
          <w:tcPr>
            <w:tcW w:w="6614" w:type="dxa"/>
            <w:gridSpan w:val="2"/>
          </w:tcPr>
          <w:p w:rsidR="000A3B30" w:rsidRPr="00031E6B" w:rsidRDefault="000A3B30" w:rsidP="00E2414B">
            <w:pPr>
              <w:spacing w:before="0"/>
              <w:rPr>
                <w:sz w:val="22"/>
                <w:szCs w:val="22"/>
              </w:rPr>
            </w:pPr>
          </w:p>
        </w:tc>
        <w:tc>
          <w:tcPr>
            <w:tcW w:w="3197" w:type="dxa"/>
            <w:hideMark/>
          </w:tcPr>
          <w:p w:rsidR="000A3B30" w:rsidRPr="009823F4" w:rsidRDefault="000A3B30" w:rsidP="00E57A6A">
            <w:pPr>
              <w:spacing w:before="0"/>
              <w:rPr>
                <w:rFonts w:ascii="Calibri" w:hAnsi="Calibri"/>
                <w:sz w:val="20"/>
                <w:lang w:eastAsia="zh-CN"/>
              </w:rPr>
            </w:pPr>
            <w:proofErr w:type="spellStart"/>
            <w:r w:rsidRPr="009823F4">
              <w:rPr>
                <w:rFonts w:ascii="Calibri" w:hAnsi="Calibri"/>
                <w:b/>
                <w:bCs/>
                <w:sz w:val="20"/>
              </w:rPr>
              <w:t>原文</w:t>
            </w:r>
            <w:proofErr w:type="spellEnd"/>
            <w:r w:rsidRPr="009823F4">
              <w:rPr>
                <w:rFonts w:ascii="Calibri" w:hAnsi="Calibri"/>
                <w:b/>
                <w:bCs/>
                <w:sz w:val="20"/>
              </w:rPr>
              <w:t>：</w:t>
            </w:r>
            <w:r w:rsidR="00E57A6A" w:rsidRPr="009823F4">
              <w:rPr>
                <w:rFonts w:ascii="Calibri" w:hAnsi="Calibri" w:hint="eastAsia"/>
                <w:b/>
                <w:bCs/>
                <w:sz w:val="20"/>
                <w:lang w:eastAsia="zh-CN"/>
              </w:rPr>
              <w:t>英文</w:t>
            </w:r>
          </w:p>
        </w:tc>
      </w:tr>
      <w:tr w:rsidR="009D164C" w:rsidTr="00E2414B">
        <w:trPr>
          <w:cantSplit/>
        </w:trPr>
        <w:tc>
          <w:tcPr>
            <w:tcW w:w="9811" w:type="dxa"/>
            <w:gridSpan w:val="3"/>
          </w:tcPr>
          <w:p w:rsidR="009D164C" w:rsidRPr="00031E6B" w:rsidRDefault="009D164C" w:rsidP="00E2414B">
            <w:pPr>
              <w:spacing w:before="0"/>
              <w:rPr>
                <w:rFonts w:ascii="Verdana" w:hAnsi="Verdana"/>
                <w:b/>
                <w:bCs/>
                <w:sz w:val="20"/>
                <w:szCs w:val="22"/>
              </w:rPr>
            </w:pPr>
          </w:p>
        </w:tc>
      </w:tr>
      <w:tr w:rsidR="000A3B30" w:rsidTr="00E2414B">
        <w:trPr>
          <w:cantSplit/>
        </w:trPr>
        <w:tc>
          <w:tcPr>
            <w:tcW w:w="9811" w:type="dxa"/>
            <w:gridSpan w:val="3"/>
            <w:hideMark/>
          </w:tcPr>
          <w:p w:rsidR="000A3B30" w:rsidRPr="00031E6B" w:rsidRDefault="000A3B30" w:rsidP="00E2414B">
            <w:pPr>
              <w:pStyle w:val="Source"/>
              <w:rPr>
                <w:lang w:eastAsia="zh-CN"/>
              </w:rPr>
            </w:pPr>
            <w:r w:rsidRPr="000273B7">
              <w:t xml:space="preserve">ITU-T </w:t>
            </w:r>
            <w:r w:rsidRPr="000273B7">
              <w:t>第</w:t>
            </w:r>
            <w:r w:rsidRPr="000273B7">
              <w:t>3</w:t>
            </w:r>
            <w:proofErr w:type="spellStart"/>
            <w:r w:rsidRPr="000273B7">
              <w:t>研究组</w:t>
            </w:r>
            <w:proofErr w:type="spellEnd"/>
          </w:p>
        </w:tc>
      </w:tr>
      <w:tr w:rsidR="000A3B30" w:rsidTr="00E2414B">
        <w:trPr>
          <w:cantSplit/>
        </w:trPr>
        <w:tc>
          <w:tcPr>
            <w:tcW w:w="9811" w:type="dxa"/>
            <w:gridSpan w:val="3"/>
            <w:hideMark/>
          </w:tcPr>
          <w:p w:rsidR="000A3B30" w:rsidRPr="000625B5" w:rsidRDefault="00A377AC" w:rsidP="00562AD1">
            <w:pPr>
              <w:pStyle w:val="Title1"/>
              <w:rPr>
                <w:rFonts w:ascii="Verdana" w:hAnsi="Verdana"/>
                <w:lang w:val="en-US" w:eastAsia="zh-CN"/>
              </w:rPr>
            </w:pPr>
            <w:r>
              <w:rPr>
                <w:rFonts w:hint="eastAsia"/>
                <w:lang w:val="en-US" w:eastAsia="zh-CN"/>
              </w:rPr>
              <w:t>提议</w:t>
            </w:r>
            <w:r w:rsidR="00562AD1">
              <w:rPr>
                <w:rFonts w:hint="eastAsia"/>
                <w:lang w:val="en-US" w:eastAsia="zh-CN"/>
              </w:rPr>
              <w:t>由</w:t>
            </w:r>
            <w:r w:rsidR="00562AD1">
              <w:rPr>
                <w:lang w:val="en-US" w:eastAsia="zh-CN"/>
              </w:rPr>
              <w:t>世界电信标准化全会（</w:t>
            </w:r>
            <w:r w:rsidRPr="000273B7">
              <w:rPr>
                <w:lang w:eastAsia="zh-CN"/>
              </w:rPr>
              <w:t>WTSA-16</w:t>
            </w:r>
            <w:r w:rsidR="00562AD1">
              <w:rPr>
                <w:rFonts w:hint="eastAsia"/>
                <w:lang w:eastAsia="zh-CN"/>
              </w:rPr>
              <w:t>）</w:t>
            </w:r>
            <w:r w:rsidR="00562AD1">
              <w:rPr>
                <w:lang w:eastAsia="zh-CN"/>
              </w:rPr>
              <w:br/>
            </w:r>
            <w:r>
              <w:rPr>
                <w:rFonts w:hint="eastAsia"/>
                <w:lang w:eastAsia="zh-CN"/>
              </w:rPr>
              <w:t>批准的</w:t>
            </w:r>
            <w:r w:rsidRPr="009823F4">
              <w:rPr>
                <w:rFonts w:hint="eastAsia"/>
                <w:lang w:val="en-US" w:eastAsia="zh-CN"/>
              </w:rPr>
              <w:t>ITU-T</w:t>
            </w:r>
            <w:r w:rsidRPr="009823F4">
              <w:rPr>
                <w:lang w:val="en-US" w:eastAsia="zh-CN"/>
              </w:rPr>
              <w:t xml:space="preserve"> D.53</w:t>
            </w:r>
            <w:r>
              <w:rPr>
                <w:rFonts w:hint="eastAsia"/>
                <w:lang w:val="en-US" w:eastAsia="zh-CN"/>
              </w:rPr>
              <w:t>新</w:t>
            </w:r>
            <w:r w:rsidRPr="009823F4">
              <w:rPr>
                <w:rFonts w:hint="eastAsia"/>
                <w:lang w:val="en-US" w:eastAsia="zh-CN"/>
              </w:rPr>
              <w:t>建议书草案</w:t>
            </w:r>
            <w:r w:rsidR="000625B5">
              <w:rPr>
                <w:lang w:val="en-US" w:eastAsia="zh-CN"/>
              </w:rPr>
              <w:br/>
            </w:r>
            <w:r w:rsidR="000625B5">
              <w:rPr>
                <w:rFonts w:hint="eastAsia"/>
                <w:lang w:val="en-US" w:eastAsia="zh-CN"/>
              </w:rPr>
              <w:t>“普遍</w:t>
            </w:r>
            <w:r w:rsidR="000625B5">
              <w:rPr>
                <w:lang w:val="en-US" w:eastAsia="zh-CN"/>
              </w:rPr>
              <w:t>服务的国际问题</w:t>
            </w:r>
            <w:r w:rsidR="000625B5">
              <w:rPr>
                <w:rFonts w:hint="eastAsia"/>
                <w:lang w:val="en-US" w:eastAsia="zh-CN"/>
              </w:rPr>
              <w:t>”</w:t>
            </w:r>
          </w:p>
        </w:tc>
      </w:tr>
      <w:tr w:rsidR="000A3B30" w:rsidTr="00E2414B">
        <w:trPr>
          <w:cantSplit/>
        </w:trPr>
        <w:tc>
          <w:tcPr>
            <w:tcW w:w="9811" w:type="dxa"/>
            <w:gridSpan w:val="3"/>
            <w:hideMark/>
          </w:tcPr>
          <w:p w:rsidR="000A3B30" w:rsidRPr="00400909" w:rsidRDefault="000A3B30" w:rsidP="00E2414B">
            <w:pPr>
              <w:pStyle w:val="Title2"/>
              <w:rPr>
                <w:rFonts w:ascii="Verdana" w:hAnsi="Verdana"/>
                <w:lang w:eastAsia="zh-CN"/>
              </w:rPr>
            </w:pPr>
          </w:p>
        </w:tc>
      </w:tr>
      <w:tr w:rsidR="000A3B30" w:rsidTr="00E2414B">
        <w:trPr>
          <w:cantSplit/>
        </w:trPr>
        <w:tc>
          <w:tcPr>
            <w:tcW w:w="9811" w:type="dxa"/>
            <w:gridSpan w:val="3"/>
          </w:tcPr>
          <w:p w:rsidR="000A3B30" w:rsidRPr="000273B7" w:rsidRDefault="000A3B30" w:rsidP="00E2414B">
            <w:pPr>
              <w:pStyle w:val="Agendaitem"/>
            </w:pPr>
          </w:p>
        </w:tc>
      </w:tr>
    </w:tbl>
    <w:p w:rsidR="003556C0" w:rsidRDefault="003556C0" w:rsidP="003556C0">
      <w:pPr>
        <w:rPr>
          <w:lang w:val="en-US" w:eastAsia="zh-CN"/>
        </w:rPr>
      </w:pPr>
    </w:p>
    <w:tbl>
      <w:tblPr>
        <w:tblW w:w="5089" w:type="pct"/>
        <w:tblLayout w:type="fixed"/>
        <w:tblLook w:val="0000" w:firstRow="0" w:lastRow="0" w:firstColumn="0" w:lastColumn="0" w:noHBand="0" w:noVBand="0"/>
      </w:tblPr>
      <w:tblGrid>
        <w:gridCol w:w="993"/>
        <w:gridCol w:w="8818"/>
      </w:tblGrid>
      <w:tr w:rsidR="003556C0" w:rsidRPr="00426748" w:rsidTr="00E33FE7">
        <w:trPr>
          <w:cantSplit/>
        </w:trPr>
        <w:tc>
          <w:tcPr>
            <w:tcW w:w="993" w:type="dxa"/>
          </w:tcPr>
          <w:p w:rsidR="003556C0" w:rsidRPr="00426748" w:rsidRDefault="003556C0" w:rsidP="00193AD1">
            <w:pPr>
              <w:rPr>
                <w:lang w:eastAsia="zh-CN"/>
              </w:rPr>
            </w:pPr>
            <w:proofErr w:type="spellStart"/>
            <w:r w:rsidRPr="001051B1">
              <w:rPr>
                <w:rFonts w:hint="eastAsia"/>
                <w:b/>
                <w:bCs/>
              </w:rPr>
              <w:t>摘要</w:t>
            </w:r>
            <w:proofErr w:type="spellEnd"/>
            <w:r w:rsidR="00E33FE7">
              <w:rPr>
                <w:rFonts w:hint="eastAsia"/>
                <w:b/>
                <w:bCs/>
                <w:lang w:eastAsia="zh-CN"/>
              </w:rPr>
              <w:t>：</w:t>
            </w:r>
          </w:p>
        </w:tc>
        <w:sdt>
          <w:sdtPr>
            <w:rPr>
              <w:lang w:val="en-US" w:eastAsia="zh-CN"/>
            </w:rPr>
            <w:alias w:val="Abstract"/>
            <w:tag w:val="Abstract"/>
            <w:id w:val="-424116133"/>
            <w:placeholder>
              <w:docPart w:val="97CEC5FC6DBD42FF9D9359ED0453BFF4"/>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818" w:type="dxa"/>
              </w:tcPr>
              <w:p w:rsidR="003556C0" w:rsidRPr="00426748" w:rsidRDefault="00E33FE7" w:rsidP="00803C32">
                <w:pPr>
                  <w:rPr>
                    <w:lang w:eastAsia="zh-CN"/>
                  </w:rPr>
                </w:pPr>
                <w:r w:rsidRPr="00A377AC">
                  <w:rPr>
                    <w:rFonts w:hint="eastAsia"/>
                    <w:lang w:val="en-US" w:eastAsia="zh-CN"/>
                  </w:rPr>
                  <w:t>WTSA-16</w:t>
                </w:r>
                <w:r>
                  <w:rPr>
                    <w:rFonts w:hint="eastAsia"/>
                    <w:lang w:val="en-US" w:eastAsia="zh-CN"/>
                  </w:rPr>
                  <w:t>第</w:t>
                </w:r>
                <w:r w:rsidRPr="00497A12">
                  <w:rPr>
                    <w:lang w:val="en-US" w:eastAsia="zh-CN"/>
                  </w:rPr>
                  <w:t>38</w:t>
                </w:r>
                <w:r>
                  <w:rPr>
                    <w:rFonts w:hint="eastAsia"/>
                    <w:lang w:val="en-US" w:eastAsia="zh-CN"/>
                  </w:rPr>
                  <w:t>号文件</w:t>
                </w:r>
                <w:r w:rsidRPr="00A377AC">
                  <w:rPr>
                    <w:rFonts w:hint="eastAsia"/>
                    <w:lang w:val="en-US" w:eastAsia="zh-CN"/>
                  </w:rPr>
                  <w:t>含</w:t>
                </w:r>
                <w:r>
                  <w:rPr>
                    <w:rFonts w:hint="eastAsia"/>
                    <w:lang w:val="en-US" w:eastAsia="zh-CN"/>
                  </w:rPr>
                  <w:t>有待</w:t>
                </w:r>
                <w:r w:rsidRPr="00A377AC">
                  <w:rPr>
                    <w:rFonts w:hint="eastAsia"/>
                    <w:lang w:val="en-US" w:eastAsia="zh-CN"/>
                  </w:rPr>
                  <w:t>WTSA-16</w:t>
                </w:r>
                <w:r>
                  <w:rPr>
                    <w:rFonts w:hint="eastAsia"/>
                    <w:lang w:val="en-US" w:eastAsia="zh-CN"/>
                  </w:rPr>
                  <w:t>批准的</w:t>
                </w:r>
                <w:r>
                  <w:rPr>
                    <w:lang w:val="en-US" w:eastAsia="zh-CN"/>
                  </w:rPr>
                  <w:t>ITU-T D.53</w:t>
                </w:r>
                <w:r>
                  <w:rPr>
                    <w:rFonts w:hint="eastAsia"/>
                    <w:lang w:val="en-US" w:eastAsia="zh-CN"/>
                  </w:rPr>
                  <w:t>新</w:t>
                </w:r>
                <w:r>
                  <w:rPr>
                    <w:lang w:val="en-US" w:eastAsia="zh-CN"/>
                  </w:rPr>
                  <w:t>建议书草案。本文件</w:t>
                </w:r>
                <w:r>
                  <w:rPr>
                    <w:rFonts w:hint="eastAsia"/>
                    <w:lang w:val="en-US" w:eastAsia="zh-CN"/>
                  </w:rPr>
                  <w:t>的</w:t>
                </w:r>
                <w:r w:rsidRPr="00A377AC">
                  <w:rPr>
                    <w:rFonts w:hint="eastAsia"/>
                    <w:lang w:val="en-US" w:eastAsia="zh-CN"/>
                  </w:rPr>
                  <w:t>内容</w:t>
                </w:r>
                <w:r>
                  <w:rPr>
                    <w:rFonts w:hint="eastAsia"/>
                    <w:lang w:val="en-US" w:eastAsia="zh-CN"/>
                  </w:rPr>
                  <w:t>与</w:t>
                </w:r>
                <w:r w:rsidRPr="005541F9">
                  <w:rPr>
                    <w:lang w:val="en-US" w:eastAsia="zh-CN"/>
                  </w:rPr>
                  <w:t>COM3-R18</w:t>
                </w:r>
                <w:r>
                  <w:rPr>
                    <w:rFonts w:hint="eastAsia"/>
                    <w:lang w:val="en-US" w:eastAsia="zh-CN"/>
                  </w:rPr>
                  <w:t>号</w:t>
                </w:r>
                <w:r>
                  <w:rPr>
                    <w:lang w:val="en-US" w:eastAsia="zh-CN"/>
                  </w:rPr>
                  <w:t>文件</w:t>
                </w:r>
                <w:r w:rsidRPr="00A377AC">
                  <w:rPr>
                    <w:rFonts w:hint="eastAsia"/>
                    <w:lang w:val="en-US" w:eastAsia="zh-CN"/>
                  </w:rPr>
                  <w:t>相同</w:t>
                </w:r>
                <w:r>
                  <w:rPr>
                    <w:rFonts w:hint="eastAsia"/>
                    <w:lang w:val="en-US" w:eastAsia="zh-CN"/>
                  </w:rPr>
                  <w:t>。</w:t>
                </w:r>
              </w:p>
            </w:tc>
          </w:sdtContent>
        </w:sdt>
      </w:tr>
    </w:tbl>
    <w:p w:rsidR="005C7B12" w:rsidRDefault="005C7B12" w:rsidP="006F409E">
      <w:pPr>
        <w:rPr>
          <w:lang w:eastAsia="zh-CN"/>
        </w:rPr>
      </w:pPr>
    </w:p>
    <w:p w:rsidR="00502B2E" w:rsidRDefault="00502B2E">
      <w:pPr>
        <w:tabs>
          <w:tab w:val="clear" w:pos="1134"/>
          <w:tab w:val="clear" w:pos="1871"/>
          <w:tab w:val="clear" w:pos="2268"/>
        </w:tabs>
        <w:overflowPunct/>
        <w:autoSpaceDE/>
        <w:autoSpaceDN/>
        <w:adjustRightInd/>
        <w:spacing w:before="0"/>
        <w:textAlignment w:val="auto"/>
        <w:rPr>
          <w:lang w:eastAsia="zh-CN"/>
        </w:rPr>
      </w:pPr>
      <w:r>
        <w:rPr>
          <w:lang w:eastAsia="zh-CN"/>
        </w:rPr>
        <w:br w:type="page"/>
      </w:r>
      <w:bookmarkStart w:id="0" w:name="_GoBack"/>
      <w:bookmarkEnd w:id="0"/>
    </w:p>
    <w:p w:rsidR="005C7B12" w:rsidRDefault="005C7B12">
      <w:pPr>
        <w:tabs>
          <w:tab w:val="clear" w:pos="1134"/>
          <w:tab w:val="clear" w:pos="1871"/>
          <w:tab w:val="clear" w:pos="2268"/>
        </w:tabs>
        <w:overflowPunct/>
        <w:autoSpaceDE/>
        <w:autoSpaceDN/>
        <w:adjustRightInd/>
        <w:spacing w:before="0"/>
        <w:textAlignment w:val="auto"/>
        <w:rPr>
          <w:lang w:eastAsia="zh-CN"/>
        </w:rPr>
      </w:pPr>
    </w:p>
    <w:p w:rsidR="00AB67E4" w:rsidRDefault="008D4DF2">
      <w:pPr>
        <w:pStyle w:val="Proposal"/>
        <w:rPr>
          <w:lang w:eastAsia="zh-CN"/>
        </w:rPr>
      </w:pPr>
      <w:r>
        <w:rPr>
          <w:lang w:eastAsia="zh-CN"/>
        </w:rPr>
        <w:t>ADD</w:t>
      </w:r>
      <w:r>
        <w:rPr>
          <w:lang w:eastAsia="zh-CN"/>
        </w:rPr>
        <w:tab/>
        <w:t>SG3/38/1</w:t>
      </w:r>
    </w:p>
    <w:p w:rsidR="00E57A6A" w:rsidRPr="00E57A6A" w:rsidRDefault="00E57A6A" w:rsidP="00E57A6A">
      <w:pPr>
        <w:pStyle w:val="RecNo"/>
        <w:rPr>
          <w:lang w:eastAsia="zh-CN"/>
        </w:rPr>
      </w:pPr>
      <w:r w:rsidRPr="00E57A6A">
        <w:rPr>
          <w:lang w:eastAsia="zh-CN"/>
        </w:rPr>
        <w:t>ITU-T D.53</w:t>
      </w:r>
      <w:r w:rsidR="00A377AC">
        <w:rPr>
          <w:lang w:eastAsia="zh-CN"/>
        </w:rPr>
        <w:t>建议</w:t>
      </w:r>
      <w:r w:rsidR="00A377AC">
        <w:rPr>
          <w:rFonts w:hint="eastAsia"/>
          <w:lang w:eastAsia="zh-CN"/>
        </w:rPr>
        <w:t>书</w:t>
      </w:r>
      <w:r w:rsidR="00A377AC">
        <w:rPr>
          <w:lang w:eastAsia="zh-CN"/>
        </w:rPr>
        <w:t>草案</w:t>
      </w:r>
    </w:p>
    <w:p w:rsidR="0020278D" w:rsidRPr="00420027" w:rsidRDefault="0020278D" w:rsidP="0020278D">
      <w:pPr>
        <w:pStyle w:val="Headingb"/>
        <w:spacing w:before="720"/>
        <w:jc w:val="center"/>
        <w:rPr>
          <w:sz w:val="28"/>
          <w:szCs w:val="28"/>
          <w:lang w:val="en-US" w:eastAsia="zh-CN"/>
        </w:rPr>
      </w:pPr>
      <w:bookmarkStart w:id="1" w:name="_Toc455132101"/>
      <w:r w:rsidRPr="00420027">
        <w:rPr>
          <w:rFonts w:hint="eastAsia"/>
          <w:sz w:val="28"/>
          <w:szCs w:val="28"/>
          <w:lang w:val="en-US" w:eastAsia="zh-CN"/>
        </w:rPr>
        <w:t>有关普遍服务国际问题的</w:t>
      </w:r>
      <w:r w:rsidRPr="00420027">
        <w:rPr>
          <w:rFonts w:hint="eastAsia"/>
          <w:sz w:val="28"/>
          <w:szCs w:val="28"/>
          <w:lang w:val="en-US" w:eastAsia="zh-CN"/>
        </w:rPr>
        <w:t>ITU-T</w:t>
      </w:r>
      <w:r w:rsidRPr="00420027">
        <w:rPr>
          <w:sz w:val="28"/>
          <w:szCs w:val="28"/>
          <w:lang w:val="en-US" w:eastAsia="zh-CN"/>
        </w:rPr>
        <w:t xml:space="preserve"> D.53</w:t>
      </w:r>
      <w:r w:rsidRPr="00420027">
        <w:rPr>
          <w:rFonts w:hint="eastAsia"/>
          <w:sz w:val="28"/>
          <w:szCs w:val="28"/>
          <w:lang w:val="en-US" w:eastAsia="zh-CN"/>
        </w:rPr>
        <w:t>建议书草案</w:t>
      </w:r>
      <w:bookmarkEnd w:id="1"/>
    </w:p>
    <w:p w:rsidR="00E57A6A" w:rsidRPr="00723957" w:rsidRDefault="0020278D" w:rsidP="00E57A6A">
      <w:pPr>
        <w:pStyle w:val="Headingb"/>
        <w:rPr>
          <w:lang w:eastAsia="zh-CN"/>
        </w:rPr>
      </w:pPr>
      <w:bookmarkStart w:id="2" w:name="_Toc455132102"/>
      <w:r>
        <w:rPr>
          <w:rFonts w:hint="eastAsia"/>
          <w:lang w:val="en-US" w:eastAsia="zh-CN"/>
        </w:rPr>
        <w:t>摘要</w:t>
      </w:r>
      <w:bookmarkEnd w:id="2"/>
    </w:p>
    <w:p w:rsidR="00E57A6A" w:rsidRPr="00E14192" w:rsidRDefault="0020278D" w:rsidP="0020278D">
      <w:pPr>
        <w:ind w:firstLineChars="200" w:firstLine="480"/>
        <w:rPr>
          <w:lang w:eastAsia="zh-CN"/>
        </w:rPr>
      </w:pPr>
      <w:r>
        <w:rPr>
          <w:rFonts w:hint="eastAsia"/>
          <w:lang w:val="en-US" w:eastAsia="zh-CN"/>
        </w:rPr>
        <w:t>有关</w:t>
      </w:r>
      <w:r>
        <w:rPr>
          <w:lang w:val="en-US" w:eastAsia="zh-CN"/>
        </w:rPr>
        <w:t>普遍服务国际问题的</w:t>
      </w:r>
      <w:r>
        <w:rPr>
          <w:lang w:val="en-US" w:eastAsia="zh-CN"/>
        </w:rPr>
        <w:t>ITU-T D.53</w:t>
      </w:r>
      <w:r w:rsidRPr="00853B4E">
        <w:rPr>
          <w:rFonts w:hint="eastAsia"/>
          <w:lang w:val="en-US" w:eastAsia="zh-CN"/>
        </w:rPr>
        <w:t>建议书认识到各成员国拥有定义并监管其普遍服务</w:t>
      </w:r>
      <w:r w:rsidRPr="00853B4E">
        <w:rPr>
          <w:lang w:val="en-US" w:eastAsia="zh-CN"/>
        </w:rPr>
        <w:t>/</w:t>
      </w:r>
      <w:r w:rsidRPr="00853B4E">
        <w:rPr>
          <w:rFonts w:hint="eastAsia"/>
          <w:lang w:val="en-US" w:eastAsia="zh-CN"/>
        </w:rPr>
        <w:t>接入政策的主权，并为此提出了总体纲领，用于指导政府和监管机构在全球</w:t>
      </w:r>
      <w:r>
        <w:rPr>
          <w:rFonts w:hint="eastAsia"/>
          <w:lang w:val="en-US" w:eastAsia="zh-CN"/>
        </w:rPr>
        <w:t>数字化环境</w:t>
      </w:r>
      <w:r w:rsidRPr="00853B4E">
        <w:rPr>
          <w:rFonts w:hint="eastAsia"/>
          <w:lang w:val="en-US" w:eastAsia="zh-CN"/>
        </w:rPr>
        <w:t>下完成有关普遍服务基金的任务并履行管理职责</w:t>
      </w:r>
      <w:r>
        <w:rPr>
          <w:rFonts w:hint="eastAsia"/>
          <w:lang w:val="en-US" w:eastAsia="zh-CN"/>
        </w:rPr>
        <w:t>。</w:t>
      </w:r>
    </w:p>
    <w:p w:rsidR="0020278D" w:rsidRDefault="0020278D" w:rsidP="0020278D">
      <w:pPr>
        <w:pStyle w:val="Headingb"/>
        <w:rPr>
          <w:lang w:val="en-US" w:eastAsia="zh-CN"/>
        </w:rPr>
      </w:pPr>
      <w:bookmarkStart w:id="3" w:name="_Toc455132103"/>
      <w:r w:rsidRPr="00853B4E">
        <w:rPr>
          <w:rFonts w:hint="eastAsia"/>
          <w:lang w:val="en-US" w:eastAsia="zh-CN"/>
        </w:rPr>
        <w:t>关键词</w:t>
      </w:r>
      <w:bookmarkEnd w:id="3"/>
    </w:p>
    <w:p w:rsidR="00E57A6A" w:rsidRPr="00E14192" w:rsidRDefault="0020278D" w:rsidP="0020278D">
      <w:r>
        <w:rPr>
          <w:rFonts w:hint="eastAsia"/>
          <w:lang w:val="en-US" w:eastAsia="zh-CN"/>
        </w:rPr>
        <w:t>&lt;</w:t>
      </w:r>
      <w:r w:rsidR="004B086A">
        <w:rPr>
          <w:rFonts w:hint="eastAsia"/>
          <w:lang w:val="en-US" w:eastAsia="zh-CN"/>
        </w:rPr>
        <w:t>可</w:t>
      </w:r>
      <w:r>
        <w:rPr>
          <w:rFonts w:hint="eastAsia"/>
          <w:lang w:val="en-US" w:eastAsia="zh-CN"/>
        </w:rPr>
        <w:t>选</w:t>
      </w:r>
      <w:r>
        <w:rPr>
          <w:rFonts w:hint="eastAsia"/>
          <w:lang w:val="en-US" w:eastAsia="zh-CN"/>
        </w:rPr>
        <w:t>&gt;</w:t>
      </w:r>
    </w:p>
    <w:p w:rsidR="00E57A6A" w:rsidRPr="00E14192" w:rsidRDefault="00E57A6A" w:rsidP="00E57A6A">
      <w:r w:rsidRPr="00E14192">
        <w:br w:type="page"/>
      </w:r>
    </w:p>
    <w:p w:rsidR="00990172" w:rsidRPr="001C1A7A" w:rsidRDefault="007451D5" w:rsidP="00990172">
      <w:pPr>
        <w:keepNext/>
        <w:tabs>
          <w:tab w:val="left" w:pos="794"/>
          <w:tab w:val="left" w:pos="1191"/>
          <w:tab w:val="left" w:pos="1588"/>
          <w:tab w:val="left" w:pos="1985"/>
        </w:tabs>
        <w:spacing w:before="240"/>
        <w:jc w:val="center"/>
        <w:rPr>
          <w:b/>
          <w:bCs/>
          <w:szCs w:val="24"/>
          <w:lang w:eastAsia="zh-CN"/>
        </w:rPr>
      </w:pPr>
      <w:r w:rsidRPr="001C1A7A">
        <w:rPr>
          <w:rFonts w:hint="eastAsia"/>
          <w:b/>
          <w:bCs/>
          <w:szCs w:val="24"/>
          <w:lang w:eastAsia="zh-CN"/>
        </w:rPr>
        <w:lastRenderedPageBreak/>
        <w:t>目录</w:t>
      </w:r>
    </w:p>
    <w:p w:rsidR="002870C9" w:rsidRPr="00E14192" w:rsidRDefault="00E33FE7" w:rsidP="00F42A69">
      <w:pPr>
        <w:pStyle w:val="toc0"/>
        <w:rPr>
          <w:b w:val="0"/>
          <w:lang w:eastAsia="zh-CN"/>
        </w:rPr>
      </w:pPr>
      <w:r>
        <w:tab/>
      </w:r>
      <w:r w:rsidR="00F42A69">
        <w:rPr>
          <w:rFonts w:hint="eastAsia"/>
          <w:lang w:eastAsia="zh-CN"/>
        </w:rPr>
        <w:t>页码</w:t>
      </w:r>
    </w:p>
    <w:bookmarkStart w:id="4" w:name="_Toc432523863"/>
    <w:bookmarkStart w:id="5" w:name="_Toc446068217"/>
    <w:p w:rsidR="00C42D2C" w:rsidRDefault="00C42D2C">
      <w:pPr>
        <w:pStyle w:val="TOC1"/>
        <w:rPr>
          <w:rFonts w:asciiTheme="minorHAnsi" w:eastAsiaTheme="minorEastAsia" w:hAnsiTheme="minorHAnsi" w:cstheme="minorBidi"/>
          <w:noProof/>
          <w:sz w:val="22"/>
          <w:szCs w:val="22"/>
          <w:lang w:val="en-US" w:eastAsia="zh-CN"/>
        </w:rPr>
      </w:pPr>
      <w:r>
        <w:rPr>
          <w:rFonts w:asciiTheme="majorBidi" w:hAnsiTheme="majorBidi" w:cstheme="majorBidi"/>
          <w:lang w:val="es-ES"/>
        </w:rPr>
        <w:fldChar w:fldCharType="begin"/>
      </w:r>
      <w:r>
        <w:rPr>
          <w:rFonts w:asciiTheme="majorBidi" w:hAnsiTheme="majorBidi" w:cstheme="majorBidi"/>
          <w:lang w:val="es-ES"/>
        </w:rPr>
        <w:instrText xml:space="preserve"> TOC \o "1-3" \h \z \u </w:instrText>
      </w:r>
      <w:r>
        <w:rPr>
          <w:rFonts w:asciiTheme="majorBidi" w:hAnsiTheme="majorBidi" w:cstheme="majorBidi"/>
          <w:lang w:val="es-ES"/>
        </w:rPr>
        <w:fldChar w:fldCharType="separate"/>
      </w:r>
      <w:hyperlink w:anchor="_Toc455133263" w:history="1">
        <w:r w:rsidRPr="00B77C3F">
          <w:rPr>
            <w:rStyle w:val="Hyperlink"/>
            <w:noProof/>
            <w:lang w:val="en-US" w:eastAsia="zh-CN"/>
          </w:rPr>
          <w:t>1</w:t>
        </w:r>
        <w:r>
          <w:rPr>
            <w:rFonts w:asciiTheme="minorHAnsi" w:eastAsiaTheme="minorEastAsia" w:hAnsiTheme="minorHAnsi" w:cstheme="minorBidi"/>
            <w:noProof/>
            <w:sz w:val="22"/>
            <w:szCs w:val="22"/>
            <w:lang w:val="en-US" w:eastAsia="zh-CN"/>
          </w:rPr>
          <w:tab/>
        </w:r>
        <w:r w:rsidRPr="00B77C3F">
          <w:rPr>
            <w:rStyle w:val="Hyperlink"/>
            <w:rFonts w:cs="SimSun" w:hint="eastAsia"/>
            <w:noProof/>
            <w:lang w:val="en-US" w:eastAsia="zh-CN"/>
          </w:rPr>
          <w:t>范围</w:t>
        </w:r>
        <w:r>
          <w:rPr>
            <w:noProof/>
            <w:webHidden/>
          </w:rPr>
          <w:tab/>
        </w:r>
        <w:r>
          <w:rPr>
            <w:noProof/>
            <w:webHidden/>
          </w:rPr>
          <w:tab/>
        </w:r>
        <w:r>
          <w:rPr>
            <w:noProof/>
            <w:webHidden/>
          </w:rPr>
          <w:fldChar w:fldCharType="begin"/>
        </w:r>
        <w:r>
          <w:rPr>
            <w:noProof/>
            <w:webHidden/>
          </w:rPr>
          <w:instrText xml:space="preserve"> PAGEREF _Toc455133263 \h </w:instrText>
        </w:r>
        <w:r>
          <w:rPr>
            <w:noProof/>
            <w:webHidden/>
          </w:rPr>
        </w:r>
        <w:r>
          <w:rPr>
            <w:noProof/>
            <w:webHidden/>
          </w:rPr>
          <w:fldChar w:fldCharType="separate"/>
        </w:r>
        <w:r>
          <w:rPr>
            <w:noProof/>
            <w:webHidden/>
          </w:rPr>
          <w:t>5</w:t>
        </w:r>
        <w:r>
          <w:rPr>
            <w:noProof/>
            <w:webHidden/>
          </w:rPr>
          <w:fldChar w:fldCharType="end"/>
        </w:r>
      </w:hyperlink>
    </w:p>
    <w:p w:rsidR="00C42D2C" w:rsidRDefault="0017204C">
      <w:pPr>
        <w:pStyle w:val="TOC1"/>
        <w:rPr>
          <w:rFonts w:asciiTheme="minorHAnsi" w:eastAsiaTheme="minorEastAsia" w:hAnsiTheme="minorHAnsi" w:cstheme="minorBidi"/>
          <w:noProof/>
          <w:sz w:val="22"/>
          <w:szCs w:val="22"/>
          <w:lang w:val="en-US" w:eastAsia="zh-CN"/>
        </w:rPr>
      </w:pPr>
      <w:hyperlink w:anchor="_Toc455133264" w:history="1">
        <w:r w:rsidR="00C42D2C" w:rsidRPr="00B77C3F">
          <w:rPr>
            <w:rStyle w:val="Hyperlink"/>
            <w:noProof/>
            <w:lang w:val="en-US" w:eastAsia="zh-CN"/>
          </w:rPr>
          <w:t>2</w:t>
        </w:r>
        <w:r w:rsidR="00C42D2C">
          <w:rPr>
            <w:rFonts w:asciiTheme="minorHAnsi" w:eastAsiaTheme="minorEastAsia" w:hAnsiTheme="minorHAnsi" w:cstheme="minorBidi"/>
            <w:noProof/>
            <w:sz w:val="22"/>
            <w:szCs w:val="22"/>
            <w:lang w:val="en-US" w:eastAsia="zh-CN"/>
          </w:rPr>
          <w:tab/>
        </w:r>
        <w:r w:rsidR="00C42D2C" w:rsidRPr="00B77C3F">
          <w:rPr>
            <w:rStyle w:val="Hyperlink"/>
            <w:rFonts w:hint="eastAsia"/>
            <w:noProof/>
            <w:lang w:val="en-US" w:eastAsia="zh-CN"/>
          </w:rPr>
          <w:t>参考文献</w:t>
        </w:r>
        <w:r w:rsidR="00C42D2C">
          <w:rPr>
            <w:noProof/>
            <w:webHidden/>
          </w:rPr>
          <w:tab/>
        </w:r>
        <w:r w:rsidR="00C42D2C">
          <w:rPr>
            <w:noProof/>
            <w:webHidden/>
          </w:rPr>
          <w:tab/>
        </w:r>
        <w:r w:rsidR="00C42D2C">
          <w:rPr>
            <w:noProof/>
            <w:webHidden/>
          </w:rPr>
          <w:fldChar w:fldCharType="begin"/>
        </w:r>
        <w:r w:rsidR="00C42D2C">
          <w:rPr>
            <w:noProof/>
            <w:webHidden/>
          </w:rPr>
          <w:instrText xml:space="preserve"> PAGEREF _Toc455133264 \h </w:instrText>
        </w:r>
        <w:r w:rsidR="00C42D2C">
          <w:rPr>
            <w:noProof/>
            <w:webHidden/>
          </w:rPr>
        </w:r>
        <w:r w:rsidR="00C42D2C">
          <w:rPr>
            <w:noProof/>
            <w:webHidden/>
          </w:rPr>
          <w:fldChar w:fldCharType="separate"/>
        </w:r>
        <w:r w:rsidR="00C42D2C">
          <w:rPr>
            <w:noProof/>
            <w:webHidden/>
          </w:rPr>
          <w:t>5</w:t>
        </w:r>
        <w:r w:rsidR="00C42D2C">
          <w:rPr>
            <w:noProof/>
            <w:webHidden/>
          </w:rPr>
          <w:fldChar w:fldCharType="end"/>
        </w:r>
      </w:hyperlink>
    </w:p>
    <w:p w:rsidR="00C42D2C" w:rsidRDefault="0017204C">
      <w:pPr>
        <w:pStyle w:val="TOC1"/>
        <w:rPr>
          <w:rFonts w:asciiTheme="minorHAnsi" w:eastAsiaTheme="minorEastAsia" w:hAnsiTheme="minorHAnsi" w:cstheme="minorBidi"/>
          <w:noProof/>
          <w:sz w:val="22"/>
          <w:szCs w:val="22"/>
          <w:lang w:val="en-US" w:eastAsia="zh-CN"/>
        </w:rPr>
      </w:pPr>
      <w:hyperlink w:anchor="_Toc455133265" w:history="1">
        <w:r w:rsidR="00C42D2C" w:rsidRPr="00B77C3F">
          <w:rPr>
            <w:rStyle w:val="Hyperlink"/>
            <w:noProof/>
            <w:lang w:val="en-US" w:eastAsia="zh-CN"/>
          </w:rPr>
          <w:t>3</w:t>
        </w:r>
        <w:r w:rsidR="00C42D2C">
          <w:rPr>
            <w:rFonts w:asciiTheme="minorHAnsi" w:eastAsiaTheme="minorEastAsia" w:hAnsiTheme="minorHAnsi" w:cstheme="minorBidi"/>
            <w:noProof/>
            <w:sz w:val="22"/>
            <w:szCs w:val="22"/>
            <w:lang w:val="en-US" w:eastAsia="zh-CN"/>
          </w:rPr>
          <w:tab/>
        </w:r>
        <w:r w:rsidR="00C42D2C" w:rsidRPr="00B77C3F">
          <w:rPr>
            <w:rStyle w:val="Hyperlink"/>
            <w:rFonts w:hint="eastAsia"/>
            <w:noProof/>
            <w:lang w:val="en-US" w:eastAsia="zh-CN"/>
          </w:rPr>
          <w:t>普遍服务的原则</w:t>
        </w:r>
        <w:r w:rsidR="00C42D2C">
          <w:rPr>
            <w:noProof/>
            <w:webHidden/>
          </w:rPr>
          <w:tab/>
        </w:r>
        <w:r w:rsidR="00C42D2C">
          <w:rPr>
            <w:noProof/>
            <w:webHidden/>
          </w:rPr>
          <w:tab/>
        </w:r>
        <w:r w:rsidR="00C42D2C">
          <w:rPr>
            <w:noProof/>
            <w:webHidden/>
          </w:rPr>
          <w:fldChar w:fldCharType="begin"/>
        </w:r>
        <w:r w:rsidR="00C42D2C">
          <w:rPr>
            <w:noProof/>
            <w:webHidden/>
          </w:rPr>
          <w:instrText xml:space="preserve"> PAGEREF _Toc455133265 \h </w:instrText>
        </w:r>
        <w:r w:rsidR="00C42D2C">
          <w:rPr>
            <w:noProof/>
            <w:webHidden/>
          </w:rPr>
        </w:r>
        <w:r w:rsidR="00C42D2C">
          <w:rPr>
            <w:noProof/>
            <w:webHidden/>
          </w:rPr>
          <w:fldChar w:fldCharType="separate"/>
        </w:r>
        <w:r w:rsidR="00C42D2C">
          <w:rPr>
            <w:noProof/>
            <w:webHidden/>
          </w:rPr>
          <w:t>5</w:t>
        </w:r>
        <w:r w:rsidR="00C42D2C">
          <w:rPr>
            <w:noProof/>
            <w:webHidden/>
          </w:rPr>
          <w:fldChar w:fldCharType="end"/>
        </w:r>
      </w:hyperlink>
    </w:p>
    <w:p w:rsidR="00C42D2C" w:rsidRDefault="0017204C">
      <w:pPr>
        <w:pStyle w:val="TOC2"/>
        <w:rPr>
          <w:rFonts w:asciiTheme="minorHAnsi" w:eastAsiaTheme="minorEastAsia" w:hAnsiTheme="minorHAnsi" w:cstheme="minorBidi"/>
          <w:noProof/>
          <w:sz w:val="22"/>
          <w:szCs w:val="22"/>
          <w:lang w:val="en-US" w:eastAsia="zh-CN"/>
        </w:rPr>
      </w:pPr>
      <w:hyperlink w:anchor="_Toc455133266" w:history="1">
        <w:r w:rsidR="00C42D2C" w:rsidRPr="00B77C3F">
          <w:rPr>
            <w:rStyle w:val="Hyperlink"/>
            <w:noProof/>
            <w:lang w:val="en-US" w:eastAsia="zh-CN"/>
          </w:rPr>
          <w:t>3.1</w:t>
        </w:r>
        <w:r w:rsidR="00C42D2C">
          <w:rPr>
            <w:rFonts w:asciiTheme="minorHAnsi" w:eastAsiaTheme="minorEastAsia" w:hAnsiTheme="minorHAnsi" w:cstheme="minorBidi"/>
            <w:noProof/>
            <w:sz w:val="22"/>
            <w:szCs w:val="22"/>
            <w:lang w:val="en-US" w:eastAsia="zh-CN"/>
          </w:rPr>
          <w:tab/>
        </w:r>
        <w:r w:rsidR="00C42D2C" w:rsidRPr="00B77C3F">
          <w:rPr>
            <w:rStyle w:val="Hyperlink"/>
            <w:rFonts w:hint="eastAsia"/>
            <w:noProof/>
            <w:lang w:val="en-US" w:eastAsia="zh-CN"/>
          </w:rPr>
          <w:t>普遍服务的概念</w:t>
        </w:r>
        <w:r w:rsidR="00C42D2C">
          <w:rPr>
            <w:noProof/>
            <w:webHidden/>
          </w:rPr>
          <w:tab/>
        </w:r>
        <w:r w:rsidR="00C42D2C">
          <w:rPr>
            <w:noProof/>
            <w:webHidden/>
          </w:rPr>
          <w:tab/>
        </w:r>
        <w:r w:rsidR="00C42D2C">
          <w:rPr>
            <w:noProof/>
            <w:webHidden/>
          </w:rPr>
          <w:fldChar w:fldCharType="begin"/>
        </w:r>
        <w:r w:rsidR="00C42D2C">
          <w:rPr>
            <w:noProof/>
            <w:webHidden/>
          </w:rPr>
          <w:instrText xml:space="preserve"> PAGEREF _Toc455133266 \h </w:instrText>
        </w:r>
        <w:r w:rsidR="00C42D2C">
          <w:rPr>
            <w:noProof/>
            <w:webHidden/>
          </w:rPr>
        </w:r>
        <w:r w:rsidR="00C42D2C">
          <w:rPr>
            <w:noProof/>
            <w:webHidden/>
          </w:rPr>
          <w:fldChar w:fldCharType="separate"/>
        </w:r>
        <w:r w:rsidR="00C42D2C">
          <w:rPr>
            <w:noProof/>
            <w:webHidden/>
          </w:rPr>
          <w:t>5</w:t>
        </w:r>
        <w:r w:rsidR="00C42D2C">
          <w:rPr>
            <w:noProof/>
            <w:webHidden/>
          </w:rPr>
          <w:fldChar w:fldCharType="end"/>
        </w:r>
      </w:hyperlink>
    </w:p>
    <w:p w:rsidR="00C42D2C" w:rsidRDefault="0017204C">
      <w:pPr>
        <w:pStyle w:val="TOC2"/>
        <w:rPr>
          <w:rFonts w:asciiTheme="minorHAnsi" w:eastAsiaTheme="minorEastAsia" w:hAnsiTheme="minorHAnsi" w:cstheme="minorBidi"/>
          <w:noProof/>
          <w:sz w:val="22"/>
          <w:szCs w:val="22"/>
          <w:lang w:val="en-US" w:eastAsia="zh-CN"/>
        </w:rPr>
      </w:pPr>
      <w:hyperlink w:anchor="_Toc455133267" w:history="1">
        <w:r w:rsidR="00C42D2C" w:rsidRPr="00B77C3F">
          <w:rPr>
            <w:rStyle w:val="Hyperlink"/>
            <w:noProof/>
            <w:lang w:val="en-US" w:eastAsia="zh-CN"/>
          </w:rPr>
          <w:t>3.2</w:t>
        </w:r>
        <w:r w:rsidR="00C42D2C">
          <w:rPr>
            <w:rFonts w:asciiTheme="minorHAnsi" w:eastAsiaTheme="minorEastAsia" w:hAnsiTheme="minorHAnsi" w:cstheme="minorBidi"/>
            <w:noProof/>
            <w:sz w:val="22"/>
            <w:szCs w:val="22"/>
            <w:lang w:val="en-US" w:eastAsia="zh-CN"/>
          </w:rPr>
          <w:tab/>
        </w:r>
        <w:r w:rsidR="00C42D2C" w:rsidRPr="00B77C3F">
          <w:rPr>
            <w:rStyle w:val="Hyperlink"/>
            <w:rFonts w:hint="eastAsia"/>
            <w:noProof/>
            <w:lang w:val="en-US" w:eastAsia="zh-CN"/>
          </w:rPr>
          <w:t>找出决定普遍服务项目能否成功的外部因素</w:t>
        </w:r>
        <w:r w:rsidR="00C42D2C">
          <w:rPr>
            <w:noProof/>
            <w:webHidden/>
          </w:rPr>
          <w:tab/>
        </w:r>
        <w:r w:rsidR="00C42D2C">
          <w:rPr>
            <w:noProof/>
            <w:webHidden/>
          </w:rPr>
          <w:tab/>
        </w:r>
        <w:r w:rsidR="00C42D2C">
          <w:rPr>
            <w:noProof/>
            <w:webHidden/>
          </w:rPr>
          <w:fldChar w:fldCharType="begin"/>
        </w:r>
        <w:r w:rsidR="00C42D2C">
          <w:rPr>
            <w:noProof/>
            <w:webHidden/>
          </w:rPr>
          <w:instrText xml:space="preserve"> PAGEREF _Toc455133267 \h </w:instrText>
        </w:r>
        <w:r w:rsidR="00C42D2C">
          <w:rPr>
            <w:noProof/>
            <w:webHidden/>
          </w:rPr>
        </w:r>
        <w:r w:rsidR="00C42D2C">
          <w:rPr>
            <w:noProof/>
            <w:webHidden/>
          </w:rPr>
          <w:fldChar w:fldCharType="separate"/>
        </w:r>
        <w:r w:rsidR="00C42D2C">
          <w:rPr>
            <w:noProof/>
            <w:webHidden/>
          </w:rPr>
          <w:t>5</w:t>
        </w:r>
        <w:r w:rsidR="00C42D2C">
          <w:rPr>
            <w:noProof/>
            <w:webHidden/>
          </w:rPr>
          <w:fldChar w:fldCharType="end"/>
        </w:r>
      </w:hyperlink>
    </w:p>
    <w:p w:rsidR="00C42D2C" w:rsidRDefault="0017204C">
      <w:pPr>
        <w:pStyle w:val="TOC2"/>
        <w:rPr>
          <w:rFonts w:asciiTheme="minorHAnsi" w:eastAsiaTheme="minorEastAsia" w:hAnsiTheme="minorHAnsi" w:cstheme="minorBidi"/>
          <w:noProof/>
          <w:sz w:val="22"/>
          <w:szCs w:val="22"/>
          <w:lang w:val="en-US" w:eastAsia="zh-CN"/>
        </w:rPr>
      </w:pPr>
      <w:hyperlink w:anchor="_Toc455133268" w:history="1">
        <w:r w:rsidR="00C42D2C" w:rsidRPr="00B77C3F">
          <w:rPr>
            <w:rStyle w:val="Hyperlink"/>
            <w:noProof/>
            <w:lang w:val="en-US" w:eastAsia="zh-CN"/>
          </w:rPr>
          <w:t>3.3</w:t>
        </w:r>
        <w:r w:rsidR="00C42D2C">
          <w:rPr>
            <w:rFonts w:asciiTheme="minorHAnsi" w:eastAsiaTheme="minorEastAsia" w:hAnsiTheme="minorHAnsi" w:cstheme="minorBidi"/>
            <w:noProof/>
            <w:sz w:val="22"/>
            <w:szCs w:val="22"/>
            <w:lang w:val="en-US" w:eastAsia="zh-CN"/>
          </w:rPr>
          <w:tab/>
        </w:r>
        <w:r w:rsidR="00C42D2C" w:rsidRPr="00B77C3F">
          <w:rPr>
            <w:rStyle w:val="Hyperlink"/>
            <w:rFonts w:hint="eastAsia"/>
            <w:noProof/>
            <w:lang w:val="en-US" w:eastAsia="zh-CN"/>
          </w:rPr>
          <w:t>普遍服务项目如何能够帮助解决与国际互联网连接相关的问题</w:t>
        </w:r>
        <w:r w:rsidR="00C42D2C">
          <w:rPr>
            <w:noProof/>
            <w:webHidden/>
          </w:rPr>
          <w:tab/>
        </w:r>
        <w:r w:rsidR="00C42D2C">
          <w:rPr>
            <w:noProof/>
            <w:webHidden/>
          </w:rPr>
          <w:tab/>
        </w:r>
        <w:r w:rsidR="00C42D2C">
          <w:rPr>
            <w:noProof/>
            <w:webHidden/>
          </w:rPr>
          <w:fldChar w:fldCharType="begin"/>
        </w:r>
        <w:r w:rsidR="00C42D2C">
          <w:rPr>
            <w:noProof/>
            <w:webHidden/>
          </w:rPr>
          <w:instrText xml:space="preserve"> PAGEREF _Toc455133268 \h </w:instrText>
        </w:r>
        <w:r w:rsidR="00C42D2C">
          <w:rPr>
            <w:noProof/>
            <w:webHidden/>
          </w:rPr>
        </w:r>
        <w:r w:rsidR="00C42D2C">
          <w:rPr>
            <w:noProof/>
            <w:webHidden/>
          </w:rPr>
          <w:fldChar w:fldCharType="separate"/>
        </w:r>
        <w:r w:rsidR="00C42D2C">
          <w:rPr>
            <w:noProof/>
            <w:webHidden/>
          </w:rPr>
          <w:t>6</w:t>
        </w:r>
        <w:r w:rsidR="00C42D2C">
          <w:rPr>
            <w:noProof/>
            <w:webHidden/>
          </w:rPr>
          <w:fldChar w:fldCharType="end"/>
        </w:r>
      </w:hyperlink>
    </w:p>
    <w:p w:rsidR="00C42D2C" w:rsidRDefault="0017204C">
      <w:pPr>
        <w:pStyle w:val="TOC1"/>
        <w:rPr>
          <w:rFonts w:asciiTheme="minorHAnsi" w:eastAsiaTheme="minorEastAsia" w:hAnsiTheme="minorHAnsi" w:cstheme="minorBidi"/>
          <w:noProof/>
          <w:sz w:val="22"/>
          <w:szCs w:val="22"/>
          <w:lang w:val="en-US" w:eastAsia="zh-CN"/>
        </w:rPr>
      </w:pPr>
      <w:hyperlink w:anchor="_Toc455133269" w:history="1">
        <w:r w:rsidR="00C42D2C" w:rsidRPr="00B77C3F">
          <w:rPr>
            <w:rStyle w:val="Hyperlink"/>
            <w:noProof/>
            <w:lang w:val="en-US" w:eastAsia="zh-CN"/>
          </w:rPr>
          <w:t>4</w:t>
        </w:r>
        <w:r w:rsidR="00C42D2C">
          <w:rPr>
            <w:rFonts w:asciiTheme="minorHAnsi" w:eastAsiaTheme="minorEastAsia" w:hAnsiTheme="minorHAnsi" w:cstheme="minorBidi"/>
            <w:noProof/>
            <w:sz w:val="22"/>
            <w:szCs w:val="22"/>
            <w:lang w:val="en-US" w:eastAsia="zh-CN"/>
          </w:rPr>
          <w:tab/>
        </w:r>
        <w:r w:rsidR="00C42D2C" w:rsidRPr="00B77C3F">
          <w:rPr>
            <w:rStyle w:val="Hyperlink"/>
            <w:rFonts w:hint="eastAsia"/>
            <w:noProof/>
          </w:rPr>
          <w:t>全球背景下的普遍服务</w:t>
        </w:r>
        <w:r w:rsidR="00C42D2C">
          <w:rPr>
            <w:noProof/>
            <w:webHidden/>
          </w:rPr>
          <w:tab/>
        </w:r>
        <w:r w:rsidR="00C42D2C">
          <w:rPr>
            <w:noProof/>
            <w:webHidden/>
          </w:rPr>
          <w:tab/>
        </w:r>
        <w:r w:rsidR="00C42D2C">
          <w:rPr>
            <w:noProof/>
            <w:webHidden/>
          </w:rPr>
          <w:fldChar w:fldCharType="begin"/>
        </w:r>
        <w:r w:rsidR="00C42D2C">
          <w:rPr>
            <w:noProof/>
            <w:webHidden/>
          </w:rPr>
          <w:instrText xml:space="preserve"> PAGEREF _Toc455133269 \h </w:instrText>
        </w:r>
        <w:r w:rsidR="00C42D2C">
          <w:rPr>
            <w:noProof/>
            <w:webHidden/>
          </w:rPr>
        </w:r>
        <w:r w:rsidR="00C42D2C">
          <w:rPr>
            <w:noProof/>
            <w:webHidden/>
          </w:rPr>
          <w:fldChar w:fldCharType="separate"/>
        </w:r>
        <w:r w:rsidR="00C42D2C">
          <w:rPr>
            <w:noProof/>
            <w:webHidden/>
          </w:rPr>
          <w:t>6</w:t>
        </w:r>
        <w:r w:rsidR="00C42D2C">
          <w:rPr>
            <w:noProof/>
            <w:webHidden/>
          </w:rPr>
          <w:fldChar w:fldCharType="end"/>
        </w:r>
      </w:hyperlink>
    </w:p>
    <w:p w:rsidR="00C42D2C" w:rsidRDefault="0017204C">
      <w:pPr>
        <w:pStyle w:val="TOC1"/>
        <w:rPr>
          <w:rFonts w:asciiTheme="minorHAnsi" w:eastAsiaTheme="minorEastAsia" w:hAnsiTheme="minorHAnsi" w:cstheme="minorBidi"/>
          <w:noProof/>
          <w:sz w:val="22"/>
          <w:szCs w:val="22"/>
          <w:lang w:val="en-US" w:eastAsia="zh-CN"/>
        </w:rPr>
      </w:pPr>
      <w:hyperlink w:anchor="_Toc455133270" w:history="1">
        <w:r w:rsidR="00C42D2C" w:rsidRPr="00B77C3F">
          <w:rPr>
            <w:rStyle w:val="Hyperlink"/>
            <w:noProof/>
            <w:lang w:val="en-US" w:eastAsia="zh-CN"/>
          </w:rPr>
          <w:t>5</w:t>
        </w:r>
        <w:r w:rsidR="00C42D2C">
          <w:rPr>
            <w:rFonts w:asciiTheme="minorHAnsi" w:eastAsiaTheme="minorEastAsia" w:hAnsiTheme="minorHAnsi" w:cstheme="minorBidi"/>
            <w:noProof/>
            <w:sz w:val="22"/>
            <w:szCs w:val="22"/>
            <w:lang w:val="en-US" w:eastAsia="zh-CN"/>
          </w:rPr>
          <w:tab/>
        </w:r>
        <w:r w:rsidR="00C42D2C" w:rsidRPr="00B77C3F">
          <w:rPr>
            <w:rStyle w:val="Hyperlink"/>
            <w:rFonts w:hint="eastAsia"/>
            <w:noProof/>
            <w:lang w:val="en-US" w:eastAsia="zh-CN"/>
          </w:rPr>
          <w:t>为提高普遍服务政策有效性与遵从性制定的导则</w:t>
        </w:r>
        <w:r w:rsidR="00C42D2C">
          <w:rPr>
            <w:noProof/>
            <w:webHidden/>
          </w:rPr>
          <w:tab/>
        </w:r>
        <w:r w:rsidR="00C42D2C">
          <w:rPr>
            <w:noProof/>
            <w:webHidden/>
          </w:rPr>
          <w:tab/>
        </w:r>
        <w:r w:rsidR="00C42D2C">
          <w:rPr>
            <w:noProof/>
            <w:webHidden/>
          </w:rPr>
          <w:fldChar w:fldCharType="begin"/>
        </w:r>
        <w:r w:rsidR="00C42D2C">
          <w:rPr>
            <w:noProof/>
            <w:webHidden/>
          </w:rPr>
          <w:instrText xml:space="preserve"> PAGEREF _Toc455133270 \h </w:instrText>
        </w:r>
        <w:r w:rsidR="00C42D2C">
          <w:rPr>
            <w:noProof/>
            <w:webHidden/>
          </w:rPr>
        </w:r>
        <w:r w:rsidR="00C42D2C">
          <w:rPr>
            <w:noProof/>
            <w:webHidden/>
          </w:rPr>
          <w:fldChar w:fldCharType="separate"/>
        </w:r>
        <w:r w:rsidR="00C42D2C">
          <w:rPr>
            <w:noProof/>
            <w:webHidden/>
          </w:rPr>
          <w:t>6</w:t>
        </w:r>
        <w:r w:rsidR="00C42D2C">
          <w:rPr>
            <w:noProof/>
            <w:webHidden/>
          </w:rPr>
          <w:fldChar w:fldCharType="end"/>
        </w:r>
      </w:hyperlink>
    </w:p>
    <w:p w:rsidR="00E57A6A" w:rsidRDefault="00C42D2C" w:rsidP="00A37EC6">
      <w:r>
        <w:rPr>
          <w:rFonts w:asciiTheme="majorBidi" w:hAnsiTheme="majorBidi" w:cstheme="majorBidi"/>
          <w:lang w:val="es-ES"/>
        </w:rPr>
        <w:fldChar w:fldCharType="end"/>
      </w:r>
      <w:r w:rsidR="00E57A6A">
        <w:br w:type="page"/>
      </w:r>
    </w:p>
    <w:bookmarkEnd w:id="4"/>
    <w:bookmarkEnd w:id="5"/>
    <w:p w:rsidR="00E57A6A" w:rsidRPr="00723957" w:rsidRDefault="00FB2F55" w:rsidP="00E57A6A">
      <w:pPr>
        <w:pStyle w:val="Headingb"/>
        <w:rPr>
          <w:lang w:eastAsia="zh-CN"/>
        </w:rPr>
      </w:pPr>
      <w:r>
        <w:rPr>
          <w:rFonts w:hint="eastAsia"/>
          <w:lang w:val="en-US" w:eastAsia="zh-CN"/>
        </w:rPr>
        <w:lastRenderedPageBreak/>
        <w:t>引言</w:t>
      </w:r>
    </w:p>
    <w:p w:rsidR="00C779F4" w:rsidRPr="001E1C07" w:rsidRDefault="00C779F4" w:rsidP="00C779F4">
      <w:pPr>
        <w:ind w:firstLineChars="200" w:firstLine="480"/>
        <w:jc w:val="both"/>
        <w:rPr>
          <w:lang w:val="en-US" w:eastAsia="zh-CN"/>
        </w:rPr>
      </w:pPr>
      <w:r>
        <w:rPr>
          <w:rFonts w:hint="eastAsia"/>
          <w:lang w:val="en-US" w:eastAsia="zh-CN"/>
        </w:rPr>
        <w:t>各成员国曾对普遍服务概念抱有不同看法，甚至今天仍是如此，这一点可从国际电联</w:t>
      </w:r>
      <w:r>
        <w:rPr>
          <w:lang w:val="en-US" w:eastAsia="zh-CN"/>
        </w:rPr>
        <w:t>2013</w:t>
      </w:r>
      <w:r>
        <w:rPr>
          <w:rFonts w:hint="eastAsia"/>
          <w:lang w:val="en-US" w:eastAsia="zh-CN"/>
        </w:rPr>
        <w:t>年出版的“普遍服务基金和数字集成研究”中一见端倪。不同国家管理普遍服务项目取得的成功，主要有赖于监管和普遍服务政策适应不断变化的条件和市场技术的能力。</w:t>
      </w:r>
    </w:p>
    <w:p w:rsidR="00C779F4" w:rsidRPr="001E1C07" w:rsidRDefault="00C779F4" w:rsidP="00C779F4">
      <w:pPr>
        <w:ind w:firstLineChars="200" w:firstLine="480"/>
        <w:jc w:val="both"/>
        <w:rPr>
          <w:lang w:val="en-US" w:eastAsia="zh-CN"/>
        </w:rPr>
      </w:pPr>
      <w:r>
        <w:rPr>
          <w:rFonts w:hint="eastAsia"/>
          <w:lang w:val="en-US" w:eastAsia="zh-CN"/>
        </w:rPr>
        <w:t>从该意义上讲，那些能够灵活适应技术和市场快速发展的监管框架，已为政府和监管机构有效推行普遍服务项目打开方便之门，例如鉴于宽带在各国经济发展中发挥了无可辩驳的催化剂作用，因此不仅应将宽带作为普遍服务的一项目标纳入，而是要将其作为主要控制手段。</w:t>
      </w:r>
    </w:p>
    <w:p w:rsidR="00E57A6A" w:rsidRPr="00E14192" w:rsidRDefault="00C779F4" w:rsidP="00C24E4A">
      <w:pPr>
        <w:ind w:firstLineChars="200" w:firstLine="480"/>
        <w:rPr>
          <w:lang w:eastAsia="zh-CN"/>
        </w:rPr>
      </w:pPr>
      <w:r>
        <w:rPr>
          <w:rFonts w:hint="eastAsia"/>
          <w:lang w:val="en-US" w:eastAsia="zh-CN"/>
        </w:rPr>
        <w:t>但宽带因素不仅取决于各国的内部条件，亦是一项具备很强国际属性的要素，因此我们认为作为宽带发展关键的普遍服务政策能否成功，将受到各国均无法控制的外部条件的重大影响。</w:t>
      </w:r>
    </w:p>
    <w:p w:rsidR="00E57A6A" w:rsidRPr="00E14192" w:rsidRDefault="00E57A6A" w:rsidP="00E57A6A">
      <w:pPr>
        <w:rPr>
          <w:b/>
          <w:sz w:val="28"/>
          <w:lang w:val="en-US" w:eastAsia="zh-CN"/>
        </w:rPr>
      </w:pPr>
      <w:r w:rsidRPr="00E14192">
        <w:rPr>
          <w:lang w:val="en-US" w:eastAsia="zh-CN"/>
        </w:rPr>
        <w:br w:type="page"/>
      </w:r>
    </w:p>
    <w:p w:rsidR="00E57A6A" w:rsidRPr="00E14192" w:rsidRDefault="00B97FE4" w:rsidP="0089394F">
      <w:pPr>
        <w:pStyle w:val="RecNo"/>
        <w:spacing w:before="240"/>
        <w:rPr>
          <w:lang w:val="fr-CH" w:eastAsia="zh-CN"/>
        </w:rPr>
      </w:pPr>
      <w:r w:rsidRPr="00C265A7">
        <w:rPr>
          <w:rFonts w:hint="eastAsia"/>
          <w:lang w:val="en-US" w:eastAsia="zh-CN"/>
        </w:rPr>
        <w:lastRenderedPageBreak/>
        <w:t>ITU-T</w:t>
      </w:r>
      <w:r w:rsidRPr="00C265A7">
        <w:rPr>
          <w:lang w:val="en-US" w:eastAsia="zh-CN"/>
        </w:rPr>
        <w:t xml:space="preserve"> D.53</w:t>
      </w:r>
      <w:r w:rsidRPr="00C265A7">
        <w:rPr>
          <w:rFonts w:hint="eastAsia"/>
          <w:lang w:val="en-US" w:eastAsia="zh-CN"/>
        </w:rPr>
        <w:t>建议书</w:t>
      </w:r>
    </w:p>
    <w:p w:rsidR="00E57A6A" w:rsidRPr="00E14192" w:rsidRDefault="0089394F" w:rsidP="00E57A6A">
      <w:pPr>
        <w:pStyle w:val="Rectitle"/>
        <w:rPr>
          <w:lang w:eastAsia="zh-CN"/>
        </w:rPr>
      </w:pPr>
      <w:r w:rsidRPr="00C265A7">
        <w:rPr>
          <w:rFonts w:hint="eastAsia"/>
          <w:lang w:val="en-US" w:eastAsia="zh-CN"/>
        </w:rPr>
        <w:t>有关普遍服务的国际问题</w:t>
      </w:r>
    </w:p>
    <w:p w:rsidR="00F902E5" w:rsidRPr="001E1C07" w:rsidRDefault="00F902E5" w:rsidP="00F902E5">
      <w:pPr>
        <w:pStyle w:val="Heading1"/>
        <w:rPr>
          <w:lang w:val="en-US" w:eastAsia="zh-CN"/>
        </w:rPr>
      </w:pPr>
      <w:bookmarkStart w:id="6" w:name="_Toc447531310"/>
      <w:bookmarkStart w:id="7" w:name="_Toc455133263"/>
      <w:r w:rsidRPr="001E1C07">
        <w:rPr>
          <w:lang w:val="en-US" w:eastAsia="zh-CN"/>
        </w:rPr>
        <w:t>1</w:t>
      </w:r>
      <w:r>
        <w:rPr>
          <w:lang w:val="en-US" w:eastAsia="zh-CN"/>
        </w:rPr>
        <w:tab/>
      </w:r>
      <w:r>
        <w:rPr>
          <w:rFonts w:cs="SimSun" w:hint="eastAsia"/>
          <w:lang w:val="en-US" w:eastAsia="zh-CN"/>
        </w:rPr>
        <w:t>范围</w:t>
      </w:r>
      <w:bookmarkEnd w:id="6"/>
      <w:bookmarkEnd w:id="7"/>
    </w:p>
    <w:p w:rsidR="00F902E5" w:rsidRPr="001E1C07" w:rsidRDefault="00F902E5" w:rsidP="00F902E5">
      <w:pPr>
        <w:ind w:firstLineChars="200" w:firstLine="480"/>
        <w:jc w:val="both"/>
        <w:rPr>
          <w:szCs w:val="24"/>
          <w:lang w:val="en-US" w:eastAsia="zh-CN"/>
        </w:rPr>
      </w:pPr>
      <w:r>
        <w:rPr>
          <w:rFonts w:cs="SimSun" w:hint="eastAsia"/>
          <w:szCs w:val="24"/>
          <w:lang w:val="en-US" w:eastAsia="zh-CN"/>
        </w:rPr>
        <w:t>本建议书提出的一般性原则用于指导成员国</w:t>
      </w:r>
      <w:r>
        <w:rPr>
          <w:rFonts w:cs="SimSun"/>
          <w:szCs w:val="24"/>
          <w:lang w:val="en-US" w:eastAsia="zh-CN"/>
        </w:rPr>
        <w:t>、相关</w:t>
      </w:r>
      <w:r>
        <w:rPr>
          <w:rFonts w:cs="SimSun" w:hint="eastAsia"/>
          <w:szCs w:val="24"/>
          <w:lang w:val="en-US" w:eastAsia="zh-CN"/>
        </w:rPr>
        <w:t>政府机构和监管机构在全球融合的背景之下完成有关普遍服务基金的任务并履行管理职责，其中普遍服务政策的目标不仅取决于内因，同时还会受到不可控外部条件的影响。</w:t>
      </w:r>
    </w:p>
    <w:p w:rsidR="00F902E5" w:rsidRDefault="00F902E5" w:rsidP="00F902E5">
      <w:pPr>
        <w:pStyle w:val="Heading1"/>
        <w:jc w:val="both"/>
        <w:rPr>
          <w:lang w:val="en-US" w:eastAsia="zh-CN"/>
        </w:rPr>
      </w:pPr>
      <w:bookmarkStart w:id="8" w:name="_Toc447531311"/>
      <w:bookmarkStart w:id="9" w:name="_Toc455133264"/>
      <w:r w:rsidRPr="001E1C07">
        <w:rPr>
          <w:lang w:val="en-US" w:eastAsia="zh-CN"/>
        </w:rPr>
        <w:t>2</w:t>
      </w:r>
      <w:r>
        <w:rPr>
          <w:lang w:val="en-US" w:eastAsia="zh-CN"/>
        </w:rPr>
        <w:tab/>
      </w:r>
      <w:r>
        <w:rPr>
          <w:rFonts w:hint="eastAsia"/>
          <w:lang w:val="en-US" w:eastAsia="zh-CN"/>
        </w:rPr>
        <w:t>参考</w:t>
      </w:r>
      <w:r>
        <w:rPr>
          <w:lang w:val="en-US" w:eastAsia="zh-CN"/>
        </w:rPr>
        <w:t>文献</w:t>
      </w:r>
      <w:bookmarkEnd w:id="8"/>
      <w:bookmarkEnd w:id="9"/>
    </w:p>
    <w:p w:rsidR="00F902E5" w:rsidRDefault="00F902E5" w:rsidP="00F902E5">
      <w:pPr>
        <w:ind w:firstLineChars="200" w:firstLine="480"/>
        <w:jc w:val="both"/>
        <w:rPr>
          <w:lang w:eastAsia="zh-CN"/>
        </w:rPr>
      </w:pPr>
      <w:r w:rsidRPr="00DD422C">
        <w:rPr>
          <w:rFonts w:hint="eastAsia"/>
          <w:lang w:eastAsia="zh-CN"/>
        </w:rPr>
        <w:t>下列</w:t>
      </w:r>
      <w:r w:rsidRPr="00DD422C">
        <w:rPr>
          <w:lang w:eastAsia="zh-CN"/>
        </w:rPr>
        <w:t>ITU-T</w:t>
      </w:r>
      <w:r w:rsidRPr="00DD422C">
        <w:rPr>
          <w:rFonts w:hint="eastAsia"/>
          <w:lang w:eastAsia="zh-CN"/>
        </w:rPr>
        <w:t>建议书和其他参考文献的条款，在本建议书中的引用而构成本建议书的条款。在出版时，所指出的版本是有效的。所有的建议书和其他参考文献均会得到修订，本建议书的使用者应查证是否有可能使用下列建议书或其他参考文献的最新版本。当前有效的</w:t>
      </w:r>
      <w:r w:rsidRPr="00DD422C">
        <w:rPr>
          <w:lang w:eastAsia="zh-CN"/>
        </w:rPr>
        <w:t>ITU-T</w:t>
      </w:r>
      <w:r w:rsidRPr="00DD422C">
        <w:rPr>
          <w:rFonts w:hint="eastAsia"/>
          <w:lang w:eastAsia="zh-CN"/>
        </w:rPr>
        <w:t>建议书清单定期出版。本建议书引用的文件自成一体时不具备建议书的地位</w:t>
      </w:r>
      <w:r>
        <w:rPr>
          <w:rFonts w:hint="eastAsia"/>
          <w:lang w:eastAsia="zh-CN"/>
        </w:rPr>
        <w:t>。</w:t>
      </w:r>
    </w:p>
    <w:p w:rsidR="00E57A6A" w:rsidRPr="00F902E5" w:rsidRDefault="00F902E5" w:rsidP="00F902E5">
      <w:pPr>
        <w:pStyle w:val="enumlev1"/>
        <w:rPr>
          <w:rFonts w:ascii="STKaiti" w:eastAsia="STKaiti" w:hAnsi="STKaiti"/>
          <w:lang w:val="fr-BE" w:eastAsia="zh-CN"/>
        </w:rPr>
      </w:pPr>
      <w:r>
        <w:rPr>
          <w:rFonts w:hint="eastAsia"/>
          <w:lang w:val="en-US" w:eastAsia="zh-CN"/>
        </w:rPr>
        <w:t>[ITU-T D.50]</w:t>
      </w:r>
      <w:r>
        <w:rPr>
          <w:rFonts w:hint="eastAsia"/>
          <w:lang w:val="en-US" w:eastAsia="zh-CN"/>
        </w:rPr>
        <w:tab/>
        <w:t>ITU-T D.50</w:t>
      </w:r>
      <w:r>
        <w:rPr>
          <w:rFonts w:hint="eastAsia"/>
          <w:lang w:val="en-US" w:eastAsia="zh-CN"/>
        </w:rPr>
        <w:t>建议书</w:t>
      </w:r>
      <w:r>
        <w:rPr>
          <w:lang w:val="en-US" w:eastAsia="zh-CN"/>
        </w:rPr>
        <w:t>（</w:t>
      </w:r>
      <w:r>
        <w:rPr>
          <w:rFonts w:hint="eastAsia"/>
          <w:lang w:val="en-US" w:eastAsia="zh-CN"/>
        </w:rPr>
        <w:t>2011</w:t>
      </w:r>
      <w:r>
        <w:rPr>
          <w:rFonts w:hint="eastAsia"/>
          <w:lang w:val="en-US" w:eastAsia="zh-CN"/>
        </w:rPr>
        <w:t>年</w:t>
      </w:r>
      <w:r>
        <w:rPr>
          <w:lang w:val="en-US" w:eastAsia="zh-CN"/>
        </w:rPr>
        <w:t>），</w:t>
      </w:r>
      <w:r w:rsidRPr="00F902E5">
        <w:rPr>
          <w:rFonts w:ascii="STKaiti" w:eastAsia="STKaiti" w:hAnsi="STKaiti"/>
          <w:lang w:val="en-US" w:eastAsia="zh-CN"/>
        </w:rPr>
        <w:t>国际互联网连接</w:t>
      </w:r>
    </w:p>
    <w:p w:rsidR="00F902E5" w:rsidRPr="00422D9B" w:rsidRDefault="00F902E5" w:rsidP="00F902E5">
      <w:pPr>
        <w:pStyle w:val="Heading1"/>
        <w:jc w:val="both"/>
        <w:rPr>
          <w:lang w:val="en-US" w:eastAsia="zh-CN"/>
        </w:rPr>
      </w:pPr>
      <w:bookmarkStart w:id="10" w:name="_Toc447531312"/>
      <w:bookmarkStart w:id="11" w:name="_Toc455133265"/>
      <w:r w:rsidRPr="00422D9B">
        <w:rPr>
          <w:rFonts w:hint="eastAsia"/>
          <w:lang w:val="en-US" w:eastAsia="zh-CN"/>
        </w:rPr>
        <w:t>3</w:t>
      </w:r>
      <w:r w:rsidRPr="00422D9B">
        <w:rPr>
          <w:lang w:val="en-US" w:eastAsia="zh-CN"/>
        </w:rPr>
        <w:tab/>
      </w:r>
      <w:r w:rsidRPr="00422D9B">
        <w:rPr>
          <w:rFonts w:hint="eastAsia"/>
          <w:lang w:val="en-US" w:eastAsia="zh-CN"/>
        </w:rPr>
        <w:t>普遍服务的原则</w:t>
      </w:r>
      <w:bookmarkEnd w:id="10"/>
      <w:bookmarkEnd w:id="11"/>
    </w:p>
    <w:p w:rsidR="00F902E5" w:rsidRPr="001E1C07" w:rsidRDefault="00F902E5" w:rsidP="00045A73">
      <w:pPr>
        <w:pStyle w:val="Heading2"/>
        <w:rPr>
          <w:lang w:val="en-US" w:eastAsia="zh-CN"/>
        </w:rPr>
      </w:pPr>
      <w:bookmarkStart w:id="12" w:name="_Toc447531313"/>
      <w:bookmarkStart w:id="13" w:name="_Toc455133266"/>
      <w:r>
        <w:rPr>
          <w:lang w:val="en-US" w:eastAsia="zh-CN"/>
        </w:rPr>
        <w:t>3</w:t>
      </w:r>
      <w:r w:rsidRPr="001E1C07">
        <w:rPr>
          <w:lang w:val="en-US" w:eastAsia="zh-CN"/>
        </w:rPr>
        <w:t>.1</w:t>
      </w:r>
      <w:r>
        <w:rPr>
          <w:lang w:val="en-US" w:eastAsia="zh-CN"/>
        </w:rPr>
        <w:tab/>
      </w:r>
      <w:r>
        <w:rPr>
          <w:rFonts w:hint="eastAsia"/>
          <w:lang w:val="en-US" w:eastAsia="zh-CN"/>
        </w:rPr>
        <w:t>普遍服务的概念</w:t>
      </w:r>
      <w:bookmarkEnd w:id="12"/>
      <w:bookmarkEnd w:id="13"/>
    </w:p>
    <w:p w:rsidR="00F902E5" w:rsidRPr="001E1C07" w:rsidRDefault="00F902E5" w:rsidP="00F902E5">
      <w:pPr>
        <w:ind w:firstLineChars="200" w:firstLine="480"/>
        <w:jc w:val="both"/>
        <w:rPr>
          <w:szCs w:val="24"/>
          <w:lang w:val="en-US" w:eastAsia="zh-CN"/>
        </w:rPr>
      </w:pPr>
      <w:r>
        <w:rPr>
          <w:rFonts w:cs="SimSun" w:hint="eastAsia"/>
          <w:szCs w:val="24"/>
          <w:lang w:val="en-US" w:eastAsia="zh-CN"/>
        </w:rPr>
        <w:t>人们普遍认为普遍服务有三项主要原则：</w:t>
      </w:r>
    </w:p>
    <w:p w:rsidR="00F902E5" w:rsidRPr="001E1C07" w:rsidRDefault="00F902E5" w:rsidP="00F902E5">
      <w:pPr>
        <w:ind w:firstLineChars="200" w:firstLine="482"/>
        <w:jc w:val="both"/>
        <w:rPr>
          <w:szCs w:val="24"/>
          <w:lang w:val="en-US" w:eastAsia="zh-CN"/>
        </w:rPr>
      </w:pPr>
      <w:r>
        <w:rPr>
          <w:rFonts w:cs="SimSun" w:hint="eastAsia"/>
          <w:b/>
          <w:bCs/>
          <w:szCs w:val="24"/>
          <w:lang w:val="en-US" w:eastAsia="zh-CN"/>
        </w:rPr>
        <w:t>可用性：</w:t>
      </w:r>
      <w:r>
        <w:rPr>
          <w:rFonts w:cs="SimSun" w:hint="eastAsia"/>
          <w:szCs w:val="24"/>
          <w:lang w:val="en-US" w:eastAsia="zh-CN"/>
        </w:rPr>
        <w:t>无论何时何地所有用户均应享有相同水平的服务</w:t>
      </w:r>
    </w:p>
    <w:p w:rsidR="00F902E5" w:rsidRPr="001E1C07" w:rsidRDefault="00F902E5" w:rsidP="00F902E5">
      <w:pPr>
        <w:ind w:firstLineChars="200" w:firstLine="482"/>
        <w:jc w:val="both"/>
        <w:rPr>
          <w:szCs w:val="24"/>
          <w:lang w:val="en-US" w:eastAsia="zh-CN"/>
        </w:rPr>
      </w:pPr>
      <w:r>
        <w:rPr>
          <w:rFonts w:cs="SimSun" w:hint="eastAsia"/>
          <w:b/>
          <w:bCs/>
          <w:szCs w:val="24"/>
          <w:lang w:val="en-US" w:eastAsia="zh-CN"/>
        </w:rPr>
        <w:t>价格可承受性：</w:t>
      </w:r>
      <w:r>
        <w:rPr>
          <w:rFonts w:cs="SimSun" w:hint="eastAsia"/>
          <w:szCs w:val="24"/>
          <w:lang w:val="en-US" w:eastAsia="zh-CN"/>
        </w:rPr>
        <w:t>服务价格不应过高，以至给接入造成负面影响</w:t>
      </w:r>
    </w:p>
    <w:p w:rsidR="00F902E5" w:rsidRPr="001E1C07" w:rsidRDefault="00F902E5" w:rsidP="00F902E5">
      <w:pPr>
        <w:ind w:firstLineChars="200" w:firstLine="482"/>
        <w:jc w:val="both"/>
        <w:rPr>
          <w:szCs w:val="24"/>
          <w:lang w:val="en-US" w:eastAsia="zh-CN"/>
        </w:rPr>
      </w:pPr>
      <w:r>
        <w:rPr>
          <w:rFonts w:cs="SimSun" w:hint="eastAsia"/>
          <w:b/>
          <w:bCs/>
          <w:szCs w:val="24"/>
          <w:lang w:val="en-US" w:eastAsia="zh-CN"/>
        </w:rPr>
        <w:t>可获取性：</w:t>
      </w:r>
      <w:r>
        <w:rPr>
          <w:rFonts w:cs="SimSun" w:hint="eastAsia"/>
          <w:szCs w:val="24"/>
          <w:lang w:val="en-US" w:eastAsia="zh-CN"/>
        </w:rPr>
        <w:t>无论用户何时何地接入，均应在服务、价格、服务质量方面得到平等对待</w:t>
      </w:r>
    </w:p>
    <w:p w:rsidR="00F902E5" w:rsidRPr="001E1C07" w:rsidRDefault="00F902E5" w:rsidP="00F902E5">
      <w:pPr>
        <w:ind w:firstLineChars="200" w:firstLine="480"/>
        <w:jc w:val="both"/>
        <w:rPr>
          <w:szCs w:val="24"/>
          <w:lang w:val="en-US" w:eastAsia="zh-CN"/>
        </w:rPr>
      </w:pPr>
      <w:r>
        <w:rPr>
          <w:rFonts w:cs="SimSun" w:hint="eastAsia"/>
          <w:szCs w:val="24"/>
          <w:lang w:val="en-US" w:eastAsia="zh-CN"/>
        </w:rPr>
        <w:t>普遍服务被定义为宽带的工具和一项主要目标，那么，鉴于此要素的国际属性，其在国内的可用性和价格可承受性将与国际互联网连接的价格密切相关，因此各国必须在分析过程中考虑到宽带的内在特性，以便将在国内取得成功的所需各项外部条件均纳入普遍服务项目。</w:t>
      </w:r>
    </w:p>
    <w:p w:rsidR="00F902E5" w:rsidRPr="001E1C07" w:rsidRDefault="00F902E5" w:rsidP="00045A73">
      <w:pPr>
        <w:pStyle w:val="Heading2"/>
        <w:rPr>
          <w:lang w:val="en-US" w:eastAsia="zh-CN"/>
        </w:rPr>
      </w:pPr>
      <w:bookmarkStart w:id="14" w:name="_Toc447531314"/>
      <w:bookmarkStart w:id="15" w:name="_Toc455133267"/>
      <w:r>
        <w:rPr>
          <w:lang w:val="en-US" w:eastAsia="zh-CN"/>
        </w:rPr>
        <w:t>3</w:t>
      </w:r>
      <w:r w:rsidRPr="001E1C07">
        <w:rPr>
          <w:lang w:val="en-US" w:eastAsia="zh-CN"/>
        </w:rPr>
        <w:t>.2</w:t>
      </w:r>
      <w:r>
        <w:rPr>
          <w:lang w:val="en-US" w:eastAsia="zh-CN"/>
        </w:rPr>
        <w:tab/>
      </w:r>
      <w:r>
        <w:rPr>
          <w:rFonts w:hint="eastAsia"/>
          <w:lang w:val="en-US" w:eastAsia="zh-CN"/>
        </w:rPr>
        <w:t>找出决定普遍服务项目能否成功的外部因素</w:t>
      </w:r>
      <w:bookmarkEnd w:id="14"/>
      <w:bookmarkEnd w:id="15"/>
    </w:p>
    <w:p w:rsidR="00F902E5" w:rsidRPr="001E1C07" w:rsidRDefault="00F902E5" w:rsidP="00F902E5">
      <w:pPr>
        <w:ind w:firstLineChars="200" w:firstLine="480"/>
        <w:jc w:val="both"/>
        <w:rPr>
          <w:szCs w:val="24"/>
          <w:lang w:val="en-US" w:eastAsia="zh-CN"/>
        </w:rPr>
      </w:pPr>
      <w:r>
        <w:rPr>
          <w:rFonts w:cs="SimSun" w:hint="eastAsia"/>
          <w:szCs w:val="24"/>
          <w:lang w:val="en-US" w:eastAsia="zh-CN"/>
        </w:rPr>
        <w:t>各成员国和监管机构在设计、调整或修订政策、法规或普遍服务</w:t>
      </w:r>
      <w:r w:rsidRPr="001E1C07">
        <w:rPr>
          <w:szCs w:val="24"/>
          <w:lang w:val="en-US" w:eastAsia="zh-CN"/>
        </w:rPr>
        <w:t>/</w:t>
      </w:r>
      <w:r>
        <w:rPr>
          <w:rFonts w:cs="SimSun" w:hint="eastAsia"/>
          <w:szCs w:val="24"/>
          <w:lang w:val="en-US" w:eastAsia="zh-CN"/>
        </w:rPr>
        <w:t>接入项目时，应特别注意以下几点：</w:t>
      </w:r>
    </w:p>
    <w:p w:rsidR="00F902E5" w:rsidRPr="001E1C07" w:rsidRDefault="00F902E5" w:rsidP="00F902E5">
      <w:pPr>
        <w:pStyle w:val="enumlev1"/>
        <w:jc w:val="both"/>
        <w:rPr>
          <w:lang w:val="en-US" w:eastAsia="zh-CN"/>
        </w:rPr>
      </w:pPr>
      <w:r w:rsidRPr="001E1C07">
        <w:rPr>
          <w:lang w:val="en-US" w:eastAsia="zh-CN"/>
        </w:rPr>
        <w:t>•</w:t>
      </w:r>
      <w:r>
        <w:rPr>
          <w:lang w:val="en-US" w:eastAsia="zh-CN"/>
        </w:rPr>
        <w:tab/>
      </w:r>
      <w:r>
        <w:rPr>
          <w:rFonts w:hint="eastAsia"/>
          <w:lang w:val="en-US" w:eastAsia="zh-CN"/>
        </w:rPr>
        <w:t>本地和地区在提供国际互联网连接容量时的市场竞争程度。</w:t>
      </w:r>
    </w:p>
    <w:p w:rsidR="00F902E5" w:rsidRPr="001E1C07" w:rsidRDefault="00F902E5" w:rsidP="00F902E5">
      <w:pPr>
        <w:pStyle w:val="enumlev1"/>
        <w:jc w:val="both"/>
        <w:rPr>
          <w:lang w:val="en-US" w:eastAsia="zh-CN"/>
        </w:rPr>
      </w:pPr>
      <w:r>
        <w:rPr>
          <w:lang w:val="en-US" w:eastAsia="zh-CN"/>
        </w:rPr>
        <w:t>•</w:t>
      </w:r>
      <w:r>
        <w:rPr>
          <w:lang w:val="en-US" w:eastAsia="zh-CN"/>
        </w:rPr>
        <w:tab/>
      </w:r>
      <w:r>
        <w:rPr>
          <w:rFonts w:hint="eastAsia"/>
          <w:lang w:val="en-US" w:eastAsia="zh-CN"/>
        </w:rPr>
        <w:t>国际转接价格和税收问题，</w:t>
      </w:r>
      <w:r>
        <w:rPr>
          <w:lang w:val="en-US" w:eastAsia="zh-CN"/>
        </w:rPr>
        <w:t>IRU</w:t>
      </w:r>
      <w:r>
        <w:rPr>
          <w:rFonts w:hint="eastAsia"/>
          <w:lang w:val="en-US" w:eastAsia="zh-CN"/>
        </w:rPr>
        <w:t>合同价格或提供国际互联网容量的其它类型合同价格的演进。</w:t>
      </w:r>
    </w:p>
    <w:p w:rsidR="00E57A6A" w:rsidRPr="00E14192" w:rsidRDefault="00F902E5" w:rsidP="00F902E5">
      <w:pPr>
        <w:pStyle w:val="enumlev1"/>
        <w:rPr>
          <w:lang w:val="en-US" w:eastAsia="zh-CN"/>
        </w:rPr>
      </w:pPr>
      <w:r w:rsidRPr="001E1C07">
        <w:rPr>
          <w:lang w:val="en-US" w:eastAsia="zh-CN"/>
        </w:rPr>
        <w:t>•</w:t>
      </w:r>
      <w:r>
        <w:rPr>
          <w:lang w:val="en-US" w:eastAsia="zh-CN"/>
        </w:rPr>
        <w:tab/>
      </w:r>
      <w:r>
        <w:rPr>
          <w:rFonts w:hint="eastAsia"/>
          <w:lang w:val="en-US" w:eastAsia="zh-CN"/>
        </w:rPr>
        <w:t>在国内运营商区域</w:t>
      </w:r>
      <w:r>
        <w:rPr>
          <w:lang w:val="en-US" w:eastAsia="zh-CN"/>
        </w:rPr>
        <w:t>运营商和</w:t>
      </w:r>
      <w:r>
        <w:rPr>
          <w:rFonts w:hint="eastAsia"/>
          <w:lang w:val="en-US" w:eastAsia="zh-CN"/>
        </w:rPr>
        <w:t>国际互联网容量提供商间签署并推广对等合同的能力。</w:t>
      </w:r>
    </w:p>
    <w:p w:rsidR="00E57A6A" w:rsidRPr="00E14192" w:rsidRDefault="00E57A6A" w:rsidP="00E57A6A">
      <w:pPr>
        <w:spacing w:line="276" w:lineRule="auto"/>
        <w:ind w:left="720"/>
        <w:contextualSpacing/>
        <w:jc w:val="both"/>
        <w:rPr>
          <w:szCs w:val="24"/>
          <w:lang w:val="en-US" w:eastAsia="zh-CN"/>
        </w:rPr>
      </w:pPr>
    </w:p>
    <w:p w:rsidR="00F902E5" w:rsidRPr="001E1C07" w:rsidRDefault="00F902E5" w:rsidP="00045A73">
      <w:pPr>
        <w:pStyle w:val="Heading2"/>
        <w:rPr>
          <w:lang w:val="en-US" w:eastAsia="zh-CN"/>
        </w:rPr>
      </w:pPr>
      <w:bookmarkStart w:id="16" w:name="_Toc447531315"/>
      <w:bookmarkStart w:id="17" w:name="_Toc455133268"/>
      <w:r>
        <w:rPr>
          <w:lang w:val="en-US" w:eastAsia="zh-CN"/>
        </w:rPr>
        <w:lastRenderedPageBreak/>
        <w:t>3</w:t>
      </w:r>
      <w:r w:rsidRPr="001E1C07">
        <w:rPr>
          <w:lang w:val="en-US" w:eastAsia="zh-CN"/>
        </w:rPr>
        <w:t>.3</w:t>
      </w:r>
      <w:r>
        <w:rPr>
          <w:lang w:val="en-US" w:eastAsia="zh-CN"/>
        </w:rPr>
        <w:tab/>
      </w:r>
      <w:r>
        <w:rPr>
          <w:rFonts w:hint="eastAsia"/>
          <w:lang w:val="en-US" w:eastAsia="zh-CN"/>
        </w:rPr>
        <w:t>普遍服务项目如何能够帮助解决与国际互联网连接相关的问题</w:t>
      </w:r>
      <w:bookmarkEnd w:id="16"/>
      <w:bookmarkEnd w:id="17"/>
    </w:p>
    <w:p w:rsidR="00F902E5" w:rsidRPr="001E1C07" w:rsidRDefault="00F902E5" w:rsidP="00F902E5">
      <w:pPr>
        <w:ind w:firstLineChars="200" w:firstLine="480"/>
        <w:jc w:val="both"/>
        <w:rPr>
          <w:szCs w:val="24"/>
          <w:lang w:val="en-US" w:eastAsia="zh-CN"/>
        </w:rPr>
      </w:pPr>
      <w:r>
        <w:rPr>
          <w:rFonts w:cs="SimSun" w:hint="eastAsia"/>
          <w:szCs w:val="24"/>
          <w:lang w:val="en-US" w:eastAsia="zh-CN"/>
        </w:rPr>
        <w:t>各成员国的主管部门和监管机构应通过普遍服务基金推行并支持如下举措，以降低给经济造成的影响以及落实普遍服务政策和项目所需的国际互联网连接（</w:t>
      </w:r>
      <w:r w:rsidRPr="001E1C07">
        <w:rPr>
          <w:szCs w:val="24"/>
          <w:lang w:val="en-US" w:eastAsia="zh-CN"/>
        </w:rPr>
        <w:t>IIC</w:t>
      </w:r>
      <w:r>
        <w:rPr>
          <w:rFonts w:cs="SimSun" w:hint="eastAsia"/>
          <w:szCs w:val="24"/>
          <w:lang w:val="en-US" w:eastAsia="zh-CN"/>
        </w:rPr>
        <w:t>）合同的条件：</w:t>
      </w:r>
    </w:p>
    <w:p w:rsidR="00F902E5" w:rsidRPr="001E1C07" w:rsidRDefault="00F902E5" w:rsidP="00F902E5">
      <w:pPr>
        <w:jc w:val="both"/>
        <w:rPr>
          <w:szCs w:val="24"/>
          <w:lang w:val="en-US" w:eastAsia="zh-CN"/>
        </w:rPr>
      </w:pPr>
      <w:r>
        <w:rPr>
          <w:szCs w:val="24"/>
          <w:lang w:val="en-US" w:eastAsia="zh-CN"/>
        </w:rPr>
        <w:t>•</w:t>
      </w:r>
      <w:r>
        <w:rPr>
          <w:szCs w:val="24"/>
          <w:lang w:val="en-US" w:eastAsia="zh-CN"/>
        </w:rPr>
        <w:tab/>
      </w:r>
      <w:r>
        <w:rPr>
          <w:rFonts w:cs="SimSun" w:hint="eastAsia"/>
          <w:szCs w:val="24"/>
          <w:lang w:val="en-US" w:eastAsia="zh-CN"/>
        </w:rPr>
        <w:t>创建和</w:t>
      </w:r>
      <w:r w:rsidRPr="001E1C07">
        <w:rPr>
          <w:szCs w:val="24"/>
          <w:lang w:val="en-US" w:eastAsia="zh-CN"/>
        </w:rPr>
        <w:t>/</w:t>
      </w:r>
      <w:r>
        <w:rPr>
          <w:rFonts w:cs="SimSun" w:hint="eastAsia"/>
          <w:szCs w:val="24"/>
          <w:lang w:val="en-US" w:eastAsia="zh-CN"/>
        </w:rPr>
        <w:t>或强化国内或区域互联网交换中心（</w:t>
      </w:r>
      <w:r w:rsidRPr="001E1C07">
        <w:rPr>
          <w:szCs w:val="24"/>
          <w:lang w:val="en-US" w:eastAsia="zh-CN"/>
        </w:rPr>
        <w:t>IXP</w:t>
      </w:r>
      <w:r>
        <w:rPr>
          <w:rFonts w:cs="SimSun" w:hint="eastAsia"/>
          <w:szCs w:val="24"/>
          <w:lang w:val="en-US" w:eastAsia="zh-CN"/>
        </w:rPr>
        <w:t>）。</w:t>
      </w:r>
    </w:p>
    <w:p w:rsidR="00E57A6A" w:rsidRPr="00E14192" w:rsidRDefault="00F902E5" w:rsidP="00F902E5">
      <w:pPr>
        <w:pStyle w:val="enumlev1"/>
        <w:rPr>
          <w:lang w:val="en-US" w:eastAsia="zh-CN"/>
        </w:rPr>
      </w:pPr>
      <w:r w:rsidRPr="001E1C07">
        <w:rPr>
          <w:szCs w:val="24"/>
          <w:lang w:val="en-US" w:eastAsia="zh-CN"/>
        </w:rPr>
        <w:t>•</w:t>
      </w:r>
      <w:r>
        <w:rPr>
          <w:szCs w:val="24"/>
          <w:lang w:val="en-US" w:eastAsia="zh-CN"/>
        </w:rPr>
        <w:tab/>
      </w:r>
      <w:r>
        <w:rPr>
          <w:rFonts w:cs="SimSun" w:hint="eastAsia"/>
          <w:szCs w:val="24"/>
          <w:lang w:val="en-US" w:eastAsia="zh-CN"/>
        </w:rPr>
        <w:t>创建和</w:t>
      </w:r>
      <w:r w:rsidRPr="001E1C07">
        <w:rPr>
          <w:szCs w:val="24"/>
          <w:lang w:val="en-US" w:eastAsia="zh-CN"/>
        </w:rPr>
        <w:t>/</w:t>
      </w:r>
      <w:r>
        <w:rPr>
          <w:rFonts w:cs="SimSun" w:hint="eastAsia"/>
          <w:szCs w:val="24"/>
          <w:lang w:val="en-US" w:eastAsia="zh-CN"/>
        </w:rPr>
        <w:t>或强化国内或区域数据中心。</w:t>
      </w:r>
    </w:p>
    <w:p w:rsidR="00773EF8" w:rsidRPr="001E1C07" w:rsidRDefault="00773EF8" w:rsidP="00045A73">
      <w:pPr>
        <w:pStyle w:val="Heading1"/>
        <w:rPr>
          <w:lang w:val="en-US" w:eastAsia="zh-CN"/>
        </w:rPr>
      </w:pPr>
      <w:bookmarkStart w:id="18" w:name="_Toc447531316"/>
      <w:bookmarkStart w:id="19" w:name="_Toc455133269"/>
      <w:r>
        <w:rPr>
          <w:lang w:val="en-US" w:eastAsia="zh-CN"/>
        </w:rPr>
        <w:t>4</w:t>
      </w:r>
      <w:r>
        <w:rPr>
          <w:lang w:val="en-US" w:eastAsia="zh-CN"/>
        </w:rPr>
        <w:tab/>
      </w:r>
      <w:r w:rsidRPr="00045A73">
        <w:rPr>
          <w:rFonts w:hint="eastAsia"/>
          <w:lang w:eastAsia="zh-CN"/>
        </w:rPr>
        <w:t>全球背景下的普遍服务</w:t>
      </w:r>
      <w:bookmarkEnd w:id="18"/>
      <w:bookmarkEnd w:id="19"/>
    </w:p>
    <w:p w:rsidR="00E57A6A" w:rsidRPr="00E14192" w:rsidRDefault="00773EF8" w:rsidP="00D375A2">
      <w:pPr>
        <w:ind w:firstLineChars="200" w:firstLine="480"/>
        <w:rPr>
          <w:lang w:val="en-US" w:eastAsia="zh-CN"/>
        </w:rPr>
      </w:pPr>
      <w:r>
        <w:rPr>
          <w:rFonts w:cs="SimSun" w:hint="eastAsia"/>
          <w:szCs w:val="24"/>
          <w:lang w:val="en-US" w:eastAsia="zh-CN"/>
        </w:rPr>
        <w:t>法律允许时，为降低某一区域或国家集团内部的</w:t>
      </w:r>
      <w:r>
        <w:rPr>
          <w:szCs w:val="24"/>
          <w:lang w:val="en-US" w:eastAsia="zh-CN"/>
        </w:rPr>
        <w:t>IIC</w:t>
      </w:r>
      <w:r>
        <w:rPr>
          <w:rFonts w:cs="SimSun" w:hint="eastAsia"/>
          <w:szCs w:val="24"/>
          <w:lang w:val="en-US" w:eastAsia="zh-CN"/>
        </w:rPr>
        <w:t>成本产生的影响，有关成员国主管部门和监管机构可发起并实施双边或多协议，将普遍服务基金投入公共基建项目，为提供国际互联网容量奠定基础。</w:t>
      </w:r>
    </w:p>
    <w:p w:rsidR="00D375A2" w:rsidRPr="001E1C07" w:rsidRDefault="00D375A2" w:rsidP="00D375A2">
      <w:pPr>
        <w:pStyle w:val="Heading1"/>
        <w:jc w:val="both"/>
        <w:rPr>
          <w:lang w:val="en-US" w:eastAsia="zh-CN"/>
        </w:rPr>
      </w:pPr>
      <w:bookmarkStart w:id="20" w:name="_Toc447531317"/>
      <w:bookmarkStart w:id="21" w:name="_Toc455133270"/>
      <w:r>
        <w:rPr>
          <w:lang w:val="en-US" w:eastAsia="zh-CN"/>
        </w:rPr>
        <w:t>5</w:t>
      </w:r>
      <w:r>
        <w:rPr>
          <w:lang w:val="en-US" w:eastAsia="zh-CN"/>
        </w:rPr>
        <w:tab/>
      </w:r>
      <w:r>
        <w:rPr>
          <w:rFonts w:hint="eastAsia"/>
          <w:lang w:val="en-US" w:eastAsia="zh-CN"/>
        </w:rPr>
        <w:t>为提高普遍服务政策有效性与遵从性制定的导则</w:t>
      </w:r>
      <w:bookmarkEnd w:id="20"/>
      <w:bookmarkEnd w:id="21"/>
      <w:r w:rsidRPr="001E1C07">
        <w:rPr>
          <w:lang w:val="en-US" w:eastAsia="zh-CN"/>
        </w:rPr>
        <w:t xml:space="preserve"> </w:t>
      </w:r>
    </w:p>
    <w:p w:rsidR="00D375A2" w:rsidRPr="001E1C07" w:rsidRDefault="00D375A2" w:rsidP="00D375A2">
      <w:pPr>
        <w:pStyle w:val="enumlev1"/>
        <w:jc w:val="both"/>
        <w:rPr>
          <w:lang w:val="en-US" w:eastAsia="zh-CN"/>
        </w:rPr>
      </w:pPr>
      <w:r w:rsidRPr="008C2137">
        <w:rPr>
          <w:lang w:val="en-US" w:eastAsia="zh-CN"/>
        </w:rPr>
        <w:t>•</w:t>
      </w:r>
      <w:r>
        <w:rPr>
          <w:lang w:val="en-US" w:eastAsia="zh-CN"/>
        </w:rPr>
        <w:tab/>
      </w:r>
      <w:r>
        <w:rPr>
          <w:rFonts w:hint="eastAsia"/>
          <w:lang w:val="en-US" w:eastAsia="zh-CN"/>
        </w:rPr>
        <w:t>鼓励国内外提供商在透明和非歧视条件下为普遍服务提供资金。</w:t>
      </w:r>
    </w:p>
    <w:p w:rsidR="00D375A2" w:rsidRDefault="00D375A2" w:rsidP="00D375A2">
      <w:pPr>
        <w:pStyle w:val="enumlev1"/>
        <w:jc w:val="both"/>
        <w:rPr>
          <w:lang w:val="en-US" w:eastAsia="zh-CN"/>
        </w:rPr>
      </w:pPr>
      <w:r w:rsidRPr="009F4326">
        <w:rPr>
          <w:lang w:val="en-US" w:eastAsia="zh-CN"/>
        </w:rPr>
        <w:t>•</w:t>
      </w:r>
      <w:r>
        <w:rPr>
          <w:lang w:val="en-US" w:eastAsia="zh-CN"/>
        </w:rPr>
        <w:tab/>
      </w:r>
      <w:r>
        <w:rPr>
          <w:rFonts w:hint="eastAsia"/>
          <w:lang w:val="en-US" w:eastAsia="zh-CN"/>
        </w:rPr>
        <w:t>为</w:t>
      </w:r>
      <w:r>
        <w:rPr>
          <w:lang w:val="en-US" w:eastAsia="zh-CN"/>
        </w:rPr>
        <w:t>开展普遍服务项目</w:t>
      </w:r>
      <w:r>
        <w:rPr>
          <w:rFonts w:hint="eastAsia"/>
          <w:lang w:val="en-US" w:eastAsia="zh-CN"/>
        </w:rPr>
        <w:t>尽力</w:t>
      </w:r>
      <w:r>
        <w:rPr>
          <w:lang w:val="en-US" w:eastAsia="zh-CN"/>
        </w:rPr>
        <w:t>促进结成公众和私营伙伴关系。</w:t>
      </w:r>
    </w:p>
    <w:p w:rsidR="00D375A2" w:rsidRPr="001E1C07" w:rsidRDefault="00D375A2" w:rsidP="00D375A2">
      <w:pPr>
        <w:pStyle w:val="enumlev1"/>
        <w:jc w:val="both"/>
        <w:rPr>
          <w:lang w:val="en-US" w:eastAsia="zh-CN"/>
        </w:rPr>
      </w:pPr>
      <w:r w:rsidRPr="008C2137">
        <w:rPr>
          <w:lang w:val="en-US" w:eastAsia="zh-CN"/>
        </w:rPr>
        <w:t>•</w:t>
      </w:r>
      <w:r>
        <w:rPr>
          <w:lang w:val="en-US" w:eastAsia="zh-CN"/>
        </w:rPr>
        <w:tab/>
      </w:r>
      <w:r>
        <w:rPr>
          <w:rFonts w:hint="eastAsia"/>
          <w:lang w:val="en-US" w:eastAsia="zh-CN"/>
        </w:rPr>
        <w:t>降低国际互联网连接的成本。</w:t>
      </w:r>
    </w:p>
    <w:p w:rsidR="00D375A2" w:rsidRPr="001E1C07" w:rsidRDefault="00D375A2" w:rsidP="00D375A2">
      <w:pPr>
        <w:pStyle w:val="enumlev1"/>
        <w:jc w:val="both"/>
        <w:rPr>
          <w:lang w:val="en-US" w:eastAsia="zh-CN"/>
        </w:rPr>
      </w:pPr>
      <w:r w:rsidRPr="008C2137">
        <w:rPr>
          <w:lang w:val="en-US" w:eastAsia="zh-CN"/>
        </w:rPr>
        <w:t>•</w:t>
      </w:r>
      <w:r>
        <w:rPr>
          <w:lang w:val="en-US" w:eastAsia="zh-CN"/>
        </w:rPr>
        <w:tab/>
      </w:r>
      <w:r>
        <w:rPr>
          <w:rFonts w:hint="eastAsia"/>
          <w:lang w:val="en-US" w:eastAsia="zh-CN"/>
        </w:rPr>
        <w:t>鼓励向农村地区，特别是为公共卫生和教育机构服务投资，尽管这种投资回报不会立竿见影。</w:t>
      </w:r>
    </w:p>
    <w:p w:rsidR="00D375A2" w:rsidRPr="001E1C07" w:rsidRDefault="00D375A2" w:rsidP="00D375A2">
      <w:pPr>
        <w:pStyle w:val="enumlev1"/>
        <w:jc w:val="both"/>
        <w:rPr>
          <w:lang w:val="en-US" w:eastAsia="zh-CN"/>
        </w:rPr>
      </w:pPr>
      <w:r w:rsidRPr="008C2137">
        <w:rPr>
          <w:lang w:val="en-US" w:eastAsia="zh-CN"/>
        </w:rPr>
        <w:t>•</w:t>
      </w:r>
      <w:r>
        <w:rPr>
          <w:lang w:val="en-US" w:eastAsia="zh-CN"/>
        </w:rPr>
        <w:tab/>
      </w:r>
      <w:r>
        <w:rPr>
          <w:rFonts w:hint="eastAsia"/>
          <w:lang w:val="en-US" w:eastAsia="zh-CN"/>
        </w:rPr>
        <w:t>增强新技术的可用性，特别是在宽带网络和技术发展以及下一代蜂窝移动电话网络方面。</w:t>
      </w:r>
    </w:p>
    <w:p w:rsidR="00D375A2" w:rsidRPr="001E1C07" w:rsidRDefault="00D375A2" w:rsidP="00D375A2">
      <w:pPr>
        <w:pStyle w:val="enumlev1"/>
        <w:jc w:val="both"/>
        <w:rPr>
          <w:lang w:val="en-US" w:eastAsia="zh-CN"/>
        </w:rPr>
      </w:pPr>
      <w:r w:rsidRPr="008C2137">
        <w:rPr>
          <w:lang w:val="en-US" w:eastAsia="zh-CN"/>
        </w:rPr>
        <w:t>•</w:t>
      </w:r>
      <w:r>
        <w:rPr>
          <w:lang w:val="en-US" w:eastAsia="zh-CN"/>
        </w:rPr>
        <w:tab/>
      </w:r>
      <w:r>
        <w:rPr>
          <w:rFonts w:hint="eastAsia"/>
          <w:lang w:val="en-US" w:eastAsia="zh-CN"/>
        </w:rPr>
        <w:t>尽管当代电信网络和系统淘汰速度很快，但仍要确保维持投资所需的条件。</w:t>
      </w:r>
    </w:p>
    <w:p w:rsidR="00E57A6A" w:rsidRPr="00E14192" w:rsidRDefault="00D375A2" w:rsidP="00D375A2">
      <w:pPr>
        <w:pStyle w:val="enumlev1"/>
        <w:rPr>
          <w:lang w:val="en-US" w:eastAsia="zh-CN"/>
        </w:rPr>
      </w:pPr>
      <w:r w:rsidRPr="008C2137">
        <w:rPr>
          <w:lang w:val="en-US" w:eastAsia="zh-CN"/>
        </w:rPr>
        <w:t>•</w:t>
      </w:r>
      <w:r>
        <w:rPr>
          <w:lang w:val="en-US" w:eastAsia="zh-CN"/>
        </w:rPr>
        <w:tab/>
      </w:r>
      <w:r>
        <w:rPr>
          <w:rFonts w:hint="eastAsia"/>
          <w:lang w:val="en-US" w:eastAsia="zh-CN"/>
        </w:rPr>
        <w:t>遵守</w:t>
      </w:r>
      <w:r w:rsidRPr="001E1C07">
        <w:rPr>
          <w:lang w:val="en-US" w:eastAsia="zh-CN"/>
        </w:rPr>
        <w:t>ITU-T D.50</w:t>
      </w:r>
      <w:r>
        <w:rPr>
          <w:rFonts w:hint="eastAsia"/>
          <w:lang w:val="en-US" w:eastAsia="zh-CN"/>
        </w:rPr>
        <w:t>建议书等国际规则，该建议书提倡各国间的付款机制应考虑到发展中国家支付的互联网接入费。</w:t>
      </w:r>
    </w:p>
    <w:p w:rsidR="00E57A6A" w:rsidRPr="00563D23" w:rsidRDefault="00E57A6A" w:rsidP="00563D23">
      <w:pPr>
        <w:pStyle w:val="Reasons"/>
        <w:rPr>
          <w:lang w:eastAsia="zh-CN"/>
        </w:rPr>
      </w:pPr>
    </w:p>
    <w:p w:rsidR="00E57A6A" w:rsidRDefault="00E57A6A">
      <w:pPr>
        <w:jc w:val="center"/>
      </w:pPr>
      <w:r>
        <w:t>______________</w:t>
      </w:r>
    </w:p>
    <w:sectPr w:rsidR="00E57A6A">
      <w:headerReference w:type="default" r:id="rId11"/>
      <w:footerReference w:type="default" r:id="rId12"/>
      <w:footerReference w:type="first" r:id="rId13"/>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32D4" w:rsidRDefault="00FF32D4">
      <w:r>
        <w:separator/>
      </w:r>
    </w:p>
  </w:endnote>
  <w:endnote w:type="continuationSeparator" w:id="0">
    <w:p w:rsidR="00FF32D4" w:rsidRDefault="00FF3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TKaiti">
    <w:altName w:val="Arial Unicode MS"/>
    <w:charset w:val="86"/>
    <w:family w:val="auto"/>
    <w:pitch w:val="variable"/>
    <w:sig w:usb0="00000000"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17204C" w:rsidRDefault="0017204C" w:rsidP="0017204C">
    <w:pPr>
      <w:pStyle w:val="Footer"/>
      <w:rPr>
        <w:lang w:val="fr-CH"/>
      </w:rPr>
    </w:pPr>
    <w:r w:rsidRPr="00B66F99">
      <w:rPr>
        <w:lang w:val="fr-CH"/>
      </w:rPr>
      <w:t>ITU-T\CONF-T\WTSA16\000\03</w:t>
    </w:r>
    <w:r>
      <w:rPr>
        <w:lang w:val="fr-CH"/>
      </w:rPr>
      <w:t>8C</w:t>
    </w:r>
    <w:r w:rsidRPr="00B66F99">
      <w:rPr>
        <w:lang w:val="fr-CH"/>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8CA" w:rsidRPr="0017204C" w:rsidRDefault="0017204C" w:rsidP="0017204C">
    <w:pPr>
      <w:pStyle w:val="Footer"/>
      <w:rPr>
        <w:lang w:val="fr-CH"/>
      </w:rPr>
    </w:pPr>
    <w:r w:rsidRPr="00B66F99">
      <w:rPr>
        <w:lang w:val="fr-CH"/>
      </w:rPr>
      <w:t>ITU-T\CONF-T\WTSA16\000\03</w:t>
    </w:r>
    <w:r>
      <w:rPr>
        <w:lang w:val="fr-CH"/>
      </w:rPr>
      <w:t>8</w:t>
    </w:r>
    <w:r>
      <w:rPr>
        <w:lang w:val="fr-CH"/>
      </w:rPr>
      <w:t>C</w:t>
    </w:r>
    <w:r w:rsidRPr="00B66F99">
      <w:rPr>
        <w:lang w:val="fr-CH"/>
      </w:rPr>
      <w:t>.DOC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32D4" w:rsidRDefault="00FF32D4">
      <w:r>
        <w:t>____________________</w:t>
      </w:r>
    </w:p>
  </w:footnote>
  <w:footnote w:type="continuationSeparator" w:id="0">
    <w:p w:rsidR="00FF32D4" w:rsidRDefault="00FF32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B30" w:rsidRDefault="000A3B30" w:rsidP="000A3B3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17204C">
      <w:rPr>
        <w:rStyle w:val="PageNumber"/>
        <w:noProof/>
      </w:rPr>
      <w:t>6</w:t>
    </w:r>
    <w:r>
      <w:rPr>
        <w:rStyle w:val="PageNumber"/>
      </w:rPr>
      <w:fldChar w:fldCharType="end"/>
    </w:r>
  </w:p>
  <w:p w:rsidR="00B851D4" w:rsidRPr="000A3B30" w:rsidRDefault="00502B2E" w:rsidP="000A3B30">
    <w:pPr>
      <w:pStyle w:val="Header"/>
      <w:rPr>
        <w:lang w:val="en-US"/>
      </w:rPr>
    </w:pPr>
    <w:r>
      <w:t>WTSA16/38-C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activeWritingStyle w:appName="MSWord" w:lang="fr-BE"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760"/>
    <w:rsid w:val="0001097C"/>
    <w:rsid w:val="000174B1"/>
    <w:rsid w:val="000264C2"/>
    <w:rsid w:val="000273B7"/>
    <w:rsid w:val="00031E6B"/>
    <w:rsid w:val="00037C90"/>
    <w:rsid w:val="00045A73"/>
    <w:rsid w:val="000625B5"/>
    <w:rsid w:val="00081F9B"/>
    <w:rsid w:val="000A3B30"/>
    <w:rsid w:val="000B7452"/>
    <w:rsid w:val="000C09BA"/>
    <w:rsid w:val="000C1F1E"/>
    <w:rsid w:val="000C6AA7"/>
    <w:rsid w:val="000E26F6"/>
    <w:rsid w:val="00166859"/>
    <w:rsid w:val="0017204C"/>
    <w:rsid w:val="001765EC"/>
    <w:rsid w:val="001853E8"/>
    <w:rsid w:val="001B6360"/>
    <w:rsid w:val="001C1A7A"/>
    <w:rsid w:val="001F4EA6"/>
    <w:rsid w:val="0020278D"/>
    <w:rsid w:val="00214959"/>
    <w:rsid w:val="002357CB"/>
    <w:rsid w:val="00277283"/>
    <w:rsid w:val="0028063B"/>
    <w:rsid w:val="002870C9"/>
    <w:rsid w:val="002A4C9C"/>
    <w:rsid w:val="002B509B"/>
    <w:rsid w:val="002D162B"/>
    <w:rsid w:val="002D625E"/>
    <w:rsid w:val="002E2A59"/>
    <w:rsid w:val="00305254"/>
    <w:rsid w:val="003169D2"/>
    <w:rsid w:val="003468CA"/>
    <w:rsid w:val="003556C0"/>
    <w:rsid w:val="00372FC2"/>
    <w:rsid w:val="003A69EA"/>
    <w:rsid w:val="003B4BEF"/>
    <w:rsid w:val="003C6B45"/>
    <w:rsid w:val="003F0C01"/>
    <w:rsid w:val="00400909"/>
    <w:rsid w:val="0041282E"/>
    <w:rsid w:val="00437869"/>
    <w:rsid w:val="00465A34"/>
    <w:rsid w:val="00496CF5"/>
    <w:rsid w:val="004B086A"/>
    <w:rsid w:val="004C4554"/>
    <w:rsid w:val="004D04A4"/>
    <w:rsid w:val="004D2DEC"/>
    <w:rsid w:val="004F2BE6"/>
    <w:rsid w:val="00502B2E"/>
    <w:rsid w:val="00524E4B"/>
    <w:rsid w:val="00527E8A"/>
    <w:rsid w:val="00534930"/>
    <w:rsid w:val="00542E85"/>
    <w:rsid w:val="00562479"/>
    <w:rsid w:val="00562AD1"/>
    <w:rsid w:val="00563D23"/>
    <w:rsid w:val="00576849"/>
    <w:rsid w:val="005A0ACB"/>
    <w:rsid w:val="005C7B12"/>
    <w:rsid w:val="005E7FD8"/>
    <w:rsid w:val="00611DCC"/>
    <w:rsid w:val="00622560"/>
    <w:rsid w:val="00637760"/>
    <w:rsid w:val="00644391"/>
    <w:rsid w:val="00647712"/>
    <w:rsid w:val="00662E12"/>
    <w:rsid w:val="00691142"/>
    <w:rsid w:val="006B6525"/>
    <w:rsid w:val="006B67CE"/>
    <w:rsid w:val="006C38ED"/>
    <w:rsid w:val="006E6182"/>
    <w:rsid w:val="006F3C60"/>
    <w:rsid w:val="006F409E"/>
    <w:rsid w:val="00707454"/>
    <w:rsid w:val="00736415"/>
    <w:rsid w:val="007451D5"/>
    <w:rsid w:val="00770D2A"/>
    <w:rsid w:val="00773EF8"/>
    <w:rsid w:val="00775B71"/>
    <w:rsid w:val="007864F6"/>
    <w:rsid w:val="007B7C4B"/>
    <w:rsid w:val="007F0FC5"/>
    <w:rsid w:val="007F1339"/>
    <w:rsid w:val="007F5C36"/>
    <w:rsid w:val="00803C32"/>
    <w:rsid w:val="008047DB"/>
    <w:rsid w:val="008129A9"/>
    <w:rsid w:val="00820712"/>
    <w:rsid w:val="008221A4"/>
    <w:rsid w:val="0082361D"/>
    <w:rsid w:val="00824BD6"/>
    <w:rsid w:val="0083672D"/>
    <w:rsid w:val="00844734"/>
    <w:rsid w:val="00857FA1"/>
    <w:rsid w:val="00865DFB"/>
    <w:rsid w:val="0089394F"/>
    <w:rsid w:val="008A7416"/>
    <w:rsid w:val="008B6852"/>
    <w:rsid w:val="008B7C84"/>
    <w:rsid w:val="008C26FF"/>
    <w:rsid w:val="008D1D14"/>
    <w:rsid w:val="008D4DF2"/>
    <w:rsid w:val="008E1785"/>
    <w:rsid w:val="008E7127"/>
    <w:rsid w:val="008E7C8E"/>
    <w:rsid w:val="00912959"/>
    <w:rsid w:val="0092075B"/>
    <w:rsid w:val="00960046"/>
    <w:rsid w:val="009657F9"/>
    <w:rsid w:val="009759FE"/>
    <w:rsid w:val="009823F4"/>
    <w:rsid w:val="00990172"/>
    <w:rsid w:val="0099525B"/>
    <w:rsid w:val="009C72B7"/>
    <w:rsid w:val="009D164C"/>
    <w:rsid w:val="00A0052C"/>
    <w:rsid w:val="00A06370"/>
    <w:rsid w:val="00A16B3A"/>
    <w:rsid w:val="00A31B14"/>
    <w:rsid w:val="00A323DC"/>
    <w:rsid w:val="00A377AC"/>
    <w:rsid w:val="00A37EC6"/>
    <w:rsid w:val="00A815BE"/>
    <w:rsid w:val="00AA5DA1"/>
    <w:rsid w:val="00AB67E4"/>
    <w:rsid w:val="00AB7F81"/>
    <w:rsid w:val="00AE369F"/>
    <w:rsid w:val="00B026CB"/>
    <w:rsid w:val="00B637AD"/>
    <w:rsid w:val="00B851D4"/>
    <w:rsid w:val="00B868FC"/>
    <w:rsid w:val="00B95072"/>
    <w:rsid w:val="00B97FE4"/>
    <w:rsid w:val="00BB26CD"/>
    <w:rsid w:val="00BC347A"/>
    <w:rsid w:val="00C07239"/>
    <w:rsid w:val="00C24E4A"/>
    <w:rsid w:val="00C364B1"/>
    <w:rsid w:val="00C42D2C"/>
    <w:rsid w:val="00C47D87"/>
    <w:rsid w:val="00C627F9"/>
    <w:rsid w:val="00C6584D"/>
    <w:rsid w:val="00C779F4"/>
    <w:rsid w:val="00C929E0"/>
    <w:rsid w:val="00CB4E5A"/>
    <w:rsid w:val="00CC73D7"/>
    <w:rsid w:val="00CF0AD7"/>
    <w:rsid w:val="00CF0BE1"/>
    <w:rsid w:val="00CF25B1"/>
    <w:rsid w:val="00CF5665"/>
    <w:rsid w:val="00D061C5"/>
    <w:rsid w:val="00D375A2"/>
    <w:rsid w:val="00D52A14"/>
    <w:rsid w:val="00D74599"/>
    <w:rsid w:val="00D75D4F"/>
    <w:rsid w:val="00D90575"/>
    <w:rsid w:val="00DA0469"/>
    <w:rsid w:val="00DD13B7"/>
    <w:rsid w:val="00DF3B0C"/>
    <w:rsid w:val="00E148F2"/>
    <w:rsid w:val="00E14984"/>
    <w:rsid w:val="00E22A25"/>
    <w:rsid w:val="00E2414B"/>
    <w:rsid w:val="00E249E0"/>
    <w:rsid w:val="00E326AB"/>
    <w:rsid w:val="00E33FE7"/>
    <w:rsid w:val="00E4252D"/>
    <w:rsid w:val="00E560F1"/>
    <w:rsid w:val="00E57A6A"/>
    <w:rsid w:val="00E9167E"/>
    <w:rsid w:val="00E92319"/>
    <w:rsid w:val="00F42A69"/>
    <w:rsid w:val="00F469EB"/>
    <w:rsid w:val="00F532F9"/>
    <w:rsid w:val="00F65C1D"/>
    <w:rsid w:val="00F66B87"/>
    <w:rsid w:val="00F837F4"/>
    <w:rsid w:val="00F902E5"/>
    <w:rsid w:val="00FB2F55"/>
    <w:rsid w:val="00FC59C4"/>
    <w:rsid w:val="00FF32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555BA2E6-20C2-4DC9-BFD5-FEB15CA07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Normal"/>
    <w:next w:val="Chaptitle"/>
    <w:rsid w:val="00D90575"/>
    <w:rPr>
      <w:rFonts w:ascii="Times New Roman Bold" w:hAnsi="Times New Roman Bold"/>
      <w:b/>
    </w:rPr>
  </w:style>
  <w:style w:type="paragraph" w:customStyle="1" w:styleId="Chaptitle">
    <w:name w:val="Chap_title"/>
    <w:basedOn w:val="Normal"/>
    <w:next w:val="Normal"/>
    <w:rsid w:val="00D90575"/>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link w:val="enumlev1Char"/>
    <w:qFormat/>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6F409E"/>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6F409E"/>
    <w:pPr>
      <w:spacing w:before="240"/>
      <w:jc w:val="center"/>
    </w:pPr>
    <w:rPr>
      <w:bCs/>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6F409E"/>
    <w:pPr>
      <w:spacing w:before="120"/>
    </w:pPr>
    <w:rPr>
      <w:rFonts w:ascii="Times New Roman" w:hAnsi="Times New Roman" w:cs="Times New Roman"/>
      <w:bCs w:val="0"/>
      <w:i/>
      <w:caps/>
      <w:sz w:val="24"/>
    </w:rPr>
  </w:style>
  <w:style w:type="paragraph" w:customStyle="1" w:styleId="Recdate">
    <w:name w:val="Rec_date"/>
    <w:basedOn w:val="Recref"/>
    <w:next w:val="Normalaftertitle0"/>
    <w:rsid w:val="00707454"/>
    <w:rPr>
      <w:rFonts w:ascii="Times New Roman Bold" w:eastAsia="STKaiti" w:hAnsi="Times New Roman Bold" w:cs="Times New Roman Bold"/>
      <w:bCs/>
      <w:caps w:val="0"/>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uiPriority w:val="99"/>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D061C5"/>
    <w:rPr>
      <w:rFonts w:eastAsia="STKaiti"/>
      <w:b w:val="0"/>
      <w:i w:val="0"/>
      <w:caps w:val="0"/>
      <w:sz w:val="22"/>
    </w:rPr>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uiPriority w:val="39"/>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rsid w:val="00C42D2C"/>
    <w:pPr>
      <w:spacing w:before="120"/>
      <w:ind w:left="1134"/>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E9167E"/>
    <w:pPr>
      <w:keepNext/>
      <w:spacing w:before="160"/>
    </w:pPr>
    <w:rPr>
      <w:rFonts w:ascii="Times New Roman Bold" w:hAnsi="Times New Roman Bold" w:cs="Times New Roman Bold"/>
      <w:b/>
    </w:rPr>
  </w:style>
  <w:style w:type="paragraph" w:customStyle="1" w:styleId="Figure">
    <w:name w:val="Figure"/>
    <w:basedOn w:val="Normal"/>
    <w:next w:val="Figuretitle"/>
    <w:rsid w:val="00B026CB"/>
    <w:pPr>
      <w:keepNext/>
      <w:keepLines/>
      <w:jc w:val="center"/>
    </w:pPr>
  </w:style>
  <w:style w:type="character" w:styleId="PageNumber">
    <w:name w:val="page number"/>
    <w:basedOn w:val="DefaultParagraphFont"/>
    <w:rsid w:val="00B026CB"/>
  </w:style>
  <w:style w:type="paragraph" w:customStyle="1" w:styleId="ResNo">
    <w:name w:val="Res_No"/>
    <w:basedOn w:val="RecNo"/>
    <w:next w:val="Restitle"/>
    <w:link w:val="ResNoChar"/>
    <w:rsid w:val="00D061C5"/>
    <w:pPr>
      <w:jc w:val="center"/>
    </w:pPr>
    <w:rPr>
      <w:rFonts w:ascii="Times New Roman" w:hAnsi="Times New Roman" w:cs="Times New Roman"/>
      <w:b w:val="0"/>
      <w:bCs/>
    </w:rPr>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Proposal">
    <w:name w:val="Proposal"/>
    <w:basedOn w:val="Normal"/>
    <w:next w:val="Normal"/>
    <w:rsid w:val="00611DCC"/>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Agendaitem">
    <w:name w:val="Agenda_item"/>
    <w:basedOn w:val="Title3"/>
    <w:next w:val="Normalaftertitle0"/>
    <w:qFormat/>
    <w:rsid w:val="00C47D87"/>
    <w:rPr>
      <w:lang w:val="en-US" w:eastAsia="zh-CN"/>
    </w:rPr>
  </w:style>
  <w:style w:type="paragraph" w:customStyle="1" w:styleId="Part1">
    <w:name w:val="Part_1"/>
    <w:basedOn w:val="Normal"/>
    <w:next w:val="Normalaftertitle0"/>
    <w:qFormat/>
    <w:rsid w:val="00D90575"/>
  </w:style>
  <w:style w:type="paragraph" w:customStyle="1" w:styleId="Normalend">
    <w:name w:val="Normal_end"/>
    <w:basedOn w:val="Normal"/>
    <w:qFormat/>
    <w:rsid w:val="00C07239"/>
  </w:style>
  <w:style w:type="paragraph" w:customStyle="1" w:styleId="Volumetitle">
    <w:name w:val="Volume_title"/>
    <w:basedOn w:val="Normal"/>
    <w:qFormat/>
    <w:rsid w:val="00D90575"/>
  </w:style>
  <w:style w:type="character" w:customStyle="1" w:styleId="FooterChar">
    <w:name w:val="Footer Char"/>
    <w:basedOn w:val="DefaultParagraphFont"/>
    <w:link w:val="Footer"/>
    <w:rsid w:val="003468CA"/>
    <w:rPr>
      <w:rFonts w:ascii="Times New Roman" w:hAnsi="Times New Roman"/>
      <w:caps/>
      <w:noProof/>
      <w:sz w:val="16"/>
      <w:lang w:val="en-GB" w:eastAsia="en-US"/>
    </w:rPr>
  </w:style>
  <w:style w:type="character" w:styleId="Hyperlink">
    <w:name w:val="Hyperlink"/>
    <w:aliases w:val="하이퍼링크2,Style 58,超级链接,하이퍼링크21,超?级链"/>
    <w:basedOn w:val="DefaultParagraphFont"/>
    <w:uiPriority w:val="99"/>
    <w:unhideWhenUsed/>
    <w:rsid w:val="009759FE"/>
    <w:rPr>
      <w:color w:val="0000FF" w:themeColor="hyperlink"/>
      <w:u w:val="single"/>
    </w:rPr>
  </w:style>
  <w:style w:type="paragraph" w:customStyle="1" w:styleId="Opinionref">
    <w:name w:val="Opinion_ref"/>
    <w:basedOn w:val="Resref"/>
    <w:next w:val="Normalaftertitle0"/>
    <w:qFormat/>
    <w:rsid w:val="000A3B30"/>
    <w:pPr>
      <w:spacing w:before="160"/>
    </w:pPr>
  </w:style>
  <w:style w:type="paragraph" w:customStyle="1" w:styleId="Opiniontitle">
    <w:name w:val="Opinion_title"/>
    <w:basedOn w:val="Restitle"/>
    <w:next w:val="Opinionref"/>
    <w:qFormat/>
    <w:rsid w:val="000A3B30"/>
    <w:pPr>
      <w:spacing w:before="360"/>
    </w:pPr>
    <w:rPr>
      <w:rFonts w:ascii="Times New Roman" w:hAnsi="Times New Roman"/>
    </w:rPr>
  </w:style>
  <w:style w:type="paragraph" w:customStyle="1" w:styleId="OpinionNo">
    <w:name w:val="Opinion_No"/>
    <w:basedOn w:val="ResNo"/>
    <w:next w:val="Opiniontitle"/>
    <w:qFormat/>
    <w:rsid w:val="000A3B30"/>
  </w:style>
  <w:style w:type="character" w:customStyle="1" w:styleId="href">
    <w:name w:val="href"/>
    <w:basedOn w:val="DefaultParagraphFont"/>
    <w:qFormat/>
    <w:rsid w:val="000A3B30"/>
    <w:rPr>
      <w:lang w:eastAsia="zh-CN"/>
    </w:rPr>
  </w:style>
  <w:style w:type="paragraph" w:customStyle="1" w:styleId="HeadingSummary">
    <w:name w:val="HeadingSummary"/>
    <w:basedOn w:val="Headingb"/>
    <w:qFormat/>
    <w:rsid w:val="00E9167E"/>
    <w:rPr>
      <w:bC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D061C5"/>
    <w:rPr>
      <w:rFonts w:ascii="Times New Roman" w:hAnsi="Times New Roman"/>
      <w:sz w:val="22"/>
      <w:lang w:val="en-GB" w:eastAsia="en-US"/>
    </w:rPr>
  </w:style>
  <w:style w:type="character" w:customStyle="1" w:styleId="ResNoChar">
    <w:name w:val="Res_No Char"/>
    <w:basedOn w:val="DefaultParagraphFont"/>
    <w:link w:val="ResNo"/>
    <w:rsid w:val="00D061C5"/>
    <w:rPr>
      <w:rFonts w:ascii="Times New Roman" w:hAnsi="Times New Roman"/>
      <w:bCs/>
      <w:sz w:val="28"/>
      <w:lang w:val="en-GB" w:eastAsia="en-US"/>
    </w:rPr>
  </w:style>
  <w:style w:type="paragraph" w:styleId="BalloonText">
    <w:name w:val="Balloon Text"/>
    <w:basedOn w:val="Normal"/>
    <w:link w:val="BalloonTextChar"/>
    <w:semiHidden/>
    <w:unhideWhenUsed/>
    <w:rsid w:val="00F469EB"/>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469EB"/>
    <w:rPr>
      <w:rFonts w:ascii="Segoe UI" w:hAnsi="Segoe UI" w:cs="Segoe UI"/>
      <w:sz w:val="18"/>
      <w:szCs w:val="18"/>
      <w:lang w:val="en-GB" w:eastAsia="en-US"/>
    </w:rPr>
  </w:style>
  <w:style w:type="paragraph" w:styleId="TOCHeading">
    <w:name w:val="TOC Heading"/>
    <w:basedOn w:val="Heading1"/>
    <w:next w:val="Normal"/>
    <w:uiPriority w:val="39"/>
    <w:semiHidden/>
    <w:unhideWhenUsed/>
    <w:qFormat/>
    <w:rsid w:val="00E57A6A"/>
    <w:pPr>
      <w:spacing w:before="240"/>
      <w:ind w:left="0" w:firstLine="0"/>
      <w:outlineLvl w:val="9"/>
    </w:pPr>
    <w:rPr>
      <w:rFonts w:asciiTheme="majorHAnsi" w:eastAsiaTheme="majorEastAsia" w:hAnsiTheme="majorHAnsi" w:cstheme="majorBidi"/>
      <w:b w:val="0"/>
      <w:color w:val="365F91" w:themeColor="accent1" w:themeShade="BF"/>
      <w:sz w:val="32"/>
      <w:szCs w:val="32"/>
    </w:rPr>
  </w:style>
  <w:style w:type="paragraph" w:styleId="ListParagraph">
    <w:name w:val="List Paragraph"/>
    <w:basedOn w:val="Normal"/>
    <w:uiPriority w:val="34"/>
    <w:qFormat/>
    <w:rsid w:val="00E57A6A"/>
    <w:pPr>
      <w:tabs>
        <w:tab w:val="clear" w:pos="1134"/>
        <w:tab w:val="clear" w:pos="1871"/>
        <w:tab w:val="clear" w:pos="2268"/>
      </w:tabs>
      <w:overflowPunct/>
      <w:autoSpaceDE/>
      <w:autoSpaceDN/>
      <w:adjustRightInd/>
      <w:spacing w:before="0"/>
      <w:ind w:left="720"/>
      <w:contextualSpacing/>
      <w:textAlignment w:val="auto"/>
    </w:pPr>
    <w:rPr>
      <w:rFonts w:eastAsia="Times New Roman"/>
      <w:szCs w:val="24"/>
      <w:lang w:val="en-US"/>
    </w:rPr>
  </w:style>
  <w:style w:type="character" w:customStyle="1" w:styleId="enumlev1Char">
    <w:name w:val="enumlev1 Char"/>
    <w:basedOn w:val="DefaultParagraphFont"/>
    <w:link w:val="enumlev1"/>
    <w:rsid w:val="00E57A6A"/>
    <w:rPr>
      <w:rFonts w:ascii="Times New Roman" w:hAnsi="Times New Roman"/>
      <w:sz w:val="24"/>
      <w:lang w:val="en-GB" w:eastAsia="en-US"/>
    </w:rPr>
  </w:style>
  <w:style w:type="paragraph" w:customStyle="1" w:styleId="CM14">
    <w:name w:val="CM14"/>
    <w:basedOn w:val="Normal"/>
    <w:next w:val="Normal"/>
    <w:uiPriority w:val="99"/>
    <w:rsid w:val="00E57A6A"/>
    <w:pPr>
      <w:widowControl w:val="0"/>
      <w:tabs>
        <w:tab w:val="clear" w:pos="1134"/>
        <w:tab w:val="clear" w:pos="1871"/>
        <w:tab w:val="clear" w:pos="2268"/>
      </w:tabs>
      <w:overflowPunct/>
      <w:spacing w:before="0"/>
      <w:textAlignment w:val="auto"/>
    </w:pPr>
    <w:rPr>
      <w:rFonts w:ascii="Arial" w:eastAsia="Times New Roman" w:hAnsi="Arial" w:cs="Arial"/>
      <w:szCs w:val="24"/>
      <w:lang w:val="en-US" w:bidi="fa-IR"/>
    </w:rPr>
  </w:style>
  <w:style w:type="paragraph" w:customStyle="1" w:styleId="Artheading">
    <w:name w:val="Art_heading"/>
    <w:basedOn w:val="Normal"/>
    <w:next w:val="Normal"/>
    <w:rsid w:val="00F902E5"/>
    <w:pPr>
      <w:tabs>
        <w:tab w:val="clear" w:pos="1134"/>
        <w:tab w:val="clear" w:pos="1871"/>
        <w:tab w:val="clear" w:pos="2268"/>
        <w:tab w:val="left" w:pos="794"/>
        <w:tab w:val="left" w:pos="1191"/>
        <w:tab w:val="left" w:pos="1588"/>
        <w:tab w:val="left" w:pos="1985"/>
      </w:tabs>
      <w:spacing w:before="480"/>
      <w:jc w:val="center"/>
    </w:pPr>
    <w:rPr>
      <w:rFonts w:eastAsiaTheme="minorEastAsia"/>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29549">
      <w:bodyDiv w:val="1"/>
      <w:marLeft w:val="0"/>
      <w:marRight w:val="0"/>
      <w:marTop w:val="0"/>
      <w:marBottom w:val="0"/>
      <w:divBdr>
        <w:top w:val="none" w:sz="0" w:space="0" w:color="auto"/>
        <w:left w:val="none" w:sz="0" w:space="0" w:color="auto"/>
        <w:bottom w:val="none" w:sz="0" w:space="0" w:color="auto"/>
        <w:right w:val="none" w:sz="0" w:space="0" w:color="auto"/>
      </w:divBdr>
    </w:div>
    <w:div w:id="1546411307">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7CEC5FC6DBD42FF9D9359ED0453BFF4"/>
        <w:category>
          <w:name w:val="General"/>
          <w:gallery w:val="placeholder"/>
        </w:category>
        <w:types>
          <w:type w:val="bbPlcHdr"/>
        </w:types>
        <w:behaviors>
          <w:behavior w:val="content"/>
        </w:behaviors>
        <w:guid w:val="{926C0CA2-011B-4987-853C-B2AB632B9883}"/>
      </w:docPartPr>
      <w:docPartBody>
        <w:p w:rsidR="00F13DB3" w:rsidRDefault="00D1008D" w:rsidP="00D1008D">
          <w:pPr>
            <w:pStyle w:val="97CEC5FC6DBD42FF9D9359ED0453BFF4"/>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TKaiti">
    <w:altName w:val="Arial Unicode MS"/>
    <w:charset w:val="86"/>
    <w:family w:val="auto"/>
    <w:pitch w:val="variable"/>
    <w:sig w:usb0="00000000"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B55"/>
    <w:rsid w:val="00071B55"/>
    <w:rsid w:val="001A3CA6"/>
    <w:rsid w:val="0034351E"/>
    <w:rsid w:val="00357890"/>
    <w:rsid w:val="00372A40"/>
    <w:rsid w:val="00513778"/>
    <w:rsid w:val="00635868"/>
    <w:rsid w:val="00715632"/>
    <w:rsid w:val="00750CCB"/>
    <w:rsid w:val="00A84AF3"/>
    <w:rsid w:val="00A92CE8"/>
    <w:rsid w:val="00D1008D"/>
    <w:rsid w:val="00E24278"/>
    <w:rsid w:val="00F13DB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1008D"/>
    <w:rPr>
      <w:color w:val="808080"/>
    </w:rPr>
  </w:style>
  <w:style w:type="paragraph" w:customStyle="1" w:styleId="D6F4CC86FB0D4519B33A4152A00EAE9F">
    <w:name w:val="D6F4CC86FB0D4519B33A4152A00EAE9F"/>
    <w:rsid w:val="00071B55"/>
  </w:style>
  <w:style w:type="paragraph" w:customStyle="1" w:styleId="97CEC5FC6DBD42FF9D9359ED0453BFF4">
    <w:name w:val="97CEC5FC6DBD42FF9D9359ED0453BFF4"/>
    <w:rsid w:val="00D100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9899f813-6602-4d7b-8129-6ecd5d5cb7a7" targetNamespace="http://schemas.microsoft.com/office/2006/metadata/properties" ma:root="true" ma:fieldsID="d41af5c836d734370eb92e7ee5f83852" ns2:_="" ns3:_="">
    <xsd:import namespace="996b2e75-67fd-4955-a3b0-5ab9934cb50b"/>
    <xsd:import namespace="9899f813-6602-4d7b-8129-6ecd5d5cb7a7"/>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9899f813-6602-4d7b-8129-6ecd5d5cb7a7"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9899f813-6602-4d7b-8129-6ecd5d5cb7a7">Documents Proposals Manager (DPM)</DPM_x0020_Author>
    <DPM_x0020_File_x0020_name xmlns="9899f813-6602-4d7b-8129-6ecd5d5cb7a7">T13-WTSA.16-C-0038!!MSW-C</DPM_x0020_File_x0020_name>
    <DPM_x0020_Version xmlns="9899f813-6602-4d7b-8129-6ecd5d5cb7a7">DPM_v2016.6.21.1_prod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9899f813-6602-4d7b-8129-6ecd5d5cb7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www.w3.org/XML/1998/namespace"/>
    <ds:schemaRef ds:uri="http://purl.org/dc/dcmitype/"/>
    <ds:schemaRef ds:uri="http://purl.org/dc/terms/"/>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9899f813-6602-4d7b-8129-6ecd5d5cb7a7"/>
    <ds:schemaRef ds:uri="996b2e75-67fd-4955-a3b0-5ab9934cb50b"/>
    <ds:schemaRef ds:uri="http://schemas.microsoft.com/office/2006/metadata/properties"/>
  </ds:schemaRefs>
</ds:datastoreItem>
</file>

<file path=customXml/itemProps3.xml><?xml version="1.0" encoding="utf-8"?>
<ds:datastoreItem xmlns:ds="http://schemas.openxmlformats.org/officeDocument/2006/customXml" ds:itemID="{CB75BE3F-35EA-401A-81C3-6EAC7B210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6</Pages>
  <Words>1884</Words>
  <Characters>879</Characters>
  <Application>Microsoft Office Word</Application>
  <DocSecurity>0</DocSecurity>
  <Lines>7</Lines>
  <Paragraphs>5</Paragraphs>
  <ScaleCrop>false</ScaleCrop>
  <HeadingPairs>
    <vt:vector size="2" baseType="variant">
      <vt:variant>
        <vt:lpstr>Title</vt:lpstr>
      </vt:variant>
      <vt:variant>
        <vt:i4>1</vt:i4>
      </vt:variant>
    </vt:vector>
  </HeadingPairs>
  <TitlesOfParts>
    <vt:vector size="1" baseType="lpstr">
      <vt:lpstr>T13-WTSA.16-C-0038!!MSW-C</vt:lpstr>
    </vt:vector>
  </TitlesOfParts>
  <Manager>General Secretariat - Pool</Manager>
  <Company>International Telecommunication Union (ITU)</Company>
  <LinksUpToDate>false</LinksUpToDate>
  <CharactersWithSpaces>2758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T13-WTSA.16-C-0038!!MSW-C</dc:title>
  <dc:subject>World Telecommunication Standardization Assembly</dc:subject>
  <dc:creator>Documents Proposals Manager (DPM)</dc:creator>
  <cp:keywords>DPM_v2016.6.21.1_prod</cp:keywords>
  <dc:description>Template used by DPM and CPI for the WTSA-16</dc:description>
  <cp:lastModifiedBy>Clark, Robert</cp:lastModifiedBy>
  <cp:revision>32</cp:revision>
  <cp:lastPrinted>2016-06-30T07:02:00Z</cp:lastPrinted>
  <dcterms:created xsi:type="dcterms:W3CDTF">2016-06-24T10:50:00Z</dcterms:created>
  <dcterms:modified xsi:type="dcterms:W3CDTF">2016-07-06T14:50:00Z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