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694743" w:rsidRDefault="0059285F" w:rsidP="00A25A43">
            <w:pPr>
              <w:spacing w:before="160"/>
              <w:jc w:val="left"/>
              <w:rPr>
                <w:rFonts w:asciiTheme="minorHAnsi" w:hAnsiTheme="minorHAnsi"/>
                <w:b/>
                <w:bCs/>
                <w:sz w:val="24"/>
                <w:szCs w:val="36"/>
                <w:rtl/>
                <w:lang w:bidi="ar-EG"/>
              </w:rPr>
            </w:pPr>
            <w:r w:rsidRPr="00694743">
              <w:rPr>
                <w:rFonts w:ascii="Verdana Bold" w:hAnsi="Verdana Bold" w:hint="cs"/>
                <w:b/>
                <w:bCs/>
                <w:sz w:val="24"/>
                <w:szCs w:val="36"/>
                <w:rtl/>
                <w:lang w:bidi="ar-EG"/>
              </w:rPr>
              <w:t xml:space="preserve">الجمعية العالمية لتقييس الاتصالات </w:t>
            </w:r>
            <w:r w:rsidRPr="00694743">
              <w:rPr>
                <w:rFonts w:ascii="Verdana Bold" w:hAnsi="Verdana Bold"/>
                <w:b/>
                <w:bCs/>
                <w:sz w:val="24"/>
                <w:szCs w:val="36"/>
                <w:lang w:bidi="ar-SY"/>
              </w:rPr>
              <w:t>(WTSA-</w:t>
            </w:r>
            <w:r w:rsidR="00B2000C" w:rsidRPr="00694743">
              <w:rPr>
                <w:rFonts w:ascii="Verdana Bold" w:hAnsi="Verdana Bold"/>
                <w:b/>
                <w:bCs/>
                <w:sz w:val="24"/>
                <w:szCs w:val="36"/>
                <w:lang w:bidi="ar-SY"/>
              </w:rPr>
              <w:t>16</w:t>
            </w:r>
            <w:r w:rsidRPr="00694743">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694743">
              <w:rPr>
                <w:rFonts w:ascii="Calibri" w:hAnsi="Calibri" w:hint="cs"/>
                <w:b/>
                <w:bCs/>
                <w:sz w:val="20"/>
                <w:szCs w:val="28"/>
                <w:rtl/>
                <w:lang w:bidi="ar-EG"/>
              </w:rPr>
              <w:t>ياسمين الحمامات</w:t>
            </w:r>
            <w:r w:rsidR="0059285F" w:rsidRPr="00694743">
              <w:rPr>
                <w:rFonts w:ascii="Calibri" w:hAnsi="Calibri" w:hint="cs"/>
                <w:b/>
                <w:bCs/>
                <w:sz w:val="20"/>
                <w:szCs w:val="28"/>
                <w:rtl/>
                <w:lang w:bidi="ar-EG"/>
              </w:rPr>
              <w:t xml:space="preserve">، </w:t>
            </w:r>
            <w:r w:rsidR="00092FC2" w:rsidRPr="00694743">
              <w:rPr>
                <w:rFonts w:ascii="Calibri" w:hAnsi="Calibri"/>
                <w:b/>
                <w:bCs/>
                <w:sz w:val="20"/>
                <w:szCs w:val="28"/>
                <w:lang w:bidi="ar-SY"/>
              </w:rPr>
              <w:t>25</w:t>
            </w:r>
            <w:r w:rsidR="0059285F" w:rsidRPr="00694743">
              <w:rPr>
                <w:rFonts w:ascii="Calibri" w:hAnsi="Calibri" w:hint="cs"/>
                <w:b/>
                <w:bCs/>
                <w:sz w:val="20"/>
                <w:szCs w:val="28"/>
                <w:rtl/>
                <w:lang w:bidi="ar-EG"/>
              </w:rPr>
              <w:t xml:space="preserve"> </w:t>
            </w:r>
            <w:r w:rsidR="00092FC2" w:rsidRPr="00694743">
              <w:rPr>
                <w:rFonts w:ascii="Calibri" w:hAnsi="Calibri" w:hint="cs"/>
                <w:b/>
                <w:bCs/>
                <w:sz w:val="20"/>
                <w:szCs w:val="28"/>
                <w:rtl/>
                <w:lang w:bidi="ar-EG"/>
              </w:rPr>
              <w:t xml:space="preserve">أكتوبر - </w:t>
            </w:r>
            <w:r w:rsidR="00092FC2" w:rsidRPr="00694743">
              <w:rPr>
                <w:rFonts w:ascii="Calibri" w:hAnsi="Calibri"/>
                <w:b/>
                <w:bCs/>
                <w:sz w:val="20"/>
                <w:szCs w:val="28"/>
                <w:lang w:bidi="ar-EG"/>
              </w:rPr>
              <w:t>3</w:t>
            </w:r>
            <w:r w:rsidR="00092FC2" w:rsidRPr="00694743">
              <w:rPr>
                <w:rFonts w:ascii="Calibri" w:hAnsi="Calibri" w:hint="cs"/>
                <w:b/>
                <w:bCs/>
                <w:sz w:val="20"/>
                <w:szCs w:val="28"/>
                <w:rtl/>
                <w:lang w:bidi="ar-EG"/>
              </w:rPr>
              <w:t xml:space="preserve"> نوفمبر</w:t>
            </w:r>
            <w:r w:rsidR="0059285F" w:rsidRPr="00694743">
              <w:rPr>
                <w:rFonts w:ascii="Calibri" w:hAnsi="Calibri" w:hint="cs"/>
                <w:b/>
                <w:bCs/>
                <w:sz w:val="20"/>
                <w:szCs w:val="28"/>
                <w:rtl/>
                <w:lang w:bidi="ar-EG"/>
              </w:rPr>
              <w:t xml:space="preserve"> </w:t>
            </w:r>
            <w:r w:rsidR="00092FC2" w:rsidRPr="00694743">
              <w:rPr>
                <w:rFonts w:ascii="Calibri" w:hAnsi="Calibri"/>
                <w:b/>
                <w:bCs/>
                <w:sz w:val="20"/>
                <w:szCs w:val="28"/>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D55665" w:rsidRDefault="0022345D" w:rsidP="0054376D">
            <w:pPr>
              <w:pStyle w:val="Adress"/>
              <w:framePr w:hSpace="0" w:wrap="auto" w:xAlign="left" w:yAlign="inline"/>
              <w:rPr>
                <w:rtl/>
              </w:rPr>
            </w:pPr>
            <w:r w:rsidRPr="00D55665">
              <w:rPr>
                <w:rtl/>
              </w:rPr>
              <w:t xml:space="preserve">الوثيقة </w:t>
            </w:r>
            <w:r w:rsidRPr="00D55665">
              <w:t>38-</w:t>
            </w:r>
            <w:r w:rsidR="0054376D" w:rsidRPr="00D55665">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D55665" w:rsidRDefault="0022345D" w:rsidP="00A25A43">
            <w:pPr>
              <w:pStyle w:val="Adress"/>
              <w:framePr w:hSpace="0" w:wrap="auto" w:xAlign="left" w:yAlign="inline"/>
              <w:rPr>
                <w:rtl/>
              </w:rPr>
            </w:pPr>
            <w:r w:rsidRPr="00D55665">
              <w:rPr>
                <w:rFonts w:eastAsia="SimSun"/>
                <w:rtl/>
              </w:rPr>
              <w:t xml:space="preserve">يونيو </w:t>
            </w:r>
            <w:r w:rsidRPr="00D55665">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D55665" w:rsidRDefault="0022345D" w:rsidP="00A25A43">
            <w:pPr>
              <w:pStyle w:val="Adress"/>
              <w:framePr w:hSpace="0" w:wrap="auto" w:xAlign="left" w:yAlign="inline"/>
              <w:rPr>
                <w:rFonts w:eastAsia="SimSun" w:hint="eastAsia"/>
              </w:rPr>
            </w:pPr>
            <w:r w:rsidRPr="00D55665">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A25A43">
        <w:trPr>
          <w:cantSplit/>
          <w:jc w:val="right"/>
        </w:trPr>
        <w:tc>
          <w:tcPr>
            <w:tcW w:w="5000" w:type="pct"/>
            <w:gridSpan w:val="4"/>
          </w:tcPr>
          <w:p w:rsidR="0022345D" w:rsidRPr="00E621A3" w:rsidRDefault="0022345D" w:rsidP="003569F2">
            <w:pPr>
              <w:pStyle w:val="Source"/>
              <w:rPr>
                <w:rtl/>
              </w:rPr>
            </w:pPr>
            <w:r w:rsidRPr="008204AC">
              <w:rPr>
                <w:rtl/>
              </w:rPr>
              <w:t xml:space="preserve">لجنة الدراسات </w:t>
            </w:r>
            <w:r w:rsidR="003569F2">
              <w:t>3</w:t>
            </w:r>
            <w:r w:rsidRPr="008204AC">
              <w:rPr>
                <w:rtl/>
              </w:rPr>
              <w:t xml:space="preserve"> لقطاع تقييس الاتصالات</w:t>
            </w:r>
          </w:p>
        </w:tc>
      </w:tr>
      <w:tr w:rsidR="0022345D" w:rsidRPr="00E07379" w:rsidTr="00A25A43">
        <w:trPr>
          <w:cantSplit/>
          <w:jc w:val="right"/>
        </w:trPr>
        <w:tc>
          <w:tcPr>
            <w:tcW w:w="5000" w:type="pct"/>
            <w:gridSpan w:val="4"/>
          </w:tcPr>
          <w:p w:rsidR="0022345D" w:rsidRPr="00BD6EF3" w:rsidRDefault="00694743" w:rsidP="00472348">
            <w:pPr>
              <w:pStyle w:val="Title1"/>
              <w:spacing w:before="240"/>
              <w:rPr>
                <w:rtl/>
              </w:rPr>
            </w:pPr>
            <w:r w:rsidRPr="00472348">
              <w:rPr>
                <w:rFonts w:hint="cs"/>
                <w:w w:val="110"/>
                <w:rtl/>
                <w:lang w:bidi="ar-SA"/>
              </w:rPr>
              <w:t>مشروع التوصية ال</w:t>
            </w:r>
            <w:r w:rsidR="00472348" w:rsidRPr="00472348">
              <w:rPr>
                <w:rFonts w:hint="cs"/>
                <w:w w:val="110"/>
                <w:rtl/>
              </w:rPr>
              <w:t>‍</w:t>
            </w:r>
            <w:r w:rsidRPr="00472348">
              <w:rPr>
                <w:rFonts w:hint="cs"/>
                <w:w w:val="110"/>
                <w:rtl/>
                <w:lang w:bidi="ar-SA"/>
              </w:rPr>
              <w:t xml:space="preserve">جديدة </w:t>
            </w:r>
            <w:r w:rsidRPr="00472348">
              <w:rPr>
                <w:w w:val="110"/>
                <w:lang w:val="en-GB"/>
              </w:rPr>
              <w:t>ITU</w:t>
            </w:r>
            <w:r w:rsidRPr="00472348">
              <w:rPr>
                <w:w w:val="110"/>
                <w:lang w:val="en-GB"/>
              </w:rPr>
              <w:noBreakHyphen/>
              <w:t>T D.53</w:t>
            </w:r>
            <w:r w:rsidRPr="00472348">
              <w:rPr>
                <w:rFonts w:hint="cs"/>
                <w:w w:val="110"/>
                <w:rtl/>
                <w:lang w:bidi="ar-SA"/>
              </w:rPr>
              <w:t xml:space="preserve"> بشأن "</w:t>
            </w:r>
            <w:r w:rsidRPr="00472348">
              <w:rPr>
                <w:w w:val="110"/>
                <w:rtl/>
                <w:lang w:bidi="ar-SA"/>
              </w:rPr>
              <w:t>ال</w:t>
            </w:r>
            <w:r w:rsidR="00472348" w:rsidRPr="00472348">
              <w:rPr>
                <w:rFonts w:hint="cs"/>
                <w:w w:val="110"/>
                <w:rtl/>
                <w:lang w:bidi="ar-SA"/>
              </w:rPr>
              <w:t>‍</w:t>
            </w:r>
            <w:r w:rsidRPr="00472348">
              <w:rPr>
                <w:w w:val="110"/>
                <w:rtl/>
                <w:lang w:bidi="ar-SA"/>
              </w:rPr>
              <w:t>جوانب الدولية للخدمة الشاملة</w:t>
            </w:r>
            <w:r w:rsidRPr="00472348">
              <w:rPr>
                <w:rFonts w:hint="cs"/>
                <w:w w:val="110"/>
                <w:rtl/>
                <w:lang w:bidi="ar-SA"/>
              </w:rPr>
              <w:t>":</w:t>
            </w:r>
            <w:r w:rsidRPr="00694743">
              <w:rPr>
                <w:rFonts w:hint="cs"/>
                <w:rtl/>
                <w:lang w:bidi="ar-SA"/>
              </w:rPr>
              <w:t xml:space="preserve"> </w:t>
            </w:r>
            <w:r w:rsidRPr="00472348">
              <w:rPr>
                <w:rFonts w:hint="cs"/>
                <w:w w:val="110"/>
                <w:rtl/>
                <w:lang w:bidi="ar-SA"/>
              </w:rPr>
              <w:t>نص مقترح للحصول على موافقة ال</w:t>
            </w:r>
            <w:r w:rsidR="00472348" w:rsidRPr="00472348">
              <w:rPr>
                <w:rFonts w:hint="cs"/>
                <w:w w:val="110"/>
                <w:rtl/>
                <w:lang w:bidi="ar-SA"/>
              </w:rPr>
              <w:t>‍</w:t>
            </w:r>
            <w:r w:rsidRPr="00472348">
              <w:rPr>
                <w:rFonts w:hint="cs"/>
                <w:w w:val="110"/>
                <w:rtl/>
                <w:lang w:bidi="ar-SA"/>
              </w:rPr>
              <w:t>جمعية العال</w:t>
            </w:r>
            <w:r w:rsidR="00472348" w:rsidRPr="00472348">
              <w:rPr>
                <w:rFonts w:hint="cs"/>
                <w:w w:val="110"/>
                <w:rtl/>
                <w:lang w:bidi="ar-SA"/>
              </w:rPr>
              <w:t>‍</w:t>
            </w:r>
            <w:r w:rsidRPr="00472348">
              <w:rPr>
                <w:rFonts w:hint="cs"/>
                <w:w w:val="110"/>
                <w:rtl/>
                <w:lang w:bidi="ar-SA"/>
              </w:rPr>
              <w:t xml:space="preserve">مية لتقييس الاتصالات لعام </w:t>
            </w:r>
            <w:r w:rsidRPr="00472348">
              <w:rPr>
                <w:w w:val="110"/>
              </w:rPr>
              <w:t>2016</w:t>
            </w:r>
          </w:p>
        </w:tc>
      </w:tr>
      <w:tr w:rsidR="0022345D" w:rsidRPr="00E07379" w:rsidTr="00A25A43">
        <w:trPr>
          <w:cantSplit/>
          <w:jc w:val="right"/>
        </w:trPr>
        <w:tc>
          <w:tcPr>
            <w:tcW w:w="5000" w:type="pct"/>
            <w:gridSpan w:val="4"/>
          </w:tcPr>
          <w:p w:rsidR="0022345D" w:rsidRPr="00BD6EF3" w:rsidRDefault="0022345D" w:rsidP="00A25A43">
            <w:pPr>
              <w:pStyle w:val="Title2"/>
              <w:rPr>
                <w:rtl/>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E70E87" w:rsidRDefault="00694743" w:rsidP="00193AD1">
            <w:r>
              <w:rPr>
                <w:rFonts w:hint="cs"/>
                <w:rtl/>
                <w:lang w:bidi="ar-EG"/>
              </w:rPr>
              <w:t xml:space="preserve">تتضمن الوثيقة </w:t>
            </w:r>
            <w:r>
              <w:rPr>
                <w:lang w:bidi="ar-EG"/>
              </w:rPr>
              <w:t>38</w:t>
            </w:r>
            <w:r>
              <w:rPr>
                <w:rFonts w:hint="cs"/>
                <w:rtl/>
                <w:lang w:bidi="ar-EG"/>
              </w:rPr>
              <w:t xml:space="preserve"> للجمعية</w:t>
            </w:r>
            <w:r w:rsidRPr="00945DC6">
              <w:rPr>
                <w:rFonts w:hint="cs"/>
                <w:rtl/>
              </w:rPr>
              <w:t xml:space="preserve"> </w:t>
            </w:r>
            <w:r>
              <w:rPr>
                <w:rFonts w:hint="cs"/>
                <w:rtl/>
              </w:rPr>
              <w:t xml:space="preserve">العالمية لتقييس الاتصالات لعام </w:t>
            </w:r>
            <w:r>
              <w:t>2016</w:t>
            </w:r>
            <w:r>
              <w:rPr>
                <w:rFonts w:hint="cs"/>
                <w:rtl/>
              </w:rPr>
              <w:t xml:space="preserve"> مشروع التوصية الجديدة</w:t>
            </w:r>
            <w:r w:rsidRPr="009F7F14">
              <w:rPr>
                <w:rFonts w:hint="cs"/>
                <w:rtl/>
                <w:lang w:bidi="ar-SY"/>
              </w:rPr>
              <w:t xml:space="preserve"> </w:t>
            </w:r>
            <w:r w:rsidRPr="009F7F14">
              <w:t>ITU</w:t>
            </w:r>
            <w:r w:rsidRPr="009F7F14">
              <w:noBreakHyphen/>
              <w:t>T D.5</w:t>
            </w:r>
            <w:r>
              <w:t>3</w:t>
            </w:r>
            <w:r w:rsidRPr="009F7F14">
              <w:rPr>
                <w:rFonts w:hint="cs"/>
                <w:rtl/>
                <w:lang w:bidi="ar-SY"/>
              </w:rPr>
              <w:t xml:space="preserve"> </w:t>
            </w:r>
            <w:r>
              <w:rPr>
                <w:rFonts w:hint="cs"/>
                <w:rtl/>
                <w:lang w:bidi="ar-SY"/>
              </w:rPr>
              <w:t>المقدم للحصول على موافقة الجمعية</w:t>
            </w:r>
            <w:r w:rsidRPr="009F7F14">
              <w:rPr>
                <w:rFonts w:hint="cs"/>
                <w:rtl/>
                <w:lang w:bidi="ar-SY"/>
              </w:rPr>
              <w:t>.</w:t>
            </w:r>
            <w:r>
              <w:rPr>
                <w:rFonts w:hint="cs"/>
                <w:rtl/>
                <w:lang w:bidi="ar-SY"/>
              </w:rPr>
              <w:t xml:space="preserve"> ومحتوى هذه الوثيقة مطابق لنص التقرير </w:t>
            </w:r>
            <w:r>
              <w:rPr>
                <w:lang w:bidi="ar-SY"/>
              </w:rPr>
              <w:t>COM3-R18</w:t>
            </w:r>
            <w:r>
              <w:rPr>
                <w:rFonts w:hint="cs"/>
                <w:rtl/>
                <w:lang w:bidi="ar-SY"/>
              </w:rPr>
              <w:t>.</w:t>
            </w:r>
          </w:p>
        </w:tc>
        <w:tc>
          <w:tcPr>
            <w:tcW w:w="1058" w:type="dxa"/>
          </w:tcPr>
          <w:p w:rsidR="006157A3" w:rsidRPr="00E70E87" w:rsidRDefault="006157A3" w:rsidP="00193AD1">
            <w:r w:rsidRPr="00694743">
              <w:rPr>
                <w:rFonts w:ascii="Times New Roman Bold" w:hAnsi="Times New Roman Bold"/>
                <w:b/>
                <w:bCs/>
                <w:rtl/>
                <w:lang w:bidi="ar-EG"/>
              </w:rPr>
              <w:t>ملخص</w:t>
            </w:r>
            <w:r w:rsidRPr="00E70E87">
              <w:t>:</w:t>
            </w:r>
          </w:p>
        </w:tc>
      </w:tr>
    </w:tbl>
    <w:p w:rsidR="00C82615" w:rsidRDefault="00C82615">
      <w:pPr>
        <w:tabs>
          <w:tab w:val="clear" w:pos="1134"/>
        </w:tabs>
        <w:bidi w:val="0"/>
        <w:spacing w:before="0" w:after="160" w:line="259" w:lineRule="auto"/>
        <w:jc w:val="left"/>
        <w:rPr>
          <w:rtl/>
        </w:rPr>
      </w:pPr>
      <w:r>
        <w:br w:type="page"/>
      </w:r>
    </w:p>
    <w:p w:rsidR="00A208BF" w:rsidRDefault="0054376D">
      <w:pPr>
        <w:pStyle w:val="Proposal"/>
      </w:pPr>
      <w:r>
        <w:lastRenderedPageBreak/>
        <w:t>ADD</w:t>
      </w:r>
      <w:r>
        <w:tab/>
        <w:t>SG3/38/1</w:t>
      </w:r>
    </w:p>
    <w:p w:rsidR="003569F2" w:rsidRPr="00914F0C" w:rsidRDefault="003569F2" w:rsidP="00914F0C">
      <w:pPr>
        <w:pStyle w:val="RecNo"/>
        <w:jc w:val="left"/>
        <w:rPr>
          <w:b w:val="0"/>
          <w:bCs/>
          <w:lang w:bidi="ar-EG"/>
        </w:rPr>
      </w:pPr>
      <w:r w:rsidRPr="003569F2">
        <w:rPr>
          <w:rFonts w:hint="cs"/>
          <w:b w:val="0"/>
          <w:bCs/>
          <w:rtl/>
          <w:lang w:bidi="ar-EG"/>
        </w:rPr>
        <w:t xml:space="preserve">مشروع التوصية </w:t>
      </w:r>
      <w:r w:rsidRPr="003569F2">
        <w:rPr>
          <w:b w:val="0"/>
          <w:bCs/>
          <w:lang w:val="en-GB" w:bidi="ar-EG"/>
        </w:rPr>
        <w:t>ITU</w:t>
      </w:r>
      <w:r w:rsidRPr="003569F2">
        <w:rPr>
          <w:b w:val="0"/>
          <w:bCs/>
          <w:lang w:val="en-GB" w:bidi="ar-EG"/>
        </w:rPr>
        <w:noBreakHyphen/>
        <w:t>T D.53</w:t>
      </w:r>
    </w:p>
    <w:p w:rsidR="003569F2" w:rsidRPr="00970515" w:rsidRDefault="003569F2" w:rsidP="003569F2">
      <w:pPr>
        <w:pStyle w:val="Rectitle"/>
        <w:rPr>
          <w:rtl/>
        </w:rPr>
      </w:pPr>
      <w:r w:rsidRPr="00970515">
        <w:rPr>
          <w:rtl/>
        </w:rPr>
        <w:t>الجوانب الدولية للخدمة الشاملة</w:t>
      </w:r>
    </w:p>
    <w:p w:rsidR="003569F2" w:rsidRPr="00970515" w:rsidRDefault="003569F2" w:rsidP="003569F2">
      <w:pPr>
        <w:pStyle w:val="Headingb"/>
        <w:rPr>
          <w:rtl/>
        </w:rPr>
      </w:pPr>
      <w:r w:rsidRPr="00970515">
        <w:rPr>
          <w:rFonts w:hint="cs"/>
          <w:rtl/>
        </w:rPr>
        <w:t>ملخص</w:t>
      </w:r>
    </w:p>
    <w:p w:rsidR="003569F2" w:rsidRPr="00970515" w:rsidRDefault="003569F2" w:rsidP="003569F2">
      <w:pPr>
        <w:rPr>
          <w:rtl/>
        </w:rPr>
      </w:pPr>
      <w:r w:rsidRPr="00970515">
        <w:rPr>
          <w:rFonts w:hint="cs"/>
          <w:rtl/>
        </w:rPr>
        <w:t xml:space="preserve">إن </w:t>
      </w:r>
      <w:r w:rsidRPr="00970515">
        <w:rPr>
          <w:rFonts w:hint="cs"/>
          <w:rtl/>
          <w:lang w:bidi="ar-EG"/>
        </w:rPr>
        <w:t xml:space="preserve">التوصية </w:t>
      </w:r>
      <w:r w:rsidRPr="00970515">
        <w:rPr>
          <w:lang w:val="en-GB" w:bidi="ar-EG"/>
        </w:rPr>
        <w:t>ITU</w:t>
      </w:r>
      <w:r w:rsidRPr="00970515">
        <w:rPr>
          <w:lang w:val="en-GB" w:bidi="ar-EG"/>
        </w:rPr>
        <w:noBreakHyphen/>
        <w:t>T D.53</w:t>
      </w:r>
      <w:r w:rsidRPr="00970515">
        <w:rPr>
          <w:rFonts w:hint="cs"/>
          <w:rtl/>
          <w:lang w:bidi="ar-EG"/>
        </w:rPr>
        <w:t xml:space="preserve"> بشأن </w:t>
      </w:r>
      <w:r w:rsidRPr="00970515">
        <w:rPr>
          <w:rtl/>
        </w:rPr>
        <w:t>الجوانب الدولية للخدمة الشاملة</w:t>
      </w:r>
      <w:r w:rsidRPr="00970515">
        <w:rPr>
          <w:rFonts w:hint="cs"/>
          <w:rtl/>
        </w:rPr>
        <w:t xml:space="preserve">، فيما تقر </w:t>
      </w:r>
      <w:r w:rsidRPr="00970515">
        <w:rPr>
          <w:rFonts w:hint="cs"/>
          <w:rtl/>
          <w:lang w:bidi="ar-EG"/>
        </w:rPr>
        <w:t>بالحق السيادي للدول الأعضاء في تحديد وتنظيم سياسات الخدمة الشاملة/النفاذ الشامل، تقترح خطوطاً عامة لتوجيه الحكومات وهيئات التنظيم عند قيامها بمهامها ووظائفها الإدارية المتعلقة بصندوق الخدمة الشاملة في</w:t>
      </w:r>
      <w:r w:rsidRPr="00970515">
        <w:rPr>
          <w:rFonts w:hint="eastAsia"/>
          <w:rtl/>
          <w:lang w:bidi="ar-EG"/>
        </w:rPr>
        <w:t> </w:t>
      </w:r>
      <w:r w:rsidRPr="00970515">
        <w:rPr>
          <w:rFonts w:hint="cs"/>
          <w:rtl/>
          <w:lang w:bidi="ar-EG"/>
        </w:rPr>
        <w:t>بيئة رقمية معولمة.</w:t>
      </w:r>
    </w:p>
    <w:p w:rsidR="003569F2" w:rsidRPr="003569F2" w:rsidRDefault="003569F2" w:rsidP="003569F2">
      <w:pPr>
        <w:pStyle w:val="Headingb"/>
        <w:rPr>
          <w:rtl/>
        </w:rPr>
      </w:pPr>
      <w:r>
        <w:rPr>
          <w:rFonts w:hint="cs"/>
          <w:rtl/>
        </w:rPr>
        <w:t>مصطلحات أساسية</w:t>
      </w:r>
    </w:p>
    <w:p w:rsidR="003569F2" w:rsidRDefault="003569F2" w:rsidP="003569F2">
      <w:pPr>
        <w:rPr>
          <w:rtl/>
          <w:lang w:bidi="ar-EG"/>
        </w:rPr>
      </w:pPr>
      <w:r w:rsidRPr="00970515">
        <w:rPr>
          <w:rFonts w:hint="cs"/>
          <w:rtl/>
          <w:lang w:bidi="ar-EG"/>
        </w:rPr>
        <w:t>&lt;اختياري&gt;</w:t>
      </w:r>
    </w:p>
    <w:p w:rsidR="003569F2" w:rsidRDefault="003569F2" w:rsidP="00B60DC4">
      <w:r>
        <w:rPr>
          <w:rtl/>
        </w:rPr>
        <w:br w:type="page"/>
      </w:r>
      <w:bookmarkStart w:id="0" w:name="_GoBack"/>
      <w:bookmarkEnd w:id="0"/>
    </w:p>
    <w:p w:rsidR="003569F2" w:rsidRDefault="003569F2" w:rsidP="003569F2">
      <w:pPr>
        <w:jc w:val="center"/>
        <w:rPr>
          <w:b/>
          <w:bCs/>
          <w:rtl/>
          <w:lang w:bidi="ar-EG"/>
        </w:rPr>
      </w:pPr>
      <w:bookmarkStart w:id="1" w:name="_Toc182022246"/>
      <w:bookmarkStart w:id="2" w:name="_Toc266718093"/>
      <w:bookmarkStart w:id="3" w:name="_Toc294531375"/>
      <w:r>
        <w:rPr>
          <w:rFonts w:hint="cs"/>
          <w:b/>
          <w:bCs/>
          <w:rtl/>
        </w:rPr>
        <w:lastRenderedPageBreak/>
        <w:t xml:space="preserve">جدول </w:t>
      </w:r>
      <w:r w:rsidRPr="00970515">
        <w:rPr>
          <w:rFonts w:hint="cs"/>
          <w:b/>
          <w:bCs/>
          <w:rtl/>
        </w:rPr>
        <w:t>ال</w:t>
      </w:r>
      <w:r w:rsidRPr="00970515">
        <w:rPr>
          <w:b/>
          <w:bCs/>
          <w:rtl/>
          <w:lang w:bidi="ar-EG"/>
        </w:rPr>
        <w:t>محتويات</w:t>
      </w:r>
      <w:bookmarkEnd w:id="1"/>
      <w:bookmarkEnd w:id="2"/>
      <w:bookmarkEnd w:id="3"/>
    </w:p>
    <w:p w:rsidR="003569F2" w:rsidRPr="003569F2" w:rsidRDefault="003569F2" w:rsidP="003569F2">
      <w:pPr>
        <w:jc w:val="right"/>
        <w:rPr>
          <w:rStyle w:val="Hyperlink"/>
          <w:rFonts w:ascii="Traditional Arabic" w:eastAsia="Batang" w:hAnsi="Traditional Arabic"/>
          <w:b/>
          <w:bCs/>
          <w:noProof/>
          <w:color w:val="auto"/>
          <w:sz w:val="30"/>
          <w:u w:val="none"/>
          <w:rtl/>
          <w:lang w:val="en-GB"/>
        </w:rPr>
      </w:pPr>
      <w:r w:rsidRPr="003569F2">
        <w:rPr>
          <w:rStyle w:val="Hyperlink"/>
          <w:rFonts w:ascii="Traditional Arabic" w:eastAsia="Batang" w:hAnsi="Traditional Arabic" w:hint="cs"/>
          <w:b/>
          <w:bCs/>
          <w:noProof/>
          <w:color w:val="auto"/>
          <w:sz w:val="30"/>
          <w:u w:val="none"/>
          <w:rtl/>
          <w:lang w:val="en-GB"/>
        </w:rPr>
        <w:t>الصفحة</w:t>
      </w:r>
    </w:p>
    <w:p w:rsidR="003569F2" w:rsidRPr="003569F2" w:rsidRDefault="003569F2" w:rsidP="00A60E51">
      <w:pPr>
        <w:pStyle w:val="TOC1"/>
        <w:spacing w:before="120"/>
        <w:ind w:left="0" w:firstLine="0"/>
        <w:rPr>
          <w:rStyle w:val="Hyperlink"/>
          <w:rFonts w:eastAsia="Batang"/>
          <w:color w:val="auto"/>
          <w:u w:val="none"/>
        </w:rPr>
      </w:pPr>
      <w:r w:rsidRPr="003569F2">
        <w:rPr>
          <w:rStyle w:val="Hyperlink"/>
          <w:rFonts w:eastAsia="Batang" w:cs="Times New Roman"/>
          <w:noProof/>
          <w:color w:val="auto"/>
          <w:sz w:val="24"/>
          <w:szCs w:val="20"/>
          <w:u w:val="none"/>
          <w:rtl/>
          <w:lang w:val="en-GB"/>
        </w:rPr>
        <w:fldChar w:fldCharType="begin"/>
      </w:r>
      <w:r w:rsidRPr="003569F2">
        <w:rPr>
          <w:rStyle w:val="Hyperlink"/>
          <w:rFonts w:eastAsia="Batang" w:cs="Times New Roman"/>
          <w:noProof/>
          <w:color w:val="auto"/>
          <w:sz w:val="24"/>
          <w:szCs w:val="20"/>
          <w:u w:val="none"/>
          <w:rtl/>
          <w:lang w:val="en-GB"/>
        </w:rPr>
        <w:instrText xml:space="preserve"> </w:instrText>
      </w:r>
      <w:r w:rsidRPr="003569F2">
        <w:rPr>
          <w:rStyle w:val="Hyperlink"/>
          <w:rFonts w:eastAsia="Batang" w:cs="Times New Roman"/>
          <w:noProof/>
          <w:color w:val="auto"/>
          <w:sz w:val="24"/>
          <w:szCs w:val="20"/>
          <w:u w:val="none"/>
          <w:lang w:val="en-GB"/>
        </w:rPr>
        <w:instrText>TOC</w:instrText>
      </w:r>
      <w:r w:rsidRPr="003569F2">
        <w:rPr>
          <w:rStyle w:val="Hyperlink"/>
          <w:rFonts w:eastAsia="Batang" w:cs="Times New Roman"/>
          <w:noProof/>
          <w:color w:val="auto"/>
          <w:sz w:val="24"/>
          <w:szCs w:val="20"/>
          <w:u w:val="none"/>
          <w:rtl/>
          <w:lang w:val="en-GB"/>
        </w:rPr>
        <w:instrText xml:space="preserve"> \</w:instrText>
      </w:r>
      <w:r w:rsidRPr="003569F2">
        <w:rPr>
          <w:rStyle w:val="Hyperlink"/>
          <w:rFonts w:eastAsia="Batang" w:cs="Times New Roman"/>
          <w:noProof/>
          <w:color w:val="auto"/>
          <w:sz w:val="24"/>
          <w:szCs w:val="20"/>
          <w:u w:val="none"/>
          <w:lang w:val="en-GB"/>
        </w:rPr>
        <w:instrText>o "1-3" \h \z \u</w:instrText>
      </w:r>
      <w:r w:rsidRPr="003569F2">
        <w:rPr>
          <w:rStyle w:val="Hyperlink"/>
          <w:rFonts w:eastAsia="Batang" w:cs="Times New Roman"/>
          <w:noProof/>
          <w:color w:val="auto"/>
          <w:sz w:val="24"/>
          <w:szCs w:val="20"/>
          <w:u w:val="none"/>
          <w:rtl/>
          <w:lang w:val="en-GB"/>
        </w:rPr>
        <w:instrText xml:space="preserve"> </w:instrText>
      </w:r>
      <w:r w:rsidRPr="003569F2">
        <w:rPr>
          <w:rStyle w:val="Hyperlink"/>
          <w:rFonts w:eastAsia="Batang" w:cs="Times New Roman"/>
          <w:noProof/>
          <w:color w:val="auto"/>
          <w:sz w:val="24"/>
          <w:szCs w:val="20"/>
          <w:u w:val="none"/>
          <w:rtl/>
          <w:lang w:val="en-GB"/>
        </w:rPr>
        <w:fldChar w:fldCharType="separate"/>
      </w:r>
      <w:hyperlink w:anchor="_Toc448830612" w:history="1">
        <w:r w:rsidRPr="003569F2">
          <w:rPr>
            <w:rStyle w:val="Hyperlink"/>
            <w:rFonts w:eastAsia="Batang" w:hint="cs"/>
            <w:noProof/>
            <w:color w:val="auto"/>
            <w:u w:val="none"/>
            <w:rtl/>
            <w:lang w:val="en-GB"/>
          </w:rPr>
          <w:t>مقدمة</w:t>
        </w:r>
        <w:r w:rsidRPr="003569F2">
          <w:rPr>
            <w:rStyle w:val="Hyperlink"/>
            <w:rFonts w:eastAsia="Batang"/>
            <w:noProof/>
            <w:color w:val="auto"/>
            <w:u w:val="none"/>
            <w:lang w:val="en-GB"/>
          </w:rPr>
          <w:tab/>
        </w:r>
        <w:r w:rsidRPr="003569F2">
          <w:rPr>
            <w:rStyle w:val="Hyperlink"/>
            <w:rFonts w:eastAsia="Batang"/>
            <w:noProof/>
            <w:color w:val="auto"/>
            <w:u w:val="none"/>
            <w:lang w:val="en-GB"/>
          </w:rPr>
          <w:tab/>
        </w:r>
        <w:r w:rsidRPr="003569F2">
          <w:rPr>
            <w:rStyle w:val="Hyperlink"/>
            <w:rFonts w:eastAsia="Batang"/>
            <w:webHidden/>
            <w:color w:val="auto"/>
            <w:u w:val="none"/>
            <w:lang w:val="en-GB"/>
          </w:rPr>
          <w:tab/>
        </w:r>
      </w:hyperlink>
      <w:r w:rsidRPr="003569F2">
        <w:rPr>
          <w:rStyle w:val="Hyperlink"/>
          <w:rFonts w:eastAsia="Batang"/>
          <w:color w:val="auto"/>
          <w:u w:val="none"/>
          <w:rtl/>
          <w:lang w:val="en-GB"/>
        </w:rPr>
        <w:tab/>
      </w:r>
      <w:r w:rsidR="00A60E51">
        <w:rPr>
          <w:rStyle w:val="Hyperlink"/>
          <w:rFonts w:eastAsia="Batang"/>
          <w:noProof/>
          <w:color w:val="auto"/>
          <w:u w:val="none"/>
          <w:lang w:val="en-GB"/>
        </w:rPr>
        <w:t>4</w:t>
      </w:r>
    </w:p>
    <w:p w:rsidR="003569F2" w:rsidRPr="003569F2" w:rsidRDefault="00091097" w:rsidP="00A60E51">
      <w:pPr>
        <w:pStyle w:val="TOC1"/>
        <w:spacing w:before="120"/>
      </w:pPr>
      <w:hyperlink w:anchor="_Toc448830613" w:history="1">
        <w:r w:rsidR="003569F2" w:rsidRPr="003569F2">
          <w:t>1</w:t>
        </w:r>
        <w:r w:rsidR="003569F2" w:rsidRPr="003569F2">
          <w:tab/>
        </w:r>
        <w:r w:rsidR="003569F2" w:rsidRPr="003569F2">
          <w:rPr>
            <w:rFonts w:hint="cs"/>
            <w:rtl/>
          </w:rPr>
          <w:t>مجال</w:t>
        </w:r>
        <w:r w:rsidR="003569F2" w:rsidRPr="003569F2">
          <w:rPr>
            <w:rtl/>
          </w:rPr>
          <w:t xml:space="preserve"> </w:t>
        </w:r>
        <w:r w:rsidR="003569F2" w:rsidRPr="003569F2">
          <w:rPr>
            <w:rFonts w:hint="cs"/>
            <w:rtl/>
          </w:rPr>
          <w:t>التطبيق</w:t>
        </w:r>
        <w:r w:rsidR="003569F2" w:rsidRPr="003569F2">
          <w:rPr>
            <w:webHidden/>
          </w:rPr>
          <w:tab/>
        </w:r>
        <w:r w:rsidR="003569F2" w:rsidRPr="003569F2">
          <w:rPr>
            <w:webHidden/>
          </w:rPr>
          <w:tab/>
        </w:r>
      </w:hyperlink>
      <w:r w:rsidR="00A60E51">
        <w:t>5</w:t>
      </w:r>
    </w:p>
    <w:p w:rsidR="003569F2" w:rsidRPr="003569F2" w:rsidRDefault="00091097" w:rsidP="00A60E51">
      <w:pPr>
        <w:pStyle w:val="TOC1"/>
        <w:spacing w:before="120"/>
        <w:rPr>
          <w:noProof/>
        </w:rPr>
      </w:pPr>
      <w:hyperlink w:anchor="_Toc448830614" w:history="1">
        <w:r w:rsidR="003569F2" w:rsidRPr="003569F2">
          <w:t>2</w:t>
        </w:r>
        <w:r w:rsidR="003569F2" w:rsidRPr="003569F2">
          <w:rPr>
            <w:noProof/>
          </w:rPr>
          <w:tab/>
        </w:r>
        <w:r w:rsidR="003569F2" w:rsidRPr="003569F2">
          <w:rPr>
            <w:rStyle w:val="Hyperlink"/>
            <w:rFonts w:hint="cs"/>
            <w:noProof/>
            <w:color w:val="auto"/>
            <w:u w:val="none"/>
            <w:rtl/>
            <w:lang w:bidi="ar-SY"/>
          </w:rPr>
          <w:t>المراجع</w:t>
        </w:r>
        <w:r w:rsidR="003569F2" w:rsidRPr="003569F2">
          <w:rPr>
            <w:noProof/>
            <w:webHidden/>
          </w:rPr>
          <w:tab/>
        </w:r>
        <w:r w:rsidR="003569F2" w:rsidRPr="003569F2">
          <w:rPr>
            <w:noProof/>
            <w:webHidden/>
          </w:rPr>
          <w:tab/>
        </w:r>
      </w:hyperlink>
      <w:r w:rsidR="00A60E51">
        <w:t>5</w:t>
      </w:r>
    </w:p>
    <w:p w:rsidR="003569F2" w:rsidRPr="003569F2" w:rsidRDefault="00091097" w:rsidP="00A60E51">
      <w:pPr>
        <w:pStyle w:val="TOC1"/>
        <w:spacing w:before="120"/>
      </w:pPr>
      <w:hyperlink w:anchor="_Toc448830615" w:history="1">
        <w:r w:rsidR="003569F2" w:rsidRPr="003569F2">
          <w:t>3</w:t>
        </w:r>
        <w:r w:rsidR="003569F2" w:rsidRPr="003569F2">
          <w:tab/>
        </w:r>
        <w:r w:rsidR="003569F2" w:rsidRPr="003569F2">
          <w:rPr>
            <w:rFonts w:hint="cs"/>
            <w:rtl/>
          </w:rPr>
          <w:t>مبادئ</w:t>
        </w:r>
        <w:r w:rsidR="003569F2" w:rsidRPr="003569F2">
          <w:rPr>
            <w:rtl/>
          </w:rPr>
          <w:t xml:space="preserve"> </w:t>
        </w:r>
        <w:r w:rsidR="003569F2" w:rsidRPr="003569F2">
          <w:rPr>
            <w:rFonts w:hint="cs"/>
            <w:rtl/>
          </w:rPr>
          <w:t>الخدمة</w:t>
        </w:r>
        <w:r w:rsidR="003569F2" w:rsidRPr="003569F2">
          <w:rPr>
            <w:rtl/>
          </w:rPr>
          <w:t xml:space="preserve"> </w:t>
        </w:r>
        <w:r w:rsidR="003569F2" w:rsidRPr="003569F2">
          <w:rPr>
            <w:rFonts w:hint="cs"/>
            <w:rtl/>
          </w:rPr>
          <w:t>الشاملة</w:t>
        </w:r>
        <w:r w:rsidR="003569F2" w:rsidRPr="003569F2">
          <w:rPr>
            <w:webHidden/>
            <w:rtl/>
          </w:rPr>
          <w:tab/>
        </w:r>
        <w:r w:rsidR="003569F2" w:rsidRPr="003569F2">
          <w:rPr>
            <w:webHidden/>
          </w:rPr>
          <w:tab/>
        </w:r>
      </w:hyperlink>
      <w:r w:rsidR="00A60E51">
        <w:t>5</w:t>
      </w:r>
    </w:p>
    <w:p w:rsidR="003569F2" w:rsidRPr="003569F2" w:rsidRDefault="00091097" w:rsidP="00A60E51">
      <w:pPr>
        <w:pStyle w:val="TOC2"/>
        <w:spacing w:before="120"/>
        <w:ind w:left="1570"/>
        <w:rPr>
          <w:noProof/>
          <w:lang w:val="en-GB"/>
        </w:rPr>
      </w:pPr>
      <w:hyperlink w:anchor="_Toc448830616" w:history="1">
        <w:r w:rsidR="003569F2" w:rsidRPr="003569F2">
          <w:rPr>
            <w:rStyle w:val="Hyperlink"/>
            <w:noProof/>
            <w:color w:val="auto"/>
            <w:u w:val="none"/>
            <w:lang w:bidi="ar-SY"/>
          </w:rPr>
          <w:t>1.3</w:t>
        </w:r>
        <w:r w:rsidR="003569F2" w:rsidRPr="003569F2">
          <w:rPr>
            <w:noProof/>
            <w:lang w:val="en-GB"/>
          </w:rPr>
          <w:tab/>
        </w:r>
        <w:r w:rsidR="003569F2" w:rsidRPr="003569F2">
          <w:rPr>
            <w:rStyle w:val="Hyperlink"/>
            <w:rFonts w:hint="cs"/>
            <w:noProof/>
            <w:color w:val="auto"/>
            <w:u w:val="none"/>
            <w:rtl/>
            <w:lang w:bidi="ar-EG"/>
          </w:rPr>
          <w:t>مفهوم</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الخدمة</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الشاملة</w:t>
        </w:r>
        <w:r w:rsidR="003569F2" w:rsidRPr="003569F2">
          <w:rPr>
            <w:noProof/>
            <w:webHidden/>
          </w:rPr>
          <w:tab/>
        </w:r>
        <w:r w:rsidR="003569F2" w:rsidRPr="003569F2">
          <w:rPr>
            <w:noProof/>
            <w:webHidden/>
          </w:rPr>
          <w:tab/>
        </w:r>
      </w:hyperlink>
      <w:r w:rsidR="00A60E51">
        <w:rPr>
          <w:rStyle w:val="Hyperlink"/>
          <w:noProof/>
          <w:color w:val="auto"/>
          <w:u w:val="none"/>
        </w:rPr>
        <w:t>5</w:t>
      </w:r>
    </w:p>
    <w:p w:rsidR="003569F2" w:rsidRPr="003569F2" w:rsidRDefault="00091097" w:rsidP="00A60E51">
      <w:pPr>
        <w:pStyle w:val="TOC2"/>
        <w:spacing w:before="120"/>
        <w:ind w:left="1570"/>
        <w:rPr>
          <w:noProof/>
          <w:lang w:val="en-GB"/>
        </w:rPr>
      </w:pPr>
      <w:hyperlink w:anchor="_Toc448830617" w:history="1">
        <w:r w:rsidR="003569F2" w:rsidRPr="003569F2">
          <w:rPr>
            <w:rStyle w:val="Hyperlink"/>
            <w:noProof/>
            <w:color w:val="auto"/>
            <w:u w:val="none"/>
            <w:lang w:bidi="ar-SY"/>
          </w:rPr>
          <w:t>2.3</w:t>
        </w:r>
        <w:r w:rsidR="003569F2" w:rsidRPr="003569F2">
          <w:rPr>
            <w:noProof/>
            <w:lang w:val="en-GB"/>
          </w:rPr>
          <w:tab/>
        </w:r>
        <w:r w:rsidR="003569F2" w:rsidRPr="003569F2">
          <w:rPr>
            <w:rStyle w:val="Hyperlink"/>
            <w:rFonts w:hint="cs"/>
            <w:noProof/>
            <w:color w:val="auto"/>
            <w:u w:val="none"/>
            <w:rtl/>
            <w:lang w:bidi="ar-EG"/>
          </w:rPr>
          <w:t>تحديد</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العوامل</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الخارجية</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التي</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تحسم</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نجاح</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مشاريع</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الخدمة</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الشاملة</w:t>
        </w:r>
        <w:r w:rsidR="003569F2" w:rsidRPr="003569F2">
          <w:rPr>
            <w:noProof/>
            <w:webHidden/>
          </w:rPr>
          <w:tab/>
        </w:r>
        <w:r w:rsidR="003569F2" w:rsidRPr="003569F2">
          <w:rPr>
            <w:noProof/>
            <w:webHidden/>
          </w:rPr>
          <w:tab/>
        </w:r>
      </w:hyperlink>
      <w:r w:rsidR="00A60E51">
        <w:rPr>
          <w:rStyle w:val="Hyperlink"/>
          <w:noProof/>
          <w:color w:val="auto"/>
          <w:u w:val="none"/>
        </w:rPr>
        <w:t>5</w:t>
      </w:r>
    </w:p>
    <w:p w:rsidR="003569F2" w:rsidRPr="003569F2" w:rsidRDefault="00091097" w:rsidP="00A60E51">
      <w:pPr>
        <w:pStyle w:val="TOC2"/>
        <w:spacing w:before="120"/>
        <w:ind w:left="1570"/>
        <w:rPr>
          <w:noProof/>
          <w:lang w:val="en-GB"/>
        </w:rPr>
      </w:pPr>
      <w:hyperlink w:anchor="_Toc448830618" w:history="1">
        <w:r w:rsidR="003569F2" w:rsidRPr="003569F2">
          <w:rPr>
            <w:rStyle w:val="Hyperlink"/>
            <w:noProof/>
            <w:color w:val="auto"/>
            <w:u w:val="none"/>
            <w:lang w:bidi="ar-SY"/>
          </w:rPr>
          <w:t>3.3</w:t>
        </w:r>
        <w:r w:rsidR="003569F2" w:rsidRPr="003569F2">
          <w:rPr>
            <w:noProof/>
            <w:lang w:val="en-GB"/>
          </w:rPr>
          <w:tab/>
        </w:r>
        <w:r w:rsidR="003569F2" w:rsidRPr="003569F2">
          <w:rPr>
            <w:rStyle w:val="Hyperlink"/>
            <w:rFonts w:hint="cs"/>
            <w:noProof/>
            <w:color w:val="auto"/>
            <w:u w:val="none"/>
            <w:rtl/>
            <w:lang w:bidi="ar-EG"/>
          </w:rPr>
          <w:t>كيف</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يمكن</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لمشاريع</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الخدمة</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الشاملة</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أن</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تساعد</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في</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معالجة</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القيود</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الخاصة</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بالسعة</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والمرتبطة</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بالتوصيلية</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الدولية</w:t>
        </w:r>
        <w:r w:rsidR="003569F2" w:rsidRPr="003569F2">
          <w:rPr>
            <w:rStyle w:val="Hyperlink"/>
            <w:noProof/>
            <w:color w:val="auto"/>
            <w:u w:val="none"/>
            <w:rtl/>
            <w:lang w:bidi="ar-EG"/>
          </w:rPr>
          <w:t xml:space="preserve"> </w:t>
        </w:r>
        <w:r w:rsidR="003569F2" w:rsidRPr="003569F2">
          <w:rPr>
            <w:rStyle w:val="Hyperlink"/>
            <w:rFonts w:hint="cs"/>
            <w:noProof/>
            <w:color w:val="auto"/>
            <w:u w:val="none"/>
            <w:rtl/>
            <w:lang w:bidi="ar-EG"/>
          </w:rPr>
          <w:t>للإنترنت</w:t>
        </w:r>
        <w:r w:rsidR="003569F2" w:rsidRPr="003569F2">
          <w:rPr>
            <w:noProof/>
            <w:webHidden/>
          </w:rPr>
          <w:tab/>
        </w:r>
        <w:r w:rsidR="003569F2" w:rsidRPr="003569F2">
          <w:rPr>
            <w:noProof/>
            <w:webHidden/>
          </w:rPr>
          <w:tab/>
        </w:r>
      </w:hyperlink>
      <w:r w:rsidR="00A60E51">
        <w:rPr>
          <w:rStyle w:val="Hyperlink"/>
          <w:noProof/>
          <w:color w:val="auto"/>
          <w:u w:val="none"/>
        </w:rPr>
        <w:t>6</w:t>
      </w:r>
    </w:p>
    <w:p w:rsidR="003569F2" w:rsidRPr="003569F2" w:rsidRDefault="00091097" w:rsidP="00A60E51">
      <w:pPr>
        <w:pStyle w:val="TOC1"/>
        <w:spacing w:before="120"/>
      </w:pPr>
      <w:hyperlink w:anchor="_Toc448830619" w:history="1">
        <w:r w:rsidR="003569F2" w:rsidRPr="003569F2">
          <w:t>4</w:t>
        </w:r>
        <w:r w:rsidR="003569F2" w:rsidRPr="003569F2">
          <w:tab/>
        </w:r>
        <w:r w:rsidR="003569F2" w:rsidRPr="003569F2">
          <w:rPr>
            <w:rFonts w:hint="cs"/>
            <w:rtl/>
          </w:rPr>
          <w:t>الخدمة</w:t>
        </w:r>
        <w:r w:rsidR="003569F2" w:rsidRPr="003569F2">
          <w:rPr>
            <w:rtl/>
          </w:rPr>
          <w:t xml:space="preserve"> </w:t>
        </w:r>
        <w:r w:rsidR="003569F2" w:rsidRPr="003569F2">
          <w:rPr>
            <w:rFonts w:hint="cs"/>
            <w:rtl/>
          </w:rPr>
          <w:t>الشاملة</w:t>
        </w:r>
        <w:r w:rsidR="003569F2" w:rsidRPr="003569F2">
          <w:rPr>
            <w:rtl/>
          </w:rPr>
          <w:t xml:space="preserve"> </w:t>
        </w:r>
        <w:r w:rsidR="003569F2" w:rsidRPr="003569F2">
          <w:rPr>
            <w:rFonts w:hint="cs"/>
            <w:rtl/>
          </w:rPr>
          <w:t>في</w:t>
        </w:r>
        <w:r w:rsidR="003569F2" w:rsidRPr="003569F2">
          <w:rPr>
            <w:rtl/>
          </w:rPr>
          <w:t xml:space="preserve"> </w:t>
        </w:r>
        <w:r w:rsidR="003569F2" w:rsidRPr="003569F2">
          <w:rPr>
            <w:rFonts w:hint="cs"/>
            <w:rtl/>
          </w:rPr>
          <w:t>سياق</w:t>
        </w:r>
        <w:r w:rsidR="003569F2" w:rsidRPr="003569F2">
          <w:rPr>
            <w:rtl/>
          </w:rPr>
          <w:t xml:space="preserve"> </w:t>
        </w:r>
        <w:r w:rsidR="003569F2" w:rsidRPr="003569F2">
          <w:rPr>
            <w:rFonts w:hint="cs"/>
            <w:rtl/>
          </w:rPr>
          <w:t>عالمي</w:t>
        </w:r>
        <w:r w:rsidR="003569F2" w:rsidRPr="003569F2">
          <w:rPr>
            <w:webHidden/>
          </w:rPr>
          <w:tab/>
        </w:r>
        <w:r w:rsidR="003569F2" w:rsidRPr="003569F2">
          <w:rPr>
            <w:webHidden/>
          </w:rPr>
          <w:tab/>
        </w:r>
      </w:hyperlink>
      <w:r w:rsidR="00A60E51">
        <w:t>6</w:t>
      </w:r>
    </w:p>
    <w:p w:rsidR="003569F2" w:rsidRPr="003569F2" w:rsidRDefault="00091097" w:rsidP="00A60E51">
      <w:pPr>
        <w:pStyle w:val="TOC1"/>
        <w:spacing w:before="120"/>
      </w:pPr>
      <w:hyperlink w:anchor="_Toc448830620" w:history="1">
        <w:r w:rsidR="003569F2" w:rsidRPr="003569F2">
          <w:t>5</w:t>
        </w:r>
        <w:r w:rsidR="003569F2" w:rsidRPr="003569F2">
          <w:tab/>
        </w:r>
        <w:r w:rsidR="003569F2" w:rsidRPr="003569F2">
          <w:rPr>
            <w:rFonts w:hint="cs"/>
            <w:rtl/>
          </w:rPr>
          <w:t>مبادئ</w:t>
        </w:r>
        <w:r w:rsidR="003569F2" w:rsidRPr="003569F2">
          <w:rPr>
            <w:rtl/>
          </w:rPr>
          <w:t xml:space="preserve"> </w:t>
        </w:r>
        <w:r w:rsidR="003569F2" w:rsidRPr="003569F2">
          <w:rPr>
            <w:rFonts w:hint="cs"/>
            <w:rtl/>
          </w:rPr>
          <w:t>توجيهية</w:t>
        </w:r>
        <w:r w:rsidR="003569F2" w:rsidRPr="003569F2">
          <w:rPr>
            <w:rtl/>
          </w:rPr>
          <w:t xml:space="preserve"> </w:t>
        </w:r>
        <w:r w:rsidR="003569F2" w:rsidRPr="003569F2">
          <w:rPr>
            <w:rFonts w:hint="cs"/>
            <w:rtl/>
          </w:rPr>
          <w:t>لزيادة</w:t>
        </w:r>
        <w:r w:rsidR="003569F2" w:rsidRPr="003569F2">
          <w:rPr>
            <w:rtl/>
          </w:rPr>
          <w:t xml:space="preserve"> </w:t>
        </w:r>
        <w:r w:rsidR="003569F2" w:rsidRPr="003569F2">
          <w:rPr>
            <w:rFonts w:hint="cs"/>
            <w:rtl/>
          </w:rPr>
          <w:t>فعالية</w:t>
        </w:r>
        <w:r w:rsidR="003569F2" w:rsidRPr="003569F2">
          <w:rPr>
            <w:rtl/>
          </w:rPr>
          <w:t xml:space="preserve"> </w:t>
        </w:r>
        <w:r w:rsidR="003569F2" w:rsidRPr="003569F2">
          <w:rPr>
            <w:rFonts w:hint="cs"/>
            <w:rtl/>
          </w:rPr>
          <w:t>سياسات</w:t>
        </w:r>
        <w:r w:rsidR="003569F2" w:rsidRPr="003569F2">
          <w:rPr>
            <w:rtl/>
          </w:rPr>
          <w:t xml:space="preserve"> </w:t>
        </w:r>
        <w:r w:rsidR="003569F2" w:rsidRPr="003569F2">
          <w:rPr>
            <w:rFonts w:hint="cs"/>
            <w:rtl/>
          </w:rPr>
          <w:t>الخدمة</w:t>
        </w:r>
        <w:r w:rsidR="003569F2" w:rsidRPr="003569F2">
          <w:rPr>
            <w:rtl/>
          </w:rPr>
          <w:t xml:space="preserve"> </w:t>
        </w:r>
        <w:r w:rsidR="003569F2" w:rsidRPr="003569F2">
          <w:rPr>
            <w:rFonts w:hint="cs"/>
            <w:rtl/>
          </w:rPr>
          <w:t>الشاملة</w:t>
        </w:r>
        <w:r w:rsidR="003569F2" w:rsidRPr="003569F2">
          <w:rPr>
            <w:rtl/>
          </w:rPr>
          <w:t xml:space="preserve"> </w:t>
        </w:r>
        <w:r w:rsidR="003569F2" w:rsidRPr="003569F2">
          <w:rPr>
            <w:rFonts w:hint="cs"/>
            <w:rtl/>
          </w:rPr>
          <w:t>والالتزام</w:t>
        </w:r>
        <w:r w:rsidR="003569F2" w:rsidRPr="003569F2">
          <w:rPr>
            <w:rtl/>
          </w:rPr>
          <w:t xml:space="preserve"> </w:t>
        </w:r>
        <w:r w:rsidR="003569F2" w:rsidRPr="003569F2">
          <w:rPr>
            <w:rFonts w:hint="cs"/>
            <w:rtl/>
          </w:rPr>
          <w:t>بها</w:t>
        </w:r>
        <w:r w:rsidR="003569F2" w:rsidRPr="003569F2">
          <w:rPr>
            <w:webHidden/>
          </w:rPr>
          <w:tab/>
        </w:r>
        <w:r w:rsidR="003569F2" w:rsidRPr="003569F2">
          <w:rPr>
            <w:webHidden/>
          </w:rPr>
          <w:tab/>
        </w:r>
      </w:hyperlink>
      <w:r w:rsidR="00A60E51">
        <w:t>6</w:t>
      </w:r>
    </w:p>
    <w:p w:rsidR="003569F2" w:rsidRDefault="003569F2" w:rsidP="00363E0A">
      <w:pPr>
        <w:rPr>
          <w:rtl/>
          <w:lang w:bidi="ar-EG"/>
        </w:rPr>
      </w:pPr>
      <w:r w:rsidRPr="003569F2">
        <w:rPr>
          <w:rtl/>
          <w:lang w:bidi="ar-EG"/>
        </w:rPr>
        <w:fldChar w:fldCharType="end"/>
      </w:r>
    </w:p>
    <w:p w:rsidR="003569F2" w:rsidRDefault="003569F2" w:rsidP="001E2FBB">
      <w:pPr>
        <w:rPr>
          <w:lang w:bidi="ar-EG"/>
        </w:rPr>
      </w:pPr>
      <w:r>
        <w:rPr>
          <w:lang w:bidi="ar-EG"/>
        </w:rPr>
        <w:br w:type="page"/>
      </w:r>
    </w:p>
    <w:p w:rsidR="003569F2" w:rsidRPr="00970515" w:rsidRDefault="003569F2" w:rsidP="002C4B83">
      <w:pPr>
        <w:pStyle w:val="Headingb"/>
        <w:rPr>
          <w:rtl/>
        </w:rPr>
      </w:pPr>
      <w:bookmarkStart w:id="4" w:name="_Toc448830612"/>
      <w:r w:rsidRPr="00970515">
        <w:rPr>
          <w:rFonts w:hint="cs"/>
          <w:rtl/>
        </w:rPr>
        <w:lastRenderedPageBreak/>
        <w:t>مقدمة</w:t>
      </w:r>
      <w:bookmarkEnd w:id="4"/>
    </w:p>
    <w:p w:rsidR="003569F2" w:rsidRPr="008A7DCA" w:rsidRDefault="003569F2" w:rsidP="00914F0C">
      <w:pPr>
        <w:rPr>
          <w:rtl/>
          <w:lang w:bidi="ar-EG"/>
        </w:rPr>
      </w:pPr>
      <w:r w:rsidRPr="008A7DCA">
        <w:rPr>
          <w:rFonts w:hint="cs"/>
          <w:rtl/>
          <w:lang w:bidi="ar-EG"/>
        </w:rPr>
        <w:t>تبنت الدول الأعضاء تاريخياً وحتى في الوقت الراهن مفاهيم مختلفة للخدمة الشاملة وهو ما يتضح من المنشور المعنون "دراسة</w:t>
      </w:r>
      <w:r w:rsidRPr="008A7DCA">
        <w:rPr>
          <w:rFonts w:hint="eastAsia"/>
          <w:rtl/>
          <w:lang w:bidi="ar-EG"/>
        </w:rPr>
        <w:t> </w:t>
      </w:r>
      <w:r w:rsidRPr="008A7DCA">
        <w:rPr>
          <w:rFonts w:hint="cs"/>
          <w:rtl/>
          <w:lang w:bidi="ar-EG"/>
        </w:rPr>
        <w:t xml:space="preserve">بشأن تمويل الخدمة الشاملة والاندماج الرقمي الشامل" الذي أصدره الاتحاد في </w:t>
      </w:r>
      <w:r w:rsidRPr="008A7DCA">
        <w:rPr>
          <w:lang w:val="en-GB" w:bidi="ar-SY"/>
        </w:rPr>
        <w:t>2013</w:t>
      </w:r>
      <w:r w:rsidRPr="008A7DCA">
        <w:rPr>
          <w:rFonts w:hint="cs"/>
          <w:rtl/>
          <w:lang w:bidi="ar-EG"/>
        </w:rPr>
        <w:t>. وقد اعتمد نجاح الدول المختلفة في</w:t>
      </w:r>
      <w:r w:rsidRPr="008A7DCA">
        <w:rPr>
          <w:rFonts w:hint="eastAsia"/>
          <w:rtl/>
          <w:lang w:bidi="ar-EG"/>
        </w:rPr>
        <w:t> </w:t>
      </w:r>
      <w:r w:rsidRPr="008A7DCA">
        <w:rPr>
          <w:rFonts w:hint="cs"/>
          <w:rtl/>
          <w:lang w:bidi="ar-EG"/>
        </w:rPr>
        <w:t>إدارة مشاريع الخدمة الشاملة لديها بشكل أساسي على أمور من بينها قدرة التنظيم وسياسات الخدمة الشاملة على التكيف مع الظروف المتغيرة وتكنولوجيا</w:t>
      </w:r>
      <w:r w:rsidR="00914F0C" w:rsidRPr="008A7DCA">
        <w:rPr>
          <w:rFonts w:hint="eastAsia"/>
          <w:rtl/>
          <w:lang w:bidi="ar-EG"/>
        </w:rPr>
        <w:t> </w:t>
      </w:r>
      <w:r w:rsidRPr="008A7DCA">
        <w:rPr>
          <w:rFonts w:hint="cs"/>
          <w:rtl/>
          <w:lang w:bidi="ar-EG"/>
        </w:rPr>
        <w:t>السوق.</w:t>
      </w:r>
    </w:p>
    <w:p w:rsidR="003569F2" w:rsidRPr="008A7DCA" w:rsidRDefault="003569F2" w:rsidP="003569F2">
      <w:pPr>
        <w:rPr>
          <w:rtl/>
          <w:lang w:bidi="ar-EG"/>
        </w:rPr>
      </w:pPr>
      <w:r w:rsidRPr="008A7DCA">
        <w:rPr>
          <w:rFonts w:hint="cs"/>
          <w:rtl/>
          <w:lang w:bidi="ar-EG"/>
        </w:rPr>
        <w:t>ومن هذا المنطلق، فإن الأطر التنظيمية التي تتسم بالمرونة الكافية للتكيف مع التطورات التكنولوجية والسوقية المتسارعة أتاحت للحكومات وهيئات التنظيم تنفيذ مشاريع فعّالة للخدمة الشاملة، مثل إدخال النطاق العريض ليس فقط كهدف للخدمة الشاملة، ولكن كمتغير حاكم أساسي نظراً للدور الحاسم للنطاق العريض كمحفز للنمو الاقتصادي في الدول.</w:t>
      </w:r>
    </w:p>
    <w:p w:rsidR="003569F2" w:rsidRPr="008A7DCA" w:rsidRDefault="003569F2" w:rsidP="00F01C3D">
      <w:pPr>
        <w:rPr>
          <w:rtl/>
          <w:lang w:bidi="ar-EG"/>
        </w:rPr>
      </w:pPr>
      <w:r w:rsidRPr="008A7DCA">
        <w:rPr>
          <w:rFonts w:hint="cs"/>
          <w:rtl/>
          <w:lang w:bidi="ar-EG"/>
        </w:rPr>
        <w:t>ونظراً إلى أن النطاق العريض أحد العوامل التي لا</w:t>
      </w:r>
      <w:r w:rsidR="001D77A6">
        <w:rPr>
          <w:rFonts w:hint="eastAsia"/>
          <w:rtl/>
          <w:lang w:bidi="ar-EG"/>
        </w:rPr>
        <w:t> </w:t>
      </w:r>
      <w:r w:rsidRPr="008A7DCA">
        <w:rPr>
          <w:rFonts w:hint="cs"/>
          <w:rtl/>
          <w:lang w:bidi="ar-EG"/>
        </w:rPr>
        <w:t xml:space="preserve">تعتمد على الظروف الداخلية فحسب في كل دولة، بل هو عنصر يتسم بطابع دولي إلى حد كبير، ينبغي إدراك أن نجاح سياسات الخدمة الشاملة في الوقت الراهن التي تعد أساسية بالنسبة </w:t>
      </w:r>
      <w:r w:rsidR="00B5410B">
        <w:rPr>
          <w:rFonts w:hint="cs"/>
          <w:rtl/>
          <w:lang w:bidi="ar-EG"/>
        </w:rPr>
        <w:t>إلى تطوير</w:t>
      </w:r>
      <w:r w:rsidRPr="008A7DCA">
        <w:rPr>
          <w:rFonts w:hint="cs"/>
          <w:rtl/>
          <w:lang w:bidi="ar-EG"/>
        </w:rPr>
        <w:t xml:space="preserve"> النطاق العريض، تتأثر بشكل كبير بالظروف الخارجية التي لا</w:t>
      </w:r>
      <w:r w:rsidR="00F01C3D">
        <w:rPr>
          <w:rFonts w:hint="eastAsia"/>
          <w:rtl/>
          <w:lang w:bidi="ar-EG"/>
        </w:rPr>
        <w:t> </w:t>
      </w:r>
      <w:r w:rsidRPr="008A7DCA">
        <w:rPr>
          <w:rFonts w:hint="cs"/>
          <w:rtl/>
          <w:lang w:bidi="ar-EG"/>
        </w:rPr>
        <w:t>يمكن للدول التحكم فيها.</w:t>
      </w:r>
    </w:p>
    <w:p w:rsidR="003569F2" w:rsidRDefault="003569F2" w:rsidP="00792EDE">
      <w:pPr>
        <w:rPr>
          <w:rtl/>
          <w:lang w:bidi="ar-EG"/>
        </w:rPr>
      </w:pPr>
      <w:r>
        <w:rPr>
          <w:rtl/>
          <w:lang w:bidi="ar-EG"/>
        </w:rPr>
        <w:br w:type="page"/>
      </w:r>
    </w:p>
    <w:p w:rsidR="003569F2" w:rsidRPr="003569F2" w:rsidRDefault="003569F2" w:rsidP="00B829B0">
      <w:pPr>
        <w:pStyle w:val="RecNo"/>
        <w:jc w:val="left"/>
        <w:rPr>
          <w:b w:val="0"/>
          <w:bCs/>
          <w:lang w:bidi="ar-EG"/>
        </w:rPr>
      </w:pPr>
      <w:r w:rsidRPr="003569F2">
        <w:rPr>
          <w:rFonts w:hint="cs"/>
          <w:b w:val="0"/>
          <w:bCs/>
          <w:rtl/>
          <w:lang w:bidi="ar-EG"/>
        </w:rPr>
        <w:lastRenderedPageBreak/>
        <w:t xml:space="preserve">مشروع التوصية </w:t>
      </w:r>
      <w:r w:rsidRPr="003569F2">
        <w:rPr>
          <w:b w:val="0"/>
          <w:bCs/>
          <w:lang w:val="en-GB" w:bidi="ar-EG"/>
        </w:rPr>
        <w:t>ITU</w:t>
      </w:r>
      <w:r w:rsidRPr="003569F2">
        <w:rPr>
          <w:b w:val="0"/>
          <w:bCs/>
          <w:lang w:val="en-GB" w:bidi="ar-EG"/>
        </w:rPr>
        <w:noBreakHyphen/>
        <w:t>T D.53</w:t>
      </w:r>
    </w:p>
    <w:p w:rsidR="003569F2" w:rsidRPr="00970515" w:rsidRDefault="003569F2" w:rsidP="003569F2">
      <w:pPr>
        <w:pStyle w:val="Rectitle"/>
        <w:rPr>
          <w:rtl/>
        </w:rPr>
      </w:pPr>
      <w:r w:rsidRPr="00970515">
        <w:rPr>
          <w:rtl/>
        </w:rPr>
        <w:t>الجوانب الدولية للخدمة الشاملة</w:t>
      </w:r>
    </w:p>
    <w:p w:rsidR="003569F2" w:rsidRPr="00970515" w:rsidRDefault="003569F2" w:rsidP="003569F2">
      <w:pPr>
        <w:pStyle w:val="Heading1"/>
        <w:rPr>
          <w:rtl/>
        </w:rPr>
      </w:pPr>
      <w:bookmarkStart w:id="5" w:name="_Toc448830613"/>
      <w:r w:rsidRPr="00970515">
        <w:rPr>
          <w:lang w:bidi="ar-SY"/>
        </w:rPr>
        <w:t>1</w:t>
      </w:r>
      <w:r w:rsidRPr="00970515">
        <w:rPr>
          <w:lang w:bidi="ar-SY"/>
        </w:rPr>
        <w:tab/>
      </w:r>
      <w:r w:rsidRPr="00970515">
        <w:rPr>
          <w:rFonts w:hint="cs"/>
          <w:rtl/>
        </w:rPr>
        <w:t>مجال التطبيق</w:t>
      </w:r>
      <w:bookmarkEnd w:id="5"/>
    </w:p>
    <w:p w:rsidR="003569F2" w:rsidRPr="00970515" w:rsidRDefault="003569F2" w:rsidP="00984677">
      <w:pPr>
        <w:rPr>
          <w:rtl/>
          <w:lang w:bidi="ar-EG"/>
        </w:rPr>
      </w:pPr>
      <w:r w:rsidRPr="00970515">
        <w:rPr>
          <w:rFonts w:hint="cs"/>
          <w:rtl/>
          <w:lang w:bidi="ar-EG"/>
        </w:rPr>
        <w:t>تقترح هذه التوصية مبادئ عامة لتوجيه الدول الأعضاء و</w:t>
      </w:r>
      <w:r w:rsidRPr="00970515">
        <w:rPr>
          <w:rtl/>
        </w:rPr>
        <w:t xml:space="preserve">الهيئات الحكومية المعنية </w:t>
      </w:r>
      <w:r w:rsidRPr="00970515">
        <w:rPr>
          <w:rFonts w:hint="cs"/>
          <w:rtl/>
          <w:lang w:bidi="ar-EG"/>
        </w:rPr>
        <w:t>وهيئات التنظيم عند قيامها بمهامها ووظائفها الإدارية المتعلقة بصن</w:t>
      </w:r>
      <w:r>
        <w:rPr>
          <w:rFonts w:hint="cs"/>
          <w:rtl/>
          <w:lang w:bidi="ar-EG"/>
        </w:rPr>
        <w:t xml:space="preserve">اديق </w:t>
      </w:r>
      <w:r w:rsidRPr="00970515">
        <w:rPr>
          <w:rFonts w:hint="cs"/>
          <w:rtl/>
          <w:lang w:bidi="ar-EG"/>
        </w:rPr>
        <w:t>الخدمة الشاملة في سياق تكامل عالمي نظراً إلى أن أهداف سياسات الخدمة الشاملة لا</w:t>
      </w:r>
      <w:r w:rsidR="00A825E5">
        <w:rPr>
          <w:rFonts w:hint="eastAsia"/>
          <w:rtl/>
          <w:lang w:bidi="ar-EG"/>
        </w:rPr>
        <w:t> </w:t>
      </w:r>
      <w:r w:rsidRPr="00970515">
        <w:rPr>
          <w:rFonts w:hint="cs"/>
          <w:rtl/>
          <w:lang w:bidi="ar-EG"/>
        </w:rPr>
        <w:t>تستند إلى عوامل داخلية فحسب، بل تتأثر أيضاً بظروف خارجية لا</w:t>
      </w:r>
      <w:r w:rsidR="00984677">
        <w:rPr>
          <w:rFonts w:hint="eastAsia"/>
          <w:rtl/>
          <w:lang w:bidi="ar-EG"/>
        </w:rPr>
        <w:t> </w:t>
      </w:r>
      <w:r w:rsidRPr="00970515">
        <w:rPr>
          <w:rFonts w:hint="cs"/>
          <w:rtl/>
          <w:lang w:bidi="ar-EG"/>
        </w:rPr>
        <w:t>يمكن التحكم فيها.</w:t>
      </w:r>
    </w:p>
    <w:p w:rsidR="003569F2" w:rsidRPr="00970515" w:rsidRDefault="003569F2" w:rsidP="003569F2">
      <w:pPr>
        <w:pStyle w:val="Heading1"/>
        <w:rPr>
          <w:rtl/>
        </w:rPr>
      </w:pPr>
      <w:bookmarkStart w:id="6" w:name="_Toc448830614"/>
      <w:r w:rsidRPr="00970515">
        <w:rPr>
          <w:lang w:bidi="ar-SY"/>
        </w:rPr>
        <w:t>2</w:t>
      </w:r>
      <w:r w:rsidRPr="00970515">
        <w:rPr>
          <w:lang w:bidi="ar-SY"/>
        </w:rPr>
        <w:tab/>
      </w:r>
      <w:r w:rsidRPr="00970515">
        <w:rPr>
          <w:rFonts w:hint="cs"/>
          <w:rtl/>
        </w:rPr>
        <w:t>المراجع</w:t>
      </w:r>
      <w:bookmarkEnd w:id="6"/>
    </w:p>
    <w:p w:rsidR="003569F2" w:rsidRPr="00970515" w:rsidRDefault="003569F2" w:rsidP="004D7D22">
      <w:pPr>
        <w:rPr>
          <w:rtl/>
          <w:lang w:bidi="ar-EG"/>
        </w:rPr>
      </w:pPr>
      <w:r w:rsidRPr="00970515">
        <w:rPr>
          <w:rFonts w:hint="cs"/>
          <w:rtl/>
          <w:lang w:bidi="ar-EG"/>
        </w:rPr>
        <w:t>تتضمن التوصيات التالية لقطاع تقييس الاتصالات وغيرها من المراجع أحكاماً تشكل من خلال الإشارة إليها في هذا النص جزءاً لا</w:t>
      </w:r>
      <w:r w:rsidR="004D7D22">
        <w:rPr>
          <w:rFonts w:hint="eastAsia"/>
          <w:rtl/>
          <w:lang w:bidi="ar-EG"/>
        </w:rPr>
        <w:t> </w:t>
      </w:r>
      <w:r w:rsidRPr="00970515">
        <w:rPr>
          <w:rFonts w:hint="cs"/>
          <w:rtl/>
          <w:lang w:bidi="ar-EG"/>
        </w:rPr>
        <w:t>يتجزأ من هذه التوصية. وقد كانت جميع الطبعات المذكورة سارية الصلاحية في وقت النشر. ولما كانت جميع التوصيات والمراجع الأخرى تخضع إلى المراجعة، يرجى من جميع المستعملين لهذه التوصية السعي إلى تطبيق أحدث طبعة للتوصيات والمراجع الأخرى الواردة أدناه. وتُنشر بانتظام قائمة توصيات قطاع تقييس الاتصالات السارية الصلاحية. والإشارة إلى وثيقة ما في هذه التوصية لا</w:t>
      </w:r>
      <w:r w:rsidRPr="00970515">
        <w:rPr>
          <w:rFonts w:hint="eastAsia"/>
          <w:rtl/>
          <w:lang w:bidi="ar-EG"/>
        </w:rPr>
        <w:t> </w:t>
      </w:r>
      <w:r w:rsidRPr="00970515">
        <w:rPr>
          <w:rFonts w:hint="cs"/>
          <w:rtl/>
          <w:lang w:bidi="ar-EG"/>
        </w:rPr>
        <w:t>يضفي على الوثيقة في حد ذاتها صفة التوصية.</w:t>
      </w:r>
    </w:p>
    <w:p w:rsidR="003569F2" w:rsidRPr="00970515" w:rsidRDefault="003569F2" w:rsidP="003569F2">
      <w:pPr>
        <w:rPr>
          <w:b/>
          <w:bCs/>
          <w:rtl/>
          <w:lang w:bidi="ar-EG"/>
        </w:rPr>
      </w:pPr>
      <w:r w:rsidRPr="00970515">
        <w:rPr>
          <w:rFonts w:hint="cs"/>
          <w:rtl/>
          <w:lang w:bidi="ar-EG"/>
        </w:rPr>
        <w:t xml:space="preserve">التوصية </w:t>
      </w:r>
      <w:r w:rsidRPr="00970515">
        <w:rPr>
          <w:lang w:val="en-GB" w:bidi="ar-SY"/>
        </w:rPr>
        <w:t>[ITU</w:t>
      </w:r>
      <w:r w:rsidRPr="00970515">
        <w:rPr>
          <w:lang w:val="en-GB" w:bidi="ar-SY"/>
        </w:rPr>
        <w:noBreakHyphen/>
        <w:t>T D.50]</w:t>
      </w:r>
      <w:r w:rsidRPr="00970515">
        <w:rPr>
          <w:rFonts w:hint="cs"/>
          <w:rtl/>
          <w:lang w:bidi="ar-EG"/>
        </w:rPr>
        <w:t xml:space="preserve"> </w:t>
      </w:r>
      <w:r w:rsidRPr="00970515">
        <w:rPr>
          <w:rtl/>
          <w:lang w:bidi="ar-EG"/>
        </w:rPr>
        <w:tab/>
      </w:r>
      <w:r w:rsidRPr="00970515">
        <w:rPr>
          <w:rFonts w:hint="cs"/>
          <w:rtl/>
          <w:lang w:bidi="ar-EG"/>
        </w:rPr>
        <w:t xml:space="preserve">التوصية </w:t>
      </w:r>
      <w:r w:rsidRPr="00970515">
        <w:rPr>
          <w:lang w:val="en-GB" w:bidi="ar-SY"/>
        </w:rPr>
        <w:t>ITU</w:t>
      </w:r>
      <w:r w:rsidRPr="00970515">
        <w:rPr>
          <w:lang w:val="en-GB" w:bidi="ar-SY"/>
        </w:rPr>
        <w:noBreakHyphen/>
        <w:t>T D.50</w:t>
      </w:r>
      <w:r w:rsidRPr="00970515">
        <w:rPr>
          <w:rFonts w:hint="cs"/>
          <w:rtl/>
          <w:lang w:bidi="ar-EG"/>
        </w:rPr>
        <w:t xml:space="preserve"> </w:t>
      </w:r>
      <w:r w:rsidRPr="00970515">
        <w:rPr>
          <w:lang w:bidi="ar-SY"/>
        </w:rPr>
        <w:t>(2011)</w:t>
      </w:r>
      <w:r w:rsidRPr="00970515">
        <w:rPr>
          <w:rFonts w:hint="cs"/>
          <w:rtl/>
        </w:rPr>
        <w:t xml:space="preserve">، </w:t>
      </w:r>
      <w:r w:rsidRPr="00D92DF4">
        <w:rPr>
          <w:rFonts w:hint="cs"/>
          <w:i/>
          <w:iCs/>
          <w:rtl/>
        </w:rPr>
        <w:t>التوصيل الدولي للإنترنت</w:t>
      </w:r>
      <w:r>
        <w:rPr>
          <w:rFonts w:hint="cs"/>
          <w:rtl/>
          <w:lang w:bidi="ar-EG"/>
        </w:rPr>
        <w:t>.</w:t>
      </w:r>
    </w:p>
    <w:p w:rsidR="003569F2" w:rsidRPr="00970515" w:rsidRDefault="003569F2" w:rsidP="003569F2">
      <w:pPr>
        <w:pStyle w:val="Heading1"/>
        <w:rPr>
          <w:rtl/>
        </w:rPr>
      </w:pPr>
      <w:bookmarkStart w:id="7" w:name="_Toc448830615"/>
      <w:r w:rsidRPr="00970515">
        <w:rPr>
          <w:lang w:bidi="ar-SY"/>
        </w:rPr>
        <w:t>3</w:t>
      </w:r>
      <w:r w:rsidRPr="00970515">
        <w:rPr>
          <w:lang w:bidi="ar-SY"/>
        </w:rPr>
        <w:tab/>
      </w:r>
      <w:r w:rsidRPr="00970515">
        <w:rPr>
          <w:rFonts w:hint="cs"/>
          <w:rtl/>
        </w:rPr>
        <w:t>مبادئ الخدمة الشاملة</w:t>
      </w:r>
      <w:bookmarkEnd w:id="7"/>
    </w:p>
    <w:p w:rsidR="003569F2" w:rsidRPr="00970515" w:rsidRDefault="003569F2" w:rsidP="003569F2">
      <w:pPr>
        <w:pStyle w:val="Heading2"/>
        <w:rPr>
          <w:rtl/>
        </w:rPr>
      </w:pPr>
      <w:bookmarkStart w:id="8" w:name="_Toc448830616"/>
      <w:r w:rsidRPr="00970515">
        <w:rPr>
          <w:lang w:bidi="ar-SY"/>
        </w:rPr>
        <w:t>1.3</w:t>
      </w:r>
      <w:r w:rsidRPr="00970515">
        <w:rPr>
          <w:lang w:bidi="ar-SY"/>
        </w:rPr>
        <w:tab/>
      </w:r>
      <w:r w:rsidRPr="00970515">
        <w:rPr>
          <w:rFonts w:hint="cs"/>
          <w:rtl/>
        </w:rPr>
        <w:t>مفهوم الخدمة الشاملة</w:t>
      </w:r>
      <w:bookmarkEnd w:id="8"/>
    </w:p>
    <w:p w:rsidR="003569F2" w:rsidRPr="00970515" w:rsidRDefault="003569F2" w:rsidP="003569F2">
      <w:pPr>
        <w:rPr>
          <w:rtl/>
          <w:lang w:bidi="ar-EG"/>
        </w:rPr>
      </w:pPr>
      <w:r w:rsidRPr="00970515">
        <w:rPr>
          <w:rFonts w:hint="cs"/>
          <w:rtl/>
          <w:lang w:bidi="ar-EG"/>
        </w:rPr>
        <w:t>تم الاعتراف على نطاق واسع بأن للخدمة الشاملة ثلاث سمات رئيسية:</w:t>
      </w:r>
    </w:p>
    <w:p w:rsidR="003569F2" w:rsidRPr="00970515" w:rsidRDefault="003569F2" w:rsidP="002842FC">
      <w:pPr>
        <w:rPr>
          <w:rtl/>
          <w:lang w:bidi="ar-EG"/>
        </w:rPr>
      </w:pPr>
      <w:r w:rsidRPr="00970515">
        <w:rPr>
          <w:rFonts w:hint="cs"/>
          <w:b/>
          <w:bCs/>
          <w:rtl/>
          <w:lang w:bidi="ar-EG"/>
        </w:rPr>
        <w:t xml:space="preserve">التيسر: </w:t>
      </w:r>
      <w:r w:rsidRPr="00970515">
        <w:rPr>
          <w:rFonts w:hint="cs"/>
          <w:rtl/>
          <w:lang w:bidi="ar-EG"/>
        </w:rPr>
        <w:t xml:space="preserve">ينبغي لمستوى الخدمة أن يكون متماثلاً لجميع المستعملين في أي </w:t>
      </w:r>
      <w:r w:rsidR="002842FC">
        <w:rPr>
          <w:rFonts w:hint="cs"/>
          <w:rtl/>
          <w:lang w:bidi="ar-EG"/>
        </w:rPr>
        <w:t>مكان وزمان</w:t>
      </w:r>
      <w:r w:rsidRPr="00970515">
        <w:rPr>
          <w:rFonts w:hint="cs"/>
          <w:rtl/>
          <w:lang w:bidi="ar-EG"/>
        </w:rPr>
        <w:t>.</w:t>
      </w:r>
    </w:p>
    <w:p w:rsidR="003569F2" w:rsidRPr="00970515" w:rsidRDefault="003569F2" w:rsidP="003569F2">
      <w:pPr>
        <w:rPr>
          <w:rtl/>
          <w:lang w:bidi="ar-EG"/>
        </w:rPr>
      </w:pPr>
      <w:r w:rsidRPr="00970515">
        <w:rPr>
          <w:rFonts w:hint="cs"/>
          <w:b/>
          <w:bCs/>
          <w:rtl/>
          <w:lang w:bidi="ar-EG"/>
        </w:rPr>
        <w:t xml:space="preserve">الميسورية: </w:t>
      </w:r>
      <w:r w:rsidRPr="00970515">
        <w:rPr>
          <w:rFonts w:hint="cs"/>
          <w:rtl/>
          <w:lang w:bidi="ar-EG"/>
        </w:rPr>
        <w:t>ينبغي ألا يكون سعر الخدمة باهظاً بحيث يؤثر سلباً على النفاذ.</w:t>
      </w:r>
    </w:p>
    <w:p w:rsidR="003569F2" w:rsidRPr="00970515" w:rsidRDefault="003569F2" w:rsidP="00A35627">
      <w:pPr>
        <w:rPr>
          <w:rtl/>
          <w:lang w:bidi="ar-EG"/>
        </w:rPr>
      </w:pPr>
      <w:r w:rsidRPr="00970515">
        <w:rPr>
          <w:rFonts w:hint="cs"/>
          <w:b/>
          <w:bCs/>
          <w:rtl/>
          <w:lang w:bidi="ar-EG"/>
        </w:rPr>
        <w:t xml:space="preserve">إمكانية النفاذ: </w:t>
      </w:r>
      <w:r w:rsidRPr="00970515">
        <w:rPr>
          <w:rFonts w:hint="cs"/>
          <w:rtl/>
          <w:lang w:bidi="ar-EG"/>
        </w:rPr>
        <w:t>ينبغي معاملة المشتركين بشكل متساوٍ فيما</w:t>
      </w:r>
      <w:r w:rsidR="00A35627">
        <w:rPr>
          <w:rFonts w:hint="eastAsia"/>
          <w:rtl/>
          <w:lang w:bidi="ar-EG"/>
        </w:rPr>
        <w:t> </w:t>
      </w:r>
      <w:r w:rsidRPr="00970515">
        <w:rPr>
          <w:rFonts w:hint="cs"/>
          <w:rtl/>
          <w:lang w:bidi="ar-EG"/>
        </w:rPr>
        <w:t>يخص الخدمة والسعر وجودة الخدمة عند نفاذهم إلى الخدمة من أي مكان وفي</w:t>
      </w:r>
      <w:r w:rsidRPr="00970515">
        <w:rPr>
          <w:rFonts w:hint="eastAsia"/>
          <w:rtl/>
          <w:lang w:bidi="ar-EG"/>
        </w:rPr>
        <w:t> </w:t>
      </w:r>
      <w:r w:rsidRPr="00970515">
        <w:rPr>
          <w:rFonts w:hint="cs"/>
          <w:rtl/>
          <w:lang w:bidi="ar-EG"/>
        </w:rPr>
        <w:t>أي وقت.</w:t>
      </w:r>
    </w:p>
    <w:p w:rsidR="003569F2" w:rsidRPr="00970515" w:rsidRDefault="003569F2" w:rsidP="00F32BEB">
      <w:pPr>
        <w:rPr>
          <w:rtl/>
          <w:lang w:bidi="ar-EG"/>
        </w:rPr>
      </w:pPr>
      <w:r w:rsidRPr="00970515">
        <w:rPr>
          <w:rFonts w:hint="cs"/>
          <w:rtl/>
          <w:lang w:bidi="ar-EG"/>
        </w:rPr>
        <w:t>وما دامت الخدمة الشاملة معرفة كأداة وهدف رئيسي للنطاق العريض، ونظراً للطابع الدولي لهذا العامل، فإن تيسر الخدمة وميسوريتها في</w:t>
      </w:r>
      <w:r w:rsidRPr="00970515">
        <w:rPr>
          <w:rFonts w:hint="eastAsia"/>
          <w:rtl/>
          <w:lang w:bidi="ar-EG"/>
        </w:rPr>
        <w:t> </w:t>
      </w:r>
      <w:r w:rsidRPr="00970515">
        <w:rPr>
          <w:rFonts w:hint="cs"/>
          <w:rtl/>
          <w:lang w:bidi="ar-EG"/>
        </w:rPr>
        <w:t>كامل البلد يرتبط ارتباطاً كبيراً بسعر التوصيلية الدولية للإنترنت، حيث يتعين أن تدرج الدول في تحليلاتها الخصائص المتأصلة للنطاق العريض بحيث تضفي الطابع الداخلي ضمن مشاريع الخدمة الشاملة على جميع العوامل الخارجية التي تؤثر في</w:t>
      </w:r>
      <w:r w:rsidR="00F32BEB">
        <w:rPr>
          <w:rFonts w:hint="eastAsia"/>
          <w:rtl/>
          <w:lang w:bidi="ar-EG"/>
        </w:rPr>
        <w:t> </w:t>
      </w:r>
      <w:r w:rsidRPr="00970515">
        <w:rPr>
          <w:rFonts w:hint="cs"/>
          <w:rtl/>
          <w:lang w:bidi="ar-EG"/>
        </w:rPr>
        <w:t>نجاحها في</w:t>
      </w:r>
      <w:r w:rsidRPr="00970515">
        <w:rPr>
          <w:rFonts w:hint="eastAsia"/>
          <w:rtl/>
          <w:lang w:bidi="ar-EG"/>
        </w:rPr>
        <w:t> </w:t>
      </w:r>
      <w:r w:rsidRPr="00970515">
        <w:rPr>
          <w:rFonts w:hint="cs"/>
          <w:rtl/>
          <w:lang w:bidi="ar-EG"/>
        </w:rPr>
        <w:t>كامل البلد.</w:t>
      </w:r>
    </w:p>
    <w:p w:rsidR="003569F2" w:rsidRPr="00970515" w:rsidRDefault="003569F2" w:rsidP="003569F2">
      <w:pPr>
        <w:pStyle w:val="Heading2"/>
        <w:rPr>
          <w:rtl/>
        </w:rPr>
      </w:pPr>
      <w:bookmarkStart w:id="9" w:name="_Toc448830617"/>
      <w:r w:rsidRPr="00970515">
        <w:rPr>
          <w:lang w:bidi="ar-SY"/>
        </w:rPr>
        <w:t>2.3</w:t>
      </w:r>
      <w:r w:rsidRPr="00970515">
        <w:rPr>
          <w:rtl/>
        </w:rPr>
        <w:tab/>
      </w:r>
      <w:r w:rsidRPr="00970515">
        <w:rPr>
          <w:rFonts w:hint="cs"/>
          <w:rtl/>
        </w:rPr>
        <w:t>تحديد العوامل الخارجية التي تحسم نجاح مشاريع الخدمة الشاملة</w:t>
      </w:r>
      <w:bookmarkEnd w:id="9"/>
    </w:p>
    <w:p w:rsidR="003569F2" w:rsidRPr="00970515" w:rsidRDefault="003569F2" w:rsidP="003569F2">
      <w:pPr>
        <w:rPr>
          <w:rtl/>
          <w:lang w:bidi="ar-EG"/>
        </w:rPr>
      </w:pPr>
      <w:r w:rsidRPr="00970515">
        <w:rPr>
          <w:rFonts w:hint="cs"/>
          <w:rtl/>
          <w:lang w:bidi="ar-EG"/>
        </w:rPr>
        <w:t>ينبغي للدول الأعضاء والهيئات التنظيمية أن تولي اهتماماً خاصاً للنقاط التالية عند تصميم أو تكييف أو تنقيح سياسات أو</w:t>
      </w:r>
      <w:r w:rsidRPr="00970515">
        <w:rPr>
          <w:rFonts w:hint="eastAsia"/>
          <w:rtl/>
          <w:lang w:bidi="ar-EG"/>
        </w:rPr>
        <w:t> </w:t>
      </w:r>
      <w:r w:rsidRPr="00970515">
        <w:rPr>
          <w:rFonts w:hint="cs"/>
          <w:rtl/>
          <w:lang w:bidi="ar-EG"/>
        </w:rPr>
        <w:t>لوائح أو</w:t>
      </w:r>
      <w:r w:rsidRPr="00970515">
        <w:rPr>
          <w:rFonts w:hint="eastAsia"/>
          <w:rtl/>
          <w:lang w:bidi="ar-EG"/>
        </w:rPr>
        <w:t> </w:t>
      </w:r>
      <w:r w:rsidRPr="00970515">
        <w:rPr>
          <w:rFonts w:hint="cs"/>
          <w:rtl/>
          <w:lang w:bidi="ar-EG"/>
        </w:rPr>
        <w:t>مشاريع الخدمة الشاملة/النفاذ الشامل:</w:t>
      </w:r>
    </w:p>
    <w:p w:rsidR="003569F2" w:rsidRPr="00970515" w:rsidRDefault="007C22F5" w:rsidP="003569F2">
      <w:pPr>
        <w:pStyle w:val="enumlev10"/>
        <w:rPr>
          <w:rtl/>
        </w:rPr>
      </w:pPr>
      <w:r>
        <w:rPr>
          <w:rFonts w:hint="cs"/>
          <w:rtl/>
        </w:rPr>
        <w:t>-</w:t>
      </w:r>
      <w:r w:rsidR="003569F2" w:rsidRPr="00970515">
        <w:rPr>
          <w:rtl/>
        </w:rPr>
        <w:tab/>
      </w:r>
      <w:r w:rsidR="003569F2" w:rsidRPr="00970515">
        <w:rPr>
          <w:rFonts w:hint="cs"/>
          <w:rtl/>
        </w:rPr>
        <w:t>مستوى المنافسة في السوق من أجل توفير سعة دولية للإنترنت على الصعيدين المحلي والإقليمي.</w:t>
      </w:r>
    </w:p>
    <w:p w:rsidR="003569F2" w:rsidRPr="00970515" w:rsidRDefault="007C22F5" w:rsidP="002F5F4E">
      <w:pPr>
        <w:pStyle w:val="enumlev10"/>
        <w:rPr>
          <w:rtl/>
          <w:lang w:bidi="ar-EG"/>
        </w:rPr>
      </w:pPr>
      <w:r>
        <w:rPr>
          <w:rFonts w:hint="cs"/>
          <w:rtl/>
        </w:rPr>
        <w:t>-</w:t>
      </w:r>
      <w:r w:rsidR="003569F2" w:rsidRPr="00970515">
        <w:rPr>
          <w:rtl/>
        </w:rPr>
        <w:tab/>
      </w:r>
      <w:r w:rsidR="003569F2" w:rsidRPr="00970515">
        <w:rPr>
          <w:rFonts w:hint="cs"/>
          <w:rtl/>
        </w:rPr>
        <w:t xml:space="preserve">تطور الأسعار ومسائل الضرائب بالنسبة </w:t>
      </w:r>
      <w:r w:rsidR="00BF7B34">
        <w:rPr>
          <w:rFonts w:hint="cs"/>
          <w:rtl/>
        </w:rPr>
        <w:t>إلى العبور</w:t>
      </w:r>
      <w:r w:rsidR="003569F2" w:rsidRPr="00970515">
        <w:rPr>
          <w:rFonts w:hint="cs"/>
          <w:rtl/>
        </w:rPr>
        <w:t xml:space="preserve"> الدولي وأسعار عقود حقوق الاستعمال</w:t>
      </w:r>
      <w:r w:rsidR="002F5F4E">
        <w:rPr>
          <w:rFonts w:hint="eastAsia"/>
          <w:rtl/>
        </w:rPr>
        <w:t> </w:t>
      </w:r>
      <w:r w:rsidR="003569F2" w:rsidRPr="00970515">
        <w:t>(IRU)</w:t>
      </w:r>
      <w:r w:rsidR="003569F2" w:rsidRPr="00970515">
        <w:rPr>
          <w:rFonts w:hint="cs"/>
          <w:rtl/>
          <w:lang w:bidi="ar-EG"/>
        </w:rPr>
        <w:t xml:space="preserve"> أو أنواع العقود الأخرى لتوفير سعة الإنترنت الدولية.</w:t>
      </w:r>
    </w:p>
    <w:p w:rsidR="003569F2" w:rsidRPr="00970515" w:rsidRDefault="007C22F5" w:rsidP="000619E8">
      <w:pPr>
        <w:pStyle w:val="enumlev10"/>
        <w:rPr>
          <w:rtl/>
          <w:lang w:bidi="ar-EG"/>
        </w:rPr>
      </w:pPr>
      <w:r>
        <w:rPr>
          <w:rFonts w:hint="cs"/>
          <w:rtl/>
          <w:lang w:bidi="ar-EG"/>
        </w:rPr>
        <w:lastRenderedPageBreak/>
        <w:t>-</w:t>
      </w:r>
      <w:r w:rsidR="003569F2" w:rsidRPr="00970515">
        <w:rPr>
          <w:rtl/>
          <w:lang w:bidi="ar-EG"/>
        </w:rPr>
        <w:tab/>
      </w:r>
      <w:r w:rsidR="003569F2" w:rsidRPr="00970515">
        <w:rPr>
          <w:rFonts w:hint="cs"/>
          <w:rtl/>
          <w:lang w:bidi="ar-EG"/>
        </w:rPr>
        <w:t>القدرة على إبرام وتسهيل عقود التبادل المتكافئ بين المشغلين الوطنيين والمشغلين الإقليميين والمشغلين في</w:t>
      </w:r>
      <w:r w:rsidR="000619E8">
        <w:rPr>
          <w:rFonts w:hint="eastAsia"/>
          <w:rtl/>
          <w:lang w:bidi="ar-EG"/>
        </w:rPr>
        <w:t> </w:t>
      </w:r>
      <w:r w:rsidR="003569F2" w:rsidRPr="00970515">
        <w:rPr>
          <w:rFonts w:hint="cs"/>
          <w:rtl/>
          <w:lang w:bidi="ar-EG"/>
        </w:rPr>
        <w:t>جميع أنحاء العالم بشأن سعة الإنترنت</w:t>
      </w:r>
      <w:r w:rsidR="003569F2" w:rsidRPr="00970515">
        <w:rPr>
          <w:rFonts w:hint="eastAsia"/>
          <w:rtl/>
          <w:lang w:bidi="ar-EG"/>
        </w:rPr>
        <w:t> </w:t>
      </w:r>
      <w:r w:rsidR="003569F2" w:rsidRPr="00970515">
        <w:rPr>
          <w:rFonts w:hint="cs"/>
          <w:rtl/>
          <w:lang w:bidi="ar-EG"/>
        </w:rPr>
        <w:t>الدولية.</w:t>
      </w:r>
    </w:p>
    <w:p w:rsidR="003569F2" w:rsidRPr="00970515" w:rsidRDefault="003569F2" w:rsidP="003569F2">
      <w:pPr>
        <w:pStyle w:val="Heading2"/>
        <w:rPr>
          <w:rtl/>
        </w:rPr>
      </w:pPr>
      <w:bookmarkStart w:id="10" w:name="_Toc448830618"/>
      <w:r w:rsidRPr="00970515">
        <w:rPr>
          <w:lang w:bidi="ar-SY"/>
        </w:rPr>
        <w:t>3.3</w:t>
      </w:r>
      <w:r w:rsidRPr="00970515">
        <w:rPr>
          <w:rtl/>
        </w:rPr>
        <w:tab/>
      </w:r>
      <w:r w:rsidRPr="00970515">
        <w:rPr>
          <w:rFonts w:hint="cs"/>
          <w:rtl/>
        </w:rPr>
        <w:t>كيف يمكن لمشاريع الخدمة الشاملة أن تساعد في معالجة القيود الخاصة بالسعة والمرتبطة بالتوصيلية الدولية للإنترنت</w:t>
      </w:r>
      <w:bookmarkEnd w:id="10"/>
    </w:p>
    <w:p w:rsidR="003569F2" w:rsidRPr="00970515" w:rsidRDefault="003569F2" w:rsidP="003569F2">
      <w:pPr>
        <w:rPr>
          <w:rtl/>
          <w:lang w:bidi="ar-EG"/>
        </w:rPr>
      </w:pPr>
      <w:r w:rsidRPr="00970515">
        <w:rPr>
          <w:rFonts w:hint="cs"/>
          <w:rtl/>
          <w:lang w:bidi="ar-EG"/>
        </w:rPr>
        <w:t>ينبغي للإدارات والهيئات التنظيمية للدول الأعضاء الحد من تأثير الشروط الاقتصادية والتعاقدية للتوصيلية الدولية للإنترنت على مستوى إنجاز سياسات ومشاريع الخدمة الشاملة، وذلك باستخدام صناديق الخدمة الشاملة لتشجيع المبادرات التالية ودعمها:</w:t>
      </w:r>
    </w:p>
    <w:p w:rsidR="003569F2" w:rsidRPr="00970515" w:rsidRDefault="007C22F5" w:rsidP="003569F2">
      <w:pPr>
        <w:pStyle w:val="enumlev10"/>
        <w:rPr>
          <w:rtl/>
        </w:rPr>
      </w:pPr>
      <w:r>
        <w:rPr>
          <w:rFonts w:hint="cs"/>
          <w:rtl/>
        </w:rPr>
        <w:t>-</w:t>
      </w:r>
      <w:r w:rsidR="003569F2" w:rsidRPr="00970515">
        <w:rPr>
          <w:rtl/>
        </w:rPr>
        <w:tab/>
      </w:r>
      <w:r w:rsidR="003569F2" w:rsidRPr="00970515">
        <w:rPr>
          <w:rFonts w:hint="cs"/>
          <w:rtl/>
        </w:rPr>
        <w:t>استحداث و/أو تعزيز نقاط تبادل الإنترنت الوطنية أو الإقليمية.</w:t>
      </w:r>
    </w:p>
    <w:p w:rsidR="003569F2" w:rsidRPr="00970515" w:rsidRDefault="007C22F5" w:rsidP="003569F2">
      <w:pPr>
        <w:pStyle w:val="enumlev10"/>
        <w:rPr>
          <w:rtl/>
        </w:rPr>
      </w:pPr>
      <w:r>
        <w:rPr>
          <w:rFonts w:hint="cs"/>
          <w:rtl/>
        </w:rPr>
        <w:t>-</w:t>
      </w:r>
      <w:r w:rsidR="003569F2" w:rsidRPr="00970515">
        <w:rPr>
          <w:rtl/>
        </w:rPr>
        <w:tab/>
      </w:r>
      <w:r w:rsidR="003569F2" w:rsidRPr="00970515">
        <w:rPr>
          <w:rFonts w:hint="cs"/>
          <w:rtl/>
        </w:rPr>
        <w:t>استحداث و/أو تعزيز مراكز البيانات، على الصعيدين الوطني والإقليمي.</w:t>
      </w:r>
    </w:p>
    <w:p w:rsidR="003569F2" w:rsidRPr="00970515" w:rsidRDefault="003569F2" w:rsidP="003569F2">
      <w:pPr>
        <w:pStyle w:val="Heading1"/>
        <w:rPr>
          <w:rtl/>
        </w:rPr>
      </w:pPr>
      <w:bookmarkStart w:id="11" w:name="_Toc448830619"/>
      <w:r w:rsidRPr="00970515">
        <w:rPr>
          <w:lang w:bidi="ar-SY"/>
        </w:rPr>
        <w:t>4</w:t>
      </w:r>
      <w:r w:rsidRPr="00970515">
        <w:rPr>
          <w:lang w:bidi="ar-SY"/>
        </w:rPr>
        <w:tab/>
      </w:r>
      <w:r w:rsidRPr="00970515">
        <w:rPr>
          <w:rFonts w:hint="cs"/>
          <w:rtl/>
        </w:rPr>
        <w:t>الخدمة الشاملة في سياق عالمي</w:t>
      </w:r>
      <w:bookmarkEnd w:id="11"/>
    </w:p>
    <w:p w:rsidR="003569F2" w:rsidRPr="00970515" w:rsidRDefault="003569F2" w:rsidP="003569F2">
      <w:pPr>
        <w:rPr>
          <w:rtl/>
          <w:lang w:bidi="ar-EG"/>
        </w:rPr>
      </w:pPr>
      <w:r w:rsidRPr="00970515">
        <w:rPr>
          <w:rFonts w:hint="cs"/>
          <w:rtl/>
          <w:lang w:bidi="ar-EG"/>
        </w:rPr>
        <w:t>سعياً إلى الحد من تأثيرات تكاليف التوصيلية الدولية للإنترنت في كامل البلد في منطقة أو مجموعة من الدول، يجوز أن تبادر الإدارات والهيئات التنظيمية للدول الأعضاء هذه وتنفذ اتفاقات ثنائية أو متعددة الأطراف لاستثمار أموال الخدمة الشاملة في</w:t>
      </w:r>
      <w:r w:rsidRPr="00970515">
        <w:rPr>
          <w:rFonts w:hint="eastAsia"/>
          <w:rtl/>
          <w:lang w:bidi="ar-EG"/>
        </w:rPr>
        <w:t> </w:t>
      </w:r>
      <w:r w:rsidRPr="00970515">
        <w:rPr>
          <w:rFonts w:hint="cs"/>
          <w:rtl/>
          <w:lang w:bidi="ar-EG"/>
        </w:rPr>
        <w:t>مشاريع لبنية تحتية مشتركة كأساس ل</w:t>
      </w:r>
      <w:r>
        <w:rPr>
          <w:rFonts w:hint="cs"/>
          <w:rtl/>
          <w:lang w:bidi="ar-EG"/>
        </w:rPr>
        <w:t>توصيلية</w:t>
      </w:r>
      <w:r w:rsidRPr="00970515">
        <w:rPr>
          <w:rFonts w:hint="cs"/>
          <w:rtl/>
          <w:lang w:bidi="ar-EG"/>
        </w:rPr>
        <w:t xml:space="preserve"> دولية للإنترنت، إذا كانت التشريعات تسمح بذلك.</w:t>
      </w:r>
    </w:p>
    <w:p w:rsidR="003569F2" w:rsidRPr="00970515" w:rsidRDefault="003569F2" w:rsidP="003569F2">
      <w:pPr>
        <w:pStyle w:val="Heading1"/>
        <w:rPr>
          <w:rtl/>
        </w:rPr>
      </w:pPr>
      <w:bookmarkStart w:id="12" w:name="_Toc448830620"/>
      <w:r w:rsidRPr="00970515">
        <w:rPr>
          <w:lang w:bidi="ar-SY"/>
        </w:rPr>
        <w:t>5</w:t>
      </w:r>
      <w:r w:rsidRPr="00970515">
        <w:rPr>
          <w:lang w:bidi="ar-SY"/>
        </w:rPr>
        <w:tab/>
      </w:r>
      <w:r w:rsidRPr="00970515">
        <w:rPr>
          <w:rFonts w:hint="cs"/>
          <w:rtl/>
        </w:rPr>
        <w:t>مبادئ توجيهية لزيادة فعالية سياسات الخدمة الشاملة والالتزام بها</w:t>
      </w:r>
      <w:bookmarkEnd w:id="12"/>
    </w:p>
    <w:p w:rsidR="003569F2" w:rsidRPr="00970515" w:rsidRDefault="003569F2" w:rsidP="003569F2">
      <w:pPr>
        <w:rPr>
          <w:rtl/>
        </w:rPr>
      </w:pPr>
      <w:r w:rsidRPr="00970515">
        <w:rPr>
          <w:rFonts w:hint="cs"/>
          <w:rtl/>
        </w:rPr>
        <w:t>يوصى بأن تنظر الدول الأعضاء في التدابير التالية:</w:t>
      </w:r>
    </w:p>
    <w:p w:rsidR="003569F2" w:rsidRPr="00970515" w:rsidRDefault="007C22F5" w:rsidP="003569F2">
      <w:pPr>
        <w:pStyle w:val="enumlev10"/>
        <w:rPr>
          <w:rtl/>
        </w:rPr>
      </w:pPr>
      <w:r>
        <w:rPr>
          <w:rFonts w:hint="cs"/>
          <w:rtl/>
        </w:rPr>
        <w:t>-</w:t>
      </w:r>
      <w:r w:rsidR="003569F2" w:rsidRPr="00970515">
        <w:rPr>
          <w:rtl/>
        </w:rPr>
        <w:tab/>
      </w:r>
      <w:r w:rsidR="003569F2" w:rsidRPr="00970515">
        <w:rPr>
          <w:rFonts w:hint="cs"/>
          <w:rtl/>
        </w:rPr>
        <w:t>تشجيع الموردين الوطنيين والدوليين على تمويل الخدمة الشاملة، في إطار من الشفافية وعدم التمييز.</w:t>
      </w:r>
    </w:p>
    <w:p w:rsidR="003569F2" w:rsidRPr="00970515" w:rsidRDefault="007C22F5" w:rsidP="003569F2">
      <w:pPr>
        <w:pStyle w:val="enumlev10"/>
        <w:rPr>
          <w:rtl/>
        </w:rPr>
      </w:pPr>
      <w:r>
        <w:rPr>
          <w:rFonts w:hint="cs"/>
          <w:rtl/>
        </w:rPr>
        <w:t>-</w:t>
      </w:r>
      <w:r w:rsidR="003569F2" w:rsidRPr="00970515">
        <w:rPr>
          <w:rtl/>
        </w:rPr>
        <w:tab/>
        <w:t xml:space="preserve">تشجيع الشراكة بين القطاعين العام </w:t>
      </w:r>
      <w:r w:rsidR="003569F2" w:rsidRPr="00970515">
        <w:rPr>
          <w:rFonts w:hint="cs"/>
          <w:rtl/>
        </w:rPr>
        <w:t>والخاص، حيثما أمكن، من أجل تنمية مشاريع الخدمات الشاملة.</w:t>
      </w:r>
    </w:p>
    <w:p w:rsidR="003569F2" w:rsidRPr="00970515" w:rsidRDefault="007C22F5" w:rsidP="003569F2">
      <w:pPr>
        <w:pStyle w:val="enumlev10"/>
        <w:rPr>
          <w:rtl/>
        </w:rPr>
      </w:pPr>
      <w:r>
        <w:rPr>
          <w:rFonts w:hint="cs"/>
          <w:rtl/>
        </w:rPr>
        <w:t>-</w:t>
      </w:r>
      <w:r w:rsidR="003569F2" w:rsidRPr="00970515">
        <w:rPr>
          <w:rtl/>
        </w:rPr>
        <w:tab/>
      </w:r>
      <w:r w:rsidR="003569F2" w:rsidRPr="00970515">
        <w:rPr>
          <w:rFonts w:hint="cs"/>
          <w:rtl/>
        </w:rPr>
        <w:t>خفض تكاليف التوصيلية الدولية للإنترنت.</w:t>
      </w:r>
    </w:p>
    <w:p w:rsidR="003569F2" w:rsidRPr="00970515" w:rsidRDefault="007C22F5" w:rsidP="003569F2">
      <w:pPr>
        <w:pStyle w:val="enumlev10"/>
        <w:rPr>
          <w:rtl/>
        </w:rPr>
      </w:pPr>
      <w:r>
        <w:rPr>
          <w:rFonts w:hint="cs"/>
          <w:rtl/>
        </w:rPr>
        <w:t>-</w:t>
      </w:r>
      <w:r w:rsidR="003569F2" w:rsidRPr="00970515">
        <w:rPr>
          <w:rtl/>
        </w:rPr>
        <w:tab/>
      </w:r>
      <w:r w:rsidR="003569F2" w:rsidRPr="00970515">
        <w:rPr>
          <w:rFonts w:hint="cs"/>
          <w:rtl/>
        </w:rPr>
        <w:t>السعي، حيثما أمكن، لخفض الرسوم الجمركية على معدات الاتصالات.</w:t>
      </w:r>
    </w:p>
    <w:p w:rsidR="003569F2" w:rsidRPr="00970515" w:rsidRDefault="007C22F5" w:rsidP="003569F2">
      <w:pPr>
        <w:pStyle w:val="enumlev10"/>
        <w:rPr>
          <w:rtl/>
        </w:rPr>
      </w:pPr>
      <w:r>
        <w:rPr>
          <w:rFonts w:hint="cs"/>
          <w:rtl/>
        </w:rPr>
        <w:t>-</w:t>
      </w:r>
      <w:r w:rsidR="003569F2" w:rsidRPr="00970515">
        <w:rPr>
          <w:rtl/>
        </w:rPr>
        <w:tab/>
      </w:r>
      <w:r w:rsidR="003569F2" w:rsidRPr="00970515">
        <w:rPr>
          <w:rFonts w:hint="cs"/>
          <w:rtl/>
        </w:rPr>
        <w:t>تشجيع الاستثمار في الخدمات في المناطق الريفية، لا سيما من أجل الصحة العامة والمؤسسات التعليمية، حتى وإن كان العائد على الاستثمارات غير ملموس على المدى القصير.</w:t>
      </w:r>
    </w:p>
    <w:p w:rsidR="003569F2" w:rsidRPr="00970515" w:rsidRDefault="007C22F5" w:rsidP="003569F2">
      <w:pPr>
        <w:pStyle w:val="enumlev10"/>
        <w:rPr>
          <w:rtl/>
        </w:rPr>
      </w:pPr>
      <w:r>
        <w:rPr>
          <w:rFonts w:hint="cs"/>
          <w:rtl/>
        </w:rPr>
        <w:t>-</w:t>
      </w:r>
      <w:r w:rsidR="003569F2" w:rsidRPr="00970515">
        <w:rPr>
          <w:rtl/>
        </w:rPr>
        <w:tab/>
      </w:r>
      <w:r w:rsidR="003569F2" w:rsidRPr="00970515">
        <w:rPr>
          <w:rFonts w:hint="cs"/>
          <w:rtl/>
        </w:rPr>
        <w:t>زيادة تيسر التكنولوجيات الجديدة، مع اهتمام خاص بتنمية شبكات وتكنولوجيات النطاق العريض وشبكات الجيل التالي للاتصالات المتنقلة الخلوية.</w:t>
      </w:r>
    </w:p>
    <w:p w:rsidR="003569F2" w:rsidRPr="00970515" w:rsidRDefault="007C22F5" w:rsidP="003569F2">
      <w:pPr>
        <w:pStyle w:val="enumlev10"/>
        <w:rPr>
          <w:rtl/>
        </w:rPr>
      </w:pPr>
      <w:r>
        <w:rPr>
          <w:rFonts w:hint="cs"/>
          <w:rtl/>
        </w:rPr>
        <w:t>-</w:t>
      </w:r>
      <w:r w:rsidR="003569F2" w:rsidRPr="00970515">
        <w:rPr>
          <w:rtl/>
        </w:rPr>
        <w:tab/>
      </w:r>
      <w:r w:rsidR="003569F2" w:rsidRPr="00970515">
        <w:rPr>
          <w:rFonts w:hint="cs"/>
          <w:rtl/>
        </w:rPr>
        <w:t>ضمان الظروف التي تبقي على استدامة الاستثمارات على الرغم من سرعة تقادم شبكات وأنظمة الاتصالات</w:t>
      </w:r>
      <w:r w:rsidR="003569F2" w:rsidRPr="00970515">
        <w:rPr>
          <w:rFonts w:hint="eastAsia"/>
          <w:rtl/>
        </w:rPr>
        <w:t> </w:t>
      </w:r>
      <w:r w:rsidR="003569F2" w:rsidRPr="00970515">
        <w:rPr>
          <w:rFonts w:hint="cs"/>
          <w:rtl/>
        </w:rPr>
        <w:t>الحديثة.</w:t>
      </w:r>
    </w:p>
    <w:p w:rsidR="003569F2" w:rsidRDefault="007C22F5" w:rsidP="003569F2">
      <w:pPr>
        <w:pStyle w:val="enumlev10"/>
        <w:rPr>
          <w:lang w:bidi="ar-EG"/>
        </w:rPr>
      </w:pPr>
      <w:r>
        <w:rPr>
          <w:rFonts w:hint="cs"/>
          <w:rtl/>
        </w:rPr>
        <w:t>-</w:t>
      </w:r>
      <w:r w:rsidR="003569F2" w:rsidRPr="00970515">
        <w:rPr>
          <w:rtl/>
        </w:rPr>
        <w:tab/>
      </w:r>
      <w:r w:rsidR="003569F2" w:rsidRPr="00970515">
        <w:rPr>
          <w:rFonts w:hint="cs"/>
          <w:rtl/>
        </w:rPr>
        <w:t xml:space="preserve">الامتثال للوائح الدولية مثل التوصية </w:t>
      </w:r>
      <w:r w:rsidR="003569F2">
        <w:t>ITU-T D.</w:t>
      </w:r>
      <w:r w:rsidR="003569F2" w:rsidRPr="00970515">
        <w:t>50</w:t>
      </w:r>
      <w:r w:rsidR="003569F2" w:rsidRPr="00970515">
        <w:rPr>
          <w:rFonts w:hint="cs"/>
          <w:rtl/>
          <w:lang w:bidi="ar-EG"/>
        </w:rPr>
        <w:t>، التي تشجع تطبيق آليات للدفع بين البلدان تراعي التكاليف التي تتحملها البلدان النامية من أجل النفاذ إلى الإنترنت.</w:t>
      </w:r>
    </w:p>
    <w:p w:rsidR="003569F2" w:rsidRDefault="003569F2" w:rsidP="003569F2">
      <w:pPr>
        <w:spacing w:before="600"/>
        <w:jc w:val="center"/>
        <w:rPr>
          <w:noProof/>
          <w:rtl/>
          <w:lang w:bidi="ar-EG"/>
        </w:rPr>
      </w:pPr>
      <w:r>
        <w:rPr>
          <w:noProof/>
          <w:rtl/>
          <w:lang w:bidi="ar-EG"/>
        </w:rPr>
        <w:t>___________</w:t>
      </w:r>
    </w:p>
    <w:sectPr w:rsidR="003569F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5DA" w:rsidRDefault="00C265DA" w:rsidP="00E07379">
      <w:pPr>
        <w:spacing w:before="0" w:line="240" w:lineRule="auto"/>
      </w:pPr>
      <w:r>
        <w:separator/>
      </w:r>
    </w:p>
  </w:endnote>
  <w:endnote w:type="continuationSeparator" w:id="0">
    <w:p w:rsidR="00C265DA" w:rsidRDefault="00C265D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091097" w:rsidRDefault="00091097" w:rsidP="00091097">
    <w:pPr>
      <w:pStyle w:val="Footer"/>
      <w:rPr>
        <w:lang w:val="fr-CH"/>
      </w:rPr>
    </w:pPr>
    <w:r w:rsidRPr="00B66F99">
      <w:rPr>
        <w:lang w:val="fr-CH"/>
      </w:rPr>
      <w:t>ITU-T\CONF-T\WTSA16\000\03</w:t>
    </w:r>
    <w:r>
      <w:rPr>
        <w:lang w:val="fr-CH"/>
      </w:rPr>
      <w:t>8</w:t>
    </w:r>
    <w:r>
      <w:rPr>
        <w:lang w:val="fr-CH"/>
      </w:rPr>
      <w:t>A</w:t>
    </w:r>
    <w:r w:rsidRPr="00B66F99">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091097" w:rsidRDefault="00091097" w:rsidP="00091097">
    <w:pPr>
      <w:pStyle w:val="Footer"/>
      <w:rPr>
        <w:lang w:val="fr-CH"/>
      </w:rPr>
    </w:pPr>
    <w:r w:rsidRPr="00B66F99">
      <w:rPr>
        <w:lang w:val="fr-CH"/>
      </w:rPr>
      <w:t>ITU-T\CONF-T\WTSA16\000\03</w:t>
    </w:r>
    <w:r>
      <w:rPr>
        <w:lang w:val="fr-CH"/>
      </w:rPr>
      <w:t>8</w:t>
    </w:r>
    <w:r>
      <w:rPr>
        <w:lang w:val="fr-CH"/>
      </w:rPr>
      <w:t>A</w:t>
    </w:r>
    <w:r w:rsidRPr="00B66F99">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5DA" w:rsidRDefault="00C265DA" w:rsidP="00E07379">
      <w:pPr>
        <w:spacing w:before="0" w:line="240" w:lineRule="auto"/>
      </w:pPr>
      <w:r>
        <w:separator/>
      </w:r>
    </w:p>
  </w:footnote>
  <w:footnote w:type="continuationSeparator" w:id="0">
    <w:p w:rsidR="00C265DA" w:rsidRDefault="00C265D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091097">
      <w:rPr>
        <w:rStyle w:val="PageNumber"/>
        <w:noProof/>
        <w:sz w:val="18"/>
        <w:szCs w:val="18"/>
      </w:rPr>
      <w:t>6</w:t>
    </w:r>
    <w:r w:rsidRPr="005D6C0D">
      <w:rPr>
        <w:rStyle w:val="PageNumber"/>
        <w:sz w:val="18"/>
        <w:szCs w:val="18"/>
      </w:rPr>
      <w:fldChar w:fldCharType="end"/>
    </w:r>
    <w:r w:rsidRPr="005D6C0D">
      <w:rPr>
        <w:rStyle w:val="PageNumber"/>
        <w:sz w:val="18"/>
        <w:szCs w:val="18"/>
        <w:rtl/>
      </w:rPr>
      <w:br/>
    </w:r>
    <w:r w:rsidR="005D6C0D" w:rsidRPr="005D6C0D">
      <w:rPr>
        <w:sz w:val="18"/>
        <w:szCs w:val="24"/>
      </w:rPr>
      <w:t>WTSA16/38-A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619E8"/>
    <w:rsid w:val="0008638B"/>
    <w:rsid w:val="00090574"/>
    <w:rsid w:val="00091097"/>
    <w:rsid w:val="00092FC2"/>
    <w:rsid w:val="000A1677"/>
    <w:rsid w:val="000B407F"/>
    <w:rsid w:val="000F0B1C"/>
    <w:rsid w:val="000F1D42"/>
    <w:rsid w:val="000F4D07"/>
    <w:rsid w:val="00102A03"/>
    <w:rsid w:val="00173915"/>
    <w:rsid w:val="001D77A6"/>
    <w:rsid w:val="001E2FBB"/>
    <w:rsid w:val="0022345D"/>
    <w:rsid w:val="00225854"/>
    <w:rsid w:val="0023283D"/>
    <w:rsid w:val="00252E0C"/>
    <w:rsid w:val="00276881"/>
    <w:rsid w:val="002842FC"/>
    <w:rsid w:val="002978F4"/>
    <w:rsid w:val="002B028D"/>
    <w:rsid w:val="002B435E"/>
    <w:rsid w:val="002C4B83"/>
    <w:rsid w:val="002C4DAE"/>
    <w:rsid w:val="002E6541"/>
    <w:rsid w:val="002F5560"/>
    <w:rsid w:val="002F5F4E"/>
    <w:rsid w:val="0030486B"/>
    <w:rsid w:val="003275AC"/>
    <w:rsid w:val="00333D29"/>
    <w:rsid w:val="003409F4"/>
    <w:rsid w:val="003569F2"/>
    <w:rsid w:val="00357185"/>
    <w:rsid w:val="00363E0A"/>
    <w:rsid w:val="003C475F"/>
    <w:rsid w:val="003E4132"/>
    <w:rsid w:val="003F678F"/>
    <w:rsid w:val="00415048"/>
    <w:rsid w:val="0042686F"/>
    <w:rsid w:val="004367CE"/>
    <w:rsid w:val="00443869"/>
    <w:rsid w:val="004712C6"/>
    <w:rsid w:val="00472348"/>
    <w:rsid w:val="00497703"/>
    <w:rsid w:val="004D7D22"/>
    <w:rsid w:val="004F0F06"/>
    <w:rsid w:val="00501E0E"/>
    <w:rsid w:val="005204D7"/>
    <w:rsid w:val="0054376D"/>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94743"/>
    <w:rsid w:val="006C1556"/>
    <w:rsid w:val="006F267F"/>
    <w:rsid w:val="006F63F7"/>
    <w:rsid w:val="006F6F03"/>
    <w:rsid w:val="00706D7A"/>
    <w:rsid w:val="00726AEC"/>
    <w:rsid w:val="007530CA"/>
    <w:rsid w:val="00792EDE"/>
    <w:rsid w:val="0079553D"/>
    <w:rsid w:val="007B01CC"/>
    <w:rsid w:val="007C22F5"/>
    <w:rsid w:val="007F646C"/>
    <w:rsid w:val="00803D7E"/>
    <w:rsid w:val="00803F08"/>
    <w:rsid w:val="008235CD"/>
    <w:rsid w:val="00823A07"/>
    <w:rsid w:val="00835FEC"/>
    <w:rsid w:val="008513CB"/>
    <w:rsid w:val="00874D9C"/>
    <w:rsid w:val="008A1810"/>
    <w:rsid w:val="008A7DCA"/>
    <w:rsid w:val="00914F0C"/>
    <w:rsid w:val="00917694"/>
    <w:rsid w:val="009263CD"/>
    <w:rsid w:val="00930E6D"/>
    <w:rsid w:val="00972CA2"/>
    <w:rsid w:val="00982B28"/>
    <w:rsid w:val="00984677"/>
    <w:rsid w:val="00992593"/>
    <w:rsid w:val="009C17E1"/>
    <w:rsid w:val="009C35ED"/>
    <w:rsid w:val="009F1C12"/>
    <w:rsid w:val="00A208BF"/>
    <w:rsid w:val="00A254A2"/>
    <w:rsid w:val="00A25A43"/>
    <w:rsid w:val="00A3295B"/>
    <w:rsid w:val="00A35627"/>
    <w:rsid w:val="00A42AE5"/>
    <w:rsid w:val="00A52B61"/>
    <w:rsid w:val="00A60E51"/>
    <w:rsid w:val="00A64820"/>
    <w:rsid w:val="00A71DD6"/>
    <w:rsid w:val="00A723C7"/>
    <w:rsid w:val="00A825E5"/>
    <w:rsid w:val="00A97F94"/>
    <w:rsid w:val="00AB1309"/>
    <w:rsid w:val="00AC2C52"/>
    <w:rsid w:val="00AD1503"/>
    <w:rsid w:val="00AE7244"/>
    <w:rsid w:val="00B02F46"/>
    <w:rsid w:val="00B2000C"/>
    <w:rsid w:val="00B20ADE"/>
    <w:rsid w:val="00B5410B"/>
    <w:rsid w:val="00B60DC4"/>
    <w:rsid w:val="00B66B9A"/>
    <w:rsid w:val="00B82089"/>
    <w:rsid w:val="00B829B0"/>
    <w:rsid w:val="00B970AE"/>
    <w:rsid w:val="00BA1427"/>
    <w:rsid w:val="00BE49D0"/>
    <w:rsid w:val="00BF2C38"/>
    <w:rsid w:val="00BF7B34"/>
    <w:rsid w:val="00C0027A"/>
    <w:rsid w:val="00C23331"/>
    <w:rsid w:val="00C265DA"/>
    <w:rsid w:val="00C442F2"/>
    <w:rsid w:val="00C674FE"/>
    <w:rsid w:val="00C7297D"/>
    <w:rsid w:val="00C75633"/>
    <w:rsid w:val="00C8242E"/>
    <w:rsid w:val="00C82615"/>
    <w:rsid w:val="00C867DB"/>
    <w:rsid w:val="00C96F14"/>
    <w:rsid w:val="00CA2A38"/>
    <w:rsid w:val="00CA50FF"/>
    <w:rsid w:val="00CC3CD2"/>
    <w:rsid w:val="00CD123C"/>
    <w:rsid w:val="00CD2085"/>
    <w:rsid w:val="00CE2EE1"/>
    <w:rsid w:val="00CF3FFD"/>
    <w:rsid w:val="00D0494C"/>
    <w:rsid w:val="00D14BEB"/>
    <w:rsid w:val="00D21C89"/>
    <w:rsid w:val="00D45542"/>
    <w:rsid w:val="00D55665"/>
    <w:rsid w:val="00D77D0F"/>
    <w:rsid w:val="00D92DF4"/>
    <w:rsid w:val="00DA1CF0"/>
    <w:rsid w:val="00DB2271"/>
    <w:rsid w:val="00DB5659"/>
    <w:rsid w:val="00DC24B4"/>
    <w:rsid w:val="00DD7A05"/>
    <w:rsid w:val="00DF16DC"/>
    <w:rsid w:val="00DF5361"/>
    <w:rsid w:val="00E009A1"/>
    <w:rsid w:val="00E00D15"/>
    <w:rsid w:val="00E071BE"/>
    <w:rsid w:val="00E07379"/>
    <w:rsid w:val="00E14494"/>
    <w:rsid w:val="00E17033"/>
    <w:rsid w:val="00E32189"/>
    <w:rsid w:val="00E45211"/>
    <w:rsid w:val="00E7380C"/>
    <w:rsid w:val="00E74BE7"/>
    <w:rsid w:val="00E86CC9"/>
    <w:rsid w:val="00E96624"/>
    <w:rsid w:val="00EC2A7C"/>
    <w:rsid w:val="00F01C3D"/>
    <w:rsid w:val="00F126F1"/>
    <w:rsid w:val="00F2106A"/>
    <w:rsid w:val="00F32BEB"/>
    <w:rsid w:val="00F36D8B"/>
    <w:rsid w:val="00F401D0"/>
    <w:rsid w:val="00F45F2B"/>
    <w:rsid w:val="00F57AE4"/>
    <w:rsid w:val="00F67150"/>
    <w:rsid w:val="00F84366"/>
    <w:rsid w:val="00F85089"/>
    <w:rsid w:val="00F85564"/>
    <w:rsid w:val="00F86CFA"/>
    <w:rsid w:val="00FD58BD"/>
    <w:rsid w:val="00FE0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aliases w:val="하이퍼링크2,Style 58,超级链接,하이퍼링크21,超?级链"/>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enumlev10">
    <w:name w:val="enumlev 1"/>
    <w:basedOn w:val="Normal"/>
    <w:qFormat/>
    <w:rsid w:val="003569F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aae9f28-28a2-4128-820d-40dc255be026">Documents Proposals Manager (DPM)</DPM_x0020_Author>
    <DPM_x0020_File_x0020_name xmlns="daae9f28-28a2-4128-820d-40dc255be026">T13-WTSA.16-C-0038!!MSW-A</DPM_x0020_File_x0020_name>
    <DPM_x0020_Version xmlns="daae9f28-28a2-4128-820d-40dc255be026">DPM_v2016.7.5.1_prod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ae9f28-28a2-4128-820d-40dc255be026" targetNamespace="http://schemas.microsoft.com/office/2006/metadata/properties" ma:root="true" ma:fieldsID="d41af5c836d734370eb92e7ee5f83852" ns2:_="" ns3:_="">
    <xsd:import namespace="996b2e75-67fd-4955-a3b0-5ab9934cb50b"/>
    <xsd:import namespace="daae9f28-28a2-4128-820d-40dc255be0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ae9f28-28a2-4128-820d-40dc255be0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e9f28-28a2-4128-820d-40dc255be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ae9f28-28a2-4128-820d-40dc255be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141E3-AEE3-41E8-84CC-858BC380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T13-WTSA.16-C-0038!!MSW-A</dc:title>
  <dc:subject>World Telecommunication Standardization Assembly</dc:subject>
  <dc:creator>Documents Proposals Manager (DPM)</dc:creator>
  <cp:keywords>DPM_v2016.7.5.1_prod</cp:keywords>
  <dc:description>Template used by DPM and CPI for the WTSA-16</dc:description>
  <cp:lastModifiedBy>Clark, Robert</cp:lastModifiedBy>
  <cp:revision>36</cp:revision>
  <cp:lastPrinted>2016-06-07T13:25:00Z</cp:lastPrinted>
  <dcterms:created xsi:type="dcterms:W3CDTF">2016-07-05T14:04:00Z</dcterms:created>
  <dcterms:modified xsi:type="dcterms:W3CDTF">2016-07-06T14:49:00Z</dcterms:modified>
  <cp:category>Conference document</cp:category>
</cp:coreProperties>
</file>