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89" w:type="pct"/>
        <w:tblLook w:val="0000" w:firstRow="0" w:lastRow="0" w:firstColumn="0" w:lastColumn="0" w:noHBand="0" w:noVBand="0"/>
      </w:tblPr>
      <w:tblGrid>
        <w:gridCol w:w="1379"/>
        <w:gridCol w:w="5234"/>
        <w:gridCol w:w="1325"/>
        <w:gridCol w:w="1873"/>
      </w:tblGrid>
      <w:tr w:rsidR="000E5EE9" w:rsidRPr="00CA61A6" w:rsidTr="004B520A">
        <w:trPr>
          <w:cantSplit/>
        </w:trPr>
        <w:tc>
          <w:tcPr>
            <w:tcW w:w="1379" w:type="dxa"/>
            <w:vAlign w:val="center"/>
          </w:tcPr>
          <w:p w:rsidR="000E5EE9" w:rsidRPr="00CA61A6" w:rsidRDefault="000E5EE9" w:rsidP="007B3478">
            <w:pPr>
              <w:rPr>
                <w:rFonts w:ascii="Verdana" w:hAnsi="Verdana" w:cs="Times New Roman Bold"/>
                <w:b/>
                <w:bCs/>
                <w:sz w:val="22"/>
                <w:szCs w:val="22"/>
              </w:rPr>
            </w:pPr>
            <w:r w:rsidRPr="00CA61A6">
              <w:rPr>
                <w:noProof/>
                <w:lang w:eastAsia="zh-CN"/>
              </w:rPr>
              <w:drawing>
                <wp:inline distT="0" distB="0" distL="0" distR="0">
                  <wp:extent cx="717701" cy="799465"/>
                  <wp:effectExtent l="0" t="0" r="6350" b="635"/>
                  <wp:docPr id="1" name="Picture 1" descr="itu_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_log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34623" cy="818314"/>
                          </a:xfrm>
                          <a:prstGeom prst="rect">
                            <a:avLst/>
                          </a:prstGeom>
                          <a:noFill/>
                          <a:ln>
                            <a:noFill/>
                          </a:ln>
                        </pic:spPr>
                      </pic:pic>
                    </a:graphicData>
                  </a:graphic>
                </wp:inline>
              </w:drawing>
            </w:r>
          </w:p>
        </w:tc>
        <w:tc>
          <w:tcPr>
            <w:tcW w:w="6559" w:type="dxa"/>
            <w:gridSpan w:val="2"/>
            <w:vAlign w:val="center"/>
          </w:tcPr>
          <w:p w:rsidR="0028017B" w:rsidRPr="00CA61A6" w:rsidRDefault="000E5EE9" w:rsidP="007B3478">
            <w:pPr>
              <w:rPr>
                <w:rFonts w:ascii="Verdana" w:hAnsi="Verdana" w:cs="Times New Roman Bold"/>
                <w:b/>
                <w:bCs/>
                <w:szCs w:val="24"/>
              </w:rPr>
            </w:pPr>
            <w:r w:rsidRPr="00CA61A6">
              <w:rPr>
                <w:rFonts w:ascii="Verdana" w:hAnsi="Verdana" w:cs="Times New Roman Bold"/>
                <w:b/>
                <w:bCs/>
                <w:szCs w:val="24"/>
              </w:rPr>
              <w:t>Asamblea Mundial de Normalización de las Telecomunicaciones (</w:t>
            </w:r>
            <w:r w:rsidR="0028017B" w:rsidRPr="00CA61A6">
              <w:rPr>
                <w:rFonts w:ascii="Verdana" w:hAnsi="Verdana" w:cs="Times New Roman Bold"/>
                <w:b/>
                <w:bCs/>
                <w:szCs w:val="24"/>
              </w:rPr>
              <w:t>AMNT-16</w:t>
            </w:r>
            <w:r w:rsidRPr="00CA61A6">
              <w:rPr>
                <w:rFonts w:ascii="Verdana" w:hAnsi="Verdana" w:cs="Times New Roman Bold"/>
                <w:b/>
                <w:bCs/>
                <w:szCs w:val="24"/>
              </w:rPr>
              <w:t>)</w:t>
            </w:r>
          </w:p>
          <w:p w:rsidR="000E5EE9" w:rsidRPr="00CA61A6" w:rsidRDefault="0028017B" w:rsidP="007B3478">
            <w:pPr>
              <w:spacing w:before="0"/>
              <w:rPr>
                <w:rFonts w:ascii="Verdana" w:hAnsi="Verdana" w:cs="Times New Roman Bold"/>
                <w:b/>
                <w:bCs/>
                <w:sz w:val="19"/>
                <w:szCs w:val="19"/>
              </w:rPr>
            </w:pPr>
            <w:r w:rsidRPr="00CA61A6">
              <w:rPr>
                <w:rFonts w:ascii="Verdana" w:hAnsi="Verdana" w:cs="Times New Roman Bold"/>
                <w:b/>
                <w:bCs/>
                <w:sz w:val="18"/>
                <w:szCs w:val="18"/>
              </w:rPr>
              <w:t>Hammamet, 25 de octubre</w:t>
            </w:r>
            <w:r w:rsidR="00E21778" w:rsidRPr="00CA61A6">
              <w:rPr>
                <w:rFonts w:ascii="Verdana" w:hAnsi="Verdana" w:cs="Times New Roman Bold"/>
                <w:b/>
                <w:bCs/>
                <w:sz w:val="18"/>
                <w:szCs w:val="18"/>
              </w:rPr>
              <w:t xml:space="preserve"> </w:t>
            </w:r>
            <w:r w:rsidRPr="00CA61A6">
              <w:rPr>
                <w:rFonts w:ascii="Verdana" w:hAnsi="Verdana" w:cs="Times New Roman Bold"/>
                <w:b/>
                <w:bCs/>
                <w:sz w:val="18"/>
                <w:szCs w:val="18"/>
              </w:rPr>
              <w:t>-</w:t>
            </w:r>
            <w:r w:rsidR="00E21778" w:rsidRPr="00CA61A6">
              <w:rPr>
                <w:rFonts w:ascii="Verdana" w:hAnsi="Verdana" w:cs="Times New Roman Bold"/>
                <w:b/>
                <w:bCs/>
                <w:sz w:val="18"/>
                <w:szCs w:val="18"/>
              </w:rPr>
              <w:t xml:space="preserve"> </w:t>
            </w:r>
            <w:r w:rsidRPr="00CA61A6">
              <w:rPr>
                <w:rFonts w:ascii="Verdana" w:hAnsi="Verdana" w:cs="Times New Roman Bold"/>
                <w:b/>
                <w:bCs/>
                <w:sz w:val="18"/>
                <w:szCs w:val="18"/>
              </w:rPr>
              <w:t>3 de noviembre de 2016</w:t>
            </w:r>
          </w:p>
        </w:tc>
        <w:tc>
          <w:tcPr>
            <w:tcW w:w="1873" w:type="dxa"/>
            <w:vAlign w:val="center"/>
          </w:tcPr>
          <w:p w:rsidR="000E5EE9" w:rsidRPr="00CA61A6" w:rsidRDefault="000E5EE9" w:rsidP="007B3478">
            <w:pPr>
              <w:spacing w:before="0"/>
              <w:jc w:val="right"/>
            </w:pPr>
            <w:r w:rsidRPr="00CA61A6">
              <w:rPr>
                <w:noProof/>
                <w:lang w:eastAsia="zh-CN"/>
              </w:rPr>
              <w:drawing>
                <wp:inline distT="0" distB="0" distL="0" distR="0">
                  <wp:extent cx="882000" cy="792000"/>
                  <wp:effectExtent l="0" t="0" r="0" b="8255"/>
                  <wp:docPr id="2" name="Picture 2" title="CCITT/ITU-T 60th Anniversar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intranet.itu.int/sites/itu-t/60/Logos%20and%20Images/ITU-T60_blue-large.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82000" cy="792000"/>
                          </a:xfrm>
                          <a:prstGeom prst="rect">
                            <a:avLst/>
                          </a:prstGeom>
                          <a:noFill/>
                          <a:ln>
                            <a:noFill/>
                          </a:ln>
                        </pic:spPr>
                      </pic:pic>
                    </a:graphicData>
                  </a:graphic>
                </wp:inline>
              </w:drawing>
            </w:r>
          </w:p>
        </w:tc>
      </w:tr>
      <w:tr w:rsidR="00F0220A" w:rsidRPr="00CA61A6" w:rsidTr="004B520A">
        <w:trPr>
          <w:cantSplit/>
        </w:trPr>
        <w:tc>
          <w:tcPr>
            <w:tcW w:w="6613" w:type="dxa"/>
            <w:gridSpan w:val="2"/>
            <w:tcBorders>
              <w:bottom w:val="single" w:sz="12" w:space="0" w:color="auto"/>
            </w:tcBorders>
          </w:tcPr>
          <w:p w:rsidR="00F0220A" w:rsidRPr="00CA61A6" w:rsidRDefault="00F0220A" w:rsidP="007B3478">
            <w:pPr>
              <w:spacing w:before="0"/>
            </w:pPr>
          </w:p>
        </w:tc>
        <w:tc>
          <w:tcPr>
            <w:tcW w:w="3198" w:type="dxa"/>
            <w:gridSpan w:val="2"/>
            <w:tcBorders>
              <w:bottom w:val="single" w:sz="12" w:space="0" w:color="auto"/>
            </w:tcBorders>
          </w:tcPr>
          <w:p w:rsidR="00F0220A" w:rsidRPr="00CA61A6" w:rsidRDefault="00F0220A" w:rsidP="007B3478">
            <w:pPr>
              <w:spacing w:before="0"/>
            </w:pPr>
          </w:p>
        </w:tc>
      </w:tr>
      <w:tr w:rsidR="005A374D" w:rsidRPr="00CA61A6" w:rsidTr="004B520A">
        <w:trPr>
          <w:cantSplit/>
        </w:trPr>
        <w:tc>
          <w:tcPr>
            <w:tcW w:w="6613" w:type="dxa"/>
            <w:gridSpan w:val="2"/>
            <w:tcBorders>
              <w:top w:val="single" w:sz="12" w:space="0" w:color="auto"/>
            </w:tcBorders>
          </w:tcPr>
          <w:p w:rsidR="005A374D" w:rsidRPr="00CA61A6" w:rsidRDefault="005A374D" w:rsidP="007B3478">
            <w:pPr>
              <w:spacing w:before="0"/>
            </w:pPr>
          </w:p>
        </w:tc>
        <w:tc>
          <w:tcPr>
            <w:tcW w:w="3198" w:type="dxa"/>
            <w:gridSpan w:val="2"/>
          </w:tcPr>
          <w:p w:rsidR="005A374D" w:rsidRPr="00CA61A6" w:rsidRDefault="005A374D" w:rsidP="007B3478">
            <w:pPr>
              <w:spacing w:before="0"/>
              <w:rPr>
                <w:rFonts w:ascii="Verdana" w:hAnsi="Verdana"/>
                <w:b/>
                <w:bCs/>
                <w:sz w:val="20"/>
              </w:rPr>
            </w:pPr>
          </w:p>
        </w:tc>
      </w:tr>
      <w:tr w:rsidR="00E83D45" w:rsidRPr="00CA61A6" w:rsidTr="004B520A">
        <w:trPr>
          <w:cantSplit/>
        </w:trPr>
        <w:tc>
          <w:tcPr>
            <w:tcW w:w="6613" w:type="dxa"/>
            <w:gridSpan w:val="2"/>
          </w:tcPr>
          <w:p w:rsidR="00E83D45" w:rsidRPr="00CA61A6" w:rsidRDefault="00E83D45" w:rsidP="007B3478">
            <w:pPr>
              <w:pStyle w:val="Committee"/>
              <w:framePr w:hSpace="0" w:wrap="auto" w:hAnchor="text" w:yAlign="inline"/>
              <w:spacing w:line="240" w:lineRule="auto"/>
              <w:rPr>
                <w:lang w:val="es-ES_tradnl"/>
              </w:rPr>
            </w:pPr>
            <w:r w:rsidRPr="00CA61A6">
              <w:rPr>
                <w:lang w:val="es-ES_tradnl"/>
              </w:rPr>
              <w:t>SESIÓN PLENARIA</w:t>
            </w:r>
          </w:p>
        </w:tc>
        <w:tc>
          <w:tcPr>
            <w:tcW w:w="3198" w:type="dxa"/>
            <w:gridSpan w:val="2"/>
          </w:tcPr>
          <w:p w:rsidR="00E83D45" w:rsidRPr="00CA61A6" w:rsidRDefault="00E83D45" w:rsidP="007B3478">
            <w:pPr>
              <w:spacing w:before="0"/>
              <w:rPr>
                <w:rFonts w:ascii="Verdana" w:hAnsi="Verdana"/>
                <w:b/>
                <w:bCs/>
                <w:sz w:val="20"/>
              </w:rPr>
            </w:pPr>
            <w:r w:rsidRPr="00CA61A6">
              <w:rPr>
                <w:rFonts w:ascii="Verdana" w:hAnsi="Verdana"/>
                <w:b/>
                <w:sz w:val="20"/>
              </w:rPr>
              <w:t>Documento 35-S</w:t>
            </w:r>
          </w:p>
        </w:tc>
      </w:tr>
      <w:tr w:rsidR="00E83D45" w:rsidRPr="00CA61A6" w:rsidTr="004B520A">
        <w:trPr>
          <w:cantSplit/>
        </w:trPr>
        <w:tc>
          <w:tcPr>
            <w:tcW w:w="6613" w:type="dxa"/>
            <w:gridSpan w:val="2"/>
          </w:tcPr>
          <w:p w:rsidR="00E83D45" w:rsidRPr="00CA61A6" w:rsidRDefault="00E83D45" w:rsidP="007B3478">
            <w:pPr>
              <w:spacing w:before="0" w:after="48"/>
              <w:rPr>
                <w:rFonts w:ascii="Verdana" w:hAnsi="Verdana"/>
                <w:b/>
                <w:smallCaps/>
                <w:sz w:val="20"/>
              </w:rPr>
            </w:pPr>
          </w:p>
        </w:tc>
        <w:tc>
          <w:tcPr>
            <w:tcW w:w="3198" w:type="dxa"/>
            <w:gridSpan w:val="2"/>
          </w:tcPr>
          <w:p w:rsidR="00E83D45" w:rsidRPr="00CA61A6" w:rsidRDefault="00C002FC" w:rsidP="007B3478">
            <w:pPr>
              <w:spacing w:before="0"/>
              <w:rPr>
                <w:rFonts w:ascii="Verdana" w:hAnsi="Verdana"/>
                <w:b/>
                <w:bCs/>
                <w:sz w:val="20"/>
              </w:rPr>
            </w:pPr>
            <w:r w:rsidRPr="00CA61A6">
              <w:rPr>
                <w:rFonts w:ascii="Verdana" w:hAnsi="Verdana"/>
                <w:b/>
                <w:sz w:val="20"/>
              </w:rPr>
              <w:t>S</w:t>
            </w:r>
            <w:r w:rsidR="00E83D45" w:rsidRPr="00CA61A6">
              <w:rPr>
                <w:rFonts w:ascii="Verdana" w:hAnsi="Verdana"/>
                <w:b/>
                <w:sz w:val="20"/>
              </w:rPr>
              <w:t>eptiembre de 2016</w:t>
            </w:r>
          </w:p>
        </w:tc>
      </w:tr>
      <w:tr w:rsidR="00E83D45" w:rsidRPr="00CA61A6" w:rsidTr="004B520A">
        <w:trPr>
          <w:cantSplit/>
        </w:trPr>
        <w:tc>
          <w:tcPr>
            <w:tcW w:w="6613" w:type="dxa"/>
            <w:gridSpan w:val="2"/>
          </w:tcPr>
          <w:p w:rsidR="00E83D45" w:rsidRPr="00CA61A6" w:rsidRDefault="00E83D45" w:rsidP="007B3478">
            <w:pPr>
              <w:spacing w:before="0"/>
            </w:pPr>
          </w:p>
        </w:tc>
        <w:tc>
          <w:tcPr>
            <w:tcW w:w="3198" w:type="dxa"/>
            <w:gridSpan w:val="2"/>
          </w:tcPr>
          <w:p w:rsidR="00E83D45" w:rsidRPr="00CA61A6" w:rsidRDefault="00E83D45" w:rsidP="007B3478">
            <w:pPr>
              <w:spacing w:before="0"/>
              <w:rPr>
                <w:rFonts w:ascii="Verdana" w:hAnsi="Verdana"/>
                <w:b/>
                <w:bCs/>
                <w:sz w:val="20"/>
              </w:rPr>
            </w:pPr>
            <w:r w:rsidRPr="00CA61A6">
              <w:rPr>
                <w:rFonts w:ascii="Verdana" w:hAnsi="Verdana"/>
                <w:b/>
                <w:sz w:val="20"/>
              </w:rPr>
              <w:t>Original: inglés</w:t>
            </w:r>
          </w:p>
        </w:tc>
      </w:tr>
      <w:tr w:rsidR="00681766" w:rsidRPr="00CA61A6" w:rsidTr="004B520A">
        <w:trPr>
          <w:cantSplit/>
        </w:trPr>
        <w:tc>
          <w:tcPr>
            <w:tcW w:w="9811" w:type="dxa"/>
            <w:gridSpan w:val="4"/>
          </w:tcPr>
          <w:p w:rsidR="00681766" w:rsidRPr="00CA61A6" w:rsidRDefault="00681766" w:rsidP="007B3478">
            <w:pPr>
              <w:spacing w:before="0"/>
              <w:rPr>
                <w:rFonts w:ascii="Verdana" w:hAnsi="Verdana"/>
                <w:b/>
                <w:bCs/>
                <w:sz w:val="20"/>
              </w:rPr>
            </w:pPr>
          </w:p>
        </w:tc>
      </w:tr>
      <w:tr w:rsidR="00E83D45" w:rsidRPr="00CA61A6" w:rsidTr="004B520A">
        <w:trPr>
          <w:cantSplit/>
        </w:trPr>
        <w:tc>
          <w:tcPr>
            <w:tcW w:w="9811" w:type="dxa"/>
            <w:gridSpan w:val="4"/>
          </w:tcPr>
          <w:p w:rsidR="00E83D45" w:rsidRPr="00CA61A6" w:rsidRDefault="00B14F7A" w:rsidP="007B3478">
            <w:pPr>
              <w:pStyle w:val="Source"/>
            </w:pPr>
            <w:r w:rsidRPr="00CA61A6">
              <w:t>Director de la TSB</w:t>
            </w:r>
          </w:p>
        </w:tc>
      </w:tr>
      <w:tr w:rsidR="00E83D45" w:rsidRPr="00CA61A6" w:rsidTr="004B520A">
        <w:trPr>
          <w:cantSplit/>
        </w:trPr>
        <w:tc>
          <w:tcPr>
            <w:tcW w:w="9811" w:type="dxa"/>
            <w:gridSpan w:val="4"/>
          </w:tcPr>
          <w:p w:rsidR="00E83D45" w:rsidRPr="00CA61A6" w:rsidRDefault="00D574F9" w:rsidP="007B3478">
            <w:pPr>
              <w:pStyle w:val="Title1"/>
            </w:pPr>
            <w:r w:rsidRPr="00CA61A6">
              <w:t xml:space="preserve">PLAN DE ACCIÓN RELATIVO A LAS RESOLUCIONES </w:t>
            </w:r>
            <w:r w:rsidRPr="00CA61A6">
              <w:br/>
              <w:t>Y</w:t>
            </w:r>
            <w:r w:rsidR="00FA29AA" w:rsidRPr="00CA61A6">
              <w:t xml:space="preserve"> LA</w:t>
            </w:r>
            <w:r w:rsidRPr="00CA61A6">
              <w:t xml:space="preserve"> </w:t>
            </w:r>
            <w:r w:rsidR="00C002FC" w:rsidRPr="00CA61A6">
              <w:t>Opinió</w:t>
            </w:r>
            <w:r w:rsidR="00C70C39" w:rsidRPr="00CA61A6">
              <w:t xml:space="preserve">n </w:t>
            </w:r>
            <w:r w:rsidRPr="00CA61A6">
              <w:t>DE LA AMNT-12</w:t>
            </w:r>
          </w:p>
        </w:tc>
      </w:tr>
      <w:tr w:rsidR="00E83D45" w:rsidRPr="00CA61A6" w:rsidTr="004B520A">
        <w:trPr>
          <w:cantSplit/>
        </w:trPr>
        <w:tc>
          <w:tcPr>
            <w:tcW w:w="9811" w:type="dxa"/>
            <w:gridSpan w:val="4"/>
          </w:tcPr>
          <w:p w:rsidR="00E83D45" w:rsidRPr="00CA61A6" w:rsidRDefault="00E83D45" w:rsidP="007B3478">
            <w:pPr>
              <w:pStyle w:val="Title2"/>
            </w:pPr>
          </w:p>
        </w:tc>
      </w:tr>
      <w:tr w:rsidR="00E83D45" w:rsidRPr="00CA61A6" w:rsidTr="004B520A">
        <w:trPr>
          <w:cantSplit/>
        </w:trPr>
        <w:tc>
          <w:tcPr>
            <w:tcW w:w="9811" w:type="dxa"/>
            <w:gridSpan w:val="4"/>
          </w:tcPr>
          <w:p w:rsidR="00E83D45" w:rsidRPr="00CA61A6" w:rsidRDefault="00E83D45" w:rsidP="007B3478">
            <w:pPr>
              <w:pStyle w:val="Agendaitem"/>
            </w:pPr>
          </w:p>
        </w:tc>
      </w:tr>
    </w:tbl>
    <w:p w:rsidR="006B0F54" w:rsidRPr="00CA61A6" w:rsidRDefault="006B0F54" w:rsidP="007B3478"/>
    <w:tbl>
      <w:tblPr>
        <w:tblW w:w="5089" w:type="pct"/>
        <w:tblLayout w:type="fixed"/>
        <w:tblLook w:val="0000" w:firstRow="0" w:lastRow="0" w:firstColumn="0" w:lastColumn="0" w:noHBand="0" w:noVBand="0"/>
      </w:tblPr>
      <w:tblGrid>
        <w:gridCol w:w="1560"/>
        <w:gridCol w:w="8251"/>
      </w:tblGrid>
      <w:tr w:rsidR="006B0F54" w:rsidRPr="00CA61A6" w:rsidTr="00C002FC">
        <w:trPr>
          <w:cantSplit/>
        </w:trPr>
        <w:tc>
          <w:tcPr>
            <w:tcW w:w="1560" w:type="dxa"/>
          </w:tcPr>
          <w:p w:rsidR="006B0F54" w:rsidRPr="00CA61A6" w:rsidRDefault="006B0F54" w:rsidP="007B3478">
            <w:r w:rsidRPr="00CA61A6">
              <w:rPr>
                <w:b/>
                <w:bCs/>
              </w:rPr>
              <w:t>Resumen:</w:t>
            </w:r>
          </w:p>
        </w:tc>
        <w:tc>
          <w:tcPr>
            <w:tcW w:w="8251" w:type="dxa"/>
          </w:tcPr>
          <w:p w:rsidR="006B0F54" w:rsidRPr="00CA61A6" w:rsidRDefault="00C002FC" w:rsidP="007B3478">
            <w:pPr>
              <w:rPr>
                <w:szCs w:val="24"/>
              </w:rPr>
            </w:pPr>
            <w:r w:rsidRPr="00CA61A6">
              <w:rPr>
                <w:szCs w:val="24"/>
              </w:rPr>
              <w:t xml:space="preserve">El presente documento contiene el </w:t>
            </w:r>
            <w:r w:rsidR="00AA3D2F" w:rsidRPr="00CA61A6">
              <w:rPr>
                <w:szCs w:val="24"/>
              </w:rPr>
              <w:t xml:space="preserve">Plan </w:t>
            </w:r>
            <w:r w:rsidRPr="00CA61A6">
              <w:rPr>
                <w:szCs w:val="24"/>
              </w:rPr>
              <w:t xml:space="preserve">de </w:t>
            </w:r>
            <w:r w:rsidR="00AA3D2F" w:rsidRPr="00CA61A6">
              <w:rPr>
                <w:szCs w:val="24"/>
              </w:rPr>
              <w:t xml:space="preserve">Acción </w:t>
            </w:r>
            <w:r w:rsidR="00A36520" w:rsidRPr="00CA61A6">
              <w:rPr>
                <w:szCs w:val="24"/>
              </w:rPr>
              <w:t>concebido</w:t>
            </w:r>
            <w:r w:rsidRPr="00CA61A6">
              <w:rPr>
                <w:szCs w:val="24"/>
              </w:rPr>
              <w:t xml:space="preserve"> por la AMNT-12</w:t>
            </w:r>
            <w:r w:rsidR="00A36520" w:rsidRPr="00CA61A6">
              <w:rPr>
                <w:szCs w:val="24"/>
              </w:rPr>
              <w:t xml:space="preserve"> como</w:t>
            </w:r>
            <w:r w:rsidR="00FA29AA" w:rsidRPr="00CA61A6">
              <w:rPr>
                <w:szCs w:val="24"/>
              </w:rPr>
              <w:t xml:space="preserve"> herramienta de</w:t>
            </w:r>
            <w:r w:rsidRPr="00CA61A6">
              <w:rPr>
                <w:szCs w:val="24"/>
              </w:rPr>
              <w:t xml:space="preserve"> supervisión y</w:t>
            </w:r>
            <w:r w:rsidR="00A36520" w:rsidRPr="00CA61A6">
              <w:rPr>
                <w:szCs w:val="24"/>
              </w:rPr>
              <w:t xml:space="preserve"> elabora</w:t>
            </w:r>
            <w:r w:rsidR="00FA29AA" w:rsidRPr="00CA61A6">
              <w:rPr>
                <w:szCs w:val="24"/>
              </w:rPr>
              <w:t>ción</w:t>
            </w:r>
            <w:r w:rsidRPr="00CA61A6">
              <w:rPr>
                <w:szCs w:val="24"/>
              </w:rPr>
              <w:t xml:space="preserve"> de informes</w:t>
            </w:r>
            <w:r w:rsidR="00A36520" w:rsidRPr="00CA61A6">
              <w:rPr>
                <w:szCs w:val="24"/>
              </w:rPr>
              <w:t xml:space="preserve">, </w:t>
            </w:r>
            <w:r w:rsidR="007B723C" w:rsidRPr="00CA61A6">
              <w:rPr>
                <w:szCs w:val="24"/>
              </w:rPr>
              <w:t xml:space="preserve">con miras al </w:t>
            </w:r>
            <w:r w:rsidRPr="00CA61A6">
              <w:rPr>
                <w:szCs w:val="24"/>
              </w:rPr>
              <w:t xml:space="preserve">seguimiento de la aplicación de la </w:t>
            </w:r>
            <w:r w:rsidR="00FA29AA" w:rsidRPr="00CA61A6">
              <w:rPr>
                <w:szCs w:val="24"/>
              </w:rPr>
              <w:t>R</w:t>
            </w:r>
            <w:r w:rsidRPr="00CA61A6">
              <w:rPr>
                <w:szCs w:val="24"/>
              </w:rPr>
              <w:t>esoluciones y</w:t>
            </w:r>
            <w:r w:rsidR="00FA29AA" w:rsidRPr="00CA61A6">
              <w:rPr>
                <w:szCs w:val="24"/>
              </w:rPr>
              <w:t xml:space="preserve"> la Opinión de la AMNT-12.</w:t>
            </w:r>
          </w:p>
        </w:tc>
      </w:tr>
    </w:tbl>
    <w:p w:rsidR="00C70C39" w:rsidRPr="00CA61A6" w:rsidRDefault="00C70C39" w:rsidP="00A63901">
      <w:pPr>
        <w:pStyle w:val="Normalaftertitle"/>
        <w:spacing w:before="480"/>
      </w:pPr>
      <w:r w:rsidRPr="00CA61A6">
        <w:t xml:space="preserve">La </w:t>
      </w:r>
      <w:hyperlink r:id="rId12" w:history="1">
        <w:r w:rsidRPr="00CA61A6">
          <w:rPr>
            <w:rStyle w:val="Hyperlink"/>
            <w:szCs w:val="24"/>
          </w:rPr>
          <w:t>AMNT</w:t>
        </w:r>
        <w:r w:rsidRPr="00CA61A6">
          <w:rPr>
            <w:rStyle w:val="Hyperlink"/>
          </w:rPr>
          <w:t>-12</w:t>
        </w:r>
      </w:hyperlink>
      <w:r w:rsidRPr="00CA61A6">
        <w:t xml:space="preserve"> (</w:t>
      </w:r>
      <w:r w:rsidRPr="00CA61A6">
        <w:rPr>
          <w:szCs w:val="24"/>
        </w:rPr>
        <w:t>Dubái</w:t>
      </w:r>
      <w:r w:rsidRPr="00CA61A6">
        <w:t xml:space="preserve">, 20-29 de noviembre de 2012) aprobó </w:t>
      </w:r>
      <w:r w:rsidR="002B404B" w:rsidRPr="00CA61A6">
        <w:rPr>
          <w:szCs w:val="24"/>
        </w:rPr>
        <w:t xml:space="preserve">50 </w:t>
      </w:r>
      <w:r w:rsidR="00FA29AA" w:rsidRPr="00CA61A6">
        <w:rPr>
          <w:szCs w:val="24"/>
        </w:rPr>
        <w:t>Res</w:t>
      </w:r>
      <w:r w:rsidR="007B723C" w:rsidRPr="00CA61A6">
        <w:rPr>
          <w:szCs w:val="24"/>
        </w:rPr>
        <w:t>oluciones</w:t>
      </w:r>
      <w:r w:rsidR="00FA29AA" w:rsidRPr="00CA61A6">
        <w:rPr>
          <w:szCs w:val="24"/>
        </w:rPr>
        <w:t xml:space="preserve"> nuevas o revisadas </w:t>
      </w:r>
      <w:r w:rsidR="00851254">
        <w:t>y 1 </w:t>
      </w:r>
      <w:r w:rsidRPr="00CA61A6">
        <w:t>nueva</w:t>
      </w:r>
      <w:r w:rsidR="00FA29AA" w:rsidRPr="00CA61A6">
        <w:t xml:space="preserve"> Opinión</w:t>
      </w:r>
      <w:r w:rsidRPr="00CA61A6">
        <w:t>.</w:t>
      </w:r>
      <w:r w:rsidR="00FA29AA" w:rsidRPr="00CA61A6">
        <w:rPr>
          <w:szCs w:val="24"/>
        </w:rPr>
        <w:t xml:space="preserve"> </w:t>
      </w:r>
      <w:r w:rsidR="007B723C" w:rsidRPr="00CA61A6">
        <w:t xml:space="preserve">A fin de realizar un seguimiento </w:t>
      </w:r>
      <w:r w:rsidRPr="00CA61A6">
        <w:t xml:space="preserve">de la aplicación de tantas Resoluciones, </w:t>
      </w:r>
      <w:r w:rsidR="00024D15">
        <w:t>la AMNT</w:t>
      </w:r>
      <w:r w:rsidR="00024D15">
        <w:noBreakHyphen/>
      </w:r>
      <w:r w:rsidR="007B723C" w:rsidRPr="00CA61A6">
        <w:t xml:space="preserve">12 concibió un </w:t>
      </w:r>
      <w:r w:rsidRPr="00CA61A6">
        <w:t xml:space="preserve">Plan de Acción </w:t>
      </w:r>
      <w:r w:rsidR="00FF55F9" w:rsidRPr="00CA61A6">
        <w:rPr>
          <w:szCs w:val="24"/>
        </w:rPr>
        <w:t>(</w:t>
      </w:r>
      <w:r w:rsidR="00FA29AA" w:rsidRPr="00CA61A6">
        <w:rPr>
          <w:szCs w:val="24"/>
        </w:rPr>
        <w:t>véase</w:t>
      </w:r>
      <w:r w:rsidR="00FF55F9" w:rsidRPr="00CA61A6">
        <w:rPr>
          <w:szCs w:val="24"/>
        </w:rPr>
        <w:t xml:space="preserve"> </w:t>
      </w:r>
      <w:hyperlink r:id="rId13" w:history="1">
        <w:r w:rsidR="00FF55F9" w:rsidRPr="00CA61A6">
          <w:rPr>
            <w:rStyle w:val="Hyperlink"/>
          </w:rPr>
          <w:t>http://www.itu.int/en/ITU-T/wtsa12/Pages/default.aspx</w:t>
        </w:r>
      </w:hyperlink>
      <w:r w:rsidR="00FF55F9" w:rsidRPr="00CA61A6">
        <w:t xml:space="preserve">) </w:t>
      </w:r>
      <w:r w:rsidR="007B723C" w:rsidRPr="00CA61A6">
        <w:rPr>
          <w:szCs w:val="24"/>
        </w:rPr>
        <w:t>como herramienta de supervisión y elaboración de informes para</w:t>
      </w:r>
      <w:r w:rsidR="00FA29AA" w:rsidRPr="00CA61A6">
        <w:t xml:space="preserve"> la TSB </w:t>
      </w:r>
      <w:r w:rsidR="00F71978" w:rsidRPr="00CA61A6">
        <w:t>a partir d</w:t>
      </w:r>
      <w:r w:rsidR="00256867">
        <w:t>el último peri</w:t>
      </w:r>
      <w:r w:rsidR="00FA29AA" w:rsidRPr="00CA61A6">
        <w:t xml:space="preserve">odo de estudios (véase el </w:t>
      </w:r>
      <w:hyperlink r:id="rId14" w:history="1">
        <w:r w:rsidR="00FA29AA" w:rsidRPr="00CA61A6">
          <w:rPr>
            <w:rStyle w:val="Hyperlink"/>
          </w:rPr>
          <w:t>Doc</w:t>
        </w:r>
        <w:r w:rsidR="00392C90">
          <w:rPr>
            <w:rStyle w:val="Hyperlink"/>
          </w:rPr>
          <w:t xml:space="preserve">umento </w:t>
        </w:r>
        <w:r w:rsidR="00FA29AA" w:rsidRPr="00CA61A6">
          <w:rPr>
            <w:rStyle w:val="Hyperlink"/>
          </w:rPr>
          <w:t>28 de la AMNT-12</w:t>
        </w:r>
      </w:hyperlink>
      <w:r w:rsidR="00FA29AA" w:rsidRPr="00CA61A6">
        <w:t>, en el que figura el Plan de Acción de la</w:t>
      </w:r>
      <w:r w:rsidR="000F3950" w:rsidRPr="00CA61A6">
        <w:t xml:space="preserve"> </w:t>
      </w:r>
      <w:r w:rsidR="00FA29AA" w:rsidRPr="00CA61A6">
        <w:t>AMNT-08).</w:t>
      </w:r>
      <w:r w:rsidR="00FA29AA" w:rsidRPr="00CA61A6">
        <w:rPr>
          <w:szCs w:val="24"/>
        </w:rPr>
        <w:t xml:space="preserve"> </w:t>
      </w:r>
      <w:r w:rsidRPr="00CA61A6">
        <w:t xml:space="preserve">En </w:t>
      </w:r>
      <w:r w:rsidR="00FA29AA" w:rsidRPr="00CA61A6">
        <w:t xml:space="preserve">dicho </w:t>
      </w:r>
      <w:r w:rsidRPr="00CA61A6">
        <w:t xml:space="preserve">Plan se especifican </w:t>
      </w:r>
      <w:r w:rsidR="00994603" w:rsidRPr="00CA61A6">
        <w:t>234</w:t>
      </w:r>
      <w:r w:rsidR="00A418A7" w:rsidRPr="00CA61A6">
        <w:t xml:space="preserve"> puntos de acción</w:t>
      </w:r>
      <w:r w:rsidRPr="00CA61A6">
        <w:t>, con sus respectivas responsabilidades,</w:t>
      </w:r>
      <w:r w:rsidR="007B723C" w:rsidRPr="00CA61A6">
        <w:t xml:space="preserve"> medidas de colaboración</w:t>
      </w:r>
      <w:r w:rsidRPr="00CA61A6">
        <w:t xml:space="preserve"> necesarias, informes y situación final. El Plan de Acción de la AMNT-</w:t>
      </w:r>
      <w:r w:rsidR="00994603" w:rsidRPr="00CA61A6">
        <w:t>12</w:t>
      </w:r>
      <w:r w:rsidRPr="00CA61A6">
        <w:t xml:space="preserve"> se publicó por vez primera en el sitio web del UIT-T el mes de </w:t>
      </w:r>
      <w:r w:rsidR="00994603" w:rsidRPr="00CA61A6">
        <w:t xml:space="preserve">junio de 2013 </w:t>
      </w:r>
      <w:r w:rsidRPr="00CA61A6">
        <w:t xml:space="preserve">para el GANT y se ha revisado en </w:t>
      </w:r>
      <w:r w:rsidR="00994603" w:rsidRPr="00CA61A6">
        <w:t xml:space="preserve">cinco </w:t>
      </w:r>
      <w:r w:rsidRPr="00CA61A6">
        <w:t>ocasiones</w:t>
      </w:r>
      <w:r w:rsidR="00B473D1" w:rsidRPr="00CA61A6">
        <w:t xml:space="preserve"> (en las cinco reu</w:t>
      </w:r>
      <w:r w:rsidR="003D3A10">
        <w:t>niones del GANT) durante el peri</w:t>
      </w:r>
      <w:r w:rsidR="00B473D1" w:rsidRPr="00CA61A6">
        <w:t>odo de estudios.</w:t>
      </w:r>
    </w:p>
    <w:p w:rsidR="00C70C39" w:rsidRPr="00CA61A6" w:rsidRDefault="00C70C39" w:rsidP="007B3478">
      <w:r w:rsidRPr="00CA61A6">
        <w:t xml:space="preserve">El presente documento consta de dos anexos, un Documento WINWORD </w:t>
      </w:r>
      <w:r w:rsidR="007B723C" w:rsidRPr="00CA61A6">
        <w:t>en el que se detalla</w:t>
      </w:r>
      <w:r w:rsidRPr="00CA61A6">
        <w:t xml:space="preserve"> un informe </w:t>
      </w:r>
      <w:r w:rsidR="007B723C" w:rsidRPr="00CA61A6">
        <w:t>sobre los progresos en materia de</w:t>
      </w:r>
      <w:r w:rsidRPr="00CA61A6">
        <w:t xml:space="preserve"> aplicación y una hoja de cálculo EXCEL </w:t>
      </w:r>
      <w:r w:rsidR="007B723C" w:rsidRPr="00CA61A6">
        <w:t xml:space="preserve">en la </w:t>
      </w:r>
      <w:r w:rsidRPr="00CA61A6">
        <w:t>que</w:t>
      </w:r>
      <w:r w:rsidR="007B723C" w:rsidRPr="00CA61A6">
        <w:t xml:space="preserve"> se</w:t>
      </w:r>
      <w:r w:rsidRPr="00CA61A6">
        <w:t xml:space="preserve"> ilustra la situación actual de cada</w:t>
      </w:r>
      <w:r w:rsidR="00A418A7" w:rsidRPr="00CA61A6">
        <w:t xml:space="preserve"> punto de</w:t>
      </w:r>
      <w:r w:rsidRPr="00CA61A6">
        <w:t xml:space="preserve"> acción. El Informe WINWORD se basa en el Documento </w:t>
      </w:r>
      <w:hyperlink r:id="rId15" w:history="1">
        <w:r w:rsidR="00440258" w:rsidRPr="00CA61A6">
          <w:rPr>
            <w:rStyle w:val="Hyperlink"/>
            <w:szCs w:val="24"/>
          </w:rPr>
          <w:t>TD547</w:t>
        </w:r>
      </w:hyperlink>
      <w:r w:rsidR="00440258" w:rsidRPr="00CA61A6">
        <w:rPr>
          <w:szCs w:val="24"/>
        </w:rPr>
        <w:t xml:space="preserve"> </w:t>
      </w:r>
      <w:r w:rsidRPr="00CA61A6">
        <w:t>del GANT (</w:t>
      </w:r>
      <w:r w:rsidR="004642F6" w:rsidRPr="00CA61A6">
        <w:t>18</w:t>
      </w:r>
      <w:r w:rsidRPr="00CA61A6">
        <w:t>-</w:t>
      </w:r>
      <w:r w:rsidR="004642F6" w:rsidRPr="00CA61A6">
        <w:t>22</w:t>
      </w:r>
      <w:r w:rsidRPr="00CA61A6">
        <w:t xml:space="preserve"> de julio de 201</w:t>
      </w:r>
      <w:r w:rsidR="004642F6" w:rsidRPr="00CA61A6">
        <w:t>6</w:t>
      </w:r>
      <w:r w:rsidRPr="00CA61A6">
        <w:t xml:space="preserve">), que contiene la versión final del Plan de Acción para el presente periodo de estudios, modificado para actualizarlo al mes de </w:t>
      </w:r>
      <w:r w:rsidR="004642F6" w:rsidRPr="00CA61A6">
        <w:t xml:space="preserve">septiembre </w:t>
      </w:r>
      <w:r w:rsidR="00D90C72" w:rsidRPr="00CA61A6">
        <w:t>de </w:t>
      </w:r>
      <w:r w:rsidRPr="00CA61A6">
        <w:t>201</w:t>
      </w:r>
      <w:r w:rsidR="004642F6" w:rsidRPr="00CA61A6">
        <w:t>6</w:t>
      </w:r>
      <w:r w:rsidRPr="00CA61A6">
        <w:t>.</w:t>
      </w:r>
    </w:p>
    <w:p w:rsidR="00C70C39" w:rsidRPr="00CA61A6" w:rsidRDefault="00C70C39" w:rsidP="0068136A">
      <w:pPr>
        <w:keepNext/>
        <w:keepLines/>
      </w:pPr>
      <w:r w:rsidRPr="00CA61A6">
        <w:lastRenderedPageBreak/>
        <w:t>La hoja de cál</w:t>
      </w:r>
      <w:r w:rsidR="00A418A7" w:rsidRPr="00CA61A6">
        <w:t>culo EXCEL permite visualizar lo</w:t>
      </w:r>
      <w:r w:rsidRPr="00CA61A6">
        <w:t>s distint</w:t>
      </w:r>
      <w:r w:rsidR="00A418A7" w:rsidRPr="00CA61A6">
        <w:t>o</w:t>
      </w:r>
      <w:r w:rsidRPr="00CA61A6">
        <w:t>s</w:t>
      </w:r>
      <w:r w:rsidR="00A418A7" w:rsidRPr="00CA61A6">
        <w:t xml:space="preserve"> puntos de acción</w:t>
      </w:r>
      <w:r w:rsidRPr="00CA61A6">
        <w:t xml:space="preserve"> en una misma hoja de papel u ordenarl</w:t>
      </w:r>
      <w:r w:rsidR="00A418A7" w:rsidRPr="00CA61A6">
        <w:t>o</w:t>
      </w:r>
      <w:r w:rsidRPr="00CA61A6">
        <w:t>s por cualquier columna, por ejemplo</w:t>
      </w:r>
      <w:r w:rsidR="007B723C" w:rsidRPr="00CA61A6">
        <w:t>,</w:t>
      </w:r>
      <w:r w:rsidRPr="00CA61A6">
        <w:t xml:space="preserve"> l</w:t>
      </w:r>
      <w:r w:rsidR="00A418A7" w:rsidRPr="00CA61A6">
        <w:t>o</w:t>
      </w:r>
      <w:r w:rsidRPr="00CA61A6">
        <w:t xml:space="preserve">s que requieren una </w:t>
      </w:r>
      <w:r w:rsidR="00A418A7" w:rsidRPr="00CA61A6">
        <w:t>respuesta</w:t>
      </w:r>
      <w:r w:rsidRPr="00CA61A6">
        <w:t xml:space="preserve"> de la TSB</w:t>
      </w:r>
      <w:r w:rsidR="007B723C" w:rsidRPr="00CA61A6">
        <w:t>,</w:t>
      </w:r>
      <w:r w:rsidRPr="00CA61A6">
        <w:t xml:space="preserve"> </w:t>
      </w:r>
      <w:r w:rsidR="00A418A7" w:rsidRPr="00CA61A6">
        <w:t>los</w:t>
      </w:r>
      <w:r w:rsidRPr="00CA61A6">
        <w:t xml:space="preserve"> que exigen que se informe al Consejo, etc. Se utilizan colores para distinguir l</w:t>
      </w:r>
      <w:r w:rsidR="00A418A7" w:rsidRPr="00CA61A6">
        <w:t>os puntos</w:t>
      </w:r>
      <w:r w:rsidRPr="00CA61A6">
        <w:t xml:space="preserve"> </w:t>
      </w:r>
      <w:r w:rsidR="0068136A">
        <w:t xml:space="preserve">en los </w:t>
      </w:r>
      <w:r w:rsidRPr="00CA61A6">
        <w:t>que se ha lle</w:t>
      </w:r>
      <w:r w:rsidR="001610FD" w:rsidRPr="00CA61A6">
        <w:t>g</w:t>
      </w:r>
      <w:r w:rsidRPr="00CA61A6">
        <w:t xml:space="preserve">ado a buen </w:t>
      </w:r>
      <w:r w:rsidR="001610FD" w:rsidRPr="00CA61A6">
        <w:t>puert</w:t>
      </w:r>
      <w:r w:rsidRPr="00CA61A6">
        <w:t>o. La hoja EXCEL</w:t>
      </w:r>
      <w:r w:rsidR="003A577F" w:rsidRPr="00CA61A6">
        <w:t xml:space="preserve"> ilustra el grado de aplicación de l</w:t>
      </w:r>
      <w:r w:rsidR="00A418A7" w:rsidRPr="00CA61A6">
        <w:t>os puntos</w:t>
      </w:r>
      <w:r w:rsidR="003A577F" w:rsidRPr="00CA61A6">
        <w:t xml:space="preserve"> en cifras, tales como las siguientes:</w:t>
      </w:r>
    </w:p>
    <w:p w:rsidR="00C70C39" w:rsidRPr="00CA61A6" w:rsidRDefault="00C70C39" w:rsidP="007B3478">
      <w:pPr>
        <w:pStyle w:val="enumlev1"/>
      </w:pPr>
      <w:r w:rsidRPr="00CA61A6">
        <w:t>•</w:t>
      </w:r>
      <w:r w:rsidRPr="00CA61A6">
        <w:tab/>
        <w:t xml:space="preserve">El Plan de Acción contiene </w:t>
      </w:r>
      <w:r w:rsidR="004579A2" w:rsidRPr="00CA61A6">
        <w:t>234</w:t>
      </w:r>
      <w:r w:rsidRPr="00CA61A6">
        <w:t xml:space="preserve"> </w:t>
      </w:r>
      <w:r w:rsidR="00A418A7" w:rsidRPr="00CA61A6">
        <w:t>puntos de acción</w:t>
      </w:r>
      <w:r w:rsidRPr="00CA61A6">
        <w:t xml:space="preserve"> detallad</w:t>
      </w:r>
      <w:r w:rsidR="00A418A7" w:rsidRPr="00CA61A6">
        <w:t>o</w:t>
      </w:r>
      <w:r w:rsidRPr="00CA61A6">
        <w:t xml:space="preserve">s para </w:t>
      </w:r>
      <w:r w:rsidR="004579A2" w:rsidRPr="00CA61A6">
        <w:t>50</w:t>
      </w:r>
      <w:r w:rsidRPr="00CA61A6">
        <w:t xml:space="preserve"> Resoluciones</w:t>
      </w:r>
      <w:r w:rsidR="004579A2" w:rsidRPr="00CA61A6">
        <w:t xml:space="preserve"> </w:t>
      </w:r>
      <w:r w:rsidR="003A577F" w:rsidRPr="00CA61A6">
        <w:t>y una Opinión</w:t>
      </w:r>
      <w:r w:rsidRPr="00CA61A6">
        <w:t xml:space="preserve"> de la AMNT</w:t>
      </w:r>
      <w:r w:rsidRPr="00CA61A6">
        <w:noBreakHyphen/>
      </w:r>
      <w:r w:rsidR="004579A2" w:rsidRPr="00CA61A6">
        <w:t>12</w:t>
      </w:r>
      <w:r w:rsidRPr="00CA61A6">
        <w:t>, entre l</w:t>
      </w:r>
      <w:r w:rsidR="00A418A7" w:rsidRPr="00CA61A6">
        <w:t>o</w:t>
      </w:r>
      <w:r w:rsidRPr="00CA61A6">
        <w:t>s que cabe destacar:</w:t>
      </w:r>
    </w:p>
    <w:p w:rsidR="00C70C39" w:rsidRPr="00CA61A6" w:rsidRDefault="00C70C39" w:rsidP="007B3478">
      <w:pPr>
        <w:pStyle w:val="enumlev2"/>
      </w:pPr>
      <w:r w:rsidRPr="00CA61A6">
        <w:t>–</w:t>
      </w:r>
      <w:r w:rsidRPr="00CA61A6">
        <w:tab/>
        <w:t>40 Resoluciones</w:t>
      </w:r>
      <w:r w:rsidR="00B509CC" w:rsidRPr="00CA61A6">
        <w:t xml:space="preserve"> </w:t>
      </w:r>
      <w:r w:rsidR="003A577F" w:rsidRPr="00CA61A6">
        <w:t xml:space="preserve">y </w:t>
      </w:r>
      <w:r w:rsidR="00E72AFD" w:rsidRPr="00CA61A6">
        <w:t>una</w:t>
      </w:r>
      <w:r w:rsidR="003A577F" w:rsidRPr="00CA61A6">
        <w:t xml:space="preserve"> Opinión</w:t>
      </w:r>
      <w:r w:rsidR="00E72AFD" w:rsidRPr="00CA61A6">
        <w:t>,</w:t>
      </w:r>
      <w:r w:rsidR="00B509CC" w:rsidRPr="00CA61A6">
        <w:t xml:space="preserve"> </w:t>
      </w:r>
      <w:r w:rsidRPr="00CA61A6">
        <w:t xml:space="preserve">que </w:t>
      </w:r>
      <w:r w:rsidR="003A577F" w:rsidRPr="00CA61A6">
        <w:t>requieren</w:t>
      </w:r>
      <w:r w:rsidRPr="00CA61A6">
        <w:t xml:space="preserve"> 1</w:t>
      </w:r>
      <w:r w:rsidR="008924A5" w:rsidRPr="00CA61A6">
        <w:t>43</w:t>
      </w:r>
      <w:r w:rsidRPr="00CA61A6">
        <w:t xml:space="preserve"> acciones de la TSB y su Director</w:t>
      </w:r>
      <w:r w:rsidR="00E72AFD" w:rsidRPr="00CA61A6">
        <w:t>;</w:t>
      </w:r>
    </w:p>
    <w:p w:rsidR="00C70C39" w:rsidRPr="00CA61A6" w:rsidRDefault="00C70C39" w:rsidP="007B3478">
      <w:pPr>
        <w:pStyle w:val="enumlev2"/>
      </w:pPr>
      <w:r w:rsidRPr="00CA61A6">
        <w:t>–</w:t>
      </w:r>
      <w:r w:rsidRPr="00CA61A6">
        <w:tab/>
      </w:r>
      <w:r w:rsidR="002022FE" w:rsidRPr="00CA61A6">
        <w:t>30</w:t>
      </w:r>
      <w:r w:rsidRPr="00CA61A6">
        <w:t xml:space="preserve"> Resoluciones</w:t>
      </w:r>
      <w:r w:rsidR="00E72AFD" w:rsidRPr="00CA61A6">
        <w:t>,</w:t>
      </w:r>
      <w:r w:rsidRPr="00CA61A6">
        <w:t xml:space="preserve"> que </w:t>
      </w:r>
      <w:r w:rsidR="003A577F" w:rsidRPr="00CA61A6">
        <w:t xml:space="preserve">requieren </w:t>
      </w:r>
      <w:r w:rsidR="002022FE" w:rsidRPr="00CA61A6">
        <w:t>85</w:t>
      </w:r>
      <w:r w:rsidRPr="00CA61A6">
        <w:t xml:space="preserve"> acciones de las CE</w:t>
      </w:r>
      <w:r w:rsidR="00E72AFD" w:rsidRPr="00CA61A6">
        <w:t>;</w:t>
      </w:r>
    </w:p>
    <w:p w:rsidR="00C70C39" w:rsidRPr="00CA61A6" w:rsidRDefault="00C70C39" w:rsidP="0032720A">
      <w:pPr>
        <w:pStyle w:val="enumlev2"/>
      </w:pPr>
      <w:r w:rsidRPr="00CA61A6">
        <w:t>–</w:t>
      </w:r>
      <w:r w:rsidRPr="00CA61A6">
        <w:tab/>
      </w:r>
      <w:r w:rsidR="002022FE" w:rsidRPr="00CA61A6">
        <w:t>21</w:t>
      </w:r>
      <w:r w:rsidRPr="00CA61A6">
        <w:t xml:space="preserve"> Resoluciones</w:t>
      </w:r>
      <w:r w:rsidR="00E72AFD" w:rsidRPr="00CA61A6">
        <w:t>,</w:t>
      </w:r>
      <w:r w:rsidRPr="00CA61A6">
        <w:t xml:space="preserve"> que </w:t>
      </w:r>
      <w:r w:rsidR="003A577F" w:rsidRPr="00CA61A6">
        <w:t xml:space="preserve">requieren </w:t>
      </w:r>
      <w:r w:rsidRPr="00CA61A6">
        <w:t>3</w:t>
      </w:r>
      <w:r w:rsidR="002022FE" w:rsidRPr="00CA61A6">
        <w:t>4</w:t>
      </w:r>
      <w:r w:rsidRPr="00CA61A6">
        <w:t xml:space="preserve"> acciones del GANT</w:t>
      </w:r>
      <w:r w:rsidR="002022FE" w:rsidRPr="00CA61A6">
        <w:t>/RevCom</w:t>
      </w:r>
      <w:r w:rsidR="0032720A">
        <w:t>;</w:t>
      </w:r>
      <w:r w:rsidR="00E72AFD" w:rsidRPr="00CA61A6">
        <w:t xml:space="preserve"> y</w:t>
      </w:r>
    </w:p>
    <w:p w:rsidR="00C70C39" w:rsidRPr="00CA61A6" w:rsidRDefault="00C70C39" w:rsidP="007B3478">
      <w:pPr>
        <w:pStyle w:val="enumlev2"/>
      </w:pPr>
      <w:r w:rsidRPr="00CA61A6">
        <w:t>–</w:t>
      </w:r>
      <w:r w:rsidRPr="00CA61A6">
        <w:tab/>
      </w:r>
      <w:r w:rsidR="00464E49" w:rsidRPr="00CA61A6">
        <w:t>23</w:t>
      </w:r>
      <w:r w:rsidRPr="00CA61A6">
        <w:t xml:space="preserve"> Resoluciones</w:t>
      </w:r>
      <w:r w:rsidR="00E72AFD" w:rsidRPr="00CA61A6">
        <w:t>,</w:t>
      </w:r>
      <w:r w:rsidRPr="00CA61A6">
        <w:t xml:space="preserve"> que </w:t>
      </w:r>
      <w:r w:rsidR="003A577F" w:rsidRPr="00CA61A6">
        <w:t xml:space="preserve">requieren </w:t>
      </w:r>
      <w:r w:rsidR="00464E49" w:rsidRPr="00CA61A6">
        <w:t>53</w:t>
      </w:r>
      <w:r w:rsidRPr="00CA61A6">
        <w:t xml:space="preserve"> acciones en cooperación con otros Sectores de la UIT o la Secretaría General</w:t>
      </w:r>
      <w:r w:rsidR="00E72AFD" w:rsidRPr="00CA61A6">
        <w:t>.</w:t>
      </w:r>
    </w:p>
    <w:p w:rsidR="00C70C39" w:rsidRPr="00CA61A6" w:rsidRDefault="00C70C39" w:rsidP="007B3478">
      <w:pPr>
        <w:pStyle w:val="enumlev1"/>
      </w:pPr>
      <w:r w:rsidRPr="00CA61A6">
        <w:t>•</w:t>
      </w:r>
      <w:r w:rsidRPr="00CA61A6">
        <w:tab/>
        <w:t xml:space="preserve">A </w:t>
      </w:r>
      <w:r w:rsidR="007C6ED0" w:rsidRPr="00CA61A6">
        <w:t>mediados</w:t>
      </w:r>
      <w:r w:rsidR="00AD7DC6" w:rsidRPr="00CA61A6">
        <w:t xml:space="preserve"> </w:t>
      </w:r>
      <w:r w:rsidRPr="00CA61A6">
        <w:t>de septiembre de 201</w:t>
      </w:r>
      <w:r w:rsidR="00AD7DC6" w:rsidRPr="00CA61A6">
        <w:t>6</w:t>
      </w:r>
      <w:r w:rsidR="007C6ED0" w:rsidRPr="00CA61A6">
        <w:t xml:space="preserve"> se contaban:</w:t>
      </w:r>
    </w:p>
    <w:p w:rsidR="00C70C39" w:rsidRPr="00CA61A6" w:rsidRDefault="00C70C39" w:rsidP="007B3478">
      <w:pPr>
        <w:pStyle w:val="enumlev2"/>
      </w:pPr>
      <w:r w:rsidRPr="00CA61A6">
        <w:t>–</w:t>
      </w:r>
      <w:r w:rsidRPr="00CA61A6">
        <w:tab/>
      </w:r>
      <w:r w:rsidR="00A36341" w:rsidRPr="00CA61A6">
        <w:t>45</w:t>
      </w:r>
      <w:r w:rsidRPr="00CA61A6">
        <w:t xml:space="preserve"> acciones puntuales con indicadores/criterios cuantificables, el </w:t>
      </w:r>
      <w:r w:rsidR="00A36341" w:rsidRPr="00CA61A6">
        <w:t>19</w:t>
      </w:r>
      <w:r w:rsidRPr="00CA61A6">
        <w:t xml:space="preserve"> por ciento de las cuales se ha</w:t>
      </w:r>
      <w:r w:rsidR="00E72AFD" w:rsidRPr="00CA61A6">
        <w:t>bía completado;</w:t>
      </w:r>
    </w:p>
    <w:p w:rsidR="00C70C39" w:rsidRPr="00CA61A6" w:rsidRDefault="00C70C39" w:rsidP="007B3478">
      <w:pPr>
        <w:pStyle w:val="enumlev2"/>
      </w:pPr>
      <w:r w:rsidRPr="00CA61A6">
        <w:t>–</w:t>
      </w:r>
      <w:r w:rsidRPr="00CA61A6">
        <w:tab/>
      </w:r>
      <w:r w:rsidR="00A36341" w:rsidRPr="00CA61A6">
        <w:t>71</w:t>
      </w:r>
      <w:r w:rsidRPr="00CA61A6">
        <w:t xml:space="preserve"> acciones </w:t>
      </w:r>
      <w:r w:rsidR="00E72AFD" w:rsidRPr="00CA61A6">
        <w:t xml:space="preserve">de carácter </w:t>
      </w:r>
      <w:r w:rsidRPr="00CA61A6">
        <w:t>continu</w:t>
      </w:r>
      <w:r w:rsidR="00E72AFD" w:rsidRPr="00CA61A6">
        <w:t>o, con respecto a las cuales se habían logrado avances notables u</w:t>
      </w:r>
      <w:r w:rsidRPr="00CA61A6">
        <w:t xml:space="preserve"> objetivos periódicos durante este periodo de estudios (</w:t>
      </w:r>
      <w:r w:rsidR="00A36341" w:rsidRPr="00CA61A6">
        <w:t>30</w:t>
      </w:r>
      <w:r w:rsidRPr="00CA61A6">
        <w:t>%)</w:t>
      </w:r>
      <w:r w:rsidR="00E72AFD" w:rsidRPr="00CA61A6">
        <w:t>;</w:t>
      </w:r>
    </w:p>
    <w:p w:rsidR="00C70C39" w:rsidRPr="00CA61A6" w:rsidRDefault="00C70C39" w:rsidP="001E54D6">
      <w:pPr>
        <w:pStyle w:val="enumlev2"/>
      </w:pPr>
      <w:r w:rsidRPr="00CA61A6">
        <w:t>–</w:t>
      </w:r>
      <w:r w:rsidRPr="00CA61A6">
        <w:tab/>
      </w:r>
      <w:r w:rsidR="00A36341" w:rsidRPr="00CA61A6">
        <w:t>102</w:t>
      </w:r>
      <w:r w:rsidRPr="00CA61A6">
        <w:t xml:space="preserve"> acciones </w:t>
      </w:r>
      <w:r w:rsidR="00E72AFD" w:rsidRPr="00CA61A6">
        <w:t>de carácter continuo</w:t>
      </w:r>
      <w:r w:rsidRPr="00CA61A6">
        <w:t xml:space="preserve"> (</w:t>
      </w:r>
      <w:r w:rsidR="00A36341" w:rsidRPr="00CA61A6">
        <w:t>44</w:t>
      </w:r>
      <w:r w:rsidRPr="00CA61A6">
        <w:t>%)</w:t>
      </w:r>
      <w:r w:rsidR="001E54D6">
        <w:t>;</w:t>
      </w:r>
      <w:r w:rsidR="00E72AFD" w:rsidRPr="00CA61A6">
        <w:t xml:space="preserve"> y</w:t>
      </w:r>
    </w:p>
    <w:p w:rsidR="00C70C39" w:rsidRPr="00CA61A6" w:rsidRDefault="00C70C39" w:rsidP="007B3478">
      <w:pPr>
        <w:pStyle w:val="enumlev2"/>
      </w:pPr>
      <w:r w:rsidRPr="00CA61A6">
        <w:t>–</w:t>
      </w:r>
      <w:r w:rsidRPr="00CA61A6">
        <w:tab/>
      </w:r>
      <w:r w:rsidR="00A36341" w:rsidRPr="00CA61A6">
        <w:t>16</w:t>
      </w:r>
      <w:r w:rsidR="007C6ED0" w:rsidRPr="00CA61A6">
        <w:t xml:space="preserve"> acciones aún por terminar </w:t>
      </w:r>
      <w:r w:rsidR="00A36341" w:rsidRPr="00CA61A6">
        <w:t>o</w:t>
      </w:r>
      <w:r w:rsidR="007C6ED0" w:rsidRPr="00CA61A6">
        <w:t xml:space="preserve"> con respecto a las cuales se ha</w:t>
      </w:r>
      <w:r w:rsidR="00E72AFD" w:rsidRPr="00CA61A6">
        <w:t xml:space="preserve">bían logrado escasos avances </w:t>
      </w:r>
      <w:r w:rsidR="00A36341" w:rsidRPr="00CA61A6">
        <w:t>(7</w:t>
      </w:r>
      <w:r w:rsidRPr="00CA61A6">
        <w:t>4%)</w:t>
      </w:r>
      <w:r w:rsidR="00E72AFD" w:rsidRPr="00CA61A6">
        <w:t>.</w:t>
      </w:r>
    </w:p>
    <w:p w:rsidR="00C70C39" w:rsidRPr="00B46AA0" w:rsidRDefault="00C70C39" w:rsidP="007B3478">
      <w:pPr>
        <w:pStyle w:val="Normalaftertitle"/>
        <w:rPr>
          <w:b/>
          <w:bCs/>
        </w:rPr>
      </w:pPr>
      <w:r w:rsidRPr="00B46AA0">
        <w:rPr>
          <w:b/>
          <w:bCs/>
        </w:rPr>
        <w:t>Anexos:</w:t>
      </w:r>
    </w:p>
    <w:p w:rsidR="00C70C39" w:rsidRPr="00CA61A6" w:rsidRDefault="00C70C39" w:rsidP="007B3478">
      <w:pPr>
        <w:pStyle w:val="enumlev1"/>
      </w:pPr>
      <w:r w:rsidRPr="00CA61A6">
        <w:t>1)</w:t>
      </w:r>
      <w:r w:rsidRPr="00CA61A6">
        <w:tab/>
        <w:t>Plan de Acción de la AMNT-</w:t>
      </w:r>
      <w:r w:rsidR="007E6293" w:rsidRPr="00CA61A6">
        <w:t>12</w:t>
      </w:r>
      <w:r w:rsidRPr="00CA61A6">
        <w:t>, V</w:t>
      </w:r>
      <w:r w:rsidR="007E6293" w:rsidRPr="00CA61A6">
        <w:t>6</w:t>
      </w:r>
      <w:r w:rsidRPr="00CA61A6">
        <w:t>.0</w:t>
      </w:r>
      <w:r w:rsidR="008B4E98" w:rsidRPr="00CA61A6">
        <w:t xml:space="preserve"> – Informe sobre los progresos </w:t>
      </w:r>
      <w:r w:rsidR="00A8636A">
        <w:t>e</w:t>
      </w:r>
      <w:r w:rsidR="007E6293" w:rsidRPr="00CA61A6">
        <w:t>n WINWORD</w:t>
      </w:r>
    </w:p>
    <w:p w:rsidR="00C70C39" w:rsidRPr="00CA61A6" w:rsidRDefault="00C70C39" w:rsidP="007B3478">
      <w:pPr>
        <w:pStyle w:val="enumlev1"/>
      </w:pPr>
      <w:r w:rsidRPr="00CA61A6">
        <w:t>2)</w:t>
      </w:r>
      <w:r w:rsidRPr="00CA61A6">
        <w:tab/>
        <w:t>Plan de Acción de la AMNT-</w:t>
      </w:r>
      <w:r w:rsidR="00FA5CF2" w:rsidRPr="00CA61A6">
        <w:t>12</w:t>
      </w:r>
      <w:r w:rsidR="007C6ED0" w:rsidRPr="00CA61A6">
        <w:t>,</w:t>
      </w:r>
      <w:r w:rsidRPr="00CA61A6">
        <w:t xml:space="preserve"> </w:t>
      </w:r>
      <w:r w:rsidR="00A278EC" w:rsidRPr="00CA61A6">
        <w:t>V6.0</w:t>
      </w:r>
      <w:r w:rsidR="008B4E98" w:rsidRPr="00CA61A6">
        <w:t xml:space="preserve"> – Hoja de </w:t>
      </w:r>
      <w:r w:rsidR="00D9018A">
        <w:t xml:space="preserve">cálculo </w:t>
      </w:r>
      <w:r w:rsidRPr="00CA61A6">
        <w:t>EXCEL</w:t>
      </w:r>
    </w:p>
    <w:p w:rsidR="00B07178" w:rsidRPr="00CA61A6" w:rsidRDefault="00B07178" w:rsidP="007B3478">
      <w:pPr>
        <w:tabs>
          <w:tab w:val="clear" w:pos="1134"/>
          <w:tab w:val="clear" w:pos="1871"/>
          <w:tab w:val="clear" w:pos="2268"/>
        </w:tabs>
        <w:overflowPunct/>
        <w:autoSpaceDE/>
        <w:autoSpaceDN/>
        <w:adjustRightInd/>
        <w:spacing w:before="0"/>
        <w:textAlignment w:val="auto"/>
      </w:pPr>
      <w:r w:rsidRPr="00CA61A6">
        <w:br w:type="page"/>
      </w:r>
    </w:p>
    <w:p w:rsidR="003C514E" w:rsidRPr="00301A9B" w:rsidRDefault="001C02EF" w:rsidP="00EE5933">
      <w:pPr>
        <w:pStyle w:val="Annextitle"/>
        <w:rPr>
          <w:rFonts w:asciiTheme="majorBidi" w:hAnsiTheme="majorBidi"/>
          <w:b w:val="0"/>
          <w:bCs/>
          <w:szCs w:val="28"/>
        </w:rPr>
      </w:pPr>
      <w:r w:rsidRPr="003C514E">
        <w:lastRenderedPageBreak/>
        <w:t>PLAN DE</w:t>
      </w:r>
      <w:r>
        <w:t xml:space="preserve"> </w:t>
      </w:r>
      <w:r w:rsidR="009920C6">
        <w:t>ACCIÓN DE LA AMNT-12, V</w:t>
      </w:r>
      <w:r w:rsidRPr="003C514E">
        <w:t>6</w:t>
      </w:r>
      <w:r w:rsidR="00EE5933">
        <w:br/>
      </w:r>
      <w:r w:rsidRPr="00301A9B">
        <w:rPr>
          <w:rFonts w:asciiTheme="majorBidi" w:hAnsiTheme="majorBidi"/>
          <w:b w:val="0"/>
          <w:bCs/>
          <w:szCs w:val="28"/>
        </w:rPr>
        <w:t>(12 de septiembre de 2016)</w:t>
      </w:r>
    </w:p>
    <w:p w:rsidR="00585E96" w:rsidRPr="00301A9B" w:rsidRDefault="00585E96" w:rsidP="009F7066">
      <w:pPr>
        <w:jc w:val="center"/>
        <w:rPr>
          <w:sz w:val="28"/>
          <w:szCs w:val="28"/>
        </w:rPr>
      </w:pPr>
      <w:r w:rsidRPr="00301A9B">
        <w:rPr>
          <w:sz w:val="28"/>
          <w:szCs w:val="28"/>
        </w:rPr>
        <w:t>ÍNDICE</w:t>
      </w:r>
    </w:p>
    <w:p w:rsidR="00585E96" w:rsidRPr="00CA61A6" w:rsidRDefault="00585E96" w:rsidP="009F7066">
      <w:pPr>
        <w:pStyle w:val="toc0"/>
      </w:pPr>
      <w:bookmarkStart w:id="0" w:name="TOP"/>
      <w:bookmarkEnd w:id="0"/>
      <w:r w:rsidRPr="00CA61A6">
        <w:tab/>
        <w:t>Página</w:t>
      </w:r>
    </w:p>
    <w:p w:rsidR="00FF3522" w:rsidRPr="00FF3522" w:rsidRDefault="00FF3522" w:rsidP="005559A8">
      <w:pPr>
        <w:pStyle w:val="TOC2"/>
        <w:rPr>
          <w:rStyle w:val="Hyperlink"/>
          <w:color w:val="auto"/>
          <w:u w:val="none"/>
        </w:rPr>
      </w:pPr>
      <w:r w:rsidRPr="00FF3522">
        <w:rPr>
          <w:rStyle w:val="Hyperlink"/>
          <w:color w:val="auto"/>
          <w:u w:val="none"/>
        </w:rPr>
        <w:t>Sección I – Lista de Resoluciones y Opini</w:t>
      </w:r>
      <w:r w:rsidR="002270A7">
        <w:rPr>
          <w:rStyle w:val="Hyperlink"/>
          <w:color w:val="auto"/>
          <w:u w:val="none"/>
        </w:rPr>
        <w:t>ó</w:t>
      </w:r>
      <w:r w:rsidRPr="00FF3522">
        <w:rPr>
          <w:rStyle w:val="Hyperlink"/>
          <w:color w:val="auto"/>
          <w:u w:val="none"/>
        </w:rPr>
        <w:t>n de la AMNT-12</w:t>
      </w:r>
      <w:r>
        <w:rPr>
          <w:rStyle w:val="Hyperlink"/>
          <w:color w:val="auto"/>
          <w:u w:val="none"/>
        </w:rPr>
        <w:tab/>
      </w:r>
      <w:r>
        <w:rPr>
          <w:rStyle w:val="Hyperlink"/>
          <w:color w:val="auto"/>
          <w:u w:val="none"/>
        </w:rPr>
        <w:tab/>
      </w:r>
      <w:r w:rsidR="005559A8">
        <w:rPr>
          <w:rStyle w:val="Hyperlink"/>
          <w:color w:val="auto"/>
          <w:u w:val="none"/>
        </w:rPr>
        <w:t>7</w:t>
      </w:r>
    </w:p>
    <w:p w:rsidR="00D106CD" w:rsidRPr="00FF3522" w:rsidRDefault="00D106CD" w:rsidP="005559A8">
      <w:pPr>
        <w:pStyle w:val="TOC2"/>
        <w:tabs>
          <w:tab w:val="clear" w:pos="567"/>
          <w:tab w:val="left" w:pos="709"/>
        </w:tabs>
        <w:spacing w:before="240"/>
        <w:ind w:left="1276" w:hanging="1276"/>
        <w:rPr>
          <w:rStyle w:val="Hyperlink"/>
          <w:color w:val="auto"/>
          <w:u w:val="none"/>
        </w:rPr>
      </w:pPr>
      <w:r w:rsidRPr="00FF3522">
        <w:rPr>
          <w:rStyle w:val="Hyperlink"/>
          <w:color w:val="auto"/>
          <w:u w:val="none"/>
        </w:rPr>
        <w:t xml:space="preserve">Sección </w:t>
      </w:r>
      <w:r w:rsidR="00A51989">
        <w:rPr>
          <w:rStyle w:val="Hyperlink"/>
          <w:color w:val="auto"/>
          <w:u w:val="none"/>
        </w:rPr>
        <w:t>I</w:t>
      </w:r>
      <w:r w:rsidRPr="00FF3522">
        <w:rPr>
          <w:rStyle w:val="Hyperlink"/>
          <w:color w:val="auto"/>
          <w:u w:val="none"/>
        </w:rPr>
        <w:t xml:space="preserve">I – </w:t>
      </w:r>
      <w:r w:rsidR="00514242" w:rsidRPr="00514242">
        <w:rPr>
          <w:rStyle w:val="Hyperlink"/>
          <w:color w:val="auto"/>
          <w:u w:val="none"/>
        </w:rPr>
        <w:t xml:space="preserve">Informe sobre el avance en la aplicación de las Resoluciones y </w:t>
      </w:r>
      <w:r w:rsidR="00514242">
        <w:rPr>
          <w:rStyle w:val="Hyperlink"/>
          <w:color w:val="auto"/>
          <w:u w:val="none"/>
        </w:rPr>
        <w:br/>
      </w:r>
      <w:r w:rsidR="00514242" w:rsidRPr="00514242">
        <w:rPr>
          <w:rStyle w:val="Hyperlink"/>
          <w:color w:val="auto"/>
          <w:u w:val="none"/>
        </w:rPr>
        <w:t>la Opinión de la AMNT 12</w:t>
      </w:r>
      <w:r>
        <w:rPr>
          <w:rStyle w:val="Hyperlink"/>
          <w:color w:val="auto"/>
          <w:u w:val="none"/>
        </w:rPr>
        <w:tab/>
      </w:r>
      <w:r>
        <w:rPr>
          <w:rStyle w:val="Hyperlink"/>
          <w:color w:val="auto"/>
          <w:u w:val="none"/>
        </w:rPr>
        <w:tab/>
      </w:r>
      <w:r w:rsidR="005559A8">
        <w:rPr>
          <w:rStyle w:val="Hyperlink"/>
          <w:color w:val="auto"/>
          <w:u w:val="none"/>
        </w:rPr>
        <w:t>10</w:t>
      </w:r>
    </w:p>
    <w:p w:rsidR="00147946" w:rsidRPr="00CA61A6" w:rsidRDefault="00147946">
      <w:pPr>
        <w:pStyle w:val="TOC1"/>
        <w:rPr>
          <w:rFonts w:asciiTheme="minorHAnsi" w:eastAsiaTheme="minorEastAsia" w:hAnsiTheme="minorHAnsi" w:cstheme="minorBidi"/>
          <w:noProof/>
          <w:sz w:val="22"/>
          <w:szCs w:val="22"/>
          <w:lang w:eastAsia="zh-CN"/>
        </w:rPr>
      </w:pPr>
      <w:r w:rsidRPr="00CA61A6">
        <w:fldChar w:fldCharType="begin"/>
      </w:r>
      <w:r w:rsidRPr="00CA61A6">
        <w:instrText xml:space="preserve"> TOC \o "1-1" \h \z \u </w:instrText>
      </w:r>
      <w:r w:rsidRPr="00CA61A6">
        <w:fldChar w:fldCharType="separate"/>
      </w:r>
      <w:hyperlink w:anchor="_Toc463335752" w:history="1">
        <w:r w:rsidRPr="00CA61A6">
          <w:rPr>
            <w:rStyle w:val="Hyperlink"/>
            <w:noProof/>
          </w:rPr>
          <w:t>1</w:t>
        </w:r>
        <w:r w:rsidRPr="00CA61A6">
          <w:rPr>
            <w:rFonts w:asciiTheme="minorHAnsi" w:eastAsiaTheme="minorEastAsia" w:hAnsiTheme="minorHAnsi" w:cstheme="minorBidi"/>
            <w:noProof/>
            <w:sz w:val="22"/>
            <w:szCs w:val="22"/>
            <w:lang w:eastAsia="zh-CN"/>
          </w:rPr>
          <w:tab/>
        </w:r>
        <w:r w:rsidRPr="00CA61A6">
          <w:rPr>
            <w:rStyle w:val="Hyperlink"/>
            <w:noProof/>
          </w:rPr>
          <w:t xml:space="preserve">Resolución 1 – Reglamento Interno del Sector de Normalización de las </w:t>
        </w:r>
        <w:r w:rsidRPr="00CA61A6">
          <w:rPr>
            <w:rStyle w:val="Hyperlink"/>
            <w:noProof/>
          </w:rPr>
          <w:br/>
          <w:t>Telecomunicaciones de la UIT (UIT-T)</w:t>
        </w:r>
        <w:r w:rsidRPr="00CA61A6">
          <w:rPr>
            <w:noProof/>
            <w:webHidden/>
          </w:rPr>
          <w:tab/>
        </w:r>
        <w:r w:rsidRPr="00CA61A6">
          <w:rPr>
            <w:noProof/>
            <w:webHidden/>
          </w:rPr>
          <w:tab/>
        </w:r>
        <w:r w:rsidRPr="00CA61A6">
          <w:rPr>
            <w:noProof/>
            <w:webHidden/>
          </w:rPr>
          <w:fldChar w:fldCharType="begin"/>
        </w:r>
        <w:r w:rsidRPr="00CA61A6">
          <w:rPr>
            <w:noProof/>
            <w:webHidden/>
          </w:rPr>
          <w:instrText xml:space="preserve"> PAGEREF _Toc463335752 \h </w:instrText>
        </w:r>
        <w:r w:rsidRPr="00CA61A6">
          <w:rPr>
            <w:noProof/>
            <w:webHidden/>
          </w:rPr>
        </w:r>
        <w:r w:rsidRPr="00CA61A6">
          <w:rPr>
            <w:noProof/>
            <w:webHidden/>
          </w:rPr>
          <w:fldChar w:fldCharType="separate"/>
        </w:r>
        <w:r w:rsidR="005559A8">
          <w:rPr>
            <w:noProof/>
            <w:webHidden/>
          </w:rPr>
          <w:t>10</w:t>
        </w:r>
        <w:r w:rsidRPr="00CA61A6">
          <w:rPr>
            <w:noProof/>
            <w:webHidden/>
          </w:rPr>
          <w:fldChar w:fldCharType="end"/>
        </w:r>
      </w:hyperlink>
    </w:p>
    <w:p w:rsidR="00147946" w:rsidRPr="00CA61A6" w:rsidRDefault="00110CAD">
      <w:pPr>
        <w:pStyle w:val="TOC1"/>
        <w:rPr>
          <w:rFonts w:asciiTheme="minorHAnsi" w:eastAsiaTheme="minorEastAsia" w:hAnsiTheme="minorHAnsi" w:cstheme="minorBidi"/>
          <w:noProof/>
          <w:sz w:val="22"/>
          <w:szCs w:val="22"/>
          <w:lang w:eastAsia="zh-CN"/>
        </w:rPr>
      </w:pPr>
      <w:hyperlink w:anchor="_Toc463335753" w:history="1">
        <w:r w:rsidR="00147946" w:rsidRPr="00CA61A6">
          <w:rPr>
            <w:rStyle w:val="Hyperlink"/>
            <w:noProof/>
          </w:rPr>
          <w:t>2</w:t>
        </w:r>
        <w:r w:rsidR="00147946" w:rsidRPr="00CA61A6">
          <w:rPr>
            <w:rFonts w:asciiTheme="minorHAnsi" w:eastAsiaTheme="minorEastAsia" w:hAnsiTheme="minorHAnsi" w:cstheme="minorBidi"/>
            <w:noProof/>
            <w:sz w:val="22"/>
            <w:szCs w:val="22"/>
            <w:lang w:eastAsia="zh-CN"/>
          </w:rPr>
          <w:tab/>
        </w:r>
        <w:r w:rsidR="00147946" w:rsidRPr="00CA61A6">
          <w:rPr>
            <w:rStyle w:val="Hyperlink"/>
            <w:noProof/>
          </w:rPr>
          <w:t xml:space="preserve">Resolución 2 – Responsabilidad y mandato de las Comisiones de Estudio </w:t>
        </w:r>
        <w:r w:rsidR="00147946" w:rsidRPr="00CA61A6">
          <w:rPr>
            <w:rStyle w:val="Hyperlink"/>
            <w:noProof/>
          </w:rPr>
          <w:br/>
          <w:t>del Sector de Normalización de las Telecomunicaciones de la UIT</w:t>
        </w:r>
        <w:r w:rsidR="00147946" w:rsidRPr="00CA61A6">
          <w:rPr>
            <w:noProof/>
            <w:webHidden/>
          </w:rPr>
          <w:tab/>
        </w:r>
        <w:r w:rsidR="00147946" w:rsidRPr="00CA61A6">
          <w:rPr>
            <w:noProof/>
            <w:webHidden/>
          </w:rPr>
          <w:tab/>
        </w:r>
        <w:r w:rsidR="00147946" w:rsidRPr="00CA61A6">
          <w:rPr>
            <w:noProof/>
            <w:webHidden/>
          </w:rPr>
          <w:fldChar w:fldCharType="begin"/>
        </w:r>
        <w:r w:rsidR="00147946" w:rsidRPr="00CA61A6">
          <w:rPr>
            <w:noProof/>
            <w:webHidden/>
          </w:rPr>
          <w:instrText xml:space="preserve"> PAGEREF _Toc463335753 \h </w:instrText>
        </w:r>
        <w:r w:rsidR="00147946" w:rsidRPr="00CA61A6">
          <w:rPr>
            <w:noProof/>
            <w:webHidden/>
          </w:rPr>
        </w:r>
        <w:r w:rsidR="00147946" w:rsidRPr="00CA61A6">
          <w:rPr>
            <w:noProof/>
            <w:webHidden/>
          </w:rPr>
          <w:fldChar w:fldCharType="separate"/>
        </w:r>
        <w:r w:rsidR="005559A8">
          <w:rPr>
            <w:noProof/>
            <w:webHidden/>
          </w:rPr>
          <w:t>11</w:t>
        </w:r>
        <w:r w:rsidR="00147946" w:rsidRPr="00CA61A6">
          <w:rPr>
            <w:noProof/>
            <w:webHidden/>
          </w:rPr>
          <w:fldChar w:fldCharType="end"/>
        </w:r>
      </w:hyperlink>
    </w:p>
    <w:p w:rsidR="00147946" w:rsidRPr="00CA61A6" w:rsidRDefault="00110CAD">
      <w:pPr>
        <w:pStyle w:val="TOC1"/>
        <w:rPr>
          <w:rFonts w:asciiTheme="minorHAnsi" w:eastAsiaTheme="minorEastAsia" w:hAnsiTheme="minorHAnsi" w:cstheme="minorBidi"/>
          <w:noProof/>
          <w:sz w:val="22"/>
          <w:szCs w:val="22"/>
          <w:lang w:eastAsia="zh-CN"/>
        </w:rPr>
      </w:pPr>
      <w:hyperlink w:anchor="_Toc463335754" w:history="1">
        <w:r w:rsidR="00147946" w:rsidRPr="00CA61A6">
          <w:rPr>
            <w:rStyle w:val="Hyperlink"/>
            <w:noProof/>
          </w:rPr>
          <w:t>3</w:t>
        </w:r>
        <w:r w:rsidR="00147946" w:rsidRPr="00CA61A6">
          <w:rPr>
            <w:rFonts w:asciiTheme="minorHAnsi" w:eastAsiaTheme="minorEastAsia" w:hAnsiTheme="minorHAnsi" w:cstheme="minorBidi"/>
            <w:noProof/>
            <w:sz w:val="22"/>
            <w:szCs w:val="22"/>
            <w:lang w:eastAsia="zh-CN"/>
          </w:rPr>
          <w:tab/>
        </w:r>
        <w:r w:rsidR="00147946" w:rsidRPr="00CA61A6">
          <w:rPr>
            <w:rStyle w:val="Hyperlink"/>
            <w:noProof/>
          </w:rPr>
          <w:t xml:space="preserve">Resolución 7 – Colaboración con la Organización Internacional de </w:t>
        </w:r>
        <w:r w:rsidR="00147946" w:rsidRPr="00CA61A6">
          <w:rPr>
            <w:rStyle w:val="Hyperlink"/>
            <w:noProof/>
          </w:rPr>
          <w:br/>
          <w:t>Normalización y la Comisión Electrotécnica Internacional</w:t>
        </w:r>
        <w:r w:rsidR="00147946" w:rsidRPr="00CA61A6">
          <w:rPr>
            <w:noProof/>
            <w:webHidden/>
          </w:rPr>
          <w:tab/>
        </w:r>
        <w:r w:rsidR="00147946" w:rsidRPr="00CA61A6">
          <w:rPr>
            <w:noProof/>
            <w:webHidden/>
          </w:rPr>
          <w:tab/>
        </w:r>
        <w:r w:rsidR="00147946" w:rsidRPr="00CA61A6">
          <w:rPr>
            <w:noProof/>
            <w:webHidden/>
          </w:rPr>
          <w:fldChar w:fldCharType="begin"/>
        </w:r>
        <w:r w:rsidR="00147946" w:rsidRPr="00CA61A6">
          <w:rPr>
            <w:noProof/>
            <w:webHidden/>
          </w:rPr>
          <w:instrText xml:space="preserve"> PAGEREF _Toc463335754 \h </w:instrText>
        </w:r>
        <w:r w:rsidR="00147946" w:rsidRPr="00CA61A6">
          <w:rPr>
            <w:noProof/>
            <w:webHidden/>
          </w:rPr>
        </w:r>
        <w:r w:rsidR="00147946" w:rsidRPr="00CA61A6">
          <w:rPr>
            <w:noProof/>
            <w:webHidden/>
          </w:rPr>
          <w:fldChar w:fldCharType="separate"/>
        </w:r>
        <w:r w:rsidR="005559A8">
          <w:rPr>
            <w:noProof/>
            <w:webHidden/>
          </w:rPr>
          <w:t>12</w:t>
        </w:r>
        <w:r w:rsidR="00147946" w:rsidRPr="00CA61A6">
          <w:rPr>
            <w:noProof/>
            <w:webHidden/>
          </w:rPr>
          <w:fldChar w:fldCharType="end"/>
        </w:r>
      </w:hyperlink>
    </w:p>
    <w:p w:rsidR="00147946" w:rsidRPr="00CA61A6" w:rsidRDefault="00110CAD">
      <w:pPr>
        <w:pStyle w:val="TOC1"/>
        <w:rPr>
          <w:rFonts w:asciiTheme="minorHAnsi" w:eastAsiaTheme="minorEastAsia" w:hAnsiTheme="minorHAnsi" w:cstheme="minorBidi"/>
          <w:noProof/>
          <w:sz w:val="22"/>
          <w:szCs w:val="22"/>
          <w:lang w:eastAsia="zh-CN"/>
        </w:rPr>
      </w:pPr>
      <w:hyperlink w:anchor="_Toc463335755" w:history="1">
        <w:r w:rsidR="00147946" w:rsidRPr="00CA61A6">
          <w:rPr>
            <w:rStyle w:val="Hyperlink"/>
            <w:noProof/>
          </w:rPr>
          <w:t>4</w:t>
        </w:r>
        <w:r w:rsidR="00147946" w:rsidRPr="00CA61A6">
          <w:rPr>
            <w:rFonts w:asciiTheme="minorHAnsi" w:eastAsiaTheme="minorEastAsia" w:hAnsiTheme="minorHAnsi" w:cstheme="minorBidi"/>
            <w:noProof/>
            <w:sz w:val="22"/>
            <w:szCs w:val="22"/>
            <w:lang w:eastAsia="zh-CN"/>
          </w:rPr>
          <w:tab/>
        </w:r>
        <w:r w:rsidR="00147946" w:rsidRPr="00CA61A6">
          <w:rPr>
            <w:rStyle w:val="Hyperlink"/>
            <w:noProof/>
          </w:rPr>
          <w:t xml:space="preserve">Resolución 11 – Colaboración con el Consejo de Operaciones Postales de la </w:t>
        </w:r>
        <w:r w:rsidR="00147946" w:rsidRPr="00CA61A6">
          <w:rPr>
            <w:rStyle w:val="Hyperlink"/>
            <w:noProof/>
          </w:rPr>
          <w:br/>
          <w:t xml:space="preserve">Unión Postal Universal sobre el estudio de servicios que interesan a la vez </w:t>
        </w:r>
        <w:r w:rsidR="00147946" w:rsidRPr="00CA61A6">
          <w:rPr>
            <w:rStyle w:val="Hyperlink"/>
            <w:noProof/>
          </w:rPr>
          <w:br/>
          <w:t>a los sectores postal y de telecomunicaciones</w:t>
        </w:r>
        <w:r w:rsidR="00147946" w:rsidRPr="00CA61A6">
          <w:rPr>
            <w:noProof/>
            <w:webHidden/>
          </w:rPr>
          <w:tab/>
        </w:r>
        <w:r w:rsidR="00147946" w:rsidRPr="00CA61A6">
          <w:rPr>
            <w:noProof/>
            <w:webHidden/>
          </w:rPr>
          <w:tab/>
        </w:r>
        <w:r w:rsidR="00147946" w:rsidRPr="00CA61A6">
          <w:rPr>
            <w:noProof/>
            <w:webHidden/>
          </w:rPr>
          <w:fldChar w:fldCharType="begin"/>
        </w:r>
        <w:r w:rsidR="00147946" w:rsidRPr="00CA61A6">
          <w:rPr>
            <w:noProof/>
            <w:webHidden/>
          </w:rPr>
          <w:instrText xml:space="preserve"> PAGEREF _Toc463335755 \h </w:instrText>
        </w:r>
        <w:r w:rsidR="00147946" w:rsidRPr="00CA61A6">
          <w:rPr>
            <w:noProof/>
            <w:webHidden/>
          </w:rPr>
        </w:r>
        <w:r w:rsidR="00147946" w:rsidRPr="00CA61A6">
          <w:rPr>
            <w:noProof/>
            <w:webHidden/>
          </w:rPr>
          <w:fldChar w:fldCharType="separate"/>
        </w:r>
        <w:r w:rsidR="005559A8">
          <w:rPr>
            <w:noProof/>
            <w:webHidden/>
          </w:rPr>
          <w:t>17</w:t>
        </w:r>
        <w:r w:rsidR="00147946" w:rsidRPr="00CA61A6">
          <w:rPr>
            <w:noProof/>
            <w:webHidden/>
          </w:rPr>
          <w:fldChar w:fldCharType="end"/>
        </w:r>
      </w:hyperlink>
    </w:p>
    <w:p w:rsidR="00147946" w:rsidRPr="00CA61A6" w:rsidRDefault="00110CAD">
      <w:pPr>
        <w:pStyle w:val="TOC1"/>
        <w:rPr>
          <w:rFonts w:asciiTheme="minorHAnsi" w:eastAsiaTheme="minorEastAsia" w:hAnsiTheme="minorHAnsi" w:cstheme="minorBidi"/>
          <w:noProof/>
          <w:sz w:val="22"/>
          <w:szCs w:val="22"/>
          <w:lang w:eastAsia="zh-CN"/>
        </w:rPr>
      </w:pPr>
      <w:hyperlink w:anchor="_Toc463335756" w:history="1">
        <w:r w:rsidR="00147946" w:rsidRPr="00CA61A6">
          <w:rPr>
            <w:rStyle w:val="Hyperlink"/>
            <w:noProof/>
          </w:rPr>
          <w:t>5</w:t>
        </w:r>
        <w:r w:rsidR="00147946" w:rsidRPr="00CA61A6">
          <w:rPr>
            <w:rFonts w:asciiTheme="minorHAnsi" w:eastAsiaTheme="minorEastAsia" w:hAnsiTheme="minorHAnsi" w:cstheme="minorBidi"/>
            <w:noProof/>
            <w:sz w:val="22"/>
            <w:szCs w:val="22"/>
            <w:lang w:eastAsia="zh-CN"/>
          </w:rPr>
          <w:tab/>
        </w:r>
        <w:r w:rsidR="00147946" w:rsidRPr="00CA61A6">
          <w:rPr>
            <w:rStyle w:val="Hyperlink"/>
            <w:noProof/>
          </w:rPr>
          <w:t xml:space="preserve">Resolución 18 – Principios y procedimientos para la asignación de trabajos </w:t>
        </w:r>
        <w:r w:rsidR="00147946" w:rsidRPr="00CA61A6">
          <w:rPr>
            <w:rStyle w:val="Hyperlink"/>
            <w:noProof/>
          </w:rPr>
          <w:br/>
          <w:t xml:space="preserve">y la coordinación entre el Sector de Radiocomunicaciones de la UIT y el </w:t>
        </w:r>
        <w:r w:rsidR="00147946" w:rsidRPr="00CA61A6">
          <w:rPr>
            <w:rStyle w:val="Hyperlink"/>
            <w:noProof/>
          </w:rPr>
          <w:br/>
          <w:t>Sector de Normalización de las Telecomunicaciones de la UIT</w:t>
        </w:r>
        <w:r w:rsidR="00147946" w:rsidRPr="00CA61A6">
          <w:rPr>
            <w:noProof/>
            <w:webHidden/>
          </w:rPr>
          <w:tab/>
        </w:r>
        <w:r w:rsidR="00147946" w:rsidRPr="00CA61A6">
          <w:rPr>
            <w:noProof/>
            <w:webHidden/>
          </w:rPr>
          <w:tab/>
        </w:r>
        <w:r w:rsidR="00147946" w:rsidRPr="00CA61A6">
          <w:rPr>
            <w:noProof/>
            <w:webHidden/>
          </w:rPr>
          <w:fldChar w:fldCharType="begin"/>
        </w:r>
        <w:r w:rsidR="00147946" w:rsidRPr="00CA61A6">
          <w:rPr>
            <w:noProof/>
            <w:webHidden/>
          </w:rPr>
          <w:instrText xml:space="preserve"> PAGEREF _Toc463335756 \h </w:instrText>
        </w:r>
        <w:r w:rsidR="00147946" w:rsidRPr="00CA61A6">
          <w:rPr>
            <w:noProof/>
            <w:webHidden/>
          </w:rPr>
        </w:r>
        <w:r w:rsidR="00147946" w:rsidRPr="00CA61A6">
          <w:rPr>
            <w:noProof/>
            <w:webHidden/>
          </w:rPr>
          <w:fldChar w:fldCharType="separate"/>
        </w:r>
        <w:r w:rsidR="005559A8">
          <w:rPr>
            <w:noProof/>
            <w:webHidden/>
          </w:rPr>
          <w:t>18</w:t>
        </w:r>
        <w:r w:rsidR="00147946" w:rsidRPr="00CA61A6">
          <w:rPr>
            <w:noProof/>
            <w:webHidden/>
          </w:rPr>
          <w:fldChar w:fldCharType="end"/>
        </w:r>
      </w:hyperlink>
    </w:p>
    <w:p w:rsidR="00147946" w:rsidRPr="00CA61A6" w:rsidRDefault="00110CAD">
      <w:pPr>
        <w:pStyle w:val="TOC1"/>
        <w:rPr>
          <w:rFonts w:asciiTheme="minorHAnsi" w:eastAsiaTheme="minorEastAsia" w:hAnsiTheme="minorHAnsi" w:cstheme="minorBidi"/>
          <w:noProof/>
          <w:sz w:val="22"/>
          <w:szCs w:val="22"/>
          <w:lang w:eastAsia="zh-CN"/>
        </w:rPr>
      </w:pPr>
      <w:hyperlink w:anchor="_Toc463335757" w:history="1">
        <w:r w:rsidR="00147946" w:rsidRPr="00CA61A6">
          <w:rPr>
            <w:rStyle w:val="Hyperlink"/>
            <w:noProof/>
          </w:rPr>
          <w:t>6</w:t>
        </w:r>
        <w:r w:rsidR="00147946" w:rsidRPr="00CA61A6">
          <w:rPr>
            <w:rFonts w:asciiTheme="minorHAnsi" w:eastAsiaTheme="minorEastAsia" w:hAnsiTheme="minorHAnsi" w:cstheme="minorBidi"/>
            <w:noProof/>
            <w:sz w:val="22"/>
            <w:szCs w:val="22"/>
            <w:lang w:eastAsia="zh-CN"/>
          </w:rPr>
          <w:tab/>
        </w:r>
        <w:r w:rsidR="00147946" w:rsidRPr="00CA61A6">
          <w:rPr>
            <w:rStyle w:val="Hyperlink"/>
            <w:noProof/>
          </w:rPr>
          <w:t xml:space="preserve">Resolución 20 - Procedimientos para la atribución y gestión de los recursos </w:t>
        </w:r>
        <w:r w:rsidR="00147946" w:rsidRPr="00CA61A6">
          <w:rPr>
            <w:rStyle w:val="Hyperlink"/>
            <w:noProof/>
          </w:rPr>
          <w:br/>
          <w:t xml:space="preserve">de numeración, denominación, direccionamiento e identificación internacionales </w:t>
        </w:r>
        <w:r w:rsidR="00147946" w:rsidRPr="00CA61A6">
          <w:rPr>
            <w:rStyle w:val="Hyperlink"/>
            <w:noProof/>
          </w:rPr>
          <w:br/>
          <w:t>de telecomunicaciones</w:t>
        </w:r>
        <w:r w:rsidR="00147946" w:rsidRPr="00CA61A6">
          <w:rPr>
            <w:noProof/>
            <w:webHidden/>
          </w:rPr>
          <w:tab/>
        </w:r>
        <w:r w:rsidR="00147946" w:rsidRPr="00CA61A6">
          <w:rPr>
            <w:noProof/>
            <w:webHidden/>
          </w:rPr>
          <w:tab/>
        </w:r>
        <w:r w:rsidR="00147946" w:rsidRPr="00CA61A6">
          <w:rPr>
            <w:noProof/>
            <w:webHidden/>
          </w:rPr>
          <w:fldChar w:fldCharType="begin"/>
        </w:r>
        <w:r w:rsidR="00147946" w:rsidRPr="00CA61A6">
          <w:rPr>
            <w:noProof/>
            <w:webHidden/>
          </w:rPr>
          <w:instrText xml:space="preserve"> PAGEREF _Toc463335757 \h </w:instrText>
        </w:r>
        <w:r w:rsidR="00147946" w:rsidRPr="00CA61A6">
          <w:rPr>
            <w:noProof/>
            <w:webHidden/>
          </w:rPr>
        </w:r>
        <w:r w:rsidR="00147946" w:rsidRPr="00CA61A6">
          <w:rPr>
            <w:noProof/>
            <w:webHidden/>
          </w:rPr>
          <w:fldChar w:fldCharType="separate"/>
        </w:r>
        <w:r w:rsidR="005559A8">
          <w:rPr>
            <w:noProof/>
            <w:webHidden/>
          </w:rPr>
          <w:t>19</w:t>
        </w:r>
        <w:r w:rsidR="00147946" w:rsidRPr="00CA61A6">
          <w:rPr>
            <w:noProof/>
            <w:webHidden/>
          </w:rPr>
          <w:fldChar w:fldCharType="end"/>
        </w:r>
      </w:hyperlink>
    </w:p>
    <w:p w:rsidR="00147946" w:rsidRPr="00CA61A6" w:rsidRDefault="00110CAD">
      <w:pPr>
        <w:pStyle w:val="TOC1"/>
        <w:rPr>
          <w:rFonts w:asciiTheme="minorHAnsi" w:eastAsiaTheme="minorEastAsia" w:hAnsiTheme="minorHAnsi" w:cstheme="minorBidi"/>
          <w:noProof/>
          <w:sz w:val="22"/>
          <w:szCs w:val="22"/>
          <w:lang w:eastAsia="zh-CN"/>
        </w:rPr>
      </w:pPr>
      <w:hyperlink w:anchor="_Toc463335758" w:history="1">
        <w:r w:rsidR="00147946" w:rsidRPr="00CA61A6">
          <w:rPr>
            <w:rStyle w:val="Hyperlink"/>
            <w:noProof/>
          </w:rPr>
          <w:t>7</w:t>
        </w:r>
        <w:r w:rsidR="00147946" w:rsidRPr="00CA61A6">
          <w:rPr>
            <w:rFonts w:asciiTheme="minorHAnsi" w:eastAsiaTheme="minorEastAsia" w:hAnsiTheme="minorHAnsi" w:cstheme="minorBidi"/>
            <w:noProof/>
            <w:sz w:val="22"/>
            <w:szCs w:val="22"/>
            <w:lang w:eastAsia="zh-CN"/>
          </w:rPr>
          <w:tab/>
        </w:r>
        <w:r w:rsidR="00147946" w:rsidRPr="00CA61A6">
          <w:rPr>
            <w:rStyle w:val="Hyperlink"/>
            <w:noProof/>
          </w:rPr>
          <w:t xml:space="preserve">Resolución 22 – Autorización para que el Grupo Asesor de Normalización </w:t>
        </w:r>
        <w:r w:rsidR="00147946" w:rsidRPr="00CA61A6">
          <w:rPr>
            <w:rStyle w:val="Hyperlink"/>
            <w:noProof/>
          </w:rPr>
          <w:br/>
          <w:t xml:space="preserve">de las Telecomunicaciones actúe en el periodo entre Asambleas Mundiales </w:t>
        </w:r>
        <w:r w:rsidR="00147946" w:rsidRPr="00CA61A6">
          <w:rPr>
            <w:rStyle w:val="Hyperlink"/>
            <w:noProof/>
          </w:rPr>
          <w:br/>
          <w:t>de Normalización de las Telecomunicaciones</w:t>
        </w:r>
        <w:r w:rsidR="00147946" w:rsidRPr="00CA61A6">
          <w:rPr>
            <w:noProof/>
            <w:webHidden/>
          </w:rPr>
          <w:tab/>
        </w:r>
        <w:r w:rsidR="00147946" w:rsidRPr="00CA61A6">
          <w:rPr>
            <w:noProof/>
            <w:webHidden/>
          </w:rPr>
          <w:tab/>
        </w:r>
        <w:r w:rsidR="00147946" w:rsidRPr="00CA61A6">
          <w:rPr>
            <w:noProof/>
            <w:webHidden/>
          </w:rPr>
          <w:fldChar w:fldCharType="begin"/>
        </w:r>
        <w:r w:rsidR="00147946" w:rsidRPr="00CA61A6">
          <w:rPr>
            <w:noProof/>
            <w:webHidden/>
          </w:rPr>
          <w:instrText xml:space="preserve"> PAGEREF _Toc463335758 \h </w:instrText>
        </w:r>
        <w:r w:rsidR="00147946" w:rsidRPr="00CA61A6">
          <w:rPr>
            <w:noProof/>
            <w:webHidden/>
          </w:rPr>
        </w:r>
        <w:r w:rsidR="00147946" w:rsidRPr="00CA61A6">
          <w:rPr>
            <w:noProof/>
            <w:webHidden/>
          </w:rPr>
          <w:fldChar w:fldCharType="separate"/>
        </w:r>
        <w:r w:rsidR="005559A8">
          <w:rPr>
            <w:noProof/>
            <w:webHidden/>
          </w:rPr>
          <w:t>23</w:t>
        </w:r>
        <w:r w:rsidR="00147946" w:rsidRPr="00CA61A6">
          <w:rPr>
            <w:noProof/>
            <w:webHidden/>
          </w:rPr>
          <w:fldChar w:fldCharType="end"/>
        </w:r>
      </w:hyperlink>
    </w:p>
    <w:p w:rsidR="00147946" w:rsidRPr="00CA61A6" w:rsidRDefault="00110CAD">
      <w:pPr>
        <w:pStyle w:val="TOC1"/>
        <w:rPr>
          <w:rFonts w:asciiTheme="minorHAnsi" w:eastAsiaTheme="minorEastAsia" w:hAnsiTheme="minorHAnsi" w:cstheme="minorBidi"/>
          <w:noProof/>
          <w:sz w:val="22"/>
          <w:szCs w:val="22"/>
          <w:lang w:eastAsia="zh-CN"/>
        </w:rPr>
      </w:pPr>
      <w:hyperlink w:anchor="_Toc463335759" w:history="1">
        <w:r w:rsidR="00147946" w:rsidRPr="00CA61A6">
          <w:rPr>
            <w:rStyle w:val="Hyperlink"/>
            <w:noProof/>
          </w:rPr>
          <w:t>8</w:t>
        </w:r>
        <w:r w:rsidR="00147946" w:rsidRPr="00CA61A6">
          <w:rPr>
            <w:rFonts w:asciiTheme="minorHAnsi" w:eastAsiaTheme="minorEastAsia" w:hAnsiTheme="minorHAnsi" w:cstheme="minorBidi"/>
            <w:noProof/>
            <w:sz w:val="22"/>
            <w:szCs w:val="22"/>
            <w:lang w:eastAsia="zh-CN"/>
          </w:rPr>
          <w:tab/>
        </w:r>
        <w:r w:rsidR="00147946" w:rsidRPr="00CA61A6">
          <w:rPr>
            <w:rStyle w:val="Hyperlink"/>
            <w:noProof/>
          </w:rPr>
          <w:t xml:space="preserve">Resolución 29 – Procedimientos alternativos de llamada en las redes </w:t>
        </w:r>
        <w:r w:rsidR="00147946" w:rsidRPr="00CA61A6">
          <w:rPr>
            <w:rStyle w:val="Hyperlink"/>
            <w:noProof/>
          </w:rPr>
          <w:br/>
          <w:t>internacionales de telecomunicación</w:t>
        </w:r>
        <w:r w:rsidR="00147946" w:rsidRPr="00CA61A6">
          <w:rPr>
            <w:noProof/>
            <w:webHidden/>
          </w:rPr>
          <w:tab/>
        </w:r>
        <w:r w:rsidR="00147946" w:rsidRPr="00CA61A6">
          <w:rPr>
            <w:noProof/>
            <w:webHidden/>
          </w:rPr>
          <w:tab/>
        </w:r>
        <w:r w:rsidR="00147946" w:rsidRPr="00CA61A6">
          <w:rPr>
            <w:noProof/>
            <w:webHidden/>
          </w:rPr>
          <w:fldChar w:fldCharType="begin"/>
        </w:r>
        <w:r w:rsidR="00147946" w:rsidRPr="00CA61A6">
          <w:rPr>
            <w:noProof/>
            <w:webHidden/>
          </w:rPr>
          <w:instrText xml:space="preserve"> PAGEREF _Toc463335759 \h </w:instrText>
        </w:r>
        <w:r w:rsidR="00147946" w:rsidRPr="00CA61A6">
          <w:rPr>
            <w:noProof/>
            <w:webHidden/>
          </w:rPr>
        </w:r>
        <w:r w:rsidR="00147946" w:rsidRPr="00CA61A6">
          <w:rPr>
            <w:noProof/>
            <w:webHidden/>
          </w:rPr>
          <w:fldChar w:fldCharType="separate"/>
        </w:r>
        <w:r w:rsidR="005559A8">
          <w:rPr>
            <w:noProof/>
            <w:webHidden/>
          </w:rPr>
          <w:t>25</w:t>
        </w:r>
        <w:r w:rsidR="00147946" w:rsidRPr="00CA61A6">
          <w:rPr>
            <w:noProof/>
            <w:webHidden/>
          </w:rPr>
          <w:fldChar w:fldCharType="end"/>
        </w:r>
      </w:hyperlink>
    </w:p>
    <w:p w:rsidR="00147946" w:rsidRPr="00CA61A6" w:rsidRDefault="00110CAD">
      <w:pPr>
        <w:pStyle w:val="TOC1"/>
        <w:rPr>
          <w:rFonts w:asciiTheme="minorHAnsi" w:eastAsiaTheme="minorEastAsia" w:hAnsiTheme="minorHAnsi" w:cstheme="minorBidi"/>
          <w:noProof/>
          <w:sz w:val="22"/>
          <w:szCs w:val="22"/>
          <w:lang w:eastAsia="zh-CN"/>
        </w:rPr>
      </w:pPr>
      <w:hyperlink w:anchor="_Toc463335760" w:history="1">
        <w:r w:rsidR="00147946" w:rsidRPr="00CA61A6">
          <w:rPr>
            <w:rStyle w:val="Hyperlink"/>
            <w:noProof/>
          </w:rPr>
          <w:t>9</w:t>
        </w:r>
        <w:r w:rsidR="00147946" w:rsidRPr="00CA61A6">
          <w:rPr>
            <w:rFonts w:asciiTheme="minorHAnsi" w:eastAsiaTheme="minorEastAsia" w:hAnsiTheme="minorHAnsi" w:cstheme="minorBidi"/>
            <w:noProof/>
            <w:sz w:val="22"/>
            <w:szCs w:val="22"/>
            <w:lang w:eastAsia="zh-CN"/>
          </w:rPr>
          <w:tab/>
        </w:r>
        <w:r w:rsidR="00147946" w:rsidRPr="00CA61A6">
          <w:rPr>
            <w:rStyle w:val="Hyperlink"/>
            <w:noProof/>
          </w:rPr>
          <w:t xml:space="preserve">Resolución 31 – Admisión de entidades u organizaciones para participar </w:t>
        </w:r>
        <w:r w:rsidR="00147946" w:rsidRPr="00CA61A6">
          <w:rPr>
            <w:rStyle w:val="Hyperlink"/>
            <w:noProof/>
          </w:rPr>
          <w:br/>
          <w:t xml:space="preserve">como Asociados en los trabajos del Sector de Normalización de las </w:t>
        </w:r>
        <w:r w:rsidR="00147946" w:rsidRPr="00CA61A6">
          <w:rPr>
            <w:rStyle w:val="Hyperlink"/>
            <w:noProof/>
          </w:rPr>
          <w:br/>
          <w:t>Telecomunicaciones de la UIT</w:t>
        </w:r>
        <w:r w:rsidR="00147946" w:rsidRPr="00CA61A6">
          <w:rPr>
            <w:noProof/>
            <w:webHidden/>
          </w:rPr>
          <w:tab/>
        </w:r>
        <w:r w:rsidR="00147946" w:rsidRPr="00CA61A6">
          <w:rPr>
            <w:noProof/>
            <w:webHidden/>
          </w:rPr>
          <w:tab/>
        </w:r>
        <w:r w:rsidR="00147946" w:rsidRPr="00CA61A6">
          <w:rPr>
            <w:noProof/>
            <w:webHidden/>
          </w:rPr>
          <w:fldChar w:fldCharType="begin"/>
        </w:r>
        <w:r w:rsidR="00147946" w:rsidRPr="00CA61A6">
          <w:rPr>
            <w:noProof/>
            <w:webHidden/>
          </w:rPr>
          <w:instrText xml:space="preserve"> PAGEREF _Toc463335760 \h </w:instrText>
        </w:r>
        <w:r w:rsidR="00147946" w:rsidRPr="00CA61A6">
          <w:rPr>
            <w:noProof/>
            <w:webHidden/>
          </w:rPr>
        </w:r>
        <w:r w:rsidR="00147946" w:rsidRPr="00CA61A6">
          <w:rPr>
            <w:noProof/>
            <w:webHidden/>
          </w:rPr>
          <w:fldChar w:fldCharType="separate"/>
        </w:r>
        <w:r w:rsidR="005559A8">
          <w:rPr>
            <w:noProof/>
            <w:webHidden/>
          </w:rPr>
          <w:t>28</w:t>
        </w:r>
        <w:r w:rsidR="00147946" w:rsidRPr="00CA61A6">
          <w:rPr>
            <w:noProof/>
            <w:webHidden/>
          </w:rPr>
          <w:fldChar w:fldCharType="end"/>
        </w:r>
      </w:hyperlink>
    </w:p>
    <w:p w:rsidR="00147946" w:rsidRPr="00CA61A6" w:rsidRDefault="00110CAD">
      <w:pPr>
        <w:pStyle w:val="TOC1"/>
        <w:rPr>
          <w:rFonts w:asciiTheme="minorHAnsi" w:eastAsiaTheme="minorEastAsia" w:hAnsiTheme="minorHAnsi" w:cstheme="minorBidi"/>
          <w:noProof/>
          <w:sz w:val="22"/>
          <w:szCs w:val="22"/>
          <w:lang w:eastAsia="zh-CN"/>
        </w:rPr>
      </w:pPr>
      <w:hyperlink w:anchor="_Toc463335761" w:history="1">
        <w:r w:rsidR="00147946" w:rsidRPr="00CA61A6">
          <w:rPr>
            <w:rStyle w:val="Hyperlink"/>
            <w:noProof/>
          </w:rPr>
          <w:t>10</w:t>
        </w:r>
        <w:r w:rsidR="00147946" w:rsidRPr="00CA61A6">
          <w:rPr>
            <w:rFonts w:asciiTheme="minorHAnsi" w:eastAsiaTheme="minorEastAsia" w:hAnsiTheme="minorHAnsi" w:cstheme="minorBidi"/>
            <w:noProof/>
            <w:sz w:val="22"/>
            <w:szCs w:val="22"/>
            <w:lang w:eastAsia="zh-CN"/>
          </w:rPr>
          <w:tab/>
        </w:r>
        <w:r w:rsidR="00147946" w:rsidRPr="00CA61A6">
          <w:rPr>
            <w:rStyle w:val="Hyperlink"/>
            <w:noProof/>
          </w:rPr>
          <w:t xml:space="preserve">Resolución 32 – Fortalecimiento de los métodos de trabajo electrónico del </w:t>
        </w:r>
        <w:r w:rsidR="00147946" w:rsidRPr="00CA61A6">
          <w:rPr>
            <w:rStyle w:val="Hyperlink"/>
            <w:noProof/>
          </w:rPr>
          <w:br/>
          <w:t>Sector de Normalización de las Telecomunicaciones de la UIT</w:t>
        </w:r>
        <w:r w:rsidR="00147946" w:rsidRPr="00CA61A6">
          <w:rPr>
            <w:noProof/>
            <w:webHidden/>
          </w:rPr>
          <w:tab/>
        </w:r>
        <w:r w:rsidR="00147946" w:rsidRPr="00CA61A6">
          <w:rPr>
            <w:noProof/>
            <w:webHidden/>
          </w:rPr>
          <w:tab/>
        </w:r>
        <w:r w:rsidR="00147946" w:rsidRPr="00CA61A6">
          <w:rPr>
            <w:noProof/>
            <w:webHidden/>
          </w:rPr>
          <w:fldChar w:fldCharType="begin"/>
        </w:r>
        <w:r w:rsidR="00147946" w:rsidRPr="00CA61A6">
          <w:rPr>
            <w:noProof/>
            <w:webHidden/>
          </w:rPr>
          <w:instrText xml:space="preserve"> PAGEREF _Toc463335761 \h </w:instrText>
        </w:r>
        <w:r w:rsidR="00147946" w:rsidRPr="00CA61A6">
          <w:rPr>
            <w:noProof/>
            <w:webHidden/>
          </w:rPr>
        </w:r>
        <w:r w:rsidR="00147946" w:rsidRPr="00CA61A6">
          <w:rPr>
            <w:noProof/>
            <w:webHidden/>
          </w:rPr>
          <w:fldChar w:fldCharType="separate"/>
        </w:r>
        <w:r w:rsidR="005559A8">
          <w:rPr>
            <w:noProof/>
            <w:webHidden/>
          </w:rPr>
          <w:t>29</w:t>
        </w:r>
        <w:r w:rsidR="00147946" w:rsidRPr="00CA61A6">
          <w:rPr>
            <w:noProof/>
            <w:webHidden/>
          </w:rPr>
          <w:fldChar w:fldCharType="end"/>
        </w:r>
      </w:hyperlink>
    </w:p>
    <w:p w:rsidR="00147946" w:rsidRPr="00CA61A6" w:rsidRDefault="00110CAD">
      <w:pPr>
        <w:pStyle w:val="TOC1"/>
        <w:rPr>
          <w:rFonts w:asciiTheme="minorHAnsi" w:eastAsiaTheme="minorEastAsia" w:hAnsiTheme="minorHAnsi" w:cstheme="minorBidi"/>
          <w:noProof/>
          <w:sz w:val="22"/>
          <w:szCs w:val="22"/>
          <w:lang w:eastAsia="zh-CN"/>
        </w:rPr>
      </w:pPr>
      <w:hyperlink w:anchor="_Toc463335762" w:history="1">
        <w:r w:rsidR="00147946" w:rsidRPr="00CA61A6">
          <w:rPr>
            <w:rStyle w:val="Hyperlink"/>
            <w:noProof/>
          </w:rPr>
          <w:t>11</w:t>
        </w:r>
        <w:r w:rsidR="00147946" w:rsidRPr="00CA61A6">
          <w:rPr>
            <w:rFonts w:asciiTheme="minorHAnsi" w:eastAsiaTheme="minorEastAsia" w:hAnsiTheme="minorHAnsi" w:cstheme="minorBidi"/>
            <w:noProof/>
            <w:sz w:val="22"/>
            <w:szCs w:val="22"/>
            <w:lang w:eastAsia="zh-CN"/>
          </w:rPr>
          <w:tab/>
        </w:r>
        <w:r w:rsidR="00147946" w:rsidRPr="00CA61A6">
          <w:rPr>
            <w:rStyle w:val="Hyperlink"/>
            <w:noProof/>
          </w:rPr>
          <w:t xml:space="preserve">Resolución 33 – Directrices para las actividades estratégicas del Sector de </w:t>
        </w:r>
        <w:r w:rsidR="00147946" w:rsidRPr="00CA61A6">
          <w:rPr>
            <w:rStyle w:val="Hyperlink"/>
            <w:noProof/>
          </w:rPr>
          <w:br/>
          <w:t>Normalización de las Telecomunicaciones de la UIT</w:t>
        </w:r>
        <w:r w:rsidR="00147946" w:rsidRPr="00CA61A6">
          <w:rPr>
            <w:noProof/>
            <w:webHidden/>
          </w:rPr>
          <w:tab/>
        </w:r>
        <w:r w:rsidR="00147946" w:rsidRPr="00CA61A6">
          <w:rPr>
            <w:noProof/>
            <w:webHidden/>
          </w:rPr>
          <w:tab/>
        </w:r>
        <w:r w:rsidR="00147946" w:rsidRPr="00CA61A6">
          <w:rPr>
            <w:noProof/>
            <w:webHidden/>
          </w:rPr>
          <w:fldChar w:fldCharType="begin"/>
        </w:r>
        <w:r w:rsidR="00147946" w:rsidRPr="00CA61A6">
          <w:rPr>
            <w:noProof/>
            <w:webHidden/>
          </w:rPr>
          <w:instrText xml:space="preserve"> PAGEREF _Toc463335762 \h </w:instrText>
        </w:r>
        <w:r w:rsidR="00147946" w:rsidRPr="00CA61A6">
          <w:rPr>
            <w:noProof/>
            <w:webHidden/>
          </w:rPr>
        </w:r>
        <w:r w:rsidR="00147946" w:rsidRPr="00CA61A6">
          <w:rPr>
            <w:noProof/>
            <w:webHidden/>
          </w:rPr>
          <w:fldChar w:fldCharType="separate"/>
        </w:r>
        <w:r w:rsidR="005559A8">
          <w:rPr>
            <w:noProof/>
            <w:webHidden/>
          </w:rPr>
          <w:t>34</w:t>
        </w:r>
        <w:r w:rsidR="00147946" w:rsidRPr="00CA61A6">
          <w:rPr>
            <w:noProof/>
            <w:webHidden/>
          </w:rPr>
          <w:fldChar w:fldCharType="end"/>
        </w:r>
      </w:hyperlink>
    </w:p>
    <w:p w:rsidR="00147946" w:rsidRPr="00CA61A6" w:rsidRDefault="00110CAD">
      <w:pPr>
        <w:pStyle w:val="TOC1"/>
        <w:rPr>
          <w:rFonts w:asciiTheme="minorHAnsi" w:eastAsiaTheme="minorEastAsia" w:hAnsiTheme="minorHAnsi" w:cstheme="minorBidi"/>
          <w:noProof/>
          <w:sz w:val="22"/>
          <w:szCs w:val="22"/>
          <w:lang w:eastAsia="zh-CN"/>
        </w:rPr>
      </w:pPr>
      <w:hyperlink w:anchor="_Toc463335763" w:history="1">
        <w:r w:rsidR="00147946" w:rsidRPr="00CA61A6">
          <w:rPr>
            <w:rStyle w:val="Hyperlink"/>
            <w:noProof/>
          </w:rPr>
          <w:t>12</w:t>
        </w:r>
        <w:r w:rsidR="00147946" w:rsidRPr="00CA61A6">
          <w:rPr>
            <w:rFonts w:asciiTheme="minorHAnsi" w:eastAsiaTheme="minorEastAsia" w:hAnsiTheme="minorHAnsi" w:cstheme="minorBidi"/>
            <w:noProof/>
            <w:sz w:val="22"/>
            <w:szCs w:val="22"/>
            <w:lang w:eastAsia="zh-CN"/>
          </w:rPr>
          <w:tab/>
        </w:r>
        <w:r w:rsidR="00147946" w:rsidRPr="00CA61A6">
          <w:rPr>
            <w:rStyle w:val="Hyperlink"/>
            <w:noProof/>
          </w:rPr>
          <w:t>Resolución 34 – Contribuciones voluntarias</w:t>
        </w:r>
        <w:r w:rsidR="00147946" w:rsidRPr="00CA61A6">
          <w:rPr>
            <w:noProof/>
            <w:webHidden/>
          </w:rPr>
          <w:tab/>
        </w:r>
        <w:r w:rsidR="00147946" w:rsidRPr="00CA61A6">
          <w:rPr>
            <w:noProof/>
            <w:webHidden/>
          </w:rPr>
          <w:tab/>
        </w:r>
        <w:r w:rsidR="00147946" w:rsidRPr="00CA61A6">
          <w:rPr>
            <w:noProof/>
            <w:webHidden/>
          </w:rPr>
          <w:fldChar w:fldCharType="begin"/>
        </w:r>
        <w:r w:rsidR="00147946" w:rsidRPr="00CA61A6">
          <w:rPr>
            <w:noProof/>
            <w:webHidden/>
          </w:rPr>
          <w:instrText xml:space="preserve"> PAGEREF _Toc463335763 \h </w:instrText>
        </w:r>
        <w:r w:rsidR="00147946" w:rsidRPr="00CA61A6">
          <w:rPr>
            <w:noProof/>
            <w:webHidden/>
          </w:rPr>
        </w:r>
        <w:r w:rsidR="00147946" w:rsidRPr="00CA61A6">
          <w:rPr>
            <w:noProof/>
            <w:webHidden/>
          </w:rPr>
          <w:fldChar w:fldCharType="separate"/>
        </w:r>
        <w:r w:rsidR="005559A8">
          <w:rPr>
            <w:noProof/>
            <w:webHidden/>
          </w:rPr>
          <w:t>36</w:t>
        </w:r>
        <w:r w:rsidR="00147946" w:rsidRPr="00CA61A6">
          <w:rPr>
            <w:noProof/>
            <w:webHidden/>
          </w:rPr>
          <w:fldChar w:fldCharType="end"/>
        </w:r>
      </w:hyperlink>
    </w:p>
    <w:p w:rsidR="00147946" w:rsidRPr="00CA61A6" w:rsidRDefault="00110CAD">
      <w:pPr>
        <w:pStyle w:val="TOC1"/>
        <w:rPr>
          <w:rFonts w:asciiTheme="minorHAnsi" w:eastAsiaTheme="minorEastAsia" w:hAnsiTheme="minorHAnsi" w:cstheme="minorBidi"/>
          <w:noProof/>
          <w:sz w:val="22"/>
          <w:szCs w:val="22"/>
          <w:lang w:eastAsia="zh-CN"/>
        </w:rPr>
      </w:pPr>
      <w:hyperlink w:anchor="_Toc463335764" w:history="1">
        <w:r w:rsidR="00147946" w:rsidRPr="00CA61A6">
          <w:rPr>
            <w:rStyle w:val="Hyperlink"/>
            <w:noProof/>
          </w:rPr>
          <w:t>13</w:t>
        </w:r>
        <w:r w:rsidR="00147946" w:rsidRPr="00CA61A6">
          <w:rPr>
            <w:rFonts w:asciiTheme="minorHAnsi" w:eastAsiaTheme="minorEastAsia" w:hAnsiTheme="minorHAnsi" w:cstheme="minorBidi"/>
            <w:noProof/>
            <w:sz w:val="22"/>
            <w:szCs w:val="22"/>
            <w:lang w:eastAsia="zh-CN"/>
          </w:rPr>
          <w:tab/>
        </w:r>
        <w:r w:rsidR="00147946" w:rsidRPr="00CA61A6">
          <w:rPr>
            <w:rStyle w:val="Hyperlink"/>
            <w:noProof/>
          </w:rPr>
          <w:t>Resolución 35 – Nombramiento y duración máxima del mandato de los Presidentes y Vicepresidentes de las Comisiones de Estudio del Sector de Normalización de las Telecomunicaciones de la UIT y del Grupo Asesor de Normalización de las Telecomunicaciones</w:t>
        </w:r>
        <w:r w:rsidR="00147946" w:rsidRPr="00CA61A6">
          <w:rPr>
            <w:noProof/>
            <w:webHidden/>
          </w:rPr>
          <w:tab/>
        </w:r>
        <w:r w:rsidR="00147946" w:rsidRPr="00CA61A6">
          <w:rPr>
            <w:noProof/>
            <w:webHidden/>
          </w:rPr>
          <w:tab/>
        </w:r>
        <w:r w:rsidR="00147946" w:rsidRPr="00CA61A6">
          <w:rPr>
            <w:noProof/>
            <w:webHidden/>
          </w:rPr>
          <w:fldChar w:fldCharType="begin"/>
        </w:r>
        <w:r w:rsidR="00147946" w:rsidRPr="00CA61A6">
          <w:rPr>
            <w:noProof/>
            <w:webHidden/>
          </w:rPr>
          <w:instrText xml:space="preserve"> PAGEREF _Toc463335764 \h </w:instrText>
        </w:r>
        <w:r w:rsidR="00147946" w:rsidRPr="00CA61A6">
          <w:rPr>
            <w:noProof/>
            <w:webHidden/>
          </w:rPr>
        </w:r>
        <w:r w:rsidR="00147946" w:rsidRPr="00CA61A6">
          <w:rPr>
            <w:noProof/>
            <w:webHidden/>
          </w:rPr>
          <w:fldChar w:fldCharType="separate"/>
        </w:r>
        <w:r w:rsidR="005559A8">
          <w:rPr>
            <w:noProof/>
            <w:webHidden/>
          </w:rPr>
          <w:t>37</w:t>
        </w:r>
        <w:r w:rsidR="00147946" w:rsidRPr="00CA61A6">
          <w:rPr>
            <w:noProof/>
            <w:webHidden/>
          </w:rPr>
          <w:fldChar w:fldCharType="end"/>
        </w:r>
      </w:hyperlink>
    </w:p>
    <w:p w:rsidR="00147946" w:rsidRPr="00CA61A6" w:rsidRDefault="00110CAD">
      <w:pPr>
        <w:pStyle w:val="TOC1"/>
        <w:rPr>
          <w:rFonts w:asciiTheme="minorHAnsi" w:eastAsiaTheme="minorEastAsia" w:hAnsiTheme="minorHAnsi" w:cstheme="minorBidi"/>
          <w:noProof/>
          <w:sz w:val="22"/>
          <w:szCs w:val="22"/>
          <w:lang w:eastAsia="zh-CN"/>
        </w:rPr>
      </w:pPr>
      <w:hyperlink w:anchor="_Toc463335765" w:history="1">
        <w:r w:rsidR="00147946" w:rsidRPr="00CA61A6">
          <w:rPr>
            <w:rStyle w:val="Hyperlink"/>
            <w:noProof/>
          </w:rPr>
          <w:t>14</w:t>
        </w:r>
        <w:r w:rsidR="00147946" w:rsidRPr="00CA61A6">
          <w:rPr>
            <w:rFonts w:asciiTheme="minorHAnsi" w:eastAsiaTheme="minorEastAsia" w:hAnsiTheme="minorHAnsi" w:cstheme="minorBidi"/>
            <w:noProof/>
            <w:sz w:val="22"/>
            <w:szCs w:val="22"/>
            <w:lang w:eastAsia="zh-CN"/>
          </w:rPr>
          <w:tab/>
        </w:r>
        <w:r w:rsidR="00147946" w:rsidRPr="00CA61A6">
          <w:rPr>
            <w:rStyle w:val="Hyperlink"/>
            <w:noProof/>
          </w:rPr>
          <w:t xml:space="preserve">Resolución 38 – Coordinación entre los tres Sectores de la UIT para las </w:t>
        </w:r>
        <w:r w:rsidR="00147946" w:rsidRPr="00CA61A6">
          <w:rPr>
            <w:rStyle w:val="Hyperlink"/>
            <w:noProof/>
          </w:rPr>
          <w:br/>
          <w:t>actividades relativas a las Telecomunicaciones Móviles Internacionales</w:t>
        </w:r>
        <w:r w:rsidR="00147946" w:rsidRPr="00CA61A6">
          <w:rPr>
            <w:noProof/>
            <w:webHidden/>
          </w:rPr>
          <w:tab/>
        </w:r>
        <w:r w:rsidR="00147946" w:rsidRPr="00CA61A6">
          <w:rPr>
            <w:noProof/>
            <w:webHidden/>
          </w:rPr>
          <w:tab/>
        </w:r>
        <w:r w:rsidR="00147946" w:rsidRPr="00CA61A6">
          <w:rPr>
            <w:noProof/>
            <w:webHidden/>
          </w:rPr>
          <w:fldChar w:fldCharType="begin"/>
        </w:r>
        <w:r w:rsidR="00147946" w:rsidRPr="00CA61A6">
          <w:rPr>
            <w:noProof/>
            <w:webHidden/>
          </w:rPr>
          <w:instrText xml:space="preserve"> PAGEREF _Toc463335765 \h </w:instrText>
        </w:r>
        <w:r w:rsidR="00147946" w:rsidRPr="00CA61A6">
          <w:rPr>
            <w:noProof/>
            <w:webHidden/>
          </w:rPr>
        </w:r>
        <w:r w:rsidR="00147946" w:rsidRPr="00CA61A6">
          <w:rPr>
            <w:noProof/>
            <w:webHidden/>
          </w:rPr>
          <w:fldChar w:fldCharType="separate"/>
        </w:r>
        <w:r w:rsidR="005559A8">
          <w:rPr>
            <w:noProof/>
            <w:webHidden/>
          </w:rPr>
          <w:t>38</w:t>
        </w:r>
        <w:r w:rsidR="00147946" w:rsidRPr="00CA61A6">
          <w:rPr>
            <w:noProof/>
            <w:webHidden/>
          </w:rPr>
          <w:fldChar w:fldCharType="end"/>
        </w:r>
      </w:hyperlink>
    </w:p>
    <w:p w:rsidR="00147946" w:rsidRPr="00CA61A6" w:rsidRDefault="00110CAD">
      <w:pPr>
        <w:pStyle w:val="TOC1"/>
        <w:rPr>
          <w:rFonts w:asciiTheme="minorHAnsi" w:eastAsiaTheme="minorEastAsia" w:hAnsiTheme="minorHAnsi" w:cstheme="minorBidi"/>
          <w:noProof/>
          <w:sz w:val="22"/>
          <w:szCs w:val="22"/>
          <w:lang w:eastAsia="zh-CN"/>
        </w:rPr>
      </w:pPr>
      <w:hyperlink w:anchor="_Toc463335766" w:history="1">
        <w:r w:rsidR="00147946" w:rsidRPr="00CA61A6">
          <w:rPr>
            <w:rStyle w:val="Hyperlink"/>
            <w:noProof/>
          </w:rPr>
          <w:t>15</w:t>
        </w:r>
        <w:r w:rsidR="00147946" w:rsidRPr="00CA61A6">
          <w:rPr>
            <w:rFonts w:asciiTheme="minorHAnsi" w:eastAsiaTheme="minorEastAsia" w:hAnsiTheme="minorHAnsi" w:cstheme="minorBidi"/>
            <w:noProof/>
            <w:sz w:val="22"/>
            <w:szCs w:val="22"/>
            <w:lang w:eastAsia="zh-CN"/>
          </w:rPr>
          <w:tab/>
        </w:r>
        <w:r w:rsidR="00147946" w:rsidRPr="00CA61A6">
          <w:rPr>
            <w:rStyle w:val="Hyperlink"/>
            <w:noProof/>
          </w:rPr>
          <w:t xml:space="preserve">Resolución 40 – Aspectos reglamentarios de la labor del Sector de Normalización </w:t>
        </w:r>
        <w:r w:rsidR="007C70C8" w:rsidRPr="00CA61A6">
          <w:rPr>
            <w:rStyle w:val="Hyperlink"/>
            <w:noProof/>
          </w:rPr>
          <w:br/>
        </w:r>
        <w:r w:rsidR="00147946" w:rsidRPr="00CA61A6">
          <w:rPr>
            <w:rStyle w:val="Hyperlink"/>
            <w:noProof/>
          </w:rPr>
          <w:t>de las Telecomunicaciones de la UIT</w:t>
        </w:r>
        <w:r w:rsidR="00147946" w:rsidRPr="00CA61A6">
          <w:rPr>
            <w:noProof/>
            <w:webHidden/>
          </w:rPr>
          <w:tab/>
        </w:r>
        <w:r w:rsidR="007C70C8" w:rsidRPr="00CA61A6">
          <w:rPr>
            <w:noProof/>
            <w:webHidden/>
          </w:rPr>
          <w:tab/>
        </w:r>
        <w:r w:rsidR="00147946" w:rsidRPr="00CA61A6">
          <w:rPr>
            <w:noProof/>
            <w:webHidden/>
          </w:rPr>
          <w:fldChar w:fldCharType="begin"/>
        </w:r>
        <w:r w:rsidR="00147946" w:rsidRPr="00CA61A6">
          <w:rPr>
            <w:noProof/>
            <w:webHidden/>
          </w:rPr>
          <w:instrText xml:space="preserve"> PAGEREF _Toc463335766 \h </w:instrText>
        </w:r>
        <w:r w:rsidR="00147946" w:rsidRPr="00CA61A6">
          <w:rPr>
            <w:noProof/>
            <w:webHidden/>
          </w:rPr>
        </w:r>
        <w:r w:rsidR="00147946" w:rsidRPr="00CA61A6">
          <w:rPr>
            <w:noProof/>
            <w:webHidden/>
          </w:rPr>
          <w:fldChar w:fldCharType="separate"/>
        </w:r>
        <w:r w:rsidR="005559A8">
          <w:rPr>
            <w:noProof/>
            <w:webHidden/>
          </w:rPr>
          <w:t>39</w:t>
        </w:r>
        <w:r w:rsidR="00147946" w:rsidRPr="00CA61A6">
          <w:rPr>
            <w:noProof/>
            <w:webHidden/>
          </w:rPr>
          <w:fldChar w:fldCharType="end"/>
        </w:r>
      </w:hyperlink>
    </w:p>
    <w:p w:rsidR="00147946" w:rsidRPr="00CA61A6" w:rsidRDefault="00110CAD">
      <w:pPr>
        <w:pStyle w:val="TOC1"/>
        <w:rPr>
          <w:rFonts w:asciiTheme="minorHAnsi" w:eastAsiaTheme="minorEastAsia" w:hAnsiTheme="minorHAnsi" w:cstheme="minorBidi"/>
          <w:noProof/>
          <w:sz w:val="22"/>
          <w:szCs w:val="22"/>
          <w:lang w:eastAsia="zh-CN"/>
        </w:rPr>
      </w:pPr>
      <w:hyperlink w:anchor="_Toc463335767" w:history="1">
        <w:r w:rsidR="00147946" w:rsidRPr="00CA61A6">
          <w:rPr>
            <w:rStyle w:val="Hyperlink"/>
            <w:noProof/>
          </w:rPr>
          <w:t>16</w:t>
        </w:r>
        <w:r w:rsidR="00147946" w:rsidRPr="00CA61A6">
          <w:rPr>
            <w:rFonts w:asciiTheme="minorHAnsi" w:eastAsiaTheme="minorEastAsia" w:hAnsiTheme="minorHAnsi" w:cstheme="minorBidi"/>
            <w:noProof/>
            <w:sz w:val="22"/>
            <w:szCs w:val="22"/>
            <w:lang w:eastAsia="zh-CN"/>
          </w:rPr>
          <w:tab/>
        </w:r>
        <w:r w:rsidR="00147946" w:rsidRPr="00CA61A6">
          <w:rPr>
            <w:rStyle w:val="Hyperlink"/>
            <w:noProof/>
          </w:rPr>
          <w:t xml:space="preserve">Resolución 43 – Preparativos regionales para las Asambleas Mundiales de </w:t>
        </w:r>
        <w:r w:rsidR="007C70C8" w:rsidRPr="00CA61A6">
          <w:rPr>
            <w:rStyle w:val="Hyperlink"/>
            <w:noProof/>
          </w:rPr>
          <w:br/>
        </w:r>
        <w:r w:rsidR="00147946" w:rsidRPr="00CA61A6">
          <w:rPr>
            <w:rStyle w:val="Hyperlink"/>
            <w:noProof/>
          </w:rPr>
          <w:t>Normalización de las Telecomunicaciones</w:t>
        </w:r>
        <w:r w:rsidR="00147946" w:rsidRPr="00CA61A6">
          <w:rPr>
            <w:noProof/>
            <w:webHidden/>
          </w:rPr>
          <w:tab/>
        </w:r>
        <w:r w:rsidR="007C70C8" w:rsidRPr="00CA61A6">
          <w:rPr>
            <w:noProof/>
            <w:webHidden/>
          </w:rPr>
          <w:tab/>
        </w:r>
        <w:r w:rsidR="00147946" w:rsidRPr="00CA61A6">
          <w:rPr>
            <w:noProof/>
            <w:webHidden/>
          </w:rPr>
          <w:fldChar w:fldCharType="begin"/>
        </w:r>
        <w:r w:rsidR="00147946" w:rsidRPr="00CA61A6">
          <w:rPr>
            <w:noProof/>
            <w:webHidden/>
          </w:rPr>
          <w:instrText xml:space="preserve"> PAGEREF _Toc463335767 \h </w:instrText>
        </w:r>
        <w:r w:rsidR="00147946" w:rsidRPr="00CA61A6">
          <w:rPr>
            <w:noProof/>
            <w:webHidden/>
          </w:rPr>
        </w:r>
        <w:r w:rsidR="00147946" w:rsidRPr="00CA61A6">
          <w:rPr>
            <w:noProof/>
            <w:webHidden/>
          </w:rPr>
          <w:fldChar w:fldCharType="separate"/>
        </w:r>
        <w:r w:rsidR="005559A8">
          <w:rPr>
            <w:noProof/>
            <w:webHidden/>
          </w:rPr>
          <w:t>40</w:t>
        </w:r>
        <w:r w:rsidR="00147946" w:rsidRPr="00CA61A6">
          <w:rPr>
            <w:noProof/>
            <w:webHidden/>
          </w:rPr>
          <w:fldChar w:fldCharType="end"/>
        </w:r>
      </w:hyperlink>
    </w:p>
    <w:p w:rsidR="00147946" w:rsidRPr="00CA61A6" w:rsidRDefault="00110CAD">
      <w:pPr>
        <w:pStyle w:val="TOC1"/>
        <w:rPr>
          <w:rFonts w:asciiTheme="minorHAnsi" w:eastAsiaTheme="minorEastAsia" w:hAnsiTheme="minorHAnsi" w:cstheme="minorBidi"/>
          <w:noProof/>
          <w:sz w:val="22"/>
          <w:szCs w:val="22"/>
          <w:lang w:eastAsia="zh-CN"/>
        </w:rPr>
      </w:pPr>
      <w:hyperlink w:anchor="_Toc463335768" w:history="1">
        <w:r w:rsidR="00147946" w:rsidRPr="00CA61A6">
          <w:rPr>
            <w:rStyle w:val="Hyperlink"/>
            <w:noProof/>
          </w:rPr>
          <w:t>17</w:t>
        </w:r>
        <w:r w:rsidR="00147946" w:rsidRPr="00CA61A6">
          <w:rPr>
            <w:rFonts w:asciiTheme="minorHAnsi" w:eastAsiaTheme="minorEastAsia" w:hAnsiTheme="minorHAnsi" w:cstheme="minorBidi"/>
            <w:noProof/>
            <w:sz w:val="22"/>
            <w:szCs w:val="22"/>
            <w:lang w:eastAsia="zh-CN"/>
          </w:rPr>
          <w:tab/>
        </w:r>
        <w:r w:rsidR="00147946" w:rsidRPr="00CA61A6">
          <w:rPr>
            <w:rStyle w:val="Hyperlink"/>
            <w:noProof/>
          </w:rPr>
          <w:t xml:space="preserve">Resolución 44 – Reducción de la disparidad entre los países en desarrollo y </w:t>
        </w:r>
        <w:r w:rsidR="007C70C8" w:rsidRPr="00CA61A6">
          <w:rPr>
            <w:rStyle w:val="Hyperlink"/>
            <w:noProof/>
          </w:rPr>
          <w:br/>
        </w:r>
        <w:r w:rsidR="00147946" w:rsidRPr="00CA61A6">
          <w:rPr>
            <w:rStyle w:val="Hyperlink"/>
            <w:noProof/>
          </w:rPr>
          <w:t>desarrollados en materia de normalización</w:t>
        </w:r>
        <w:r w:rsidR="00147946" w:rsidRPr="00CA61A6">
          <w:rPr>
            <w:noProof/>
            <w:webHidden/>
          </w:rPr>
          <w:tab/>
        </w:r>
        <w:r w:rsidR="007C70C8" w:rsidRPr="00CA61A6">
          <w:rPr>
            <w:noProof/>
            <w:webHidden/>
          </w:rPr>
          <w:tab/>
        </w:r>
        <w:r w:rsidR="00147946" w:rsidRPr="00CA61A6">
          <w:rPr>
            <w:noProof/>
            <w:webHidden/>
          </w:rPr>
          <w:fldChar w:fldCharType="begin"/>
        </w:r>
        <w:r w:rsidR="00147946" w:rsidRPr="00CA61A6">
          <w:rPr>
            <w:noProof/>
            <w:webHidden/>
          </w:rPr>
          <w:instrText xml:space="preserve"> PAGEREF _Toc463335768 \h </w:instrText>
        </w:r>
        <w:r w:rsidR="00147946" w:rsidRPr="00CA61A6">
          <w:rPr>
            <w:noProof/>
            <w:webHidden/>
          </w:rPr>
        </w:r>
        <w:r w:rsidR="00147946" w:rsidRPr="00CA61A6">
          <w:rPr>
            <w:noProof/>
            <w:webHidden/>
          </w:rPr>
          <w:fldChar w:fldCharType="separate"/>
        </w:r>
        <w:r w:rsidR="005559A8">
          <w:rPr>
            <w:noProof/>
            <w:webHidden/>
          </w:rPr>
          <w:t>42</w:t>
        </w:r>
        <w:r w:rsidR="00147946" w:rsidRPr="00CA61A6">
          <w:rPr>
            <w:noProof/>
            <w:webHidden/>
          </w:rPr>
          <w:fldChar w:fldCharType="end"/>
        </w:r>
      </w:hyperlink>
    </w:p>
    <w:p w:rsidR="00147946" w:rsidRPr="00CA61A6" w:rsidRDefault="00110CAD">
      <w:pPr>
        <w:pStyle w:val="TOC1"/>
        <w:rPr>
          <w:rFonts w:asciiTheme="minorHAnsi" w:eastAsiaTheme="minorEastAsia" w:hAnsiTheme="minorHAnsi" w:cstheme="minorBidi"/>
          <w:noProof/>
          <w:sz w:val="22"/>
          <w:szCs w:val="22"/>
          <w:lang w:eastAsia="zh-CN"/>
        </w:rPr>
      </w:pPr>
      <w:hyperlink w:anchor="_Toc463335769" w:history="1">
        <w:r w:rsidR="00147946" w:rsidRPr="00CA61A6">
          <w:rPr>
            <w:rStyle w:val="Hyperlink"/>
            <w:noProof/>
          </w:rPr>
          <w:t>18</w:t>
        </w:r>
        <w:r w:rsidR="00147946" w:rsidRPr="00CA61A6">
          <w:rPr>
            <w:rFonts w:asciiTheme="minorHAnsi" w:eastAsiaTheme="minorEastAsia" w:hAnsiTheme="minorHAnsi" w:cstheme="minorBidi"/>
            <w:noProof/>
            <w:sz w:val="22"/>
            <w:szCs w:val="22"/>
            <w:lang w:eastAsia="zh-CN"/>
          </w:rPr>
          <w:tab/>
        </w:r>
        <w:r w:rsidR="00147946" w:rsidRPr="00CA61A6">
          <w:rPr>
            <w:rStyle w:val="Hyperlink"/>
            <w:noProof/>
          </w:rPr>
          <w:t xml:space="preserve">Resolución 45 – Coordinación eficaz de la labor de normalización en las </w:t>
        </w:r>
        <w:r w:rsidR="007C70C8" w:rsidRPr="00CA61A6">
          <w:rPr>
            <w:rStyle w:val="Hyperlink"/>
            <w:noProof/>
          </w:rPr>
          <w:br/>
        </w:r>
        <w:r w:rsidR="00147946" w:rsidRPr="00CA61A6">
          <w:rPr>
            <w:rStyle w:val="Hyperlink"/>
            <w:noProof/>
          </w:rPr>
          <w:t xml:space="preserve">Comisiones de Estudio del Sector de Normalización de las Telecomunicaciones </w:t>
        </w:r>
        <w:r w:rsidR="007C70C8" w:rsidRPr="00CA61A6">
          <w:rPr>
            <w:rStyle w:val="Hyperlink"/>
            <w:noProof/>
          </w:rPr>
          <w:br/>
        </w:r>
        <w:r w:rsidR="00147946" w:rsidRPr="00CA61A6">
          <w:rPr>
            <w:rStyle w:val="Hyperlink"/>
            <w:noProof/>
          </w:rPr>
          <w:t>de la UIT, y cometido del Grupo Asesor de Normalización de las Telecomunicaciones</w:t>
        </w:r>
        <w:r w:rsidR="00147946" w:rsidRPr="00CA61A6">
          <w:rPr>
            <w:noProof/>
            <w:webHidden/>
          </w:rPr>
          <w:tab/>
        </w:r>
        <w:r w:rsidR="00147946" w:rsidRPr="00CA61A6">
          <w:rPr>
            <w:noProof/>
            <w:webHidden/>
          </w:rPr>
          <w:fldChar w:fldCharType="begin"/>
        </w:r>
        <w:r w:rsidR="00147946" w:rsidRPr="00CA61A6">
          <w:rPr>
            <w:noProof/>
            <w:webHidden/>
          </w:rPr>
          <w:instrText xml:space="preserve"> PAGEREF _Toc463335769 \h </w:instrText>
        </w:r>
        <w:r w:rsidR="00147946" w:rsidRPr="00CA61A6">
          <w:rPr>
            <w:noProof/>
            <w:webHidden/>
          </w:rPr>
        </w:r>
        <w:r w:rsidR="00147946" w:rsidRPr="00CA61A6">
          <w:rPr>
            <w:noProof/>
            <w:webHidden/>
          </w:rPr>
          <w:fldChar w:fldCharType="separate"/>
        </w:r>
        <w:r w:rsidR="005559A8">
          <w:rPr>
            <w:noProof/>
            <w:webHidden/>
          </w:rPr>
          <w:t>55</w:t>
        </w:r>
        <w:r w:rsidR="00147946" w:rsidRPr="00CA61A6">
          <w:rPr>
            <w:noProof/>
            <w:webHidden/>
          </w:rPr>
          <w:fldChar w:fldCharType="end"/>
        </w:r>
      </w:hyperlink>
    </w:p>
    <w:p w:rsidR="00147946" w:rsidRPr="00CA61A6" w:rsidRDefault="00110CAD">
      <w:pPr>
        <w:pStyle w:val="TOC1"/>
        <w:rPr>
          <w:rFonts w:asciiTheme="minorHAnsi" w:eastAsiaTheme="minorEastAsia" w:hAnsiTheme="minorHAnsi" w:cstheme="minorBidi"/>
          <w:noProof/>
          <w:sz w:val="22"/>
          <w:szCs w:val="22"/>
          <w:lang w:eastAsia="zh-CN"/>
        </w:rPr>
      </w:pPr>
      <w:hyperlink w:anchor="_Toc463335770" w:history="1">
        <w:r w:rsidR="00147946" w:rsidRPr="00CA61A6">
          <w:rPr>
            <w:rStyle w:val="Hyperlink"/>
            <w:noProof/>
          </w:rPr>
          <w:t>19</w:t>
        </w:r>
        <w:r w:rsidR="00147946" w:rsidRPr="00CA61A6">
          <w:rPr>
            <w:rFonts w:asciiTheme="minorHAnsi" w:eastAsiaTheme="minorEastAsia" w:hAnsiTheme="minorHAnsi" w:cstheme="minorBidi"/>
            <w:noProof/>
            <w:sz w:val="22"/>
            <w:szCs w:val="22"/>
            <w:lang w:eastAsia="zh-CN"/>
          </w:rPr>
          <w:tab/>
        </w:r>
        <w:r w:rsidR="00147946" w:rsidRPr="00CA61A6">
          <w:rPr>
            <w:rStyle w:val="Hyperlink"/>
            <w:noProof/>
          </w:rPr>
          <w:t>Resolución 47 – Nombres de dominio de nivel superior de código de país</w:t>
        </w:r>
        <w:r w:rsidR="00147946" w:rsidRPr="00CA61A6">
          <w:rPr>
            <w:noProof/>
            <w:webHidden/>
          </w:rPr>
          <w:tab/>
        </w:r>
        <w:r w:rsidR="007C70C8" w:rsidRPr="00CA61A6">
          <w:rPr>
            <w:noProof/>
            <w:webHidden/>
          </w:rPr>
          <w:tab/>
        </w:r>
        <w:r w:rsidR="00147946" w:rsidRPr="00CA61A6">
          <w:rPr>
            <w:noProof/>
            <w:webHidden/>
          </w:rPr>
          <w:fldChar w:fldCharType="begin"/>
        </w:r>
        <w:r w:rsidR="00147946" w:rsidRPr="00CA61A6">
          <w:rPr>
            <w:noProof/>
            <w:webHidden/>
          </w:rPr>
          <w:instrText xml:space="preserve"> PAGEREF _Toc463335770 \h </w:instrText>
        </w:r>
        <w:r w:rsidR="00147946" w:rsidRPr="00CA61A6">
          <w:rPr>
            <w:noProof/>
            <w:webHidden/>
          </w:rPr>
        </w:r>
        <w:r w:rsidR="00147946" w:rsidRPr="00CA61A6">
          <w:rPr>
            <w:noProof/>
            <w:webHidden/>
          </w:rPr>
          <w:fldChar w:fldCharType="separate"/>
        </w:r>
        <w:r w:rsidR="005559A8">
          <w:rPr>
            <w:noProof/>
            <w:webHidden/>
          </w:rPr>
          <w:t>56</w:t>
        </w:r>
        <w:r w:rsidR="00147946" w:rsidRPr="00CA61A6">
          <w:rPr>
            <w:noProof/>
            <w:webHidden/>
          </w:rPr>
          <w:fldChar w:fldCharType="end"/>
        </w:r>
      </w:hyperlink>
    </w:p>
    <w:p w:rsidR="00147946" w:rsidRPr="00CA61A6" w:rsidRDefault="00110CAD">
      <w:pPr>
        <w:pStyle w:val="TOC1"/>
        <w:rPr>
          <w:rFonts w:asciiTheme="minorHAnsi" w:eastAsiaTheme="minorEastAsia" w:hAnsiTheme="minorHAnsi" w:cstheme="minorBidi"/>
          <w:noProof/>
          <w:sz w:val="22"/>
          <w:szCs w:val="22"/>
          <w:lang w:eastAsia="zh-CN"/>
        </w:rPr>
      </w:pPr>
      <w:hyperlink w:anchor="_Toc463335771" w:history="1">
        <w:r w:rsidR="00147946" w:rsidRPr="00CA61A6">
          <w:rPr>
            <w:rStyle w:val="Hyperlink"/>
            <w:noProof/>
          </w:rPr>
          <w:t>20</w:t>
        </w:r>
        <w:r w:rsidR="00147946" w:rsidRPr="00CA61A6">
          <w:rPr>
            <w:rFonts w:asciiTheme="minorHAnsi" w:eastAsiaTheme="minorEastAsia" w:hAnsiTheme="minorHAnsi" w:cstheme="minorBidi"/>
            <w:noProof/>
            <w:sz w:val="22"/>
            <w:szCs w:val="22"/>
            <w:lang w:eastAsia="zh-CN"/>
          </w:rPr>
          <w:tab/>
        </w:r>
        <w:r w:rsidR="00147946" w:rsidRPr="00CA61A6">
          <w:rPr>
            <w:rStyle w:val="Hyperlink"/>
            <w:noProof/>
          </w:rPr>
          <w:t>Resolución 48 – Nombres de dominio internacionalizados (y multilingües)</w:t>
        </w:r>
        <w:r w:rsidR="00147946" w:rsidRPr="00CA61A6">
          <w:rPr>
            <w:noProof/>
            <w:webHidden/>
          </w:rPr>
          <w:tab/>
        </w:r>
        <w:r w:rsidR="007C70C8" w:rsidRPr="00CA61A6">
          <w:rPr>
            <w:noProof/>
            <w:webHidden/>
          </w:rPr>
          <w:tab/>
        </w:r>
        <w:r w:rsidR="00147946" w:rsidRPr="00CA61A6">
          <w:rPr>
            <w:noProof/>
            <w:webHidden/>
          </w:rPr>
          <w:fldChar w:fldCharType="begin"/>
        </w:r>
        <w:r w:rsidR="00147946" w:rsidRPr="00CA61A6">
          <w:rPr>
            <w:noProof/>
            <w:webHidden/>
          </w:rPr>
          <w:instrText xml:space="preserve"> PAGEREF _Toc463335771 \h </w:instrText>
        </w:r>
        <w:r w:rsidR="00147946" w:rsidRPr="00CA61A6">
          <w:rPr>
            <w:noProof/>
            <w:webHidden/>
          </w:rPr>
        </w:r>
        <w:r w:rsidR="00147946" w:rsidRPr="00CA61A6">
          <w:rPr>
            <w:noProof/>
            <w:webHidden/>
          </w:rPr>
          <w:fldChar w:fldCharType="separate"/>
        </w:r>
        <w:r w:rsidR="005559A8">
          <w:rPr>
            <w:noProof/>
            <w:webHidden/>
          </w:rPr>
          <w:t>56</w:t>
        </w:r>
        <w:r w:rsidR="00147946" w:rsidRPr="00CA61A6">
          <w:rPr>
            <w:noProof/>
            <w:webHidden/>
          </w:rPr>
          <w:fldChar w:fldCharType="end"/>
        </w:r>
      </w:hyperlink>
    </w:p>
    <w:p w:rsidR="00147946" w:rsidRPr="00CA61A6" w:rsidRDefault="00110CAD">
      <w:pPr>
        <w:pStyle w:val="TOC1"/>
        <w:rPr>
          <w:rFonts w:asciiTheme="minorHAnsi" w:eastAsiaTheme="minorEastAsia" w:hAnsiTheme="minorHAnsi" w:cstheme="minorBidi"/>
          <w:noProof/>
          <w:sz w:val="22"/>
          <w:szCs w:val="22"/>
          <w:lang w:eastAsia="zh-CN"/>
        </w:rPr>
      </w:pPr>
      <w:hyperlink w:anchor="_Toc463335772" w:history="1">
        <w:r w:rsidR="00147946" w:rsidRPr="00CA61A6">
          <w:rPr>
            <w:rStyle w:val="Hyperlink"/>
            <w:noProof/>
          </w:rPr>
          <w:t>21</w:t>
        </w:r>
        <w:r w:rsidR="00147946" w:rsidRPr="00CA61A6">
          <w:rPr>
            <w:rFonts w:asciiTheme="minorHAnsi" w:eastAsiaTheme="minorEastAsia" w:hAnsiTheme="minorHAnsi" w:cstheme="minorBidi"/>
            <w:noProof/>
            <w:sz w:val="22"/>
            <w:szCs w:val="22"/>
            <w:lang w:eastAsia="zh-CN"/>
          </w:rPr>
          <w:tab/>
        </w:r>
        <w:r w:rsidR="00147946" w:rsidRPr="00CA61A6">
          <w:rPr>
            <w:rStyle w:val="Hyperlink"/>
            <w:noProof/>
          </w:rPr>
          <w:t>Resolución 49 - ENUM</w:t>
        </w:r>
        <w:r w:rsidR="00147946" w:rsidRPr="00CA61A6">
          <w:rPr>
            <w:noProof/>
            <w:webHidden/>
          </w:rPr>
          <w:tab/>
        </w:r>
        <w:r w:rsidR="007C70C8" w:rsidRPr="00CA61A6">
          <w:rPr>
            <w:noProof/>
            <w:webHidden/>
          </w:rPr>
          <w:tab/>
        </w:r>
        <w:r w:rsidR="00147946" w:rsidRPr="00CA61A6">
          <w:rPr>
            <w:noProof/>
            <w:webHidden/>
          </w:rPr>
          <w:fldChar w:fldCharType="begin"/>
        </w:r>
        <w:r w:rsidR="00147946" w:rsidRPr="00CA61A6">
          <w:rPr>
            <w:noProof/>
            <w:webHidden/>
          </w:rPr>
          <w:instrText xml:space="preserve"> PAGEREF _Toc463335772 \h </w:instrText>
        </w:r>
        <w:r w:rsidR="00147946" w:rsidRPr="00CA61A6">
          <w:rPr>
            <w:noProof/>
            <w:webHidden/>
          </w:rPr>
        </w:r>
        <w:r w:rsidR="00147946" w:rsidRPr="00CA61A6">
          <w:rPr>
            <w:noProof/>
            <w:webHidden/>
          </w:rPr>
          <w:fldChar w:fldCharType="separate"/>
        </w:r>
        <w:r w:rsidR="005559A8">
          <w:rPr>
            <w:noProof/>
            <w:webHidden/>
          </w:rPr>
          <w:t>57</w:t>
        </w:r>
        <w:r w:rsidR="00147946" w:rsidRPr="00CA61A6">
          <w:rPr>
            <w:noProof/>
            <w:webHidden/>
          </w:rPr>
          <w:fldChar w:fldCharType="end"/>
        </w:r>
      </w:hyperlink>
    </w:p>
    <w:p w:rsidR="00147946" w:rsidRPr="00CA61A6" w:rsidRDefault="00110CAD">
      <w:pPr>
        <w:pStyle w:val="TOC1"/>
        <w:rPr>
          <w:rFonts w:asciiTheme="minorHAnsi" w:eastAsiaTheme="minorEastAsia" w:hAnsiTheme="minorHAnsi" w:cstheme="minorBidi"/>
          <w:noProof/>
          <w:sz w:val="22"/>
          <w:szCs w:val="22"/>
          <w:lang w:eastAsia="zh-CN"/>
        </w:rPr>
      </w:pPr>
      <w:hyperlink w:anchor="_Toc463335773" w:history="1">
        <w:r w:rsidR="00147946" w:rsidRPr="00CA61A6">
          <w:rPr>
            <w:rStyle w:val="Hyperlink"/>
            <w:noProof/>
          </w:rPr>
          <w:t>22</w:t>
        </w:r>
        <w:r w:rsidR="00147946" w:rsidRPr="00CA61A6">
          <w:rPr>
            <w:rFonts w:asciiTheme="minorHAnsi" w:eastAsiaTheme="minorEastAsia" w:hAnsiTheme="minorHAnsi" w:cstheme="minorBidi"/>
            <w:noProof/>
            <w:sz w:val="22"/>
            <w:szCs w:val="22"/>
            <w:lang w:eastAsia="zh-CN"/>
          </w:rPr>
          <w:tab/>
        </w:r>
        <w:r w:rsidR="00147946" w:rsidRPr="00CA61A6">
          <w:rPr>
            <w:rStyle w:val="Hyperlink"/>
            <w:noProof/>
          </w:rPr>
          <w:t>Resolución 50 - Ciberseguridad</w:t>
        </w:r>
        <w:r w:rsidR="00147946" w:rsidRPr="00CA61A6">
          <w:rPr>
            <w:noProof/>
            <w:webHidden/>
          </w:rPr>
          <w:tab/>
        </w:r>
        <w:r w:rsidR="007C70C8" w:rsidRPr="00CA61A6">
          <w:rPr>
            <w:noProof/>
            <w:webHidden/>
          </w:rPr>
          <w:tab/>
        </w:r>
        <w:r w:rsidR="00147946" w:rsidRPr="00CA61A6">
          <w:rPr>
            <w:noProof/>
            <w:webHidden/>
          </w:rPr>
          <w:fldChar w:fldCharType="begin"/>
        </w:r>
        <w:r w:rsidR="00147946" w:rsidRPr="00CA61A6">
          <w:rPr>
            <w:noProof/>
            <w:webHidden/>
          </w:rPr>
          <w:instrText xml:space="preserve"> PAGEREF _Toc463335773 \h </w:instrText>
        </w:r>
        <w:r w:rsidR="00147946" w:rsidRPr="00CA61A6">
          <w:rPr>
            <w:noProof/>
            <w:webHidden/>
          </w:rPr>
        </w:r>
        <w:r w:rsidR="00147946" w:rsidRPr="00CA61A6">
          <w:rPr>
            <w:noProof/>
            <w:webHidden/>
          </w:rPr>
          <w:fldChar w:fldCharType="separate"/>
        </w:r>
        <w:r w:rsidR="005559A8">
          <w:rPr>
            <w:noProof/>
            <w:webHidden/>
          </w:rPr>
          <w:t>58</w:t>
        </w:r>
        <w:r w:rsidR="00147946" w:rsidRPr="00CA61A6">
          <w:rPr>
            <w:noProof/>
            <w:webHidden/>
          </w:rPr>
          <w:fldChar w:fldCharType="end"/>
        </w:r>
      </w:hyperlink>
    </w:p>
    <w:p w:rsidR="00147946" w:rsidRPr="00CA61A6" w:rsidRDefault="00110CAD">
      <w:pPr>
        <w:pStyle w:val="TOC1"/>
        <w:rPr>
          <w:rFonts w:asciiTheme="minorHAnsi" w:eastAsiaTheme="minorEastAsia" w:hAnsiTheme="minorHAnsi" w:cstheme="minorBidi"/>
          <w:noProof/>
          <w:sz w:val="22"/>
          <w:szCs w:val="22"/>
          <w:lang w:eastAsia="zh-CN"/>
        </w:rPr>
      </w:pPr>
      <w:hyperlink w:anchor="_Toc463335774" w:history="1">
        <w:r w:rsidR="00147946" w:rsidRPr="00CA61A6">
          <w:rPr>
            <w:rStyle w:val="Hyperlink"/>
            <w:noProof/>
          </w:rPr>
          <w:t>23</w:t>
        </w:r>
        <w:r w:rsidR="00147946" w:rsidRPr="00CA61A6">
          <w:rPr>
            <w:rFonts w:asciiTheme="minorHAnsi" w:eastAsiaTheme="minorEastAsia" w:hAnsiTheme="minorHAnsi" w:cstheme="minorBidi"/>
            <w:noProof/>
            <w:sz w:val="22"/>
            <w:szCs w:val="22"/>
            <w:lang w:eastAsia="zh-CN"/>
          </w:rPr>
          <w:tab/>
        </w:r>
        <w:r w:rsidR="00147946" w:rsidRPr="00CA61A6">
          <w:rPr>
            <w:rStyle w:val="Hyperlink"/>
            <w:noProof/>
          </w:rPr>
          <w:t>Resolución 52 – Respuesta y lucha contra el correo basura</w:t>
        </w:r>
        <w:r w:rsidR="00147946" w:rsidRPr="00CA61A6">
          <w:rPr>
            <w:noProof/>
            <w:webHidden/>
          </w:rPr>
          <w:tab/>
        </w:r>
        <w:r w:rsidR="007C70C8" w:rsidRPr="00CA61A6">
          <w:rPr>
            <w:noProof/>
            <w:webHidden/>
          </w:rPr>
          <w:tab/>
        </w:r>
        <w:r w:rsidR="00147946" w:rsidRPr="00CA61A6">
          <w:rPr>
            <w:noProof/>
            <w:webHidden/>
          </w:rPr>
          <w:fldChar w:fldCharType="begin"/>
        </w:r>
        <w:r w:rsidR="00147946" w:rsidRPr="00CA61A6">
          <w:rPr>
            <w:noProof/>
            <w:webHidden/>
          </w:rPr>
          <w:instrText xml:space="preserve"> PAGEREF _Toc463335774 \h </w:instrText>
        </w:r>
        <w:r w:rsidR="00147946" w:rsidRPr="00CA61A6">
          <w:rPr>
            <w:noProof/>
            <w:webHidden/>
          </w:rPr>
        </w:r>
        <w:r w:rsidR="00147946" w:rsidRPr="00CA61A6">
          <w:rPr>
            <w:noProof/>
            <w:webHidden/>
          </w:rPr>
          <w:fldChar w:fldCharType="separate"/>
        </w:r>
        <w:r w:rsidR="005559A8">
          <w:rPr>
            <w:noProof/>
            <w:webHidden/>
          </w:rPr>
          <w:t>63</w:t>
        </w:r>
        <w:r w:rsidR="00147946" w:rsidRPr="00CA61A6">
          <w:rPr>
            <w:noProof/>
            <w:webHidden/>
          </w:rPr>
          <w:fldChar w:fldCharType="end"/>
        </w:r>
      </w:hyperlink>
    </w:p>
    <w:p w:rsidR="00147946" w:rsidRPr="00CA61A6" w:rsidRDefault="00110CAD">
      <w:pPr>
        <w:pStyle w:val="TOC1"/>
        <w:rPr>
          <w:rFonts w:asciiTheme="minorHAnsi" w:eastAsiaTheme="minorEastAsia" w:hAnsiTheme="minorHAnsi" w:cstheme="minorBidi"/>
          <w:noProof/>
          <w:sz w:val="22"/>
          <w:szCs w:val="22"/>
          <w:lang w:eastAsia="zh-CN"/>
        </w:rPr>
      </w:pPr>
      <w:hyperlink w:anchor="_Toc463335775" w:history="1">
        <w:r w:rsidR="00147946" w:rsidRPr="00CA61A6">
          <w:rPr>
            <w:rStyle w:val="Hyperlink"/>
            <w:noProof/>
          </w:rPr>
          <w:t>24</w:t>
        </w:r>
        <w:r w:rsidR="00147946" w:rsidRPr="00CA61A6">
          <w:rPr>
            <w:rFonts w:asciiTheme="minorHAnsi" w:eastAsiaTheme="minorEastAsia" w:hAnsiTheme="minorHAnsi" w:cstheme="minorBidi"/>
            <w:noProof/>
            <w:sz w:val="22"/>
            <w:szCs w:val="22"/>
            <w:lang w:eastAsia="zh-CN"/>
          </w:rPr>
          <w:tab/>
        </w:r>
        <w:r w:rsidR="00147946" w:rsidRPr="00CA61A6">
          <w:rPr>
            <w:rStyle w:val="Hyperlink"/>
            <w:noProof/>
          </w:rPr>
          <w:t xml:space="preserve">Resolución 54 – Creación de </w:t>
        </w:r>
        <w:r w:rsidR="000C17DA" w:rsidRPr="00CA61A6">
          <w:rPr>
            <w:rStyle w:val="Hyperlink"/>
            <w:noProof/>
          </w:rPr>
          <w:t xml:space="preserve">Grupos Regionales </w:t>
        </w:r>
        <w:r w:rsidR="00147946" w:rsidRPr="00CA61A6">
          <w:rPr>
            <w:rStyle w:val="Hyperlink"/>
            <w:noProof/>
          </w:rPr>
          <w:t>y asistencia a esos grupos</w:t>
        </w:r>
        <w:r w:rsidR="00147946" w:rsidRPr="00CA61A6">
          <w:rPr>
            <w:noProof/>
            <w:webHidden/>
          </w:rPr>
          <w:tab/>
        </w:r>
        <w:r w:rsidR="007C70C8" w:rsidRPr="00CA61A6">
          <w:rPr>
            <w:noProof/>
            <w:webHidden/>
          </w:rPr>
          <w:tab/>
        </w:r>
        <w:r w:rsidR="00147946" w:rsidRPr="00CA61A6">
          <w:rPr>
            <w:noProof/>
            <w:webHidden/>
          </w:rPr>
          <w:fldChar w:fldCharType="begin"/>
        </w:r>
        <w:r w:rsidR="00147946" w:rsidRPr="00CA61A6">
          <w:rPr>
            <w:noProof/>
            <w:webHidden/>
          </w:rPr>
          <w:instrText xml:space="preserve"> PAGEREF _Toc463335775 \h </w:instrText>
        </w:r>
        <w:r w:rsidR="00147946" w:rsidRPr="00CA61A6">
          <w:rPr>
            <w:noProof/>
            <w:webHidden/>
          </w:rPr>
        </w:r>
        <w:r w:rsidR="00147946" w:rsidRPr="00CA61A6">
          <w:rPr>
            <w:noProof/>
            <w:webHidden/>
          </w:rPr>
          <w:fldChar w:fldCharType="separate"/>
        </w:r>
        <w:r w:rsidR="005559A8">
          <w:rPr>
            <w:noProof/>
            <w:webHidden/>
          </w:rPr>
          <w:t>65</w:t>
        </w:r>
        <w:r w:rsidR="00147946" w:rsidRPr="00CA61A6">
          <w:rPr>
            <w:noProof/>
            <w:webHidden/>
          </w:rPr>
          <w:fldChar w:fldCharType="end"/>
        </w:r>
      </w:hyperlink>
    </w:p>
    <w:p w:rsidR="00147946" w:rsidRPr="00CA61A6" w:rsidRDefault="00110CAD">
      <w:pPr>
        <w:pStyle w:val="TOC1"/>
        <w:rPr>
          <w:rFonts w:asciiTheme="minorHAnsi" w:eastAsiaTheme="minorEastAsia" w:hAnsiTheme="minorHAnsi" w:cstheme="minorBidi"/>
          <w:noProof/>
          <w:sz w:val="22"/>
          <w:szCs w:val="22"/>
          <w:lang w:eastAsia="zh-CN"/>
        </w:rPr>
      </w:pPr>
      <w:hyperlink w:anchor="_Toc463335776" w:history="1">
        <w:r w:rsidR="00147946" w:rsidRPr="00CA61A6">
          <w:rPr>
            <w:rStyle w:val="Hyperlink"/>
            <w:noProof/>
          </w:rPr>
          <w:t>25</w:t>
        </w:r>
        <w:r w:rsidR="00147946" w:rsidRPr="00CA61A6">
          <w:rPr>
            <w:rFonts w:asciiTheme="minorHAnsi" w:eastAsiaTheme="minorEastAsia" w:hAnsiTheme="minorHAnsi" w:cstheme="minorBidi"/>
            <w:noProof/>
            <w:sz w:val="22"/>
            <w:szCs w:val="22"/>
            <w:lang w:eastAsia="zh-CN"/>
          </w:rPr>
          <w:tab/>
        </w:r>
        <w:r w:rsidR="00147946" w:rsidRPr="00CA61A6">
          <w:rPr>
            <w:rStyle w:val="Hyperlink"/>
            <w:noProof/>
          </w:rPr>
          <w:t xml:space="preserve">Resolución 55 – Integración de una perspectiva de género en las actividades </w:t>
        </w:r>
        <w:r w:rsidR="007C70C8" w:rsidRPr="00CA61A6">
          <w:rPr>
            <w:rStyle w:val="Hyperlink"/>
            <w:noProof/>
          </w:rPr>
          <w:br/>
        </w:r>
        <w:r w:rsidR="00147946" w:rsidRPr="00CA61A6">
          <w:rPr>
            <w:rStyle w:val="Hyperlink"/>
            <w:noProof/>
          </w:rPr>
          <w:t>del Sector de Normalización de las Telecomunicaciones de la UIT</w:t>
        </w:r>
        <w:r w:rsidR="00147946" w:rsidRPr="00CA61A6">
          <w:rPr>
            <w:noProof/>
            <w:webHidden/>
          </w:rPr>
          <w:tab/>
        </w:r>
        <w:r w:rsidR="007C70C8" w:rsidRPr="00CA61A6">
          <w:rPr>
            <w:noProof/>
            <w:webHidden/>
          </w:rPr>
          <w:tab/>
        </w:r>
        <w:r w:rsidR="00147946" w:rsidRPr="00CA61A6">
          <w:rPr>
            <w:noProof/>
            <w:webHidden/>
          </w:rPr>
          <w:fldChar w:fldCharType="begin"/>
        </w:r>
        <w:r w:rsidR="00147946" w:rsidRPr="00CA61A6">
          <w:rPr>
            <w:noProof/>
            <w:webHidden/>
          </w:rPr>
          <w:instrText xml:space="preserve"> PAGEREF _Toc463335776 \h </w:instrText>
        </w:r>
        <w:r w:rsidR="00147946" w:rsidRPr="00CA61A6">
          <w:rPr>
            <w:noProof/>
            <w:webHidden/>
          </w:rPr>
        </w:r>
        <w:r w:rsidR="00147946" w:rsidRPr="00CA61A6">
          <w:rPr>
            <w:noProof/>
            <w:webHidden/>
          </w:rPr>
          <w:fldChar w:fldCharType="separate"/>
        </w:r>
        <w:r w:rsidR="005559A8">
          <w:rPr>
            <w:noProof/>
            <w:webHidden/>
          </w:rPr>
          <w:t>69</w:t>
        </w:r>
        <w:r w:rsidR="00147946" w:rsidRPr="00CA61A6">
          <w:rPr>
            <w:noProof/>
            <w:webHidden/>
          </w:rPr>
          <w:fldChar w:fldCharType="end"/>
        </w:r>
      </w:hyperlink>
    </w:p>
    <w:p w:rsidR="00147946" w:rsidRPr="00CA61A6" w:rsidRDefault="00110CAD">
      <w:pPr>
        <w:pStyle w:val="TOC1"/>
        <w:rPr>
          <w:rFonts w:asciiTheme="minorHAnsi" w:eastAsiaTheme="minorEastAsia" w:hAnsiTheme="minorHAnsi" w:cstheme="minorBidi"/>
          <w:noProof/>
          <w:sz w:val="22"/>
          <w:szCs w:val="22"/>
          <w:lang w:eastAsia="zh-CN"/>
        </w:rPr>
      </w:pPr>
      <w:hyperlink w:anchor="_Toc463335777" w:history="1">
        <w:r w:rsidR="00147946" w:rsidRPr="00CA61A6">
          <w:rPr>
            <w:rStyle w:val="Hyperlink"/>
            <w:noProof/>
          </w:rPr>
          <w:t>26</w:t>
        </w:r>
        <w:r w:rsidR="00147946" w:rsidRPr="00CA61A6">
          <w:rPr>
            <w:rFonts w:asciiTheme="minorHAnsi" w:eastAsiaTheme="minorEastAsia" w:hAnsiTheme="minorHAnsi" w:cstheme="minorBidi"/>
            <w:noProof/>
            <w:sz w:val="22"/>
            <w:szCs w:val="22"/>
            <w:lang w:eastAsia="zh-CN"/>
          </w:rPr>
          <w:tab/>
        </w:r>
        <w:r w:rsidR="00147946" w:rsidRPr="00CA61A6">
          <w:rPr>
            <w:rStyle w:val="Hyperlink"/>
            <w:noProof/>
          </w:rPr>
          <w:t xml:space="preserve">Resolución 57 – Fortalecimiento de la coordinación y la cooperación entre </w:t>
        </w:r>
        <w:r w:rsidR="007C70C8" w:rsidRPr="00CA61A6">
          <w:rPr>
            <w:rStyle w:val="Hyperlink"/>
            <w:noProof/>
          </w:rPr>
          <w:br/>
        </w:r>
        <w:r w:rsidR="00147946" w:rsidRPr="00CA61A6">
          <w:rPr>
            <w:rStyle w:val="Hyperlink"/>
            <w:noProof/>
          </w:rPr>
          <w:t>los tres Sectores de la UIT en asuntos de interés mutuo</w:t>
        </w:r>
        <w:r w:rsidR="00147946" w:rsidRPr="00CA61A6">
          <w:rPr>
            <w:noProof/>
            <w:webHidden/>
          </w:rPr>
          <w:tab/>
        </w:r>
        <w:r w:rsidR="007C70C8" w:rsidRPr="00CA61A6">
          <w:rPr>
            <w:noProof/>
            <w:webHidden/>
          </w:rPr>
          <w:tab/>
        </w:r>
        <w:r w:rsidR="00147946" w:rsidRPr="00CA61A6">
          <w:rPr>
            <w:noProof/>
            <w:webHidden/>
          </w:rPr>
          <w:fldChar w:fldCharType="begin"/>
        </w:r>
        <w:r w:rsidR="00147946" w:rsidRPr="00CA61A6">
          <w:rPr>
            <w:noProof/>
            <w:webHidden/>
          </w:rPr>
          <w:instrText xml:space="preserve"> PAGEREF _Toc463335777 \h </w:instrText>
        </w:r>
        <w:r w:rsidR="00147946" w:rsidRPr="00CA61A6">
          <w:rPr>
            <w:noProof/>
            <w:webHidden/>
          </w:rPr>
        </w:r>
        <w:r w:rsidR="00147946" w:rsidRPr="00CA61A6">
          <w:rPr>
            <w:noProof/>
            <w:webHidden/>
          </w:rPr>
          <w:fldChar w:fldCharType="separate"/>
        </w:r>
        <w:r w:rsidR="005559A8">
          <w:rPr>
            <w:noProof/>
            <w:webHidden/>
          </w:rPr>
          <w:t>71</w:t>
        </w:r>
        <w:r w:rsidR="00147946" w:rsidRPr="00CA61A6">
          <w:rPr>
            <w:noProof/>
            <w:webHidden/>
          </w:rPr>
          <w:fldChar w:fldCharType="end"/>
        </w:r>
      </w:hyperlink>
    </w:p>
    <w:p w:rsidR="00147946" w:rsidRPr="00CA61A6" w:rsidRDefault="00110CAD">
      <w:pPr>
        <w:pStyle w:val="TOC1"/>
        <w:rPr>
          <w:rFonts w:asciiTheme="minorHAnsi" w:eastAsiaTheme="minorEastAsia" w:hAnsiTheme="minorHAnsi" w:cstheme="minorBidi"/>
          <w:noProof/>
          <w:sz w:val="22"/>
          <w:szCs w:val="22"/>
          <w:lang w:eastAsia="zh-CN"/>
        </w:rPr>
      </w:pPr>
      <w:hyperlink w:anchor="_Toc463335778" w:history="1">
        <w:r w:rsidR="00147946" w:rsidRPr="00CA61A6">
          <w:rPr>
            <w:rStyle w:val="Hyperlink"/>
            <w:noProof/>
          </w:rPr>
          <w:t>27</w:t>
        </w:r>
        <w:r w:rsidR="00147946" w:rsidRPr="00CA61A6">
          <w:rPr>
            <w:rFonts w:asciiTheme="minorHAnsi" w:eastAsiaTheme="minorEastAsia" w:hAnsiTheme="minorHAnsi" w:cstheme="minorBidi"/>
            <w:noProof/>
            <w:sz w:val="22"/>
            <w:szCs w:val="22"/>
            <w:lang w:eastAsia="zh-CN"/>
          </w:rPr>
          <w:tab/>
        </w:r>
        <w:r w:rsidR="00147946" w:rsidRPr="00CA61A6">
          <w:rPr>
            <w:rStyle w:val="Hyperlink"/>
            <w:noProof/>
          </w:rPr>
          <w:t xml:space="preserve">Resolución 58 – Fomento de la creación de equipos nacionales de intervención </w:t>
        </w:r>
        <w:r w:rsidR="007C70C8" w:rsidRPr="00CA61A6">
          <w:rPr>
            <w:rStyle w:val="Hyperlink"/>
            <w:noProof/>
          </w:rPr>
          <w:br/>
        </w:r>
        <w:r w:rsidR="00147946" w:rsidRPr="00CA61A6">
          <w:rPr>
            <w:rStyle w:val="Hyperlink"/>
            <w:noProof/>
          </w:rPr>
          <w:t>en caso de incidente informático, especialmente para los países en desarrollo</w:t>
        </w:r>
        <w:r w:rsidR="00147946" w:rsidRPr="00CA61A6">
          <w:rPr>
            <w:noProof/>
            <w:webHidden/>
          </w:rPr>
          <w:tab/>
        </w:r>
        <w:r w:rsidR="007C70C8" w:rsidRPr="00CA61A6">
          <w:rPr>
            <w:noProof/>
            <w:webHidden/>
          </w:rPr>
          <w:tab/>
        </w:r>
        <w:r w:rsidR="00147946" w:rsidRPr="00CA61A6">
          <w:rPr>
            <w:noProof/>
            <w:webHidden/>
          </w:rPr>
          <w:fldChar w:fldCharType="begin"/>
        </w:r>
        <w:r w:rsidR="00147946" w:rsidRPr="00CA61A6">
          <w:rPr>
            <w:noProof/>
            <w:webHidden/>
          </w:rPr>
          <w:instrText xml:space="preserve"> PAGEREF _Toc463335778 \h </w:instrText>
        </w:r>
        <w:r w:rsidR="00147946" w:rsidRPr="00CA61A6">
          <w:rPr>
            <w:noProof/>
            <w:webHidden/>
          </w:rPr>
        </w:r>
        <w:r w:rsidR="00147946" w:rsidRPr="00CA61A6">
          <w:rPr>
            <w:noProof/>
            <w:webHidden/>
          </w:rPr>
          <w:fldChar w:fldCharType="separate"/>
        </w:r>
        <w:r w:rsidR="005559A8">
          <w:rPr>
            <w:noProof/>
            <w:webHidden/>
          </w:rPr>
          <w:t>73</w:t>
        </w:r>
        <w:r w:rsidR="00147946" w:rsidRPr="00CA61A6">
          <w:rPr>
            <w:noProof/>
            <w:webHidden/>
          </w:rPr>
          <w:fldChar w:fldCharType="end"/>
        </w:r>
      </w:hyperlink>
    </w:p>
    <w:p w:rsidR="00147946" w:rsidRPr="00CA61A6" w:rsidRDefault="00110CAD">
      <w:pPr>
        <w:pStyle w:val="TOC1"/>
        <w:rPr>
          <w:rFonts w:asciiTheme="minorHAnsi" w:eastAsiaTheme="minorEastAsia" w:hAnsiTheme="minorHAnsi" w:cstheme="minorBidi"/>
          <w:noProof/>
          <w:sz w:val="22"/>
          <w:szCs w:val="22"/>
          <w:lang w:eastAsia="zh-CN"/>
        </w:rPr>
      </w:pPr>
      <w:hyperlink w:anchor="_Toc463335779" w:history="1">
        <w:r w:rsidR="00147946" w:rsidRPr="00CA61A6">
          <w:rPr>
            <w:rStyle w:val="Hyperlink"/>
            <w:noProof/>
          </w:rPr>
          <w:t>28</w:t>
        </w:r>
        <w:r w:rsidR="00147946" w:rsidRPr="00CA61A6">
          <w:rPr>
            <w:rFonts w:asciiTheme="minorHAnsi" w:eastAsiaTheme="minorEastAsia" w:hAnsiTheme="minorHAnsi" w:cstheme="minorBidi"/>
            <w:noProof/>
            <w:sz w:val="22"/>
            <w:szCs w:val="22"/>
            <w:lang w:eastAsia="zh-CN"/>
          </w:rPr>
          <w:tab/>
        </w:r>
        <w:r w:rsidR="00147946" w:rsidRPr="00CA61A6">
          <w:rPr>
            <w:rStyle w:val="Hyperlink"/>
            <w:noProof/>
          </w:rPr>
          <w:t xml:space="preserve">Resolución 59 – Mejorar la participación de los operadores de telecomunicaciones </w:t>
        </w:r>
        <w:r w:rsidR="007C70C8" w:rsidRPr="00CA61A6">
          <w:rPr>
            <w:rStyle w:val="Hyperlink"/>
            <w:noProof/>
          </w:rPr>
          <w:br/>
        </w:r>
        <w:r w:rsidR="00147946" w:rsidRPr="00CA61A6">
          <w:rPr>
            <w:rStyle w:val="Hyperlink"/>
            <w:noProof/>
          </w:rPr>
          <w:t>de los países en desarrollo</w:t>
        </w:r>
        <w:r w:rsidR="00147946" w:rsidRPr="00CA61A6">
          <w:rPr>
            <w:noProof/>
            <w:webHidden/>
          </w:rPr>
          <w:tab/>
        </w:r>
        <w:r w:rsidR="007C70C8" w:rsidRPr="00CA61A6">
          <w:rPr>
            <w:noProof/>
            <w:webHidden/>
          </w:rPr>
          <w:tab/>
        </w:r>
        <w:r w:rsidR="00147946" w:rsidRPr="00CA61A6">
          <w:rPr>
            <w:noProof/>
            <w:webHidden/>
          </w:rPr>
          <w:fldChar w:fldCharType="begin"/>
        </w:r>
        <w:r w:rsidR="00147946" w:rsidRPr="00CA61A6">
          <w:rPr>
            <w:noProof/>
            <w:webHidden/>
          </w:rPr>
          <w:instrText xml:space="preserve"> PAGEREF _Toc463335779 \h </w:instrText>
        </w:r>
        <w:r w:rsidR="00147946" w:rsidRPr="00CA61A6">
          <w:rPr>
            <w:noProof/>
            <w:webHidden/>
          </w:rPr>
        </w:r>
        <w:r w:rsidR="00147946" w:rsidRPr="00CA61A6">
          <w:rPr>
            <w:noProof/>
            <w:webHidden/>
          </w:rPr>
          <w:fldChar w:fldCharType="separate"/>
        </w:r>
        <w:r w:rsidR="005559A8">
          <w:rPr>
            <w:noProof/>
            <w:webHidden/>
          </w:rPr>
          <w:t>74</w:t>
        </w:r>
        <w:r w:rsidR="00147946" w:rsidRPr="00CA61A6">
          <w:rPr>
            <w:noProof/>
            <w:webHidden/>
          </w:rPr>
          <w:fldChar w:fldCharType="end"/>
        </w:r>
      </w:hyperlink>
    </w:p>
    <w:p w:rsidR="00147946" w:rsidRPr="00CA61A6" w:rsidRDefault="00110CAD">
      <w:pPr>
        <w:pStyle w:val="TOC1"/>
        <w:rPr>
          <w:rFonts w:asciiTheme="minorHAnsi" w:eastAsiaTheme="minorEastAsia" w:hAnsiTheme="minorHAnsi" w:cstheme="minorBidi"/>
          <w:noProof/>
          <w:sz w:val="22"/>
          <w:szCs w:val="22"/>
          <w:lang w:eastAsia="zh-CN"/>
        </w:rPr>
      </w:pPr>
      <w:hyperlink w:anchor="_Toc463335780" w:history="1">
        <w:r w:rsidR="00147946" w:rsidRPr="00CA61A6">
          <w:rPr>
            <w:rStyle w:val="Hyperlink"/>
            <w:noProof/>
          </w:rPr>
          <w:t>29</w:t>
        </w:r>
        <w:r w:rsidR="00147946" w:rsidRPr="00CA61A6">
          <w:rPr>
            <w:rFonts w:asciiTheme="minorHAnsi" w:eastAsiaTheme="minorEastAsia" w:hAnsiTheme="minorHAnsi" w:cstheme="minorBidi"/>
            <w:noProof/>
            <w:sz w:val="22"/>
            <w:szCs w:val="22"/>
            <w:lang w:eastAsia="zh-CN"/>
          </w:rPr>
          <w:tab/>
        </w:r>
        <w:r w:rsidR="00147946" w:rsidRPr="00CA61A6">
          <w:rPr>
            <w:rStyle w:val="Hyperlink"/>
            <w:noProof/>
          </w:rPr>
          <w:t>Resolución 60 – Respuesta a los desafíos que plantea la evolución del sistema de identificación/numeración y su convergencia con los sistemas/redes basados en IP</w:t>
        </w:r>
        <w:r w:rsidR="00147946" w:rsidRPr="00CA61A6">
          <w:rPr>
            <w:noProof/>
            <w:webHidden/>
          </w:rPr>
          <w:tab/>
        </w:r>
        <w:r w:rsidR="00147946" w:rsidRPr="00CA61A6">
          <w:rPr>
            <w:noProof/>
            <w:webHidden/>
          </w:rPr>
          <w:fldChar w:fldCharType="begin"/>
        </w:r>
        <w:r w:rsidR="00147946" w:rsidRPr="00CA61A6">
          <w:rPr>
            <w:noProof/>
            <w:webHidden/>
          </w:rPr>
          <w:instrText xml:space="preserve"> PAGEREF _Toc463335780 \h </w:instrText>
        </w:r>
        <w:r w:rsidR="00147946" w:rsidRPr="00CA61A6">
          <w:rPr>
            <w:noProof/>
            <w:webHidden/>
          </w:rPr>
        </w:r>
        <w:r w:rsidR="00147946" w:rsidRPr="00CA61A6">
          <w:rPr>
            <w:noProof/>
            <w:webHidden/>
          </w:rPr>
          <w:fldChar w:fldCharType="separate"/>
        </w:r>
        <w:r w:rsidR="005559A8">
          <w:rPr>
            <w:noProof/>
            <w:webHidden/>
          </w:rPr>
          <w:t>75</w:t>
        </w:r>
        <w:r w:rsidR="00147946" w:rsidRPr="00CA61A6">
          <w:rPr>
            <w:noProof/>
            <w:webHidden/>
          </w:rPr>
          <w:fldChar w:fldCharType="end"/>
        </w:r>
      </w:hyperlink>
    </w:p>
    <w:p w:rsidR="00147946" w:rsidRPr="00CA61A6" w:rsidRDefault="00110CAD">
      <w:pPr>
        <w:pStyle w:val="TOC1"/>
        <w:rPr>
          <w:rFonts w:asciiTheme="minorHAnsi" w:eastAsiaTheme="minorEastAsia" w:hAnsiTheme="minorHAnsi" w:cstheme="minorBidi"/>
          <w:noProof/>
          <w:sz w:val="22"/>
          <w:szCs w:val="22"/>
          <w:lang w:eastAsia="zh-CN"/>
        </w:rPr>
      </w:pPr>
      <w:hyperlink w:anchor="_Toc463335781" w:history="1">
        <w:r w:rsidR="00147946" w:rsidRPr="00CA61A6">
          <w:rPr>
            <w:rStyle w:val="Hyperlink"/>
            <w:noProof/>
          </w:rPr>
          <w:t>30</w:t>
        </w:r>
        <w:r w:rsidR="00147946" w:rsidRPr="00CA61A6">
          <w:rPr>
            <w:rFonts w:asciiTheme="minorHAnsi" w:eastAsiaTheme="minorEastAsia" w:hAnsiTheme="minorHAnsi" w:cstheme="minorBidi"/>
            <w:noProof/>
            <w:sz w:val="22"/>
            <w:szCs w:val="22"/>
            <w:lang w:eastAsia="zh-CN"/>
          </w:rPr>
          <w:tab/>
        </w:r>
        <w:r w:rsidR="00147946" w:rsidRPr="00CA61A6">
          <w:rPr>
            <w:rStyle w:val="Hyperlink"/>
            <w:noProof/>
          </w:rPr>
          <w:t xml:space="preserve">Resolución 61 – Respuesta y lucha contra la apropiación y uso indebidos de </w:t>
        </w:r>
        <w:r w:rsidR="007C70C8" w:rsidRPr="00CA61A6">
          <w:rPr>
            <w:rStyle w:val="Hyperlink"/>
            <w:noProof/>
          </w:rPr>
          <w:br/>
        </w:r>
        <w:r w:rsidR="00147946" w:rsidRPr="00CA61A6">
          <w:rPr>
            <w:rStyle w:val="Hyperlink"/>
            <w:noProof/>
          </w:rPr>
          <w:t>recursos internacionales de numeración para las telecomunicaciones</w:t>
        </w:r>
        <w:r w:rsidR="00147946" w:rsidRPr="00CA61A6">
          <w:rPr>
            <w:noProof/>
            <w:webHidden/>
          </w:rPr>
          <w:tab/>
        </w:r>
        <w:r w:rsidR="007C70C8" w:rsidRPr="00CA61A6">
          <w:rPr>
            <w:noProof/>
            <w:webHidden/>
          </w:rPr>
          <w:tab/>
        </w:r>
        <w:r w:rsidR="00147946" w:rsidRPr="00CA61A6">
          <w:rPr>
            <w:noProof/>
            <w:webHidden/>
          </w:rPr>
          <w:fldChar w:fldCharType="begin"/>
        </w:r>
        <w:r w:rsidR="00147946" w:rsidRPr="00CA61A6">
          <w:rPr>
            <w:noProof/>
            <w:webHidden/>
          </w:rPr>
          <w:instrText xml:space="preserve"> PAGEREF _Toc463335781 \h </w:instrText>
        </w:r>
        <w:r w:rsidR="00147946" w:rsidRPr="00CA61A6">
          <w:rPr>
            <w:noProof/>
            <w:webHidden/>
          </w:rPr>
        </w:r>
        <w:r w:rsidR="00147946" w:rsidRPr="00CA61A6">
          <w:rPr>
            <w:noProof/>
            <w:webHidden/>
          </w:rPr>
          <w:fldChar w:fldCharType="separate"/>
        </w:r>
        <w:r w:rsidR="005559A8">
          <w:rPr>
            <w:noProof/>
            <w:webHidden/>
          </w:rPr>
          <w:t>77</w:t>
        </w:r>
        <w:r w:rsidR="00147946" w:rsidRPr="00CA61A6">
          <w:rPr>
            <w:noProof/>
            <w:webHidden/>
          </w:rPr>
          <w:fldChar w:fldCharType="end"/>
        </w:r>
      </w:hyperlink>
    </w:p>
    <w:p w:rsidR="00147946" w:rsidRPr="00CA61A6" w:rsidRDefault="00110CAD">
      <w:pPr>
        <w:pStyle w:val="TOC1"/>
        <w:rPr>
          <w:rFonts w:asciiTheme="minorHAnsi" w:eastAsiaTheme="minorEastAsia" w:hAnsiTheme="minorHAnsi" w:cstheme="minorBidi"/>
          <w:noProof/>
          <w:sz w:val="22"/>
          <w:szCs w:val="22"/>
          <w:lang w:eastAsia="zh-CN"/>
        </w:rPr>
      </w:pPr>
      <w:hyperlink w:anchor="_Toc463335782" w:history="1">
        <w:r w:rsidR="00147946" w:rsidRPr="00CA61A6">
          <w:rPr>
            <w:rStyle w:val="Hyperlink"/>
            <w:noProof/>
          </w:rPr>
          <w:t>31</w:t>
        </w:r>
        <w:r w:rsidR="00147946" w:rsidRPr="00CA61A6">
          <w:rPr>
            <w:rFonts w:asciiTheme="minorHAnsi" w:eastAsiaTheme="minorEastAsia" w:hAnsiTheme="minorHAnsi" w:cstheme="minorBidi"/>
            <w:noProof/>
            <w:sz w:val="22"/>
            <w:szCs w:val="22"/>
            <w:lang w:eastAsia="zh-CN"/>
          </w:rPr>
          <w:tab/>
        </w:r>
        <w:r w:rsidR="00147946" w:rsidRPr="00CA61A6">
          <w:rPr>
            <w:rStyle w:val="Hyperlink"/>
            <w:noProof/>
          </w:rPr>
          <w:t>Resolución 62 – Solución de controversias</w:t>
        </w:r>
        <w:r w:rsidR="00147946" w:rsidRPr="00CA61A6">
          <w:rPr>
            <w:noProof/>
            <w:webHidden/>
          </w:rPr>
          <w:tab/>
        </w:r>
        <w:r w:rsidR="007C70C8" w:rsidRPr="00CA61A6">
          <w:rPr>
            <w:noProof/>
            <w:webHidden/>
          </w:rPr>
          <w:tab/>
        </w:r>
        <w:r w:rsidR="00147946" w:rsidRPr="00CA61A6">
          <w:rPr>
            <w:noProof/>
            <w:webHidden/>
          </w:rPr>
          <w:fldChar w:fldCharType="begin"/>
        </w:r>
        <w:r w:rsidR="00147946" w:rsidRPr="00CA61A6">
          <w:rPr>
            <w:noProof/>
            <w:webHidden/>
          </w:rPr>
          <w:instrText xml:space="preserve"> PAGEREF _Toc463335782 \h </w:instrText>
        </w:r>
        <w:r w:rsidR="00147946" w:rsidRPr="00CA61A6">
          <w:rPr>
            <w:noProof/>
            <w:webHidden/>
          </w:rPr>
        </w:r>
        <w:r w:rsidR="00147946" w:rsidRPr="00CA61A6">
          <w:rPr>
            <w:noProof/>
            <w:webHidden/>
          </w:rPr>
          <w:fldChar w:fldCharType="separate"/>
        </w:r>
        <w:r w:rsidR="005559A8">
          <w:rPr>
            <w:noProof/>
            <w:webHidden/>
          </w:rPr>
          <w:t>79</w:t>
        </w:r>
        <w:r w:rsidR="00147946" w:rsidRPr="00CA61A6">
          <w:rPr>
            <w:noProof/>
            <w:webHidden/>
          </w:rPr>
          <w:fldChar w:fldCharType="end"/>
        </w:r>
      </w:hyperlink>
    </w:p>
    <w:p w:rsidR="00147946" w:rsidRPr="00CA61A6" w:rsidRDefault="00110CAD">
      <w:pPr>
        <w:pStyle w:val="TOC1"/>
        <w:rPr>
          <w:rFonts w:asciiTheme="minorHAnsi" w:eastAsiaTheme="minorEastAsia" w:hAnsiTheme="minorHAnsi" w:cstheme="minorBidi"/>
          <w:noProof/>
          <w:sz w:val="22"/>
          <w:szCs w:val="22"/>
          <w:lang w:eastAsia="zh-CN"/>
        </w:rPr>
      </w:pPr>
      <w:hyperlink w:anchor="_Toc463335783" w:history="1">
        <w:r w:rsidR="00147946" w:rsidRPr="00CA61A6">
          <w:rPr>
            <w:rStyle w:val="Hyperlink"/>
            <w:noProof/>
          </w:rPr>
          <w:t>32</w:t>
        </w:r>
        <w:r w:rsidR="00147946" w:rsidRPr="00CA61A6">
          <w:rPr>
            <w:rFonts w:asciiTheme="minorHAnsi" w:eastAsiaTheme="minorEastAsia" w:hAnsiTheme="minorHAnsi" w:cstheme="minorBidi"/>
            <w:noProof/>
            <w:sz w:val="22"/>
            <w:szCs w:val="22"/>
            <w:lang w:eastAsia="zh-CN"/>
          </w:rPr>
          <w:tab/>
        </w:r>
        <w:r w:rsidR="00147946" w:rsidRPr="00CA61A6">
          <w:rPr>
            <w:rStyle w:val="Hyperlink"/>
            <w:noProof/>
          </w:rPr>
          <w:t xml:space="preserve">Resolución 64 – Asignación de direcciones IP y medidas encaminadas a </w:t>
        </w:r>
        <w:r w:rsidR="007C70C8" w:rsidRPr="00CA61A6">
          <w:rPr>
            <w:rStyle w:val="Hyperlink"/>
            <w:noProof/>
          </w:rPr>
          <w:br/>
        </w:r>
        <w:r w:rsidR="00147946" w:rsidRPr="00CA61A6">
          <w:rPr>
            <w:rStyle w:val="Hyperlink"/>
            <w:noProof/>
          </w:rPr>
          <w:t>facilitar la transición a IPv6 y su implantación</w:t>
        </w:r>
        <w:r w:rsidR="00147946" w:rsidRPr="00CA61A6">
          <w:rPr>
            <w:noProof/>
            <w:webHidden/>
          </w:rPr>
          <w:tab/>
        </w:r>
        <w:r w:rsidR="007C70C8" w:rsidRPr="00CA61A6">
          <w:rPr>
            <w:noProof/>
            <w:webHidden/>
          </w:rPr>
          <w:tab/>
        </w:r>
        <w:r w:rsidR="00147946" w:rsidRPr="00CA61A6">
          <w:rPr>
            <w:noProof/>
            <w:webHidden/>
          </w:rPr>
          <w:fldChar w:fldCharType="begin"/>
        </w:r>
        <w:r w:rsidR="00147946" w:rsidRPr="00CA61A6">
          <w:rPr>
            <w:noProof/>
            <w:webHidden/>
          </w:rPr>
          <w:instrText xml:space="preserve"> PAGEREF _Toc463335783 \h </w:instrText>
        </w:r>
        <w:r w:rsidR="00147946" w:rsidRPr="00CA61A6">
          <w:rPr>
            <w:noProof/>
            <w:webHidden/>
          </w:rPr>
        </w:r>
        <w:r w:rsidR="00147946" w:rsidRPr="00CA61A6">
          <w:rPr>
            <w:noProof/>
            <w:webHidden/>
          </w:rPr>
          <w:fldChar w:fldCharType="separate"/>
        </w:r>
        <w:r w:rsidR="005559A8">
          <w:rPr>
            <w:noProof/>
            <w:webHidden/>
          </w:rPr>
          <w:t>80</w:t>
        </w:r>
        <w:r w:rsidR="00147946" w:rsidRPr="00CA61A6">
          <w:rPr>
            <w:noProof/>
            <w:webHidden/>
          </w:rPr>
          <w:fldChar w:fldCharType="end"/>
        </w:r>
      </w:hyperlink>
    </w:p>
    <w:p w:rsidR="00147946" w:rsidRPr="00CA61A6" w:rsidRDefault="00110CAD">
      <w:pPr>
        <w:pStyle w:val="TOC1"/>
        <w:rPr>
          <w:rFonts w:asciiTheme="minorHAnsi" w:eastAsiaTheme="minorEastAsia" w:hAnsiTheme="minorHAnsi" w:cstheme="minorBidi"/>
          <w:noProof/>
          <w:sz w:val="22"/>
          <w:szCs w:val="22"/>
          <w:lang w:eastAsia="zh-CN"/>
        </w:rPr>
      </w:pPr>
      <w:hyperlink w:anchor="_Toc463335784" w:history="1">
        <w:r w:rsidR="00147946" w:rsidRPr="00CA61A6">
          <w:rPr>
            <w:rStyle w:val="Hyperlink"/>
            <w:noProof/>
          </w:rPr>
          <w:t>33</w:t>
        </w:r>
        <w:r w:rsidR="00147946" w:rsidRPr="00CA61A6">
          <w:rPr>
            <w:rFonts w:asciiTheme="minorHAnsi" w:eastAsiaTheme="minorEastAsia" w:hAnsiTheme="minorHAnsi" w:cstheme="minorBidi"/>
            <w:noProof/>
            <w:sz w:val="22"/>
            <w:szCs w:val="22"/>
            <w:lang w:eastAsia="zh-CN"/>
          </w:rPr>
          <w:tab/>
        </w:r>
        <w:r w:rsidR="00147946" w:rsidRPr="00CA61A6">
          <w:rPr>
            <w:rStyle w:val="Hyperlink"/>
            <w:noProof/>
          </w:rPr>
          <w:t xml:space="preserve">Resolución 65 – Comunicación del número de la parte llamante, identificación </w:t>
        </w:r>
        <w:r w:rsidR="007C70C8" w:rsidRPr="00CA61A6">
          <w:rPr>
            <w:rStyle w:val="Hyperlink"/>
            <w:noProof/>
          </w:rPr>
          <w:br/>
        </w:r>
        <w:r w:rsidR="00147946" w:rsidRPr="00CA61A6">
          <w:rPr>
            <w:rStyle w:val="Hyperlink"/>
            <w:noProof/>
          </w:rPr>
          <w:t>de la línea llamante e identificación del origen</w:t>
        </w:r>
        <w:r w:rsidR="00147946" w:rsidRPr="00CA61A6">
          <w:rPr>
            <w:noProof/>
            <w:webHidden/>
          </w:rPr>
          <w:tab/>
        </w:r>
        <w:r w:rsidR="007C70C8" w:rsidRPr="00CA61A6">
          <w:rPr>
            <w:noProof/>
            <w:webHidden/>
          </w:rPr>
          <w:tab/>
        </w:r>
        <w:r w:rsidR="00147946" w:rsidRPr="00CA61A6">
          <w:rPr>
            <w:noProof/>
            <w:webHidden/>
          </w:rPr>
          <w:fldChar w:fldCharType="begin"/>
        </w:r>
        <w:r w:rsidR="00147946" w:rsidRPr="00CA61A6">
          <w:rPr>
            <w:noProof/>
            <w:webHidden/>
          </w:rPr>
          <w:instrText xml:space="preserve"> PAGEREF _Toc463335784 \h </w:instrText>
        </w:r>
        <w:r w:rsidR="00147946" w:rsidRPr="00CA61A6">
          <w:rPr>
            <w:noProof/>
            <w:webHidden/>
          </w:rPr>
        </w:r>
        <w:r w:rsidR="00147946" w:rsidRPr="00CA61A6">
          <w:rPr>
            <w:noProof/>
            <w:webHidden/>
          </w:rPr>
          <w:fldChar w:fldCharType="separate"/>
        </w:r>
        <w:r w:rsidR="005559A8">
          <w:rPr>
            <w:noProof/>
            <w:webHidden/>
          </w:rPr>
          <w:t>84</w:t>
        </w:r>
        <w:r w:rsidR="00147946" w:rsidRPr="00CA61A6">
          <w:rPr>
            <w:noProof/>
            <w:webHidden/>
          </w:rPr>
          <w:fldChar w:fldCharType="end"/>
        </w:r>
      </w:hyperlink>
    </w:p>
    <w:p w:rsidR="00147946" w:rsidRPr="00CA61A6" w:rsidRDefault="00110CAD">
      <w:pPr>
        <w:pStyle w:val="TOC1"/>
        <w:rPr>
          <w:rFonts w:asciiTheme="minorHAnsi" w:eastAsiaTheme="minorEastAsia" w:hAnsiTheme="minorHAnsi" w:cstheme="minorBidi"/>
          <w:noProof/>
          <w:sz w:val="22"/>
          <w:szCs w:val="22"/>
          <w:lang w:eastAsia="zh-CN"/>
        </w:rPr>
      </w:pPr>
      <w:hyperlink w:anchor="_Toc463335785" w:history="1">
        <w:r w:rsidR="00147946" w:rsidRPr="00CA61A6">
          <w:rPr>
            <w:rStyle w:val="Hyperlink"/>
            <w:noProof/>
          </w:rPr>
          <w:t>34</w:t>
        </w:r>
        <w:r w:rsidR="00147946" w:rsidRPr="00CA61A6">
          <w:rPr>
            <w:rFonts w:asciiTheme="minorHAnsi" w:eastAsiaTheme="minorEastAsia" w:hAnsiTheme="minorHAnsi" w:cstheme="minorBidi"/>
            <w:noProof/>
            <w:sz w:val="22"/>
            <w:szCs w:val="22"/>
            <w:lang w:eastAsia="zh-CN"/>
          </w:rPr>
          <w:tab/>
        </w:r>
        <w:r w:rsidR="00147946" w:rsidRPr="00CA61A6">
          <w:rPr>
            <w:rStyle w:val="Hyperlink"/>
            <w:noProof/>
          </w:rPr>
          <w:t>Resolución 66 – Observatorio tecnológico en la Oficina de Normalización de las Telecomunicaciones</w:t>
        </w:r>
        <w:r w:rsidR="00147946" w:rsidRPr="00CA61A6">
          <w:rPr>
            <w:noProof/>
            <w:webHidden/>
          </w:rPr>
          <w:tab/>
        </w:r>
        <w:r w:rsidR="007C70C8" w:rsidRPr="00CA61A6">
          <w:rPr>
            <w:noProof/>
            <w:webHidden/>
          </w:rPr>
          <w:tab/>
        </w:r>
        <w:r w:rsidR="00147946" w:rsidRPr="00CA61A6">
          <w:rPr>
            <w:noProof/>
            <w:webHidden/>
          </w:rPr>
          <w:fldChar w:fldCharType="begin"/>
        </w:r>
        <w:r w:rsidR="00147946" w:rsidRPr="00CA61A6">
          <w:rPr>
            <w:noProof/>
            <w:webHidden/>
          </w:rPr>
          <w:instrText xml:space="preserve"> PAGEREF _Toc463335785 \h </w:instrText>
        </w:r>
        <w:r w:rsidR="00147946" w:rsidRPr="00CA61A6">
          <w:rPr>
            <w:noProof/>
            <w:webHidden/>
          </w:rPr>
        </w:r>
        <w:r w:rsidR="00147946" w:rsidRPr="00CA61A6">
          <w:rPr>
            <w:noProof/>
            <w:webHidden/>
          </w:rPr>
          <w:fldChar w:fldCharType="separate"/>
        </w:r>
        <w:r w:rsidR="005559A8">
          <w:rPr>
            <w:noProof/>
            <w:webHidden/>
          </w:rPr>
          <w:t>86</w:t>
        </w:r>
        <w:r w:rsidR="00147946" w:rsidRPr="00CA61A6">
          <w:rPr>
            <w:noProof/>
            <w:webHidden/>
          </w:rPr>
          <w:fldChar w:fldCharType="end"/>
        </w:r>
      </w:hyperlink>
    </w:p>
    <w:p w:rsidR="00147946" w:rsidRPr="00CA61A6" w:rsidRDefault="00110CAD">
      <w:pPr>
        <w:pStyle w:val="TOC1"/>
        <w:rPr>
          <w:rFonts w:asciiTheme="minorHAnsi" w:eastAsiaTheme="minorEastAsia" w:hAnsiTheme="minorHAnsi" w:cstheme="minorBidi"/>
          <w:noProof/>
          <w:sz w:val="22"/>
          <w:szCs w:val="22"/>
          <w:lang w:eastAsia="zh-CN"/>
        </w:rPr>
      </w:pPr>
      <w:hyperlink w:anchor="_Toc463335786" w:history="1">
        <w:r w:rsidR="00147946" w:rsidRPr="00CA61A6">
          <w:rPr>
            <w:rStyle w:val="Hyperlink"/>
            <w:noProof/>
          </w:rPr>
          <w:t>35</w:t>
        </w:r>
        <w:r w:rsidR="00147946" w:rsidRPr="00CA61A6">
          <w:rPr>
            <w:rFonts w:asciiTheme="minorHAnsi" w:eastAsiaTheme="minorEastAsia" w:hAnsiTheme="minorHAnsi" w:cstheme="minorBidi"/>
            <w:noProof/>
            <w:sz w:val="22"/>
            <w:szCs w:val="22"/>
            <w:lang w:eastAsia="zh-CN"/>
          </w:rPr>
          <w:tab/>
        </w:r>
        <w:r w:rsidR="00147946" w:rsidRPr="00CA61A6">
          <w:rPr>
            <w:rStyle w:val="Hyperlink"/>
            <w:noProof/>
          </w:rPr>
          <w:t xml:space="preserve">Resolución 67 – Utilización en el Sector de Normalización de las Telecomunicaciones </w:t>
        </w:r>
        <w:r w:rsidR="007C70C8" w:rsidRPr="00CA61A6">
          <w:rPr>
            <w:rStyle w:val="Hyperlink"/>
            <w:noProof/>
          </w:rPr>
          <w:br/>
        </w:r>
        <w:r w:rsidR="00147946" w:rsidRPr="00CA61A6">
          <w:rPr>
            <w:rStyle w:val="Hyperlink"/>
            <w:noProof/>
          </w:rPr>
          <w:t>de la UIT de los idiomas de la Unión en pie de igualdad</w:t>
        </w:r>
        <w:r w:rsidR="00147946" w:rsidRPr="00CA61A6">
          <w:rPr>
            <w:noProof/>
            <w:webHidden/>
          </w:rPr>
          <w:tab/>
        </w:r>
        <w:r w:rsidR="007C70C8" w:rsidRPr="00CA61A6">
          <w:rPr>
            <w:noProof/>
            <w:webHidden/>
          </w:rPr>
          <w:tab/>
        </w:r>
        <w:r w:rsidR="00147946" w:rsidRPr="00CA61A6">
          <w:rPr>
            <w:noProof/>
            <w:webHidden/>
          </w:rPr>
          <w:fldChar w:fldCharType="begin"/>
        </w:r>
        <w:r w:rsidR="00147946" w:rsidRPr="00CA61A6">
          <w:rPr>
            <w:noProof/>
            <w:webHidden/>
          </w:rPr>
          <w:instrText xml:space="preserve"> PAGEREF _Toc463335786 \h </w:instrText>
        </w:r>
        <w:r w:rsidR="00147946" w:rsidRPr="00CA61A6">
          <w:rPr>
            <w:noProof/>
            <w:webHidden/>
          </w:rPr>
        </w:r>
        <w:r w:rsidR="00147946" w:rsidRPr="00CA61A6">
          <w:rPr>
            <w:noProof/>
            <w:webHidden/>
          </w:rPr>
          <w:fldChar w:fldCharType="separate"/>
        </w:r>
        <w:r w:rsidR="005559A8">
          <w:rPr>
            <w:noProof/>
            <w:webHidden/>
          </w:rPr>
          <w:t>88</w:t>
        </w:r>
        <w:r w:rsidR="00147946" w:rsidRPr="00CA61A6">
          <w:rPr>
            <w:noProof/>
            <w:webHidden/>
          </w:rPr>
          <w:fldChar w:fldCharType="end"/>
        </w:r>
      </w:hyperlink>
    </w:p>
    <w:p w:rsidR="00147946" w:rsidRPr="00CA61A6" w:rsidRDefault="00110CAD">
      <w:pPr>
        <w:pStyle w:val="TOC1"/>
        <w:rPr>
          <w:rFonts w:asciiTheme="minorHAnsi" w:eastAsiaTheme="minorEastAsia" w:hAnsiTheme="minorHAnsi" w:cstheme="minorBidi"/>
          <w:noProof/>
          <w:sz w:val="22"/>
          <w:szCs w:val="22"/>
          <w:lang w:eastAsia="zh-CN"/>
        </w:rPr>
      </w:pPr>
      <w:hyperlink w:anchor="_Toc463335787" w:history="1">
        <w:r w:rsidR="00147946" w:rsidRPr="00CA61A6">
          <w:rPr>
            <w:rStyle w:val="Hyperlink"/>
            <w:noProof/>
          </w:rPr>
          <w:t>36</w:t>
        </w:r>
        <w:r w:rsidR="00147946" w:rsidRPr="00CA61A6">
          <w:rPr>
            <w:rFonts w:asciiTheme="minorHAnsi" w:eastAsiaTheme="minorEastAsia" w:hAnsiTheme="minorHAnsi" w:cstheme="minorBidi"/>
            <w:noProof/>
            <w:sz w:val="22"/>
            <w:szCs w:val="22"/>
            <w:lang w:eastAsia="zh-CN"/>
          </w:rPr>
          <w:tab/>
        </w:r>
        <w:r w:rsidR="00147946" w:rsidRPr="00CA61A6">
          <w:rPr>
            <w:rStyle w:val="Hyperlink"/>
            <w:noProof/>
          </w:rPr>
          <w:t xml:space="preserve">Resolución 68 – Aplicación de la Resolución 122 (Rev. Guadalajara, 2010) de </w:t>
        </w:r>
        <w:r w:rsidR="007C70C8" w:rsidRPr="00CA61A6">
          <w:rPr>
            <w:rStyle w:val="Hyperlink"/>
            <w:noProof/>
          </w:rPr>
          <w:br/>
        </w:r>
        <w:r w:rsidR="00147946" w:rsidRPr="00CA61A6">
          <w:rPr>
            <w:rStyle w:val="Hyperlink"/>
            <w:noProof/>
          </w:rPr>
          <w:t xml:space="preserve">la Conferencia de Plenipotenciarios sobre la evolución del papel de la </w:t>
        </w:r>
        <w:r w:rsidR="007C70C8" w:rsidRPr="00CA61A6">
          <w:rPr>
            <w:rStyle w:val="Hyperlink"/>
            <w:noProof/>
          </w:rPr>
          <w:br/>
        </w:r>
        <w:r w:rsidR="00147946" w:rsidRPr="00CA61A6">
          <w:rPr>
            <w:rStyle w:val="Hyperlink"/>
            <w:noProof/>
          </w:rPr>
          <w:t>Asamblea Mundial de Normalización de las Telecomunicaciones</w:t>
        </w:r>
        <w:r w:rsidR="00147946" w:rsidRPr="00CA61A6">
          <w:rPr>
            <w:noProof/>
            <w:webHidden/>
          </w:rPr>
          <w:tab/>
        </w:r>
        <w:r w:rsidR="007C70C8" w:rsidRPr="00CA61A6">
          <w:rPr>
            <w:noProof/>
            <w:webHidden/>
          </w:rPr>
          <w:tab/>
        </w:r>
        <w:r w:rsidR="00147946" w:rsidRPr="00CA61A6">
          <w:rPr>
            <w:noProof/>
            <w:webHidden/>
          </w:rPr>
          <w:fldChar w:fldCharType="begin"/>
        </w:r>
        <w:r w:rsidR="00147946" w:rsidRPr="00CA61A6">
          <w:rPr>
            <w:noProof/>
            <w:webHidden/>
          </w:rPr>
          <w:instrText xml:space="preserve"> PAGEREF _Toc463335787 \h </w:instrText>
        </w:r>
        <w:r w:rsidR="00147946" w:rsidRPr="00CA61A6">
          <w:rPr>
            <w:noProof/>
            <w:webHidden/>
          </w:rPr>
        </w:r>
        <w:r w:rsidR="00147946" w:rsidRPr="00CA61A6">
          <w:rPr>
            <w:noProof/>
            <w:webHidden/>
          </w:rPr>
          <w:fldChar w:fldCharType="separate"/>
        </w:r>
        <w:r w:rsidR="005559A8">
          <w:rPr>
            <w:noProof/>
            <w:webHidden/>
          </w:rPr>
          <w:t>91</w:t>
        </w:r>
        <w:r w:rsidR="00147946" w:rsidRPr="00CA61A6">
          <w:rPr>
            <w:noProof/>
            <w:webHidden/>
          </w:rPr>
          <w:fldChar w:fldCharType="end"/>
        </w:r>
      </w:hyperlink>
    </w:p>
    <w:p w:rsidR="00147946" w:rsidRPr="00CA61A6" w:rsidRDefault="00110CAD">
      <w:pPr>
        <w:pStyle w:val="TOC1"/>
        <w:rPr>
          <w:rFonts w:asciiTheme="minorHAnsi" w:eastAsiaTheme="minorEastAsia" w:hAnsiTheme="minorHAnsi" w:cstheme="minorBidi"/>
          <w:noProof/>
          <w:sz w:val="22"/>
          <w:szCs w:val="22"/>
          <w:lang w:eastAsia="zh-CN"/>
        </w:rPr>
      </w:pPr>
      <w:hyperlink w:anchor="_Toc463335788" w:history="1">
        <w:r w:rsidR="00147946" w:rsidRPr="00CA61A6">
          <w:rPr>
            <w:rStyle w:val="Hyperlink"/>
            <w:noProof/>
          </w:rPr>
          <w:t>37</w:t>
        </w:r>
        <w:r w:rsidR="00147946" w:rsidRPr="00CA61A6">
          <w:rPr>
            <w:rFonts w:asciiTheme="minorHAnsi" w:eastAsiaTheme="minorEastAsia" w:hAnsiTheme="minorHAnsi" w:cstheme="minorBidi"/>
            <w:noProof/>
            <w:sz w:val="22"/>
            <w:szCs w:val="22"/>
            <w:lang w:eastAsia="zh-CN"/>
          </w:rPr>
          <w:tab/>
        </w:r>
        <w:r w:rsidR="00147946" w:rsidRPr="00CA61A6">
          <w:rPr>
            <w:rStyle w:val="Hyperlink"/>
            <w:noProof/>
          </w:rPr>
          <w:t>Resolución 69 – Acceso y utilización no discriminatorios de los recursos de Internet</w:t>
        </w:r>
        <w:r w:rsidR="00147946" w:rsidRPr="00CA61A6">
          <w:rPr>
            <w:noProof/>
            <w:webHidden/>
          </w:rPr>
          <w:tab/>
        </w:r>
        <w:r w:rsidR="00147946" w:rsidRPr="00CA61A6">
          <w:rPr>
            <w:noProof/>
            <w:webHidden/>
          </w:rPr>
          <w:fldChar w:fldCharType="begin"/>
        </w:r>
        <w:r w:rsidR="00147946" w:rsidRPr="00CA61A6">
          <w:rPr>
            <w:noProof/>
            <w:webHidden/>
          </w:rPr>
          <w:instrText xml:space="preserve"> PAGEREF _Toc463335788 \h </w:instrText>
        </w:r>
        <w:r w:rsidR="00147946" w:rsidRPr="00CA61A6">
          <w:rPr>
            <w:noProof/>
            <w:webHidden/>
          </w:rPr>
        </w:r>
        <w:r w:rsidR="00147946" w:rsidRPr="00CA61A6">
          <w:rPr>
            <w:noProof/>
            <w:webHidden/>
          </w:rPr>
          <w:fldChar w:fldCharType="separate"/>
        </w:r>
        <w:r w:rsidR="005559A8">
          <w:rPr>
            <w:noProof/>
            <w:webHidden/>
          </w:rPr>
          <w:t>92</w:t>
        </w:r>
        <w:r w:rsidR="00147946" w:rsidRPr="00CA61A6">
          <w:rPr>
            <w:noProof/>
            <w:webHidden/>
          </w:rPr>
          <w:fldChar w:fldCharType="end"/>
        </w:r>
      </w:hyperlink>
    </w:p>
    <w:p w:rsidR="00147946" w:rsidRPr="00CA61A6" w:rsidRDefault="00110CAD">
      <w:pPr>
        <w:pStyle w:val="TOC1"/>
        <w:rPr>
          <w:rFonts w:asciiTheme="minorHAnsi" w:eastAsiaTheme="minorEastAsia" w:hAnsiTheme="minorHAnsi" w:cstheme="minorBidi"/>
          <w:noProof/>
          <w:sz w:val="22"/>
          <w:szCs w:val="22"/>
          <w:lang w:eastAsia="zh-CN"/>
        </w:rPr>
      </w:pPr>
      <w:hyperlink w:anchor="_Toc463335789" w:history="1">
        <w:r w:rsidR="00147946" w:rsidRPr="00CA61A6">
          <w:rPr>
            <w:rStyle w:val="Hyperlink"/>
            <w:noProof/>
          </w:rPr>
          <w:t>38</w:t>
        </w:r>
        <w:r w:rsidR="00147946" w:rsidRPr="00CA61A6">
          <w:rPr>
            <w:rFonts w:asciiTheme="minorHAnsi" w:eastAsiaTheme="minorEastAsia" w:hAnsiTheme="minorHAnsi" w:cstheme="minorBidi"/>
            <w:noProof/>
            <w:sz w:val="22"/>
            <w:szCs w:val="22"/>
            <w:lang w:eastAsia="zh-CN"/>
          </w:rPr>
          <w:tab/>
        </w:r>
        <w:r w:rsidR="00147946" w:rsidRPr="00CA61A6">
          <w:rPr>
            <w:rStyle w:val="Hyperlink"/>
            <w:noProof/>
          </w:rPr>
          <w:t xml:space="preserve">Resolución 70 – Accesibilidad de las telecomunicaciones/tecnologías de la </w:t>
        </w:r>
        <w:r w:rsidR="007C70C8" w:rsidRPr="00CA61A6">
          <w:rPr>
            <w:rStyle w:val="Hyperlink"/>
            <w:noProof/>
          </w:rPr>
          <w:br/>
        </w:r>
        <w:r w:rsidR="00147946" w:rsidRPr="00CA61A6">
          <w:rPr>
            <w:rStyle w:val="Hyperlink"/>
            <w:noProof/>
          </w:rPr>
          <w:t>información y la comunicación para las personas con discapacidades</w:t>
        </w:r>
        <w:r w:rsidR="00147946" w:rsidRPr="00CA61A6">
          <w:rPr>
            <w:noProof/>
            <w:webHidden/>
          </w:rPr>
          <w:tab/>
        </w:r>
        <w:r w:rsidR="007C70C8" w:rsidRPr="00CA61A6">
          <w:rPr>
            <w:noProof/>
            <w:webHidden/>
          </w:rPr>
          <w:tab/>
        </w:r>
        <w:r w:rsidR="00147946" w:rsidRPr="00CA61A6">
          <w:rPr>
            <w:noProof/>
            <w:webHidden/>
          </w:rPr>
          <w:fldChar w:fldCharType="begin"/>
        </w:r>
        <w:r w:rsidR="00147946" w:rsidRPr="00CA61A6">
          <w:rPr>
            <w:noProof/>
            <w:webHidden/>
          </w:rPr>
          <w:instrText xml:space="preserve"> PAGEREF _Toc463335789 \h </w:instrText>
        </w:r>
        <w:r w:rsidR="00147946" w:rsidRPr="00CA61A6">
          <w:rPr>
            <w:noProof/>
            <w:webHidden/>
          </w:rPr>
        </w:r>
        <w:r w:rsidR="00147946" w:rsidRPr="00CA61A6">
          <w:rPr>
            <w:noProof/>
            <w:webHidden/>
          </w:rPr>
          <w:fldChar w:fldCharType="separate"/>
        </w:r>
        <w:r w:rsidR="005559A8">
          <w:rPr>
            <w:noProof/>
            <w:webHidden/>
          </w:rPr>
          <w:t>93</w:t>
        </w:r>
        <w:r w:rsidR="00147946" w:rsidRPr="00CA61A6">
          <w:rPr>
            <w:noProof/>
            <w:webHidden/>
          </w:rPr>
          <w:fldChar w:fldCharType="end"/>
        </w:r>
      </w:hyperlink>
    </w:p>
    <w:p w:rsidR="00147946" w:rsidRPr="00CA61A6" w:rsidRDefault="00110CAD">
      <w:pPr>
        <w:pStyle w:val="TOC1"/>
        <w:rPr>
          <w:rFonts w:asciiTheme="minorHAnsi" w:eastAsiaTheme="minorEastAsia" w:hAnsiTheme="minorHAnsi" w:cstheme="minorBidi"/>
          <w:noProof/>
          <w:sz w:val="22"/>
          <w:szCs w:val="22"/>
          <w:lang w:eastAsia="zh-CN"/>
        </w:rPr>
      </w:pPr>
      <w:hyperlink w:anchor="_Toc463335790" w:history="1">
        <w:r w:rsidR="00147946" w:rsidRPr="00CA61A6">
          <w:rPr>
            <w:rStyle w:val="Hyperlink"/>
            <w:noProof/>
          </w:rPr>
          <w:t>39</w:t>
        </w:r>
        <w:r w:rsidR="00147946" w:rsidRPr="00CA61A6">
          <w:rPr>
            <w:rFonts w:asciiTheme="minorHAnsi" w:eastAsiaTheme="minorEastAsia" w:hAnsiTheme="minorHAnsi" w:cstheme="minorBidi"/>
            <w:noProof/>
            <w:sz w:val="22"/>
            <w:szCs w:val="22"/>
            <w:lang w:eastAsia="zh-CN"/>
          </w:rPr>
          <w:tab/>
        </w:r>
        <w:r w:rsidR="00147946" w:rsidRPr="00CA61A6">
          <w:rPr>
            <w:rStyle w:val="Hyperlink"/>
            <w:noProof/>
          </w:rPr>
          <w:t xml:space="preserve">Resolución 71 – Admisión de instituciones académicas para que participen en </w:t>
        </w:r>
        <w:r w:rsidR="007C70C8" w:rsidRPr="00CA61A6">
          <w:rPr>
            <w:rStyle w:val="Hyperlink"/>
            <w:noProof/>
          </w:rPr>
          <w:br/>
        </w:r>
        <w:r w:rsidR="00147946" w:rsidRPr="00CA61A6">
          <w:rPr>
            <w:rStyle w:val="Hyperlink"/>
            <w:noProof/>
          </w:rPr>
          <w:t>los trabajos del Sector de Normalización de las Telecomunicaciones de la UIT</w:t>
        </w:r>
        <w:r w:rsidR="00147946" w:rsidRPr="00CA61A6">
          <w:rPr>
            <w:noProof/>
            <w:webHidden/>
          </w:rPr>
          <w:tab/>
        </w:r>
        <w:r w:rsidR="00147946" w:rsidRPr="00CA61A6">
          <w:rPr>
            <w:noProof/>
            <w:webHidden/>
          </w:rPr>
          <w:fldChar w:fldCharType="begin"/>
        </w:r>
        <w:r w:rsidR="00147946" w:rsidRPr="00CA61A6">
          <w:rPr>
            <w:noProof/>
            <w:webHidden/>
          </w:rPr>
          <w:instrText xml:space="preserve"> PAGEREF _Toc463335790 \h </w:instrText>
        </w:r>
        <w:r w:rsidR="00147946" w:rsidRPr="00CA61A6">
          <w:rPr>
            <w:noProof/>
            <w:webHidden/>
          </w:rPr>
        </w:r>
        <w:r w:rsidR="00147946" w:rsidRPr="00CA61A6">
          <w:rPr>
            <w:noProof/>
            <w:webHidden/>
          </w:rPr>
          <w:fldChar w:fldCharType="separate"/>
        </w:r>
        <w:r w:rsidR="005559A8">
          <w:rPr>
            <w:noProof/>
            <w:webHidden/>
          </w:rPr>
          <w:t>99</w:t>
        </w:r>
        <w:r w:rsidR="00147946" w:rsidRPr="00CA61A6">
          <w:rPr>
            <w:noProof/>
            <w:webHidden/>
          </w:rPr>
          <w:fldChar w:fldCharType="end"/>
        </w:r>
      </w:hyperlink>
    </w:p>
    <w:p w:rsidR="00147946" w:rsidRPr="00CA61A6" w:rsidRDefault="00110CAD">
      <w:pPr>
        <w:pStyle w:val="TOC1"/>
        <w:rPr>
          <w:rFonts w:asciiTheme="minorHAnsi" w:eastAsiaTheme="minorEastAsia" w:hAnsiTheme="minorHAnsi" w:cstheme="minorBidi"/>
          <w:noProof/>
          <w:sz w:val="22"/>
          <w:szCs w:val="22"/>
          <w:lang w:eastAsia="zh-CN"/>
        </w:rPr>
      </w:pPr>
      <w:hyperlink w:anchor="_Toc463335791" w:history="1">
        <w:r w:rsidR="00147946" w:rsidRPr="00CA61A6">
          <w:rPr>
            <w:rStyle w:val="Hyperlink"/>
            <w:noProof/>
          </w:rPr>
          <w:t>40</w:t>
        </w:r>
        <w:r w:rsidR="00147946" w:rsidRPr="00CA61A6">
          <w:rPr>
            <w:rFonts w:asciiTheme="minorHAnsi" w:eastAsiaTheme="minorEastAsia" w:hAnsiTheme="minorHAnsi" w:cstheme="minorBidi"/>
            <w:noProof/>
            <w:sz w:val="22"/>
            <w:szCs w:val="22"/>
            <w:lang w:eastAsia="zh-CN"/>
          </w:rPr>
          <w:tab/>
        </w:r>
        <w:r w:rsidR="00147946" w:rsidRPr="00CA61A6">
          <w:rPr>
            <w:rStyle w:val="Hyperlink"/>
            <w:noProof/>
          </w:rPr>
          <w:t xml:space="preserve">Resolución 72 – Problemas de medición relativos a la exposición de las </w:t>
        </w:r>
        <w:r w:rsidR="007C70C8" w:rsidRPr="00CA61A6">
          <w:rPr>
            <w:rStyle w:val="Hyperlink"/>
            <w:noProof/>
          </w:rPr>
          <w:br/>
        </w:r>
        <w:r w:rsidR="00147946" w:rsidRPr="00CA61A6">
          <w:rPr>
            <w:rStyle w:val="Hyperlink"/>
            <w:noProof/>
          </w:rPr>
          <w:t>personas a los campos electromagnéticos</w:t>
        </w:r>
        <w:r w:rsidR="00147946" w:rsidRPr="00CA61A6">
          <w:rPr>
            <w:noProof/>
            <w:webHidden/>
          </w:rPr>
          <w:tab/>
        </w:r>
        <w:r w:rsidR="007C70C8" w:rsidRPr="00CA61A6">
          <w:rPr>
            <w:noProof/>
            <w:webHidden/>
          </w:rPr>
          <w:tab/>
        </w:r>
        <w:r w:rsidR="00147946" w:rsidRPr="00CA61A6">
          <w:rPr>
            <w:noProof/>
            <w:webHidden/>
          </w:rPr>
          <w:fldChar w:fldCharType="begin"/>
        </w:r>
        <w:r w:rsidR="00147946" w:rsidRPr="00CA61A6">
          <w:rPr>
            <w:noProof/>
            <w:webHidden/>
          </w:rPr>
          <w:instrText xml:space="preserve"> PAGEREF _Toc463335791 \h </w:instrText>
        </w:r>
        <w:r w:rsidR="00147946" w:rsidRPr="00CA61A6">
          <w:rPr>
            <w:noProof/>
            <w:webHidden/>
          </w:rPr>
        </w:r>
        <w:r w:rsidR="00147946" w:rsidRPr="00CA61A6">
          <w:rPr>
            <w:noProof/>
            <w:webHidden/>
          </w:rPr>
          <w:fldChar w:fldCharType="separate"/>
        </w:r>
        <w:r w:rsidR="005559A8">
          <w:rPr>
            <w:noProof/>
            <w:webHidden/>
          </w:rPr>
          <w:t>103</w:t>
        </w:r>
        <w:r w:rsidR="00147946" w:rsidRPr="00CA61A6">
          <w:rPr>
            <w:noProof/>
            <w:webHidden/>
          </w:rPr>
          <w:fldChar w:fldCharType="end"/>
        </w:r>
      </w:hyperlink>
    </w:p>
    <w:p w:rsidR="00147946" w:rsidRPr="00CA61A6" w:rsidRDefault="00110CAD">
      <w:pPr>
        <w:pStyle w:val="TOC1"/>
        <w:rPr>
          <w:rFonts w:asciiTheme="minorHAnsi" w:eastAsiaTheme="minorEastAsia" w:hAnsiTheme="minorHAnsi" w:cstheme="minorBidi"/>
          <w:noProof/>
          <w:sz w:val="22"/>
          <w:szCs w:val="22"/>
          <w:lang w:eastAsia="zh-CN"/>
        </w:rPr>
      </w:pPr>
      <w:hyperlink w:anchor="_Toc463335792" w:history="1">
        <w:r w:rsidR="00147946" w:rsidRPr="00CA61A6">
          <w:rPr>
            <w:rStyle w:val="Hyperlink"/>
            <w:noProof/>
          </w:rPr>
          <w:t>41</w:t>
        </w:r>
        <w:r w:rsidR="00147946" w:rsidRPr="00CA61A6">
          <w:rPr>
            <w:rFonts w:asciiTheme="minorHAnsi" w:eastAsiaTheme="minorEastAsia" w:hAnsiTheme="minorHAnsi" w:cstheme="minorBidi"/>
            <w:noProof/>
            <w:sz w:val="22"/>
            <w:szCs w:val="22"/>
            <w:lang w:eastAsia="zh-CN"/>
          </w:rPr>
          <w:tab/>
        </w:r>
        <w:r w:rsidR="00147946" w:rsidRPr="00CA61A6">
          <w:rPr>
            <w:rStyle w:val="Hyperlink"/>
            <w:noProof/>
          </w:rPr>
          <w:t xml:space="preserve">Resolución 73 – Tecnologías de la información y la comunicación, medio </w:t>
        </w:r>
        <w:r w:rsidR="007C70C8" w:rsidRPr="00CA61A6">
          <w:rPr>
            <w:rStyle w:val="Hyperlink"/>
            <w:noProof/>
          </w:rPr>
          <w:br/>
        </w:r>
        <w:r w:rsidR="00147946" w:rsidRPr="00CA61A6">
          <w:rPr>
            <w:rStyle w:val="Hyperlink"/>
            <w:noProof/>
          </w:rPr>
          <w:t>ambiente y cambio climático</w:t>
        </w:r>
        <w:r w:rsidR="00147946" w:rsidRPr="00CA61A6">
          <w:rPr>
            <w:noProof/>
            <w:webHidden/>
          </w:rPr>
          <w:tab/>
        </w:r>
        <w:r w:rsidR="007C70C8" w:rsidRPr="00CA61A6">
          <w:rPr>
            <w:noProof/>
            <w:webHidden/>
          </w:rPr>
          <w:tab/>
        </w:r>
        <w:r w:rsidR="00147946" w:rsidRPr="00CA61A6">
          <w:rPr>
            <w:noProof/>
            <w:webHidden/>
          </w:rPr>
          <w:fldChar w:fldCharType="begin"/>
        </w:r>
        <w:r w:rsidR="00147946" w:rsidRPr="00CA61A6">
          <w:rPr>
            <w:noProof/>
            <w:webHidden/>
          </w:rPr>
          <w:instrText xml:space="preserve"> PAGEREF _Toc463335792 \h </w:instrText>
        </w:r>
        <w:r w:rsidR="00147946" w:rsidRPr="00CA61A6">
          <w:rPr>
            <w:noProof/>
            <w:webHidden/>
          </w:rPr>
        </w:r>
        <w:r w:rsidR="00147946" w:rsidRPr="00CA61A6">
          <w:rPr>
            <w:noProof/>
            <w:webHidden/>
          </w:rPr>
          <w:fldChar w:fldCharType="separate"/>
        </w:r>
        <w:r w:rsidR="005559A8">
          <w:rPr>
            <w:noProof/>
            <w:webHidden/>
          </w:rPr>
          <w:t>106</w:t>
        </w:r>
        <w:r w:rsidR="00147946" w:rsidRPr="00CA61A6">
          <w:rPr>
            <w:noProof/>
            <w:webHidden/>
          </w:rPr>
          <w:fldChar w:fldCharType="end"/>
        </w:r>
      </w:hyperlink>
    </w:p>
    <w:p w:rsidR="00147946" w:rsidRPr="00CA61A6" w:rsidRDefault="00110CAD">
      <w:pPr>
        <w:pStyle w:val="TOC1"/>
        <w:rPr>
          <w:rFonts w:asciiTheme="minorHAnsi" w:eastAsiaTheme="minorEastAsia" w:hAnsiTheme="minorHAnsi" w:cstheme="minorBidi"/>
          <w:noProof/>
          <w:sz w:val="22"/>
          <w:szCs w:val="22"/>
          <w:lang w:eastAsia="zh-CN"/>
        </w:rPr>
      </w:pPr>
      <w:hyperlink w:anchor="_Toc463335793" w:history="1">
        <w:r w:rsidR="00147946" w:rsidRPr="00CA61A6">
          <w:rPr>
            <w:rStyle w:val="Hyperlink"/>
            <w:noProof/>
          </w:rPr>
          <w:t>42</w:t>
        </w:r>
        <w:r w:rsidR="00147946" w:rsidRPr="00CA61A6">
          <w:rPr>
            <w:rFonts w:asciiTheme="minorHAnsi" w:eastAsiaTheme="minorEastAsia" w:hAnsiTheme="minorHAnsi" w:cstheme="minorBidi"/>
            <w:noProof/>
            <w:sz w:val="22"/>
            <w:szCs w:val="22"/>
            <w:lang w:eastAsia="zh-CN"/>
          </w:rPr>
          <w:tab/>
        </w:r>
        <w:r w:rsidR="00147946" w:rsidRPr="00CA61A6">
          <w:rPr>
            <w:rStyle w:val="Hyperlink"/>
            <w:noProof/>
          </w:rPr>
          <w:t xml:space="preserve">Resolución 74 – Admisión de Miembros de Sector de los países en desarrollo </w:t>
        </w:r>
        <w:r w:rsidR="007C70C8" w:rsidRPr="00CA61A6">
          <w:rPr>
            <w:rStyle w:val="Hyperlink"/>
            <w:noProof/>
          </w:rPr>
          <w:br/>
        </w:r>
        <w:r w:rsidR="00147946" w:rsidRPr="00CA61A6">
          <w:rPr>
            <w:rStyle w:val="Hyperlink"/>
            <w:noProof/>
          </w:rPr>
          <w:t>en la labor del Sector de Normalización de las Telecomunicaciones de la UIT</w:t>
        </w:r>
        <w:r w:rsidR="00147946" w:rsidRPr="00CA61A6">
          <w:rPr>
            <w:noProof/>
            <w:webHidden/>
          </w:rPr>
          <w:tab/>
        </w:r>
        <w:r w:rsidR="00147946" w:rsidRPr="00CA61A6">
          <w:rPr>
            <w:noProof/>
            <w:webHidden/>
          </w:rPr>
          <w:fldChar w:fldCharType="begin"/>
        </w:r>
        <w:r w:rsidR="00147946" w:rsidRPr="00CA61A6">
          <w:rPr>
            <w:noProof/>
            <w:webHidden/>
          </w:rPr>
          <w:instrText xml:space="preserve"> PAGEREF _Toc463335793 \h </w:instrText>
        </w:r>
        <w:r w:rsidR="00147946" w:rsidRPr="00CA61A6">
          <w:rPr>
            <w:noProof/>
            <w:webHidden/>
          </w:rPr>
        </w:r>
        <w:r w:rsidR="00147946" w:rsidRPr="00CA61A6">
          <w:rPr>
            <w:noProof/>
            <w:webHidden/>
          </w:rPr>
          <w:fldChar w:fldCharType="separate"/>
        </w:r>
        <w:r w:rsidR="005559A8">
          <w:rPr>
            <w:noProof/>
            <w:webHidden/>
          </w:rPr>
          <w:t>115</w:t>
        </w:r>
        <w:r w:rsidR="00147946" w:rsidRPr="00CA61A6">
          <w:rPr>
            <w:noProof/>
            <w:webHidden/>
          </w:rPr>
          <w:fldChar w:fldCharType="end"/>
        </w:r>
      </w:hyperlink>
    </w:p>
    <w:p w:rsidR="00147946" w:rsidRPr="00CA61A6" w:rsidRDefault="00110CAD">
      <w:pPr>
        <w:pStyle w:val="TOC1"/>
        <w:rPr>
          <w:rFonts w:asciiTheme="minorHAnsi" w:eastAsiaTheme="minorEastAsia" w:hAnsiTheme="minorHAnsi" w:cstheme="minorBidi"/>
          <w:noProof/>
          <w:sz w:val="22"/>
          <w:szCs w:val="22"/>
          <w:lang w:eastAsia="zh-CN"/>
        </w:rPr>
      </w:pPr>
      <w:hyperlink w:anchor="_Toc463335794" w:history="1">
        <w:r w:rsidR="00147946" w:rsidRPr="00CA61A6">
          <w:rPr>
            <w:rStyle w:val="Hyperlink"/>
            <w:noProof/>
          </w:rPr>
          <w:t>43</w:t>
        </w:r>
        <w:r w:rsidR="00147946" w:rsidRPr="00CA61A6">
          <w:rPr>
            <w:rFonts w:asciiTheme="minorHAnsi" w:eastAsiaTheme="minorEastAsia" w:hAnsiTheme="minorHAnsi" w:cstheme="minorBidi"/>
            <w:noProof/>
            <w:sz w:val="22"/>
            <w:szCs w:val="22"/>
            <w:lang w:eastAsia="zh-CN"/>
          </w:rPr>
          <w:tab/>
        </w:r>
        <w:r w:rsidR="00147946" w:rsidRPr="00CA61A6">
          <w:rPr>
            <w:rStyle w:val="Hyperlink"/>
            <w:noProof/>
          </w:rPr>
          <w:t xml:space="preserve">Resolución 75 – Contribución del Sector de Normalización de las </w:t>
        </w:r>
        <w:r w:rsidR="007C70C8" w:rsidRPr="00CA61A6">
          <w:rPr>
            <w:rStyle w:val="Hyperlink"/>
            <w:noProof/>
          </w:rPr>
          <w:br/>
        </w:r>
        <w:r w:rsidR="00147946" w:rsidRPr="00CA61A6">
          <w:rPr>
            <w:rStyle w:val="Hyperlink"/>
            <w:noProof/>
          </w:rPr>
          <w:t xml:space="preserve">Telecomunicaciones de la UIT a la puesta en práctica de los resultados de la </w:t>
        </w:r>
        <w:r w:rsidR="007C70C8" w:rsidRPr="00CA61A6">
          <w:rPr>
            <w:rStyle w:val="Hyperlink"/>
            <w:noProof/>
          </w:rPr>
          <w:br/>
        </w:r>
        <w:r w:rsidR="00147946" w:rsidRPr="00CA61A6">
          <w:rPr>
            <w:rStyle w:val="Hyperlink"/>
            <w:noProof/>
          </w:rPr>
          <w:t>Cumbre Mundial sobre la Sociedad de la Información</w:t>
        </w:r>
        <w:r w:rsidR="00147946" w:rsidRPr="00CA61A6">
          <w:rPr>
            <w:noProof/>
            <w:webHidden/>
          </w:rPr>
          <w:tab/>
        </w:r>
        <w:r w:rsidR="007C70C8" w:rsidRPr="00CA61A6">
          <w:rPr>
            <w:noProof/>
            <w:webHidden/>
          </w:rPr>
          <w:tab/>
        </w:r>
        <w:r w:rsidR="00147946" w:rsidRPr="00CA61A6">
          <w:rPr>
            <w:noProof/>
            <w:webHidden/>
          </w:rPr>
          <w:fldChar w:fldCharType="begin"/>
        </w:r>
        <w:r w:rsidR="00147946" w:rsidRPr="00CA61A6">
          <w:rPr>
            <w:noProof/>
            <w:webHidden/>
          </w:rPr>
          <w:instrText xml:space="preserve"> PAGEREF _Toc463335794 \h </w:instrText>
        </w:r>
        <w:r w:rsidR="00147946" w:rsidRPr="00CA61A6">
          <w:rPr>
            <w:noProof/>
            <w:webHidden/>
          </w:rPr>
        </w:r>
        <w:r w:rsidR="00147946" w:rsidRPr="00CA61A6">
          <w:rPr>
            <w:noProof/>
            <w:webHidden/>
          </w:rPr>
          <w:fldChar w:fldCharType="separate"/>
        </w:r>
        <w:r w:rsidR="005559A8">
          <w:rPr>
            <w:noProof/>
            <w:webHidden/>
          </w:rPr>
          <w:t>115</w:t>
        </w:r>
        <w:r w:rsidR="00147946" w:rsidRPr="00CA61A6">
          <w:rPr>
            <w:noProof/>
            <w:webHidden/>
          </w:rPr>
          <w:fldChar w:fldCharType="end"/>
        </w:r>
      </w:hyperlink>
    </w:p>
    <w:p w:rsidR="00147946" w:rsidRPr="00CA61A6" w:rsidRDefault="00110CAD">
      <w:pPr>
        <w:pStyle w:val="TOC1"/>
        <w:rPr>
          <w:rFonts w:asciiTheme="minorHAnsi" w:eastAsiaTheme="minorEastAsia" w:hAnsiTheme="minorHAnsi" w:cstheme="minorBidi"/>
          <w:noProof/>
          <w:sz w:val="22"/>
          <w:szCs w:val="22"/>
          <w:lang w:eastAsia="zh-CN"/>
        </w:rPr>
      </w:pPr>
      <w:hyperlink w:anchor="_Toc463335795" w:history="1">
        <w:r w:rsidR="00147946" w:rsidRPr="00CA61A6">
          <w:rPr>
            <w:rStyle w:val="Hyperlink"/>
            <w:noProof/>
          </w:rPr>
          <w:t>44</w:t>
        </w:r>
        <w:r w:rsidR="00147946" w:rsidRPr="00CA61A6">
          <w:rPr>
            <w:rFonts w:asciiTheme="minorHAnsi" w:eastAsiaTheme="minorEastAsia" w:hAnsiTheme="minorHAnsi" w:cstheme="minorBidi"/>
            <w:noProof/>
            <w:sz w:val="22"/>
            <w:szCs w:val="22"/>
            <w:lang w:eastAsia="zh-CN"/>
          </w:rPr>
          <w:tab/>
        </w:r>
        <w:r w:rsidR="00147946" w:rsidRPr="00CA61A6">
          <w:rPr>
            <w:rStyle w:val="Hyperlink"/>
            <w:noProof/>
          </w:rPr>
          <w:t xml:space="preserve">Resolución 76 – Estudios relacionados con las pruebas de conformidad e </w:t>
        </w:r>
        <w:r w:rsidR="00DF4AB1" w:rsidRPr="00CA61A6">
          <w:rPr>
            <w:rStyle w:val="Hyperlink"/>
            <w:noProof/>
          </w:rPr>
          <w:br/>
        </w:r>
        <w:r w:rsidR="00147946" w:rsidRPr="00CA61A6">
          <w:rPr>
            <w:rStyle w:val="Hyperlink"/>
            <w:noProof/>
          </w:rPr>
          <w:t xml:space="preserve">interoperabilidad, la asistencia a los países en desarrollo y un posible futuro </w:t>
        </w:r>
        <w:r w:rsidR="00DF4AB1" w:rsidRPr="00CA61A6">
          <w:rPr>
            <w:rStyle w:val="Hyperlink"/>
            <w:noProof/>
          </w:rPr>
          <w:br/>
        </w:r>
        <w:r w:rsidR="00147946" w:rsidRPr="00CA61A6">
          <w:rPr>
            <w:rStyle w:val="Hyperlink"/>
            <w:noProof/>
          </w:rPr>
          <w:t>programa relativo a la Marca UIT</w:t>
        </w:r>
        <w:r w:rsidR="00147946" w:rsidRPr="00CA61A6">
          <w:rPr>
            <w:noProof/>
            <w:webHidden/>
          </w:rPr>
          <w:tab/>
        </w:r>
        <w:r w:rsidR="00DF4AB1" w:rsidRPr="00CA61A6">
          <w:rPr>
            <w:noProof/>
            <w:webHidden/>
          </w:rPr>
          <w:tab/>
        </w:r>
        <w:r w:rsidR="00147946" w:rsidRPr="00CA61A6">
          <w:rPr>
            <w:noProof/>
            <w:webHidden/>
          </w:rPr>
          <w:fldChar w:fldCharType="begin"/>
        </w:r>
        <w:r w:rsidR="00147946" w:rsidRPr="00CA61A6">
          <w:rPr>
            <w:noProof/>
            <w:webHidden/>
          </w:rPr>
          <w:instrText xml:space="preserve"> PAGEREF _Toc463335795 \h </w:instrText>
        </w:r>
        <w:r w:rsidR="00147946" w:rsidRPr="00CA61A6">
          <w:rPr>
            <w:noProof/>
            <w:webHidden/>
          </w:rPr>
        </w:r>
        <w:r w:rsidR="00147946" w:rsidRPr="00CA61A6">
          <w:rPr>
            <w:noProof/>
            <w:webHidden/>
          </w:rPr>
          <w:fldChar w:fldCharType="separate"/>
        </w:r>
        <w:r w:rsidR="005559A8">
          <w:rPr>
            <w:noProof/>
            <w:webHidden/>
          </w:rPr>
          <w:t>118</w:t>
        </w:r>
        <w:r w:rsidR="00147946" w:rsidRPr="00CA61A6">
          <w:rPr>
            <w:noProof/>
            <w:webHidden/>
          </w:rPr>
          <w:fldChar w:fldCharType="end"/>
        </w:r>
      </w:hyperlink>
    </w:p>
    <w:p w:rsidR="00147946" w:rsidRPr="00CA61A6" w:rsidRDefault="00110CAD">
      <w:pPr>
        <w:pStyle w:val="TOC1"/>
        <w:rPr>
          <w:rFonts w:asciiTheme="minorHAnsi" w:eastAsiaTheme="minorEastAsia" w:hAnsiTheme="minorHAnsi" w:cstheme="minorBidi"/>
          <w:noProof/>
          <w:sz w:val="22"/>
          <w:szCs w:val="22"/>
          <w:lang w:eastAsia="zh-CN"/>
        </w:rPr>
      </w:pPr>
      <w:hyperlink w:anchor="_Toc463335796" w:history="1">
        <w:r w:rsidR="00147946" w:rsidRPr="00CA61A6">
          <w:rPr>
            <w:rStyle w:val="Hyperlink"/>
            <w:noProof/>
          </w:rPr>
          <w:t>45</w:t>
        </w:r>
        <w:r w:rsidR="00147946" w:rsidRPr="00CA61A6">
          <w:rPr>
            <w:rFonts w:asciiTheme="minorHAnsi" w:eastAsiaTheme="minorEastAsia" w:hAnsiTheme="minorHAnsi" w:cstheme="minorBidi"/>
            <w:noProof/>
            <w:sz w:val="22"/>
            <w:szCs w:val="22"/>
            <w:lang w:eastAsia="zh-CN"/>
          </w:rPr>
          <w:tab/>
        </w:r>
        <w:r w:rsidR="00147946" w:rsidRPr="00CA61A6">
          <w:rPr>
            <w:rStyle w:val="Hyperlink"/>
            <w:noProof/>
          </w:rPr>
          <w:t xml:space="preserve">Resolución 77 – Normalización de las redes definidas por software en el Sector </w:t>
        </w:r>
        <w:r w:rsidR="00DF4AB1" w:rsidRPr="00CA61A6">
          <w:rPr>
            <w:rStyle w:val="Hyperlink"/>
            <w:noProof/>
          </w:rPr>
          <w:br/>
        </w:r>
        <w:r w:rsidR="00147946" w:rsidRPr="00CA61A6">
          <w:rPr>
            <w:rStyle w:val="Hyperlink"/>
            <w:noProof/>
          </w:rPr>
          <w:t>de Normalización de las Telecomunicaciones de la UIT</w:t>
        </w:r>
        <w:r w:rsidR="00147946" w:rsidRPr="00CA61A6">
          <w:rPr>
            <w:noProof/>
            <w:webHidden/>
          </w:rPr>
          <w:tab/>
        </w:r>
        <w:r w:rsidR="00DF4AB1" w:rsidRPr="00CA61A6">
          <w:rPr>
            <w:noProof/>
            <w:webHidden/>
          </w:rPr>
          <w:tab/>
        </w:r>
        <w:r w:rsidR="00147946" w:rsidRPr="00CA61A6">
          <w:rPr>
            <w:noProof/>
            <w:webHidden/>
          </w:rPr>
          <w:fldChar w:fldCharType="begin"/>
        </w:r>
        <w:r w:rsidR="00147946" w:rsidRPr="00CA61A6">
          <w:rPr>
            <w:noProof/>
            <w:webHidden/>
          </w:rPr>
          <w:instrText xml:space="preserve"> PAGEREF _Toc463335796 \h </w:instrText>
        </w:r>
        <w:r w:rsidR="00147946" w:rsidRPr="00CA61A6">
          <w:rPr>
            <w:noProof/>
            <w:webHidden/>
          </w:rPr>
        </w:r>
        <w:r w:rsidR="00147946" w:rsidRPr="00CA61A6">
          <w:rPr>
            <w:noProof/>
            <w:webHidden/>
          </w:rPr>
          <w:fldChar w:fldCharType="separate"/>
        </w:r>
        <w:r w:rsidR="005559A8">
          <w:rPr>
            <w:noProof/>
            <w:webHidden/>
          </w:rPr>
          <w:t>126</w:t>
        </w:r>
        <w:r w:rsidR="00147946" w:rsidRPr="00CA61A6">
          <w:rPr>
            <w:noProof/>
            <w:webHidden/>
          </w:rPr>
          <w:fldChar w:fldCharType="end"/>
        </w:r>
      </w:hyperlink>
    </w:p>
    <w:p w:rsidR="00147946" w:rsidRPr="00CA61A6" w:rsidRDefault="00110CAD">
      <w:pPr>
        <w:pStyle w:val="TOC1"/>
        <w:rPr>
          <w:rFonts w:asciiTheme="minorHAnsi" w:eastAsiaTheme="minorEastAsia" w:hAnsiTheme="minorHAnsi" w:cstheme="minorBidi"/>
          <w:noProof/>
          <w:sz w:val="22"/>
          <w:szCs w:val="22"/>
          <w:lang w:eastAsia="zh-CN"/>
        </w:rPr>
      </w:pPr>
      <w:hyperlink w:anchor="_Toc463335797" w:history="1">
        <w:r w:rsidR="00147946" w:rsidRPr="00CA61A6">
          <w:rPr>
            <w:rStyle w:val="Hyperlink"/>
            <w:noProof/>
          </w:rPr>
          <w:t>46</w:t>
        </w:r>
        <w:r w:rsidR="00147946" w:rsidRPr="00CA61A6">
          <w:rPr>
            <w:rFonts w:asciiTheme="minorHAnsi" w:eastAsiaTheme="minorEastAsia" w:hAnsiTheme="minorHAnsi" w:cstheme="minorBidi"/>
            <w:noProof/>
            <w:sz w:val="22"/>
            <w:szCs w:val="22"/>
            <w:lang w:eastAsia="zh-CN"/>
          </w:rPr>
          <w:tab/>
        </w:r>
        <w:r w:rsidR="00147946" w:rsidRPr="00CA61A6">
          <w:rPr>
            <w:rStyle w:val="Hyperlink"/>
            <w:noProof/>
          </w:rPr>
          <w:t xml:space="preserve">Resolución 78 – Aplicaciones y normas de las tecnologías de la información </w:t>
        </w:r>
        <w:r w:rsidR="00973BAA" w:rsidRPr="00CA61A6">
          <w:rPr>
            <w:rStyle w:val="Hyperlink"/>
            <w:noProof/>
          </w:rPr>
          <w:br/>
        </w:r>
        <w:r w:rsidR="00147946" w:rsidRPr="00CA61A6">
          <w:rPr>
            <w:rStyle w:val="Hyperlink"/>
            <w:noProof/>
          </w:rPr>
          <w:t>y la comunicación para mejorar el acceso a los servicios de cibersalud</w:t>
        </w:r>
        <w:r w:rsidR="00147946" w:rsidRPr="00CA61A6">
          <w:rPr>
            <w:noProof/>
            <w:webHidden/>
          </w:rPr>
          <w:tab/>
        </w:r>
        <w:r w:rsidR="00973BAA" w:rsidRPr="00CA61A6">
          <w:rPr>
            <w:noProof/>
            <w:webHidden/>
          </w:rPr>
          <w:tab/>
        </w:r>
        <w:r w:rsidR="00147946" w:rsidRPr="00CA61A6">
          <w:rPr>
            <w:noProof/>
            <w:webHidden/>
          </w:rPr>
          <w:fldChar w:fldCharType="begin"/>
        </w:r>
        <w:r w:rsidR="00147946" w:rsidRPr="00CA61A6">
          <w:rPr>
            <w:noProof/>
            <w:webHidden/>
          </w:rPr>
          <w:instrText xml:space="preserve"> PAGEREF _Toc463335797 \h </w:instrText>
        </w:r>
        <w:r w:rsidR="00147946" w:rsidRPr="00CA61A6">
          <w:rPr>
            <w:noProof/>
            <w:webHidden/>
          </w:rPr>
        </w:r>
        <w:r w:rsidR="00147946" w:rsidRPr="00CA61A6">
          <w:rPr>
            <w:noProof/>
            <w:webHidden/>
          </w:rPr>
          <w:fldChar w:fldCharType="separate"/>
        </w:r>
        <w:r w:rsidR="005559A8">
          <w:rPr>
            <w:noProof/>
            <w:webHidden/>
          </w:rPr>
          <w:t>129</w:t>
        </w:r>
        <w:r w:rsidR="00147946" w:rsidRPr="00CA61A6">
          <w:rPr>
            <w:noProof/>
            <w:webHidden/>
          </w:rPr>
          <w:fldChar w:fldCharType="end"/>
        </w:r>
      </w:hyperlink>
    </w:p>
    <w:p w:rsidR="00147946" w:rsidRPr="00CA61A6" w:rsidRDefault="00110CAD">
      <w:pPr>
        <w:pStyle w:val="TOC1"/>
        <w:rPr>
          <w:rFonts w:asciiTheme="minorHAnsi" w:eastAsiaTheme="minorEastAsia" w:hAnsiTheme="minorHAnsi" w:cstheme="minorBidi"/>
          <w:noProof/>
          <w:sz w:val="22"/>
          <w:szCs w:val="22"/>
          <w:lang w:eastAsia="zh-CN"/>
        </w:rPr>
      </w:pPr>
      <w:hyperlink w:anchor="_Toc463335798" w:history="1">
        <w:r w:rsidR="00147946" w:rsidRPr="00CA61A6">
          <w:rPr>
            <w:rStyle w:val="Hyperlink"/>
            <w:noProof/>
          </w:rPr>
          <w:t>47</w:t>
        </w:r>
        <w:r w:rsidR="00147946" w:rsidRPr="00CA61A6">
          <w:rPr>
            <w:rFonts w:asciiTheme="minorHAnsi" w:eastAsiaTheme="minorEastAsia" w:hAnsiTheme="minorHAnsi" w:cstheme="minorBidi"/>
            <w:noProof/>
            <w:sz w:val="22"/>
            <w:szCs w:val="22"/>
            <w:lang w:eastAsia="zh-CN"/>
          </w:rPr>
          <w:tab/>
        </w:r>
        <w:r w:rsidR="00147946" w:rsidRPr="00CA61A6">
          <w:rPr>
            <w:rStyle w:val="Hyperlink"/>
            <w:noProof/>
          </w:rPr>
          <w:t xml:space="preserve">Resolución 79 – Función de las telecomunicaciones/tecnologías de la información </w:t>
        </w:r>
        <w:r w:rsidR="00973BAA" w:rsidRPr="00CA61A6">
          <w:rPr>
            <w:rStyle w:val="Hyperlink"/>
            <w:noProof/>
          </w:rPr>
          <w:br/>
        </w:r>
        <w:r w:rsidR="00147946" w:rsidRPr="00CA61A6">
          <w:rPr>
            <w:rStyle w:val="Hyperlink"/>
            <w:noProof/>
          </w:rPr>
          <w:t>y la comunicación en el tratamiento y el control de residuos electrónicos de equipos de telecomunicaciones y tecnologías de la información, y métodos para su procesamiento</w:t>
        </w:r>
        <w:r w:rsidR="00147946" w:rsidRPr="00CA61A6">
          <w:rPr>
            <w:noProof/>
            <w:webHidden/>
          </w:rPr>
          <w:tab/>
        </w:r>
        <w:r w:rsidR="00147946" w:rsidRPr="00CA61A6">
          <w:rPr>
            <w:noProof/>
            <w:webHidden/>
          </w:rPr>
          <w:fldChar w:fldCharType="begin"/>
        </w:r>
        <w:r w:rsidR="00147946" w:rsidRPr="00CA61A6">
          <w:rPr>
            <w:noProof/>
            <w:webHidden/>
          </w:rPr>
          <w:instrText xml:space="preserve"> PAGEREF _Toc463335798 \h </w:instrText>
        </w:r>
        <w:r w:rsidR="00147946" w:rsidRPr="00CA61A6">
          <w:rPr>
            <w:noProof/>
            <w:webHidden/>
          </w:rPr>
        </w:r>
        <w:r w:rsidR="00147946" w:rsidRPr="00CA61A6">
          <w:rPr>
            <w:noProof/>
            <w:webHidden/>
          </w:rPr>
          <w:fldChar w:fldCharType="separate"/>
        </w:r>
        <w:r w:rsidR="005559A8">
          <w:rPr>
            <w:noProof/>
            <w:webHidden/>
          </w:rPr>
          <w:t>132</w:t>
        </w:r>
        <w:r w:rsidR="00147946" w:rsidRPr="00CA61A6">
          <w:rPr>
            <w:noProof/>
            <w:webHidden/>
          </w:rPr>
          <w:fldChar w:fldCharType="end"/>
        </w:r>
      </w:hyperlink>
    </w:p>
    <w:p w:rsidR="00147946" w:rsidRPr="00CA61A6" w:rsidRDefault="00110CAD">
      <w:pPr>
        <w:pStyle w:val="TOC1"/>
        <w:rPr>
          <w:rFonts w:asciiTheme="minorHAnsi" w:eastAsiaTheme="minorEastAsia" w:hAnsiTheme="minorHAnsi" w:cstheme="minorBidi"/>
          <w:noProof/>
          <w:sz w:val="22"/>
          <w:szCs w:val="22"/>
          <w:lang w:eastAsia="zh-CN"/>
        </w:rPr>
      </w:pPr>
      <w:hyperlink w:anchor="_Toc463335799" w:history="1">
        <w:r w:rsidR="00147946" w:rsidRPr="00CA61A6">
          <w:rPr>
            <w:rStyle w:val="Hyperlink"/>
            <w:noProof/>
          </w:rPr>
          <w:t>48</w:t>
        </w:r>
        <w:r w:rsidR="00147946" w:rsidRPr="00CA61A6">
          <w:rPr>
            <w:rFonts w:asciiTheme="minorHAnsi" w:eastAsiaTheme="minorEastAsia" w:hAnsiTheme="minorHAnsi" w:cstheme="minorBidi"/>
            <w:noProof/>
            <w:sz w:val="22"/>
            <w:szCs w:val="22"/>
            <w:lang w:eastAsia="zh-CN"/>
          </w:rPr>
          <w:tab/>
        </w:r>
        <w:r w:rsidR="00147946" w:rsidRPr="00CA61A6">
          <w:rPr>
            <w:rStyle w:val="Hyperlink"/>
            <w:noProof/>
          </w:rPr>
          <w:t xml:space="preserve">Resolución 80 – Reconocimiento de la participación activa de los Miembros </w:t>
        </w:r>
        <w:r w:rsidR="00973BAA" w:rsidRPr="00CA61A6">
          <w:rPr>
            <w:rStyle w:val="Hyperlink"/>
            <w:noProof/>
          </w:rPr>
          <w:br/>
        </w:r>
        <w:r w:rsidR="00147946" w:rsidRPr="00CA61A6">
          <w:rPr>
            <w:rStyle w:val="Hyperlink"/>
            <w:noProof/>
          </w:rPr>
          <w:t>en los resultados del Sector de Normalización de las Telecomunicaciones de la UIT</w:t>
        </w:r>
        <w:r w:rsidR="00147946" w:rsidRPr="00CA61A6">
          <w:rPr>
            <w:noProof/>
            <w:webHidden/>
          </w:rPr>
          <w:tab/>
        </w:r>
        <w:r w:rsidR="00147946" w:rsidRPr="00CA61A6">
          <w:rPr>
            <w:noProof/>
            <w:webHidden/>
          </w:rPr>
          <w:fldChar w:fldCharType="begin"/>
        </w:r>
        <w:r w:rsidR="00147946" w:rsidRPr="00CA61A6">
          <w:rPr>
            <w:noProof/>
            <w:webHidden/>
          </w:rPr>
          <w:instrText xml:space="preserve"> PAGEREF _Toc463335799 \h </w:instrText>
        </w:r>
        <w:r w:rsidR="00147946" w:rsidRPr="00CA61A6">
          <w:rPr>
            <w:noProof/>
            <w:webHidden/>
          </w:rPr>
        </w:r>
        <w:r w:rsidR="00147946" w:rsidRPr="00CA61A6">
          <w:rPr>
            <w:noProof/>
            <w:webHidden/>
          </w:rPr>
          <w:fldChar w:fldCharType="separate"/>
        </w:r>
        <w:r w:rsidR="005559A8">
          <w:rPr>
            <w:noProof/>
            <w:webHidden/>
          </w:rPr>
          <w:t>136</w:t>
        </w:r>
        <w:r w:rsidR="00147946" w:rsidRPr="00CA61A6">
          <w:rPr>
            <w:noProof/>
            <w:webHidden/>
          </w:rPr>
          <w:fldChar w:fldCharType="end"/>
        </w:r>
      </w:hyperlink>
    </w:p>
    <w:p w:rsidR="00147946" w:rsidRPr="00CA61A6" w:rsidRDefault="00110CAD">
      <w:pPr>
        <w:pStyle w:val="TOC1"/>
        <w:rPr>
          <w:rFonts w:asciiTheme="minorHAnsi" w:eastAsiaTheme="minorEastAsia" w:hAnsiTheme="minorHAnsi" w:cstheme="minorBidi"/>
          <w:noProof/>
          <w:sz w:val="22"/>
          <w:szCs w:val="22"/>
          <w:lang w:eastAsia="zh-CN"/>
        </w:rPr>
      </w:pPr>
      <w:hyperlink w:anchor="_Toc463335800" w:history="1">
        <w:r w:rsidR="00147946" w:rsidRPr="00CA61A6">
          <w:rPr>
            <w:rStyle w:val="Hyperlink"/>
            <w:noProof/>
          </w:rPr>
          <w:t>49</w:t>
        </w:r>
        <w:r w:rsidR="00147946" w:rsidRPr="00CA61A6">
          <w:rPr>
            <w:rFonts w:asciiTheme="minorHAnsi" w:eastAsiaTheme="minorEastAsia" w:hAnsiTheme="minorHAnsi" w:cstheme="minorBidi"/>
            <w:noProof/>
            <w:sz w:val="22"/>
            <w:szCs w:val="22"/>
            <w:lang w:eastAsia="zh-CN"/>
          </w:rPr>
          <w:tab/>
        </w:r>
        <w:r w:rsidR="00147946" w:rsidRPr="00CA61A6">
          <w:rPr>
            <w:rStyle w:val="Hyperlink"/>
            <w:noProof/>
          </w:rPr>
          <w:t>Resolución 81 – Fortalecimiento de la colaboración</w:t>
        </w:r>
        <w:r w:rsidR="00147946" w:rsidRPr="00CA61A6">
          <w:rPr>
            <w:noProof/>
            <w:webHidden/>
          </w:rPr>
          <w:tab/>
        </w:r>
        <w:r w:rsidR="00973BAA" w:rsidRPr="00CA61A6">
          <w:rPr>
            <w:noProof/>
            <w:webHidden/>
          </w:rPr>
          <w:tab/>
        </w:r>
        <w:r w:rsidR="00147946" w:rsidRPr="00CA61A6">
          <w:rPr>
            <w:noProof/>
            <w:webHidden/>
          </w:rPr>
          <w:fldChar w:fldCharType="begin"/>
        </w:r>
        <w:r w:rsidR="00147946" w:rsidRPr="00CA61A6">
          <w:rPr>
            <w:noProof/>
            <w:webHidden/>
          </w:rPr>
          <w:instrText xml:space="preserve"> PAGEREF _Toc463335800 \h </w:instrText>
        </w:r>
        <w:r w:rsidR="00147946" w:rsidRPr="00CA61A6">
          <w:rPr>
            <w:noProof/>
            <w:webHidden/>
          </w:rPr>
        </w:r>
        <w:r w:rsidR="00147946" w:rsidRPr="00CA61A6">
          <w:rPr>
            <w:noProof/>
            <w:webHidden/>
          </w:rPr>
          <w:fldChar w:fldCharType="separate"/>
        </w:r>
        <w:r w:rsidR="005559A8">
          <w:rPr>
            <w:noProof/>
            <w:webHidden/>
          </w:rPr>
          <w:t>138</w:t>
        </w:r>
        <w:r w:rsidR="00147946" w:rsidRPr="00CA61A6">
          <w:rPr>
            <w:noProof/>
            <w:webHidden/>
          </w:rPr>
          <w:fldChar w:fldCharType="end"/>
        </w:r>
      </w:hyperlink>
    </w:p>
    <w:p w:rsidR="00147946" w:rsidRPr="00CA61A6" w:rsidRDefault="00110CAD">
      <w:pPr>
        <w:pStyle w:val="TOC1"/>
        <w:rPr>
          <w:rFonts w:asciiTheme="minorHAnsi" w:eastAsiaTheme="minorEastAsia" w:hAnsiTheme="minorHAnsi" w:cstheme="minorBidi"/>
          <w:noProof/>
          <w:sz w:val="22"/>
          <w:szCs w:val="22"/>
          <w:lang w:eastAsia="zh-CN"/>
        </w:rPr>
      </w:pPr>
      <w:hyperlink w:anchor="_Toc463335801" w:history="1">
        <w:r w:rsidR="00147946" w:rsidRPr="00CA61A6">
          <w:rPr>
            <w:rStyle w:val="Hyperlink"/>
            <w:noProof/>
          </w:rPr>
          <w:t>50</w:t>
        </w:r>
        <w:r w:rsidR="00147946" w:rsidRPr="00CA61A6">
          <w:rPr>
            <w:rFonts w:asciiTheme="minorHAnsi" w:eastAsiaTheme="minorEastAsia" w:hAnsiTheme="minorHAnsi" w:cstheme="minorBidi"/>
            <w:noProof/>
            <w:sz w:val="22"/>
            <w:szCs w:val="22"/>
            <w:lang w:eastAsia="zh-CN"/>
          </w:rPr>
          <w:tab/>
        </w:r>
        <w:r w:rsidR="00147946" w:rsidRPr="00CA61A6">
          <w:rPr>
            <w:rStyle w:val="Hyperlink"/>
            <w:noProof/>
          </w:rPr>
          <w:t>Resolución 82 – Examen estratégico y estructural del UIT-T</w:t>
        </w:r>
        <w:r w:rsidR="00147946" w:rsidRPr="00CA61A6">
          <w:rPr>
            <w:noProof/>
            <w:webHidden/>
          </w:rPr>
          <w:tab/>
        </w:r>
        <w:r w:rsidR="00973BAA" w:rsidRPr="00CA61A6">
          <w:rPr>
            <w:noProof/>
            <w:webHidden/>
          </w:rPr>
          <w:tab/>
        </w:r>
        <w:r w:rsidR="00147946" w:rsidRPr="00CA61A6">
          <w:rPr>
            <w:noProof/>
            <w:webHidden/>
          </w:rPr>
          <w:fldChar w:fldCharType="begin"/>
        </w:r>
        <w:r w:rsidR="00147946" w:rsidRPr="00CA61A6">
          <w:rPr>
            <w:noProof/>
            <w:webHidden/>
          </w:rPr>
          <w:instrText xml:space="preserve"> PAGEREF _Toc463335801 \h </w:instrText>
        </w:r>
        <w:r w:rsidR="00147946" w:rsidRPr="00CA61A6">
          <w:rPr>
            <w:noProof/>
            <w:webHidden/>
          </w:rPr>
        </w:r>
        <w:r w:rsidR="00147946" w:rsidRPr="00CA61A6">
          <w:rPr>
            <w:noProof/>
            <w:webHidden/>
          </w:rPr>
          <w:fldChar w:fldCharType="separate"/>
        </w:r>
        <w:r w:rsidR="005559A8">
          <w:rPr>
            <w:noProof/>
            <w:webHidden/>
          </w:rPr>
          <w:t>140</w:t>
        </w:r>
        <w:r w:rsidR="00147946" w:rsidRPr="00CA61A6">
          <w:rPr>
            <w:noProof/>
            <w:webHidden/>
          </w:rPr>
          <w:fldChar w:fldCharType="end"/>
        </w:r>
      </w:hyperlink>
    </w:p>
    <w:p w:rsidR="0052570A" w:rsidRPr="00CA61A6" w:rsidRDefault="00110CAD" w:rsidP="006F50A1">
      <w:pPr>
        <w:pStyle w:val="TOC1"/>
        <w:spacing w:before="220"/>
      </w:pPr>
      <w:hyperlink w:anchor="_Toc463335802" w:history="1">
        <w:r w:rsidR="00147946" w:rsidRPr="00CA61A6">
          <w:rPr>
            <w:rStyle w:val="Hyperlink"/>
            <w:noProof/>
          </w:rPr>
          <w:t>51</w:t>
        </w:r>
        <w:r w:rsidR="00147946" w:rsidRPr="00CA61A6">
          <w:rPr>
            <w:rFonts w:asciiTheme="minorHAnsi" w:eastAsiaTheme="minorEastAsia" w:hAnsiTheme="minorHAnsi" w:cstheme="minorBidi"/>
            <w:noProof/>
            <w:sz w:val="22"/>
            <w:szCs w:val="22"/>
            <w:lang w:eastAsia="zh-CN"/>
          </w:rPr>
          <w:tab/>
        </w:r>
        <w:r w:rsidR="00147946" w:rsidRPr="00CA61A6">
          <w:rPr>
            <w:rStyle w:val="Hyperlink"/>
            <w:noProof/>
          </w:rPr>
          <w:t>Opinión 1 – Aplicación efectiva de la prima de externalidad de red</w:t>
        </w:r>
        <w:r w:rsidR="00147946" w:rsidRPr="00CA61A6">
          <w:rPr>
            <w:noProof/>
            <w:webHidden/>
          </w:rPr>
          <w:tab/>
        </w:r>
        <w:r w:rsidR="00973BAA" w:rsidRPr="00CA61A6">
          <w:rPr>
            <w:noProof/>
            <w:webHidden/>
          </w:rPr>
          <w:tab/>
        </w:r>
        <w:r w:rsidR="00147946" w:rsidRPr="00CA61A6">
          <w:rPr>
            <w:noProof/>
            <w:webHidden/>
          </w:rPr>
          <w:fldChar w:fldCharType="begin"/>
        </w:r>
        <w:r w:rsidR="00147946" w:rsidRPr="00CA61A6">
          <w:rPr>
            <w:noProof/>
            <w:webHidden/>
          </w:rPr>
          <w:instrText xml:space="preserve"> PAGEREF _Toc463335802 \h </w:instrText>
        </w:r>
        <w:r w:rsidR="00147946" w:rsidRPr="00CA61A6">
          <w:rPr>
            <w:noProof/>
            <w:webHidden/>
          </w:rPr>
        </w:r>
        <w:r w:rsidR="00147946" w:rsidRPr="00CA61A6">
          <w:rPr>
            <w:noProof/>
            <w:webHidden/>
          </w:rPr>
          <w:fldChar w:fldCharType="separate"/>
        </w:r>
        <w:r w:rsidR="005559A8">
          <w:rPr>
            <w:noProof/>
            <w:webHidden/>
          </w:rPr>
          <w:t>141</w:t>
        </w:r>
        <w:r w:rsidR="00147946" w:rsidRPr="00CA61A6">
          <w:rPr>
            <w:noProof/>
            <w:webHidden/>
          </w:rPr>
          <w:fldChar w:fldCharType="end"/>
        </w:r>
      </w:hyperlink>
      <w:r w:rsidR="00147946" w:rsidRPr="00CA61A6">
        <w:fldChar w:fldCharType="end"/>
      </w:r>
    </w:p>
    <w:p w:rsidR="00244DFC" w:rsidRDefault="00244DFC" w:rsidP="0024103E">
      <w:pPr>
        <w:pStyle w:val="Heading1"/>
      </w:pPr>
      <w:bookmarkStart w:id="1" w:name="_Toc335979766"/>
      <w:bookmarkStart w:id="2" w:name="_Toc338837100"/>
      <w:bookmarkStart w:id="3" w:name="_Toc340066372"/>
      <w:r>
        <w:br w:type="page"/>
      </w:r>
    </w:p>
    <w:p w:rsidR="00C44426" w:rsidRPr="00CA61A6" w:rsidRDefault="00C44426" w:rsidP="000436E0">
      <w:pPr>
        <w:pStyle w:val="Heading1"/>
      </w:pPr>
      <w:r w:rsidRPr="00CA61A6">
        <w:lastRenderedPageBreak/>
        <w:t>Sección I – Lista de Resoluciones</w:t>
      </w:r>
      <w:r w:rsidR="00A66746" w:rsidRPr="00CA61A6">
        <w:t xml:space="preserve"> y Opini</w:t>
      </w:r>
      <w:r w:rsidR="000436E0">
        <w:t>ó</w:t>
      </w:r>
      <w:r w:rsidR="0024103E">
        <w:t>n</w:t>
      </w:r>
      <w:r w:rsidR="00A66746" w:rsidRPr="00CA61A6">
        <w:rPr>
          <w:color w:val="000000"/>
          <w:lang w:eastAsia="x-none"/>
        </w:rPr>
        <w:t xml:space="preserve"> </w:t>
      </w:r>
      <w:r w:rsidRPr="00CA61A6">
        <w:t>de la AMNT-</w:t>
      </w:r>
      <w:bookmarkEnd w:id="1"/>
      <w:bookmarkEnd w:id="2"/>
      <w:bookmarkEnd w:id="3"/>
      <w:r w:rsidR="005B01C9" w:rsidRPr="00CA61A6">
        <w:t>12</w:t>
      </w:r>
    </w:p>
    <w:p w:rsidR="00426ADF" w:rsidRDefault="0073131C" w:rsidP="00426ADF">
      <w:pPr>
        <w:pStyle w:val="TableNo"/>
      </w:pPr>
      <w:r w:rsidRPr="00CA61A6">
        <w:t>Cuadro 1</w:t>
      </w:r>
    </w:p>
    <w:p w:rsidR="0073131C" w:rsidRPr="00CA61A6" w:rsidRDefault="0073131C" w:rsidP="00426ADF">
      <w:pPr>
        <w:pStyle w:val="Tabletitle"/>
      </w:pPr>
      <w:r w:rsidRPr="00CA61A6">
        <w:t>Lista de Resoluciones</w:t>
      </w:r>
      <w:r w:rsidR="00A66746" w:rsidRPr="00CA61A6">
        <w:rPr>
          <w:lang w:eastAsia="ja-JP"/>
        </w:rPr>
        <w:t xml:space="preserve"> y Opini</w:t>
      </w:r>
      <w:r w:rsidR="00A00144">
        <w:rPr>
          <w:lang w:eastAsia="ja-JP"/>
        </w:rPr>
        <w:t>ó</w:t>
      </w:r>
      <w:r w:rsidR="00A66746" w:rsidRPr="00CA61A6">
        <w:rPr>
          <w:lang w:eastAsia="ja-JP"/>
        </w:rPr>
        <w:t xml:space="preserve">n </w:t>
      </w:r>
      <w:r w:rsidRPr="00CA61A6">
        <w:t>de la AMNT-</w:t>
      </w:r>
      <w:r w:rsidR="006633D5" w:rsidRPr="00CA61A6">
        <w:t>12</w:t>
      </w:r>
    </w:p>
    <w:tbl>
      <w:tblPr>
        <w:tblW w:w="5000" w:type="pct"/>
        <w:tblCellMar>
          <w:left w:w="115" w:type="dxa"/>
          <w:right w:w="115" w:type="dxa"/>
        </w:tblCellMar>
        <w:tblLook w:val="04A0" w:firstRow="1" w:lastRow="0" w:firstColumn="1" w:lastColumn="0" w:noHBand="0" w:noVBand="1"/>
      </w:tblPr>
      <w:tblGrid>
        <w:gridCol w:w="1263"/>
        <w:gridCol w:w="8366"/>
      </w:tblGrid>
      <w:tr w:rsidR="0073131C" w:rsidRPr="00CA61A6" w:rsidTr="00D51BF5">
        <w:trPr>
          <w:cantSplit/>
          <w:trHeight w:val="288"/>
          <w:tblHeader/>
        </w:trPr>
        <w:tc>
          <w:tcPr>
            <w:tcW w:w="6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3131C" w:rsidRPr="00CA61A6" w:rsidRDefault="0073131C" w:rsidP="007B3478">
            <w:pPr>
              <w:pStyle w:val="Tablehead"/>
            </w:pPr>
            <w:r w:rsidRPr="00CA61A6">
              <w:t xml:space="preserve">Número </w:t>
            </w:r>
            <w:r w:rsidRPr="00CA61A6">
              <w:br/>
              <w:t>de la Resolución</w:t>
            </w:r>
            <w:r w:rsidRPr="00CA61A6">
              <w:rPr>
                <w:rStyle w:val="FootnoteReference"/>
              </w:rPr>
              <w:t>*</w:t>
            </w:r>
          </w:p>
        </w:tc>
        <w:tc>
          <w:tcPr>
            <w:tcW w:w="4344" w:type="pct"/>
            <w:tcBorders>
              <w:top w:val="single" w:sz="4" w:space="0" w:color="auto"/>
              <w:left w:val="nil"/>
              <w:bottom w:val="single" w:sz="4" w:space="0" w:color="auto"/>
              <w:right w:val="single" w:sz="4" w:space="0" w:color="auto"/>
            </w:tcBorders>
            <w:shd w:val="clear" w:color="auto" w:fill="auto"/>
            <w:vAlign w:val="center"/>
            <w:hideMark/>
          </w:tcPr>
          <w:p w:rsidR="0073131C" w:rsidRPr="00CA61A6" w:rsidRDefault="0073131C" w:rsidP="007B3478">
            <w:pPr>
              <w:pStyle w:val="Tablehead"/>
            </w:pPr>
            <w:r w:rsidRPr="00CA61A6">
              <w:t>Título</w:t>
            </w:r>
            <w:r w:rsidRPr="00CA61A6">
              <w:rPr>
                <w:rStyle w:val="FootnoteReference"/>
              </w:rPr>
              <w:t>**</w:t>
            </w:r>
          </w:p>
        </w:tc>
      </w:tr>
      <w:tr w:rsidR="0073131C" w:rsidRPr="00CA61A6" w:rsidTr="00E57F3E">
        <w:trPr>
          <w:cantSplit/>
          <w:trHeight w:val="288"/>
        </w:trPr>
        <w:tc>
          <w:tcPr>
            <w:tcW w:w="656" w:type="pct"/>
            <w:tcBorders>
              <w:top w:val="single" w:sz="4" w:space="0" w:color="auto"/>
              <w:left w:val="single" w:sz="4" w:space="0" w:color="auto"/>
              <w:bottom w:val="single" w:sz="4" w:space="0" w:color="auto"/>
              <w:right w:val="single" w:sz="4" w:space="0" w:color="auto"/>
            </w:tcBorders>
            <w:shd w:val="clear" w:color="auto" w:fill="auto"/>
            <w:hideMark/>
          </w:tcPr>
          <w:p w:rsidR="0073131C" w:rsidRPr="00CA61A6" w:rsidRDefault="00110CAD" w:rsidP="007B3478">
            <w:pPr>
              <w:pStyle w:val="Tabletext"/>
              <w:jc w:val="center"/>
              <w:rPr>
                <w:color w:val="0000FF"/>
                <w:u w:val="single"/>
              </w:rPr>
            </w:pPr>
            <w:hyperlink r:id="rId16" w:history="1">
              <w:r w:rsidR="0073131C" w:rsidRPr="00CA61A6">
                <w:rPr>
                  <w:color w:val="0000FF"/>
                  <w:u w:val="single"/>
                </w:rPr>
                <w:t>1</w:t>
              </w:r>
            </w:hyperlink>
          </w:p>
        </w:tc>
        <w:tc>
          <w:tcPr>
            <w:tcW w:w="4344" w:type="pct"/>
            <w:tcBorders>
              <w:top w:val="single" w:sz="4" w:space="0" w:color="auto"/>
              <w:left w:val="nil"/>
              <w:bottom w:val="single" w:sz="4" w:space="0" w:color="auto"/>
              <w:right w:val="single" w:sz="4" w:space="0" w:color="auto"/>
            </w:tcBorders>
            <w:shd w:val="clear" w:color="auto" w:fill="auto"/>
            <w:hideMark/>
          </w:tcPr>
          <w:p w:rsidR="0073131C" w:rsidRPr="00CA61A6" w:rsidRDefault="00110CAD" w:rsidP="007B3478">
            <w:pPr>
              <w:pStyle w:val="Tabletext"/>
              <w:rPr>
                <w:color w:val="000000"/>
              </w:rPr>
            </w:pPr>
            <w:hyperlink w:anchor="_1_Resolución_1" w:history="1">
              <w:r w:rsidR="0073131C" w:rsidRPr="00CA61A6">
                <w:rPr>
                  <w:rStyle w:val="Hyperlink"/>
                </w:rPr>
                <w:t>Resolución 1</w:t>
              </w:r>
            </w:hyperlink>
            <w:r w:rsidR="0073131C" w:rsidRPr="00CA61A6">
              <w:rPr>
                <w:color w:val="000000"/>
              </w:rPr>
              <w:t xml:space="preserve"> – </w:t>
            </w:r>
            <w:r w:rsidR="0073131C" w:rsidRPr="00CA61A6">
              <w:t>Reglamento Interno del Sector de Normalización de las Telecomunicaciones de la UIT (UIT-T)</w:t>
            </w:r>
          </w:p>
        </w:tc>
      </w:tr>
      <w:tr w:rsidR="0073131C" w:rsidRPr="00CA61A6" w:rsidTr="00E57F3E">
        <w:trPr>
          <w:cantSplit/>
          <w:trHeight w:val="288"/>
        </w:trPr>
        <w:tc>
          <w:tcPr>
            <w:tcW w:w="656" w:type="pct"/>
            <w:tcBorders>
              <w:top w:val="nil"/>
              <w:left w:val="single" w:sz="4" w:space="0" w:color="auto"/>
              <w:bottom w:val="single" w:sz="4" w:space="0" w:color="auto"/>
              <w:right w:val="single" w:sz="4" w:space="0" w:color="auto"/>
            </w:tcBorders>
            <w:shd w:val="clear" w:color="auto" w:fill="auto"/>
            <w:hideMark/>
          </w:tcPr>
          <w:p w:rsidR="0073131C" w:rsidRPr="00CA61A6" w:rsidRDefault="00110CAD" w:rsidP="007B3478">
            <w:pPr>
              <w:pStyle w:val="Tabletext"/>
              <w:jc w:val="center"/>
              <w:rPr>
                <w:color w:val="0000FF"/>
                <w:u w:val="single"/>
              </w:rPr>
            </w:pPr>
            <w:hyperlink r:id="rId17" w:history="1">
              <w:r w:rsidR="0073131C" w:rsidRPr="00CA61A6">
                <w:rPr>
                  <w:color w:val="0000FF"/>
                  <w:u w:val="single"/>
                </w:rPr>
                <w:t>2</w:t>
              </w:r>
            </w:hyperlink>
          </w:p>
        </w:tc>
        <w:tc>
          <w:tcPr>
            <w:tcW w:w="4344" w:type="pct"/>
            <w:tcBorders>
              <w:top w:val="nil"/>
              <w:left w:val="nil"/>
              <w:bottom w:val="single" w:sz="4" w:space="0" w:color="auto"/>
              <w:right w:val="single" w:sz="4" w:space="0" w:color="auto"/>
            </w:tcBorders>
            <w:shd w:val="clear" w:color="auto" w:fill="auto"/>
            <w:hideMark/>
          </w:tcPr>
          <w:p w:rsidR="0073131C" w:rsidRPr="00CA61A6" w:rsidRDefault="00110CAD" w:rsidP="007B3478">
            <w:pPr>
              <w:pStyle w:val="Tabletext"/>
              <w:rPr>
                <w:color w:val="000000"/>
              </w:rPr>
            </w:pPr>
            <w:hyperlink w:anchor="_2_Resolución_2" w:history="1">
              <w:r w:rsidR="0073131C" w:rsidRPr="00CA61A6">
                <w:rPr>
                  <w:rStyle w:val="Hyperlink"/>
                </w:rPr>
                <w:t>Resolución 2</w:t>
              </w:r>
            </w:hyperlink>
            <w:r w:rsidR="0073131C" w:rsidRPr="00CA61A6">
              <w:rPr>
                <w:color w:val="000000"/>
              </w:rPr>
              <w:t xml:space="preserve"> – </w:t>
            </w:r>
            <w:r w:rsidR="00715DCB" w:rsidRPr="00CA61A6">
              <w:rPr>
                <w:color w:val="000000"/>
              </w:rPr>
              <w:t>Responsabilidad y mandato de las Comisiones de Estudio del Sector de Normalización de las Telecomunicaciones de la UIT</w:t>
            </w:r>
          </w:p>
        </w:tc>
      </w:tr>
      <w:tr w:rsidR="0073131C" w:rsidRPr="00CA61A6" w:rsidTr="00E57F3E">
        <w:trPr>
          <w:cantSplit/>
          <w:trHeight w:val="288"/>
        </w:trPr>
        <w:tc>
          <w:tcPr>
            <w:tcW w:w="656" w:type="pct"/>
            <w:tcBorders>
              <w:top w:val="nil"/>
              <w:left w:val="single" w:sz="4" w:space="0" w:color="auto"/>
              <w:bottom w:val="single" w:sz="4" w:space="0" w:color="auto"/>
              <w:right w:val="single" w:sz="4" w:space="0" w:color="auto"/>
            </w:tcBorders>
            <w:shd w:val="clear" w:color="auto" w:fill="auto"/>
            <w:hideMark/>
          </w:tcPr>
          <w:p w:rsidR="0073131C" w:rsidRPr="00CA61A6" w:rsidRDefault="00110CAD" w:rsidP="007B3478">
            <w:pPr>
              <w:pStyle w:val="Tabletext"/>
              <w:jc w:val="center"/>
              <w:rPr>
                <w:color w:val="0000FF"/>
                <w:u w:val="single"/>
              </w:rPr>
            </w:pPr>
            <w:hyperlink r:id="rId18" w:history="1">
              <w:r w:rsidR="0073131C" w:rsidRPr="00CA61A6">
                <w:rPr>
                  <w:color w:val="0000FF"/>
                  <w:u w:val="single"/>
                </w:rPr>
                <w:t>7</w:t>
              </w:r>
            </w:hyperlink>
          </w:p>
        </w:tc>
        <w:tc>
          <w:tcPr>
            <w:tcW w:w="4344" w:type="pct"/>
            <w:tcBorders>
              <w:top w:val="nil"/>
              <w:left w:val="nil"/>
              <w:bottom w:val="single" w:sz="4" w:space="0" w:color="auto"/>
              <w:right w:val="single" w:sz="4" w:space="0" w:color="auto"/>
            </w:tcBorders>
            <w:shd w:val="clear" w:color="auto" w:fill="auto"/>
            <w:hideMark/>
          </w:tcPr>
          <w:p w:rsidR="0073131C" w:rsidRPr="00CA61A6" w:rsidRDefault="00110CAD" w:rsidP="007B3478">
            <w:pPr>
              <w:pStyle w:val="Tabletext"/>
              <w:rPr>
                <w:color w:val="000000"/>
              </w:rPr>
            </w:pPr>
            <w:hyperlink w:anchor="_3_Resolución_7" w:history="1">
              <w:r w:rsidR="0073131C" w:rsidRPr="00CA61A6">
                <w:rPr>
                  <w:rStyle w:val="Hyperlink"/>
                </w:rPr>
                <w:t>Resolución 7</w:t>
              </w:r>
            </w:hyperlink>
            <w:r w:rsidR="0073131C" w:rsidRPr="00CA61A6">
              <w:rPr>
                <w:color w:val="000000"/>
              </w:rPr>
              <w:t xml:space="preserve"> – </w:t>
            </w:r>
            <w:r w:rsidR="00715DCB" w:rsidRPr="00CA61A6">
              <w:rPr>
                <w:color w:val="000000"/>
              </w:rPr>
              <w:t>Colaboración con la Organización Internacional de Normalización y la Comisión Electrotécnica Internacional</w:t>
            </w:r>
          </w:p>
        </w:tc>
      </w:tr>
      <w:tr w:rsidR="0073131C" w:rsidRPr="00CA61A6" w:rsidTr="00E57F3E">
        <w:trPr>
          <w:cantSplit/>
          <w:trHeight w:val="288"/>
        </w:trPr>
        <w:tc>
          <w:tcPr>
            <w:tcW w:w="656" w:type="pct"/>
            <w:tcBorders>
              <w:top w:val="nil"/>
              <w:left w:val="single" w:sz="4" w:space="0" w:color="auto"/>
              <w:bottom w:val="single" w:sz="4" w:space="0" w:color="auto"/>
              <w:right w:val="single" w:sz="4" w:space="0" w:color="auto"/>
            </w:tcBorders>
            <w:shd w:val="clear" w:color="auto" w:fill="auto"/>
            <w:hideMark/>
          </w:tcPr>
          <w:p w:rsidR="0073131C" w:rsidRPr="00CA61A6" w:rsidRDefault="00110CAD" w:rsidP="007B3478">
            <w:pPr>
              <w:pStyle w:val="Tabletext"/>
              <w:jc w:val="center"/>
              <w:rPr>
                <w:color w:val="0000FF"/>
                <w:u w:val="single"/>
              </w:rPr>
            </w:pPr>
            <w:hyperlink r:id="rId19" w:history="1">
              <w:r w:rsidR="0073131C" w:rsidRPr="00CA61A6">
                <w:rPr>
                  <w:color w:val="0000FF"/>
                  <w:u w:val="single"/>
                </w:rPr>
                <w:t>11</w:t>
              </w:r>
            </w:hyperlink>
          </w:p>
        </w:tc>
        <w:tc>
          <w:tcPr>
            <w:tcW w:w="4344" w:type="pct"/>
            <w:tcBorders>
              <w:top w:val="nil"/>
              <w:left w:val="nil"/>
              <w:bottom w:val="single" w:sz="4" w:space="0" w:color="auto"/>
              <w:right w:val="single" w:sz="4" w:space="0" w:color="auto"/>
            </w:tcBorders>
            <w:shd w:val="clear" w:color="auto" w:fill="auto"/>
            <w:hideMark/>
          </w:tcPr>
          <w:p w:rsidR="0073131C" w:rsidRPr="00CA61A6" w:rsidRDefault="00110CAD" w:rsidP="007B3478">
            <w:pPr>
              <w:pStyle w:val="Tabletext"/>
              <w:rPr>
                <w:color w:val="000000"/>
              </w:rPr>
            </w:pPr>
            <w:hyperlink w:anchor="_4_Resolución_11" w:history="1">
              <w:r w:rsidR="0073131C" w:rsidRPr="00CA61A6">
                <w:rPr>
                  <w:rStyle w:val="Hyperlink"/>
                </w:rPr>
                <w:t>Resolución 11</w:t>
              </w:r>
            </w:hyperlink>
            <w:r w:rsidR="0073131C" w:rsidRPr="00CA61A6">
              <w:rPr>
                <w:color w:val="000000"/>
              </w:rPr>
              <w:t xml:space="preserve"> – </w:t>
            </w:r>
            <w:r w:rsidR="00715DCB" w:rsidRPr="00CA61A6">
              <w:rPr>
                <w:color w:val="000000"/>
              </w:rPr>
              <w:t>Colaboración con el Consejo de Operaciones Postales de la Unión Postal Universal sobre el estudio de servicios que interesan a la vez a los sectores postal y de telecomunicaciones</w:t>
            </w:r>
          </w:p>
        </w:tc>
      </w:tr>
      <w:tr w:rsidR="0073131C" w:rsidRPr="00CA61A6" w:rsidTr="00E57F3E">
        <w:trPr>
          <w:cantSplit/>
          <w:trHeight w:val="288"/>
        </w:trPr>
        <w:tc>
          <w:tcPr>
            <w:tcW w:w="656" w:type="pct"/>
            <w:tcBorders>
              <w:top w:val="nil"/>
              <w:left w:val="single" w:sz="4" w:space="0" w:color="auto"/>
              <w:bottom w:val="single" w:sz="4" w:space="0" w:color="auto"/>
              <w:right w:val="single" w:sz="4" w:space="0" w:color="auto"/>
            </w:tcBorders>
            <w:shd w:val="clear" w:color="auto" w:fill="auto"/>
            <w:hideMark/>
          </w:tcPr>
          <w:p w:rsidR="0073131C" w:rsidRPr="00CA61A6" w:rsidRDefault="00110CAD" w:rsidP="007B3478">
            <w:pPr>
              <w:pStyle w:val="Tabletext"/>
              <w:jc w:val="center"/>
              <w:rPr>
                <w:color w:val="0000FF"/>
                <w:u w:val="single"/>
              </w:rPr>
            </w:pPr>
            <w:hyperlink r:id="rId20" w:history="1">
              <w:r w:rsidR="0073131C" w:rsidRPr="00CA61A6">
                <w:rPr>
                  <w:color w:val="0000FF"/>
                  <w:u w:val="single"/>
                </w:rPr>
                <w:t>18</w:t>
              </w:r>
            </w:hyperlink>
          </w:p>
        </w:tc>
        <w:tc>
          <w:tcPr>
            <w:tcW w:w="4344" w:type="pct"/>
            <w:tcBorders>
              <w:top w:val="nil"/>
              <w:left w:val="nil"/>
              <w:bottom w:val="single" w:sz="4" w:space="0" w:color="auto"/>
              <w:right w:val="single" w:sz="4" w:space="0" w:color="auto"/>
            </w:tcBorders>
            <w:shd w:val="clear" w:color="auto" w:fill="auto"/>
            <w:hideMark/>
          </w:tcPr>
          <w:p w:rsidR="0073131C" w:rsidRPr="00CA61A6" w:rsidRDefault="00110CAD" w:rsidP="007B3478">
            <w:pPr>
              <w:pStyle w:val="Tabletext"/>
              <w:rPr>
                <w:color w:val="000000"/>
              </w:rPr>
            </w:pPr>
            <w:hyperlink w:anchor="_5_Resolución_18" w:history="1">
              <w:r w:rsidR="0073131C" w:rsidRPr="00CA61A6">
                <w:rPr>
                  <w:rStyle w:val="Hyperlink"/>
                </w:rPr>
                <w:t>Resolución 18</w:t>
              </w:r>
            </w:hyperlink>
            <w:r w:rsidR="0073131C" w:rsidRPr="00CA61A6">
              <w:rPr>
                <w:color w:val="000000"/>
              </w:rPr>
              <w:t xml:space="preserve"> – </w:t>
            </w:r>
            <w:r w:rsidR="00761E51" w:rsidRPr="00CA61A6">
              <w:rPr>
                <w:color w:val="000000"/>
              </w:rPr>
              <w:t>Principios y procedimientos para la asignación de trabajos y la coordinación entre el Sector de Radiocomunicaciones de la UIT y el Sector de Normalización de las Telecomunicaciones de la UIT</w:t>
            </w:r>
          </w:p>
        </w:tc>
      </w:tr>
      <w:tr w:rsidR="0073131C" w:rsidRPr="00CA61A6" w:rsidTr="00E57F3E">
        <w:trPr>
          <w:cantSplit/>
          <w:trHeight w:val="288"/>
        </w:trPr>
        <w:tc>
          <w:tcPr>
            <w:tcW w:w="656" w:type="pct"/>
            <w:tcBorders>
              <w:top w:val="nil"/>
              <w:left w:val="single" w:sz="4" w:space="0" w:color="auto"/>
              <w:bottom w:val="single" w:sz="4" w:space="0" w:color="auto"/>
              <w:right w:val="single" w:sz="4" w:space="0" w:color="auto"/>
            </w:tcBorders>
            <w:shd w:val="clear" w:color="auto" w:fill="auto"/>
            <w:hideMark/>
          </w:tcPr>
          <w:p w:rsidR="0073131C" w:rsidRPr="00CA61A6" w:rsidRDefault="00110CAD" w:rsidP="007B3478">
            <w:pPr>
              <w:pStyle w:val="Tabletext"/>
              <w:jc w:val="center"/>
              <w:rPr>
                <w:color w:val="0000FF"/>
                <w:u w:val="single"/>
              </w:rPr>
            </w:pPr>
            <w:hyperlink r:id="rId21" w:history="1">
              <w:r w:rsidR="0073131C" w:rsidRPr="00CA61A6">
                <w:rPr>
                  <w:color w:val="0000FF"/>
                  <w:u w:val="single"/>
                </w:rPr>
                <w:t>20</w:t>
              </w:r>
            </w:hyperlink>
          </w:p>
        </w:tc>
        <w:tc>
          <w:tcPr>
            <w:tcW w:w="4344" w:type="pct"/>
            <w:tcBorders>
              <w:top w:val="nil"/>
              <w:left w:val="nil"/>
              <w:bottom w:val="single" w:sz="4" w:space="0" w:color="auto"/>
              <w:right w:val="single" w:sz="4" w:space="0" w:color="auto"/>
            </w:tcBorders>
            <w:shd w:val="clear" w:color="auto" w:fill="auto"/>
            <w:hideMark/>
          </w:tcPr>
          <w:p w:rsidR="0073131C" w:rsidRPr="00CA61A6" w:rsidRDefault="00110CAD" w:rsidP="007B3478">
            <w:pPr>
              <w:pStyle w:val="Tabletext"/>
              <w:rPr>
                <w:color w:val="000000"/>
              </w:rPr>
            </w:pPr>
            <w:hyperlink w:anchor="_6_Resolución_20" w:history="1">
              <w:r w:rsidR="0073131C" w:rsidRPr="00CA61A6">
                <w:rPr>
                  <w:rStyle w:val="Hyperlink"/>
                </w:rPr>
                <w:t>Resolución 20</w:t>
              </w:r>
            </w:hyperlink>
            <w:r w:rsidR="0073131C" w:rsidRPr="00CA61A6">
              <w:rPr>
                <w:color w:val="000000"/>
              </w:rPr>
              <w:t xml:space="preserve"> – Procedimientos para la atribución y gestión de los recursos de numeración, denominación, direccionamiento e identificación internacionales de telecomunicaciones</w:t>
            </w:r>
          </w:p>
        </w:tc>
      </w:tr>
      <w:tr w:rsidR="0073131C" w:rsidRPr="00CA61A6" w:rsidTr="00E57F3E">
        <w:trPr>
          <w:cantSplit/>
          <w:trHeight w:val="288"/>
        </w:trPr>
        <w:tc>
          <w:tcPr>
            <w:tcW w:w="656" w:type="pct"/>
            <w:tcBorders>
              <w:top w:val="nil"/>
              <w:left w:val="single" w:sz="4" w:space="0" w:color="auto"/>
              <w:bottom w:val="single" w:sz="4" w:space="0" w:color="auto"/>
              <w:right w:val="single" w:sz="4" w:space="0" w:color="auto"/>
            </w:tcBorders>
            <w:shd w:val="clear" w:color="auto" w:fill="auto"/>
            <w:hideMark/>
          </w:tcPr>
          <w:p w:rsidR="0073131C" w:rsidRPr="00CA61A6" w:rsidRDefault="00110CAD" w:rsidP="007B3478">
            <w:pPr>
              <w:pStyle w:val="Tabletext"/>
              <w:jc w:val="center"/>
              <w:rPr>
                <w:color w:val="0000FF"/>
                <w:u w:val="single"/>
              </w:rPr>
            </w:pPr>
            <w:hyperlink r:id="rId22" w:history="1">
              <w:r w:rsidR="0073131C" w:rsidRPr="00CA61A6">
                <w:rPr>
                  <w:color w:val="0000FF"/>
                  <w:u w:val="single"/>
                </w:rPr>
                <w:t>22</w:t>
              </w:r>
            </w:hyperlink>
          </w:p>
        </w:tc>
        <w:tc>
          <w:tcPr>
            <w:tcW w:w="4344" w:type="pct"/>
            <w:tcBorders>
              <w:top w:val="nil"/>
              <w:left w:val="nil"/>
              <w:bottom w:val="single" w:sz="4" w:space="0" w:color="auto"/>
              <w:right w:val="single" w:sz="4" w:space="0" w:color="auto"/>
            </w:tcBorders>
            <w:shd w:val="clear" w:color="auto" w:fill="auto"/>
            <w:hideMark/>
          </w:tcPr>
          <w:p w:rsidR="0073131C" w:rsidRPr="00CA61A6" w:rsidRDefault="00110CAD" w:rsidP="007B3478">
            <w:pPr>
              <w:pStyle w:val="Tabletext"/>
              <w:rPr>
                <w:color w:val="000000"/>
              </w:rPr>
            </w:pPr>
            <w:hyperlink w:anchor="_7_Resolución_22" w:history="1">
              <w:r w:rsidR="0073131C" w:rsidRPr="00CA61A6">
                <w:rPr>
                  <w:rStyle w:val="Hyperlink"/>
                </w:rPr>
                <w:t>Resolución 22</w:t>
              </w:r>
            </w:hyperlink>
            <w:r w:rsidR="0073131C" w:rsidRPr="00CA61A6">
              <w:rPr>
                <w:color w:val="000000"/>
              </w:rPr>
              <w:t xml:space="preserve"> – </w:t>
            </w:r>
            <w:r w:rsidR="00761E51" w:rsidRPr="00CA61A6">
              <w:rPr>
                <w:color w:val="000000"/>
              </w:rPr>
              <w:t>Autorización para que el Grupo Asesor de Normalización de las Telecomunicaciones actúe en el periodo entre Asambleas Mundiales de Normalización de las Telecomunicaciones</w:t>
            </w:r>
          </w:p>
        </w:tc>
      </w:tr>
      <w:tr w:rsidR="0073131C" w:rsidRPr="00CA61A6" w:rsidTr="00E57F3E">
        <w:trPr>
          <w:cantSplit/>
          <w:trHeight w:val="288"/>
        </w:trPr>
        <w:tc>
          <w:tcPr>
            <w:tcW w:w="656" w:type="pct"/>
            <w:tcBorders>
              <w:top w:val="nil"/>
              <w:left w:val="single" w:sz="4" w:space="0" w:color="auto"/>
              <w:bottom w:val="single" w:sz="4" w:space="0" w:color="auto"/>
              <w:right w:val="single" w:sz="4" w:space="0" w:color="auto"/>
            </w:tcBorders>
            <w:shd w:val="clear" w:color="auto" w:fill="auto"/>
            <w:hideMark/>
          </w:tcPr>
          <w:p w:rsidR="0073131C" w:rsidRPr="00CA61A6" w:rsidRDefault="00110CAD" w:rsidP="007B3478">
            <w:pPr>
              <w:pStyle w:val="Tabletext"/>
              <w:jc w:val="center"/>
              <w:rPr>
                <w:color w:val="0000FF"/>
                <w:u w:val="single"/>
              </w:rPr>
            </w:pPr>
            <w:hyperlink r:id="rId23" w:history="1">
              <w:r w:rsidR="0073131C" w:rsidRPr="00CA61A6">
                <w:rPr>
                  <w:color w:val="0000FF"/>
                  <w:u w:val="single"/>
                </w:rPr>
                <w:t>29</w:t>
              </w:r>
            </w:hyperlink>
          </w:p>
        </w:tc>
        <w:tc>
          <w:tcPr>
            <w:tcW w:w="4344" w:type="pct"/>
            <w:tcBorders>
              <w:top w:val="nil"/>
              <w:left w:val="nil"/>
              <w:bottom w:val="single" w:sz="4" w:space="0" w:color="auto"/>
              <w:right w:val="single" w:sz="4" w:space="0" w:color="auto"/>
            </w:tcBorders>
            <w:shd w:val="clear" w:color="auto" w:fill="auto"/>
            <w:hideMark/>
          </w:tcPr>
          <w:p w:rsidR="0073131C" w:rsidRPr="00CA61A6" w:rsidRDefault="00110CAD" w:rsidP="007B3478">
            <w:pPr>
              <w:pStyle w:val="Tabletext"/>
              <w:rPr>
                <w:color w:val="000000"/>
              </w:rPr>
            </w:pPr>
            <w:hyperlink w:anchor="_8_Resolución_29" w:history="1">
              <w:r w:rsidR="0073131C" w:rsidRPr="00CA61A6">
                <w:rPr>
                  <w:rStyle w:val="Hyperlink"/>
                </w:rPr>
                <w:t>Resolución 29</w:t>
              </w:r>
            </w:hyperlink>
            <w:r w:rsidR="0073131C" w:rsidRPr="00CA61A6">
              <w:rPr>
                <w:color w:val="000000"/>
              </w:rPr>
              <w:t xml:space="preserve"> – Procedimientos alternativos de llamada en las redes internacionales de telecomunicación</w:t>
            </w:r>
          </w:p>
        </w:tc>
      </w:tr>
      <w:tr w:rsidR="0073131C" w:rsidRPr="00CA61A6" w:rsidTr="00E57F3E">
        <w:trPr>
          <w:cantSplit/>
          <w:trHeight w:val="288"/>
        </w:trPr>
        <w:tc>
          <w:tcPr>
            <w:tcW w:w="656" w:type="pct"/>
            <w:tcBorders>
              <w:top w:val="nil"/>
              <w:left w:val="single" w:sz="4" w:space="0" w:color="auto"/>
              <w:bottom w:val="single" w:sz="4" w:space="0" w:color="auto"/>
              <w:right w:val="single" w:sz="4" w:space="0" w:color="auto"/>
            </w:tcBorders>
            <w:shd w:val="clear" w:color="auto" w:fill="auto"/>
            <w:hideMark/>
          </w:tcPr>
          <w:p w:rsidR="0073131C" w:rsidRPr="00CA61A6" w:rsidRDefault="00110CAD" w:rsidP="007B3478">
            <w:pPr>
              <w:pStyle w:val="Tabletext"/>
              <w:jc w:val="center"/>
              <w:rPr>
                <w:color w:val="0000FF"/>
                <w:u w:val="single"/>
              </w:rPr>
            </w:pPr>
            <w:hyperlink r:id="rId24" w:history="1">
              <w:r w:rsidR="0073131C" w:rsidRPr="00CA61A6">
                <w:rPr>
                  <w:color w:val="0000FF"/>
                  <w:u w:val="single"/>
                </w:rPr>
                <w:t>31</w:t>
              </w:r>
            </w:hyperlink>
          </w:p>
        </w:tc>
        <w:tc>
          <w:tcPr>
            <w:tcW w:w="4344" w:type="pct"/>
            <w:tcBorders>
              <w:top w:val="nil"/>
              <w:left w:val="nil"/>
              <w:bottom w:val="single" w:sz="4" w:space="0" w:color="auto"/>
              <w:right w:val="single" w:sz="4" w:space="0" w:color="auto"/>
            </w:tcBorders>
            <w:shd w:val="clear" w:color="auto" w:fill="auto"/>
            <w:hideMark/>
          </w:tcPr>
          <w:p w:rsidR="0073131C" w:rsidRPr="00CA61A6" w:rsidRDefault="00110CAD" w:rsidP="007B3478">
            <w:pPr>
              <w:pStyle w:val="Tabletext"/>
              <w:rPr>
                <w:color w:val="000000"/>
              </w:rPr>
            </w:pPr>
            <w:hyperlink w:anchor="_9_Resolución_31" w:history="1">
              <w:r w:rsidR="0073131C" w:rsidRPr="00CA61A6">
                <w:rPr>
                  <w:rStyle w:val="Hyperlink"/>
                </w:rPr>
                <w:t>Resolución 31</w:t>
              </w:r>
            </w:hyperlink>
            <w:r w:rsidR="0073131C" w:rsidRPr="00CA61A6">
              <w:rPr>
                <w:color w:val="000000"/>
              </w:rPr>
              <w:t xml:space="preserve"> – </w:t>
            </w:r>
            <w:r w:rsidR="00761E51" w:rsidRPr="00CA61A6">
              <w:rPr>
                <w:color w:val="000000"/>
              </w:rPr>
              <w:t>Admisión de entidades u organizaciones para participar como Asociados en los trabajos del Sector de Normalización de las Telecomunicaciones de la UIT</w:t>
            </w:r>
          </w:p>
        </w:tc>
      </w:tr>
      <w:tr w:rsidR="0073131C" w:rsidRPr="00CA61A6" w:rsidTr="00E57F3E">
        <w:trPr>
          <w:cantSplit/>
          <w:trHeight w:val="288"/>
        </w:trPr>
        <w:tc>
          <w:tcPr>
            <w:tcW w:w="656" w:type="pct"/>
            <w:tcBorders>
              <w:top w:val="nil"/>
              <w:left w:val="single" w:sz="4" w:space="0" w:color="auto"/>
              <w:bottom w:val="single" w:sz="4" w:space="0" w:color="auto"/>
              <w:right w:val="single" w:sz="4" w:space="0" w:color="auto"/>
            </w:tcBorders>
            <w:shd w:val="clear" w:color="auto" w:fill="auto"/>
            <w:hideMark/>
          </w:tcPr>
          <w:p w:rsidR="0073131C" w:rsidRPr="00CA61A6" w:rsidRDefault="00110CAD" w:rsidP="007B3478">
            <w:pPr>
              <w:pStyle w:val="Tabletext"/>
              <w:jc w:val="center"/>
              <w:rPr>
                <w:color w:val="0000FF"/>
                <w:u w:val="single"/>
              </w:rPr>
            </w:pPr>
            <w:hyperlink r:id="rId25" w:history="1">
              <w:r w:rsidR="0073131C" w:rsidRPr="00CA61A6">
                <w:rPr>
                  <w:color w:val="0000FF"/>
                  <w:u w:val="single"/>
                </w:rPr>
                <w:t>32</w:t>
              </w:r>
            </w:hyperlink>
          </w:p>
        </w:tc>
        <w:tc>
          <w:tcPr>
            <w:tcW w:w="4344" w:type="pct"/>
            <w:tcBorders>
              <w:top w:val="nil"/>
              <w:left w:val="nil"/>
              <w:bottom w:val="single" w:sz="4" w:space="0" w:color="auto"/>
              <w:right w:val="single" w:sz="4" w:space="0" w:color="auto"/>
            </w:tcBorders>
            <w:shd w:val="clear" w:color="auto" w:fill="auto"/>
            <w:hideMark/>
          </w:tcPr>
          <w:p w:rsidR="0073131C" w:rsidRPr="00CA61A6" w:rsidRDefault="00110CAD" w:rsidP="007B3478">
            <w:pPr>
              <w:pStyle w:val="Tabletext"/>
              <w:rPr>
                <w:color w:val="000000"/>
              </w:rPr>
            </w:pPr>
            <w:hyperlink w:anchor="_10_Resolución_32" w:history="1">
              <w:r w:rsidR="0073131C" w:rsidRPr="00CA61A6">
                <w:rPr>
                  <w:rStyle w:val="Hyperlink"/>
                </w:rPr>
                <w:t>Resolución 32</w:t>
              </w:r>
            </w:hyperlink>
            <w:r w:rsidR="0073131C" w:rsidRPr="00CA61A6">
              <w:rPr>
                <w:color w:val="000000"/>
              </w:rPr>
              <w:t xml:space="preserve"> – </w:t>
            </w:r>
            <w:r w:rsidR="00761E51" w:rsidRPr="00CA61A6">
              <w:rPr>
                <w:color w:val="000000"/>
              </w:rPr>
              <w:t>Fortalecimiento de los métodos de trabajo electrónico del Sector de Normalización de las Telecomunicaciones de la UIT</w:t>
            </w:r>
          </w:p>
        </w:tc>
      </w:tr>
      <w:tr w:rsidR="0073131C" w:rsidRPr="00CA61A6" w:rsidTr="00E57F3E">
        <w:trPr>
          <w:cantSplit/>
          <w:trHeight w:val="288"/>
        </w:trPr>
        <w:tc>
          <w:tcPr>
            <w:tcW w:w="656" w:type="pct"/>
            <w:tcBorders>
              <w:top w:val="nil"/>
              <w:left w:val="single" w:sz="4" w:space="0" w:color="auto"/>
              <w:bottom w:val="single" w:sz="4" w:space="0" w:color="auto"/>
              <w:right w:val="single" w:sz="4" w:space="0" w:color="auto"/>
            </w:tcBorders>
            <w:shd w:val="clear" w:color="auto" w:fill="auto"/>
            <w:hideMark/>
          </w:tcPr>
          <w:p w:rsidR="0073131C" w:rsidRPr="00CA61A6" w:rsidRDefault="00110CAD" w:rsidP="007B3478">
            <w:pPr>
              <w:pStyle w:val="Tabletext"/>
              <w:jc w:val="center"/>
              <w:rPr>
                <w:color w:val="0000FF"/>
                <w:u w:val="single"/>
              </w:rPr>
            </w:pPr>
            <w:hyperlink r:id="rId26" w:history="1">
              <w:r w:rsidR="0073131C" w:rsidRPr="00CA61A6">
                <w:rPr>
                  <w:color w:val="0000FF"/>
                  <w:u w:val="single"/>
                </w:rPr>
                <w:t>33</w:t>
              </w:r>
            </w:hyperlink>
          </w:p>
        </w:tc>
        <w:tc>
          <w:tcPr>
            <w:tcW w:w="4344" w:type="pct"/>
            <w:tcBorders>
              <w:top w:val="nil"/>
              <w:left w:val="nil"/>
              <w:bottom w:val="single" w:sz="4" w:space="0" w:color="auto"/>
              <w:right w:val="single" w:sz="4" w:space="0" w:color="auto"/>
            </w:tcBorders>
            <w:shd w:val="clear" w:color="auto" w:fill="auto"/>
            <w:hideMark/>
          </w:tcPr>
          <w:p w:rsidR="0073131C" w:rsidRPr="00CA61A6" w:rsidRDefault="00110CAD" w:rsidP="007B3478">
            <w:pPr>
              <w:pStyle w:val="Tabletext"/>
              <w:rPr>
                <w:color w:val="000000"/>
              </w:rPr>
            </w:pPr>
            <w:hyperlink w:anchor="_11_Resolución_33" w:history="1">
              <w:r w:rsidR="0073131C" w:rsidRPr="00CA61A6">
                <w:rPr>
                  <w:rStyle w:val="Hyperlink"/>
                </w:rPr>
                <w:t>Resolución 33</w:t>
              </w:r>
            </w:hyperlink>
            <w:r w:rsidR="0073131C" w:rsidRPr="00CA61A6">
              <w:rPr>
                <w:color w:val="000000"/>
              </w:rPr>
              <w:t xml:space="preserve"> – </w:t>
            </w:r>
            <w:r w:rsidR="00761E51" w:rsidRPr="00CA61A6">
              <w:rPr>
                <w:color w:val="000000"/>
              </w:rPr>
              <w:t>Directrices para las actividades estratégicas del Sector de Normalización de las Telecomunicaciones de la UIT</w:t>
            </w:r>
          </w:p>
        </w:tc>
      </w:tr>
      <w:tr w:rsidR="0073131C" w:rsidRPr="00CA61A6" w:rsidTr="00E57F3E">
        <w:trPr>
          <w:cantSplit/>
          <w:trHeight w:val="288"/>
        </w:trPr>
        <w:tc>
          <w:tcPr>
            <w:tcW w:w="656" w:type="pct"/>
            <w:tcBorders>
              <w:top w:val="nil"/>
              <w:left w:val="single" w:sz="4" w:space="0" w:color="auto"/>
              <w:bottom w:val="single" w:sz="4" w:space="0" w:color="auto"/>
              <w:right w:val="single" w:sz="4" w:space="0" w:color="auto"/>
            </w:tcBorders>
            <w:shd w:val="clear" w:color="auto" w:fill="auto"/>
            <w:hideMark/>
          </w:tcPr>
          <w:p w:rsidR="0073131C" w:rsidRPr="00CA61A6" w:rsidRDefault="00110CAD" w:rsidP="007B3478">
            <w:pPr>
              <w:pStyle w:val="Tabletext"/>
              <w:jc w:val="center"/>
              <w:rPr>
                <w:color w:val="0000FF"/>
                <w:u w:val="single"/>
              </w:rPr>
            </w:pPr>
            <w:hyperlink r:id="rId27" w:history="1">
              <w:r w:rsidR="0073131C" w:rsidRPr="00CA61A6">
                <w:rPr>
                  <w:color w:val="0000FF"/>
                  <w:u w:val="single"/>
                </w:rPr>
                <w:t>34</w:t>
              </w:r>
            </w:hyperlink>
          </w:p>
        </w:tc>
        <w:tc>
          <w:tcPr>
            <w:tcW w:w="4344" w:type="pct"/>
            <w:tcBorders>
              <w:top w:val="nil"/>
              <w:left w:val="nil"/>
              <w:bottom w:val="single" w:sz="4" w:space="0" w:color="auto"/>
              <w:right w:val="single" w:sz="4" w:space="0" w:color="auto"/>
            </w:tcBorders>
            <w:shd w:val="clear" w:color="auto" w:fill="auto"/>
            <w:hideMark/>
          </w:tcPr>
          <w:p w:rsidR="0073131C" w:rsidRPr="00CA61A6" w:rsidRDefault="00110CAD" w:rsidP="007B3478">
            <w:pPr>
              <w:pStyle w:val="Tabletext"/>
              <w:rPr>
                <w:color w:val="000000"/>
              </w:rPr>
            </w:pPr>
            <w:hyperlink w:anchor="_12_Resolución_34" w:history="1">
              <w:r w:rsidR="0073131C" w:rsidRPr="00CA61A6">
                <w:rPr>
                  <w:rStyle w:val="Hyperlink"/>
                </w:rPr>
                <w:t>Resolución 34</w:t>
              </w:r>
            </w:hyperlink>
            <w:r w:rsidR="0073131C" w:rsidRPr="00CA61A6">
              <w:rPr>
                <w:color w:val="000000"/>
              </w:rPr>
              <w:t xml:space="preserve"> – Contribuciones voluntarias</w:t>
            </w:r>
          </w:p>
        </w:tc>
      </w:tr>
      <w:tr w:rsidR="0073131C" w:rsidRPr="00CA61A6" w:rsidTr="00E57F3E">
        <w:trPr>
          <w:cantSplit/>
          <w:trHeight w:val="288"/>
        </w:trPr>
        <w:tc>
          <w:tcPr>
            <w:tcW w:w="656" w:type="pct"/>
            <w:tcBorders>
              <w:top w:val="nil"/>
              <w:left w:val="single" w:sz="4" w:space="0" w:color="auto"/>
              <w:bottom w:val="single" w:sz="4" w:space="0" w:color="auto"/>
              <w:right w:val="single" w:sz="4" w:space="0" w:color="auto"/>
            </w:tcBorders>
            <w:shd w:val="clear" w:color="auto" w:fill="auto"/>
            <w:hideMark/>
          </w:tcPr>
          <w:p w:rsidR="0073131C" w:rsidRPr="00CA61A6" w:rsidRDefault="00110CAD" w:rsidP="007B3478">
            <w:pPr>
              <w:pStyle w:val="Tabletext"/>
              <w:jc w:val="center"/>
              <w:rPr>
                <w:color w:val="0000FF"/>
                <w:u w:val="single"/>
              </w:rPr>
            </w:pPr>
            <w:hyperlink r:id="rId28" w:history="1">
              <w:r w:rsidR="0073131C" w:rsidRPr="00CA61A6">
                <w:rPr>
                  <w:color w:val="0000FF"/>
                  <w:u w:val="single"/>
                </w:rPr>
                <w:t>35</w:t>
              </w:r>
            </w:hyperlink>
          </w:p>
        </w:tc>
        <w:tc>
          <w:tcPr>
            <w:tcW w:w="4344" w:type="pct"/>
            <w:tcBorders>
              <w:top w:val="nil"/>
              <w:left w:val="nil"/>
              <w:bottom w:val="single" w:sz="4" w:space="0" w:color="auto"/>
              <w:right w:val="single" w:sz="4" w:space="0" w:color="auto"/>
            </w:tcBorders>
            <w:shd w:val="clear" w:color="auto" w:fill="auto"/>
            <w:hideMark/>
          </w:tcPr>
          <w:p w:rsidR="0073131C" w:rsidRPr="00CA61A6" w:rsidRDefault="00110CAD" w:rsidP="007B3478">
            <w:pPr>
              <w:pStyle w:val="Tabletext"/>
              <w:rPr>
                <w:color w:val="000000"/>
              </w:rPr>
            </w:pPr>
            <w:hyperlink w:anchor="_13_Resolución_35" w:history="1">
              <w:r w:rsidR="0073131C" w:rsidRPr="00CA61A6">
                <w:rPr>
                  <w:rStyle w:val="Hyperlink"/>
                </w:rPr>
                <w:t>Resolución 35</w:t>
              </w:r>
            </w:hyperlink>
            <w:r w:rsidR="0073131C" w:rsidRPr="00CA61A6">
              <w:rPr>
                <w:color w:val="000000"/>
              </w:rPr>
              <w:t xml:space="preserve"> – </w:t>
            </w:r>
            <w:r w:rsidR="00761E51" w:rsidRPr="00CA61A6">
              <w:rPr>
                <w:color w:val="000000"/>
              </w:rPr>
              <w:t>Nombramiento y duración máxima del mandato de los Presidentes y Vicepresidentes de las Comisiones de Estudio del Sector de Normalización de las Telecomunicaciones de la UIT y del Grupo Asesor de Normalización de las Telecomunicaciones</w:t>
            </w:r>
          </w:p>
        </w:tc>
      </w:tr>
      <w:tr w:rsidR="0073131C" w:rsidRPr="00CA61A6" w:rsidTr="00E57F3E">
        <w:trPr>
          <w:cantSplit/>
          <w:trHeight w:val="288"/>
        </w:trPr>
        <w:tc>
          <w:tcPr>
            <w:tcW w:w="656" w:type="pct"/>
            <w:tcBorders>
              <w:top w:val="nil"/>
              <w:left w:val="single" w:sz="4" w:space="0" w:color="auto"/>
              <w:bottom w:val="single" w:sz="4" w:space="0" w:color="auto"/>
              <w:right w:val="single" w:sz="4" w:space="0" w:color="auto"/>
            </w:tcBorders>
            <w:shd w:val="clear" w:color="auto" w:fill="auto"/>
            <w:hideMark/>
          </w:tcPr>
          <w:p w:rsidR="0073131C" w:rsidRPr="00CA61A6" w:rsidRDefault="00110CAD" w:rsidP="007B3478">
            <w:pPr>
              <w:pStyle w:val="Tabletext"/>
              <w:jc w:val="center"/>
              <w:rPr>
                <w:color w:val="0000FF"/>
                <w:u w:val="single"/>
              </w:rPr>
            </w:pPr>
            <w:hyperlink r:id="rId29" w:history="1">
              <w:r w:rsidR="0073131C" w:rsidRPr="00CA61A6">
                <w:rPr>
                  <w:color w:val="0000FF"/>
                  <w:u w:val="single"/>
                </w:rPr>
                <w:t>38</w:t>
              </w:r>
            </w:hyperlink>
          </w:p>
        </w:tc>
        <w:tc>
          <w:tcPr>
            <w:tcW w:w="4344" w:type="pct"/>
            <w:tcBorders>
              <w:top w:val="nil"/>
              <w:left w:val="nil"/>
              <w:bottom w:val="single" w:sz="4" w:space="0" w:color="auto"/>
              <w:right w:val="single" w:sz="4" w:space="0" w:color="auto"/>
            </w:tcBorders>
            <w:shd w:val="clear" w:color="auto" w:fill="auto"/>
            <w:hideMark/>
          </w:tcPr>
          <w:p w:rsidR="0073131C" w:rsidRPr="00CA61A6" w:rsidRDefault="00110CAD" w:rsidP="007B3478">
            <w:pPr>
              <w:pStyle w:val="Tabletext"/>
              <w:rPr>
                <w:color w:val="000000"/>
              </w:rPr>
            </w:pPr>
            <w:hyperlink w:anchor="_14_Resolución_38" w:history="1">
              <w:r w:rsidR="0073131C" w:rsidRPr="00CA61A6">
                <w:rPr>
                  <w:rStyle w:val="Hyperlink"/>
                </w:rPr>
                <w:t>Resolución 38</w:t>
              </w:r>
            </w:hyperlink>
            <w:r w:rsidR="0073131C" w:rsidRPr="00CA61A6">
              <w:rPr>
                <w:color w:val="000000"/>
              </w:rPr>
              <w:t xml:space="preserve"> – </w:t>
            </w:r>
            <w:r w:rsidR="00761E51" w:rsidRPr="00CA61A6">
              <w:rPr>
                <w:color w:val="000000"/>
              </w:rPr>
              <w:t>Coordinación entre los tres Sectores de la UIT para las actividades relativas a las Telecomunicaciones Móviles Internacionales</w:t>
            </w:r>
          </w:p>
        </w:tc>
      </w:tr>
      <w:tr w:rsidR="0073131C" w:rsidRPr="00CA61A6" w:rsidTr="00E57F3E">
        <w:trPr>
          <w:cantSplit/>
          <w:trHeight w:val="288"/>
        </w:trPr>
        <w:tc>
          <w:tcPr>
            <w:tcW w:w="656" w:type="pct"/>
            <w:tcBorders>
              <w:top w:val="nil"/>
              <w:left w:val="single" w:sz="4" w:space="0" w:color="auto"/>
              <w:bottom w:val="single" w:sz="4" w:space="0" w:color="auto"/>
              <w:right w:val="single" w:sz="4" w:space="0" w:color="auto"/>
            </w:tcBorders>
            <w:shd w:val="clear" w:color="auto" w:fill="auto"/>
            <w:hideMark/>
          </w:tcPr>
          <w:p w:rsidR="0073131C" w:rsidRPr="00CA61A6" w:rsidRDefault="00110CAD" w:rsidP="007B3478">
            <w:pPr>
              <w:pStyle w:val="Tabletext"/>
              <w:jc w:val="center"/>
              <w:rPr>
                <w:color w:val="0000FF"/>
                <w:u w:val="single"/>
              </w:rPr>
            </w:pPr>
            <w:hyperlink r:id="rId30" w:history="1">
              <w:r w:rsidR="0073131C" w:rsidRPr="00CA61A6">
                <w:rPr>
                  <w:color w:val="0000FF"/>
                  <w:u w:val="single"/>
                </w:rPr>
                <w:t>40</w:t>
              </w:r>
            </w:hyperlink>
          </w:p>
        </w:tc>
        <w:tc>
          <w:tcPr>
            <w:tcW w:w="4344" w:type="pct"/>
            <w:tcBorders>
              <w:top w:val="nil"/>
              <w:left w:val="nil"/>
              <w:bottom w:val="single" w:sz="4" w:space="0" w:color="auto"/>
              <w:right w:val="single" w:sz="4" w:space="0" w:color="auto"/>
            </w:tcBorders>
            <w:shd w:val="clear" w:color="auto" w:fill="auto"/>
            <w:hideMark/>
          </w:tcPr>
          <w:p w:rsidR="0073131C" w:rsidRPr="00CA61A6" w:rsidRDefault="00110CAD" w:rsidP="007B3478">
            <w:pPr>
              <w:pStyle w:val="Tabletext"/>
              <w:rPr>
                <w:color w:val="000000"/>
              </w:rPr>
            </w:pPr>
            <w:hyperlink w:anchor="_15_Resolución_40" w:history="1">
              <w:r w:rsidR="0073131C" w:rsidRPr="00CA61A6">
                <w:rPr>
                  <w:rStyle w:val="Hyperlink"/>
                </w:rPr>
                <w:t>Resolución 40</w:t>
              </w:r>
            </w:hyperlink>
            <w:r w:rsidR="0073131C" w:rsidRPr="00CA61A6">
              <w:rPr>
                <w:color w:val="000000"/>
              </w:rPr>
              <w:t xml:space="preserve"> – </w:t>
            </w:r>
            <w:r w:rsidR="00761E51" w:rsidRPr="00CA61A6">
              <w:rPr>
                <w:color w:val="000000"/>
              </w:rPr>
              <w:t>Aspectos reglamentarios de la labor del Sector de Normalización de las Telecomunicaciones de la UIT</w:t>
            </w:r>
          </w:p>
        </w:tc>
      </w:tr>
      <w:tr w:rsidR="0073131C" w:rsidRPr="00CA61A6" w:rsidTr="00E57F3E">
        <w:trPr>
          <w:cantSplit/>
          <w:trHeight w:val="288"/>
        </w:trPr>
        <w:tc>
          <w:tcPr>
            <w:tcW w:w="656" w:type="pct"/>
            <w:tcBorders>
              <w:top w:val="nil"/>
              <w:left w:val="single" w:sz="4" w:space="0" w:color="auto"/>
              <w:bottom w:val="single" w:sz="4" w:space="0" w:color="auto"/>
              <w:right w:val="single" w:sz="4" w:space="0" w:color="auto"/>
            </w:tcBorders>
            <w:shd w:val="clear" w:color="auto" w:fill="auto"/>
            <w:hideMark/>
          </w:tcPr>
          <w:p w:rsidR="0073131C" w:rsidRPr="00CA61A6" w:rsidRDefault="00110CAD" w:rsidP="007B3478">
            <w:pPr>
              <w:pStyle w:val="Tabletext"/>
              <w:jc w:val="center"/>
              <w:rPr>
                <w:color w:val="0000FF"/>
                <w:u w:val="single"/>
              </w:rPr>
            </w:pPr>
            <w:hyperlink r:id="rId31" w:history="1">
              <w:r w:rsidR="0073131C" w:rsidRPr="00CA61A6">
                <w:rPr>
                  <w:color w:val="0000FF"/>
                  <w:u w:val="single"/>
                </w:rPr>
                <w:t>43</w:t>
              </w:r>
            </w:hyperlink>
          </w:p>
        </w:tc>
        <w:tc>
          <w:tcPr>
            <w:tcW w:w="4344" w:type="pct"/>
            <w:tcBorders>
              <w:top w:val="nil"/>
              <w:left w:val="nil"/>
              <w:bottom w:val="single" w:sz="4" w:space="0" w:color="auto"/>
              <w:right w:val="single" w:sz="4" w:space="0" w:color="auto"/>
            </w:tcBorders>
            <w:shd w:val="clear" w:color="auto" w:fill="auto"/>
            <w:hideMark/>
          </w:tcPr>
          <w:p w:rsidR="0073131C" w:rsidRPr="00CA61A6" w:rsidRDefault="00110CAD" w:rsidP="007B3478">
            <w:pPr>
              <w:pStyle w:val="Tabletext"/>
              <w:rPr>
                <w:color w:val="000000"/>
              </w:rPr>
            </w:pPr>
            <w:hyperlink w:anchor="_16_Resolución_43" w:history="1">
              <w:r w:rsidR="0073131C" w:rsidRPr="00CA61A6">
                <w:rPr>
                  <w:rStyle w:val="Hyperlink"/>
                </w:rPr>
                <w:t>Resolución 43</w:t>
              </w:r>
            </w:hyperlink>
            <w:r w:rsidR="0073131C" w:rsidRPr="00CA61A6">
              <w:rPr>
                <w:color w:val="000000"/>
              </w:rPr>
              <w:t xml:space="preserve"> – Preparativos regionales para las Asambleas Mundiales de Normalización de las Telecomunicaciones</w:t>
            </w:r>
          </w:p>
        </w:tc>
      </w:tr>
      <w:tr w:rsidR="0073131C" w:rsidRPr="00CA61A6" w:rsidTr="00E57F3E">
        <w:trPr>
          <w:cantSplit/>
          <w:trHeight w:val="288"/>
        </w:trPr>
        <w:tc>
          <w:tcPr>
            <w:tcW w:w="656" w:type="pct"/>
            <w:tcBorders>
              <w:top w:val="nil"/>
              <w:left w:val="single" w:sz="4" w:space="0" w:color="auto"/>
              <w:bottom w:val="single" w:sz="4" w:space="0" w:color="auto"/>
              <w:right w:val="single" w:sz="4" w:space="0" w:color="auto"/>
            </w:tcBorders>
            <w:shd w:val="clear" w:color="auto" w:fill="auto"/>
            <w:hideMark/>
          </w:tcPr>
          <w:p w:rsidR="0073131C" w:rsidRPr="00CA61A6" w:rsidRDefault="00110CAD" w:rsidP="007B3478">
            <w:pPr>
              <w:pStyle w:val="Tabletext"/>
              <w:jc w:val="center"/>
              <w:rPr>
                <w:color w:val="0000FF"/>
                <w:u w:val="single"/>
              </w:rPr>
            </w:pPr>
            <w:hyperlink r:id="rId32" w:history="1">
              <w:r w:rsidR="0073131C" w:rsidRPr="00CA61A6">
                <w:rPr>
                  <w:color w:val="0000FF"/>
                  <w:u w:val="single"/>
                </w:rPr>
                <w:t>44</w:t>
              </w:r>
            </w:hyperlink>
          </w:p>
        </w:tc>
        <w:tc>
          <w:tcPr>
            <w:tcW w:w="4344" w:type="pct"/>
            <w:tcBorders>
              <w:top w:val="nil"/>
              <w:left w:val="nil"/>
              <w:bottom w:val="single" w:sz="4" w:space="0" w:color="auto"/>
              <w:right w:val="single" w:sz="4" w:space="0" w:color="auto"/>
            </w:tcBorders>
            <w:shd w:val="clear" w:color="auto" w:fill="auto"/>
            <w:hideMark/>
          </w:tcPr>
          <w:p w:rsidR="0073131C" w:rsidRPr="00CA61A6" w:rsidRDefault="00110CAD" w:rsidP="007B3478">
            <w:pPr>
              <w:pStyle w:val="Tabletext"/>
              <w:rPr>
                <w:color w:val="000000"/>
              </w:rPr>
            </w:pPr>
            <w:hyperlink w:anchor="_17_Resolución_44" w:history="1">
              <w:r w:rsidR="0073131C" w:rsidRPr="00CA61A6">
                <w:rPr>
                  <w:rStyle w:val="Hyperlink"/>
                </w:rPr>
                <w:t>Resolución 44</w:t>
              </w:r>
            </w:hyperlink>
            <w:r w:rsidR="0073131C" w:rsidRPr="00CA61A6">
              <w:rPr>
                <w:color w:val="000000"/>
              </w:rPr>
              <w:t xml:space="preserve"> – Reducción de la disparidad entre los países en desarrollo y desarrollados en materia de normalización</w:t>
            </w:r>
          </w:p>
        </w:tc>
      </w:tr>
      <w:tr w:rsidR="0073131C" w:rsidRPr="00CA61A6" w:rsidTr="00E57F3E">
        <w:trPr>
          <w:cantSplit/>
          <w:trHeight w:val="288"/>
        </w:trPr>
        <w:tc>
          <w:tcPr>
            <w:tcW w:w="656" w:type="pct"/>
            <w:tcBorders>
              <w:top w:val="nil"/>
              <w:left w:val="single" w:sz="4" w:space="0" w:color="auto"/>
              <w:bottom w:val="single" w:sz="4" w:space="0" w:color="auto"/>
              <w:right w:val="single" w:sz="4" w:space="0" w:color="auto"/>
            </w:tcBorders>
            <w:shd w:val="clear" w:color="auto" w:fill="auto"/>
            <w:hideMark/>
          </w:tcPr>
          <w:p w:rsidR="0073131C" w:rsidRPr="00CA61A6" w:rsidRDefault="00110CAD" w:rsidP="007B3478">
            <w:pPr>
              <w:pStyle w:val="Tabletext"/>
              <w:jc w:val="center"/>
              <w:rPr>
                <w:color w:val="0000FF"/>
                <w:u w:val="single"/>
              </w:rPr>
            </w:pPr>
            <w:hyperlink r:id="rId33" w:history="1">
              <w:r w:rsidR="0073131C" w:rsidRPr="00CA61A6">
                <w:rPr>
                  <w:color w:val="0000FF"/>
                  <w:u w:val="single"/>
                </w:rPr>
                <w:t>45</w:t>
              </w:r>
            </w:hyperlink>
          </w:p>
        </w:tc>
        <w:tc>
          <w:tcPr>
            <w:tcW w:w="4344" w:type="pct"/>
            <w:tcBorders>
              <w:top w:val="nil"/>
              <w:left w:val="nil"/>
              <w:bottom w:val="single" w:sz="4" w:space="0" w:color="auto"/>
              <w:right w:val="single" w:sz="4" w:space="0" w:color="auto"/>
            </w:tcBorders>
            <w:shd w:val="clear" w:color="auto" w:fill="auto"/>
            <w:hideMark/>
          </w:tcPr>
          <w:p w:rsidR="0073131C" w:rsidRPr="00CA61A6" w:rsidRDefault="00110CAD" w:rsidP="007B3478">
            <w:pPr>
              <w:pStyle w:val="Tabletext"/>
              <w:rPr>
                <w:color w:val="000000"/>
              </w:rPr>
            </w:pPr>
            <w:hyperlink w:anchor="_18_Resolución_45" w:history="1">
              <w:r w:rsidR="0073131C" w:rsidRPr="00CA61A6">
                <w:rPr>
                  <w:rStyle w:val="Hyperlink"/>
                </w:rPr>
                <w:t>Resolución 45</w:t>
              </w:r>
            </w:hyperlink>
            <w:r w:rsidR="0073131C" w:rsidRPr="00CA61A6">
              <w:rPr>
                <w:color w:val="000000"/>
              </w:rPr>
              <w:t xml:space="preserve"> – </w:t>
            </w:r>
            <w:r w:rsidR="00761E51" w:rsidRPr="00CA61A6">
              <w:rPr>
                <w:color w:val="000000"/>
              </w:rPr>
              <w:t>Coordinación eficaz de la labor de normalización en las Comisiones de Estudio del Sector de Normalización de las Telecomunicaciones de la UIT, y cometido del Grupo Asesor de Normalización de las Telecomunicaciones</w:t>
            </w:r>
          </w:p>
        </w:tc>
      </w:tr>
      <w:tr w:rsidR="0073131C" w:rsidRPr="00CA61A6" w:rsidTr="00E57F3E">
        <w:trPr>
          <w:cantSplit/>
          <w:trHeight w:val="288"/>
        </w:trPr>
        <w:tc>
          <w:tcPr>
            <w:tcW w:w="656" w:type="pct"/>
            <w:tcBorders>
              <w:top w:val="nil"/>
              <w:left w:val="single" w:sz="4" w:space="0" w:color="auto"/>
              <w:bottom w:val="single" w:sz="4" w:space="0" w:color="auto"/>
              <w:right w:val="single" w:sz="4" w:space="0" w:color="auto"/>
            </w:tcBorders>
            <w:shd w:val="clear" w:color="auto" w:fill="auto"/>
            <w:hideMark/>
          </w:tcPr>
          <w:p w:rsidR="0073131C" w:rsidRPr="00CA61A6" w:rsidRDefault="00110CAD" w:rsidP="007B3478">
            <w:pPr>
              <w:pStyle w:val="Tabletext"/>
              <w:jc w:val="center"/>
              <w:rPr>
                <w:color w:val="0000FF"/>
                <w:u w:val="single"/>
              </w:rPr>
            </w:pPr>
            <w:hyperlink r:id="rId34" w:history="1">
              <w:r w:rsidR="0073131C" w:rsidRPr="00CA61A6">
                <w:rPr>
                  <w:color w:val="0000FF"/>
                  <w:u w:val="single"/>
                </w:rPr>
                <w:t>47</w:t>
              </w:r>
            </w:hyperlink>
          </w:p>
        </w:tc>
        <w:tc>
          <w:tcPr>
            <w:tcW w:w="4344" w:type="pct"/>
            <w:tcBorders>
              <w:top w:val="nil"/>
              <w:left w:val="nil"/>
              <w:bottom w:val="single" w:sz="4" w:space="0" w:color="auto"/>
              <w:right w:val="single" w:sz="4" w:space="0" w:color="auto"/>
            </w:tcBorders>
            <w:shd w:val="clear" w:color="auto" w:fill="auto"/>
            <w:hideMark/>
          </w:tcPr>
          <w:p w:rsidR="0073131C" w:rsidRPr="00CA61A6" w:rsidRDefault="00110CAD" w:rsidP="007B3478">
            <w:pPr>
              <w:pStyle w:val="Tabletext"/>
              <w:rPr>
                <w:color w:val="000000"/>
              </w:rPr>
            </w:pPr>
            <w:hyperlink w:anchor="_19_Resolución_47" w:history="1">
              <w:r w:rsidR="0073131C" w:rsidRPr="00CA61A6">
                <w:rPr>
                  <w:rStyle w:val="Hyperlink"/>
                </w:rPr>
                <w:t>Resolución 47</w:t>
              </w:r>
            </w:hyperlink>
            <w:r w:rsidR="0073131C" w:rsidRPr="00CA61A6">
              <w:rPr>
                <w:color w:val="000000"/>
              </w:rPr>
              <w:t xml:space="preserve"> – Nombres de dominio de nivel superior de código de país</w:t>
            </w:r>
          </w:p>
        </w:tc>
      </w:tr>
      <w:tr w:rsidR="0073131C" w:rsidRPr="00CA61A6" w:rsidTr="00E57F3E">
        <w:trPr>
          <w:cantSplit/>
          <w:trHeight w:val="288"/>
        </w:trPr>
        <w:tc>
          <w:tcPr>
            <w:tcW w:w="656" w:type="pct"/>
            <w:tcBorders>
              <w:top w:val="nil"/>
              <w:left w:val="single" w:sz="4" w:space="0" w:color="auto"/>
              <w:bottom w:val="single" w:sz="4" w:space="0" w:color="auto"/>
              <w:right w:val="single" w:sz="4" w:space="0" w:color="auto"/>
            </w:tcBorders>
            <w:shd w:val="clear" w:color="auto" w:fill="auto"/>
            <w:hideMark/>
          </w:tcPr>
          <w:p w:rsidR="0073131C" w:rsidRPr="00CA61A6" w:rsidRDefault="00110CAD" w:rsidP="007B3478">
            <w:pPr>
              <w:pStyle w:val="Tabletext"/>
              <w:jc w:val="center"/>
              <w:rPr>
                <w:color w:val="0000FF"/>
                <w:u w:val="single"/>
              </w:rPr>
            </w:pPr>
            <w:hyperlink r:id="rId35" w:history="1">
              <w:r w:rsidR="0073131C" w:rsidRPr="00CA61A6">
                <w:rPr>
                  <w:color w:val="0000FF"/>
                  <w:u w:val="single"/>
                </w:rPr>
                <w:t>48</w:t>
              </w:r>
            </w:hyperlink>
          </w:p>
        </w:tc>
        <w:tc>
          <w:tcPr>
            <w:tcW w:w="4344" w:type="pct"/>
            <w:tcBorders>
              <w:top w:val="nil"/>
              <w:left w:val="nil"/>
              <w:bottom w:val="single" w:sz="4" w:space="0" w:color="auto"/>
              <w:right w:val="single" w:sz="4" w:space="0" w:color="auto"/>
            </w:tcBorders>
            <w:shd w:val="clear" w:color="auto" w:fill="auto"/>
            <w:hideMark/>
          </w:tcPr>
          <w:p w:rsidR="0073131C" w:rsidRPr="00CA61A6" w:rsidRDefault="00110CAD" w:rsidP="007B3478">
            <w:pPr>
              <w:pStyle w:val="Tabletext"/>
              <w:rPr>
                <w:color w:val="000000"/>
              </w:rPr>
            </w:pPr>
            <w:hyperlink w:anchor="_20_Resolución_48" w:history="1">
              <w:r w:rsidR="0073131C" w:rsidRPr="00CA61A6">
                <w:rPr>
                  <w:rStyle w:val="Hyperlink"/>
                </w:rPr>
                <w:t>Resolución 48</w:t>
              </w:r>
            </w:hyperlink>
            <w:r w:rsidR="0073131C" w:rsidRPr="00CA61A6">
              <w:rPr>
                <w:color w:val="000000"/>
              </w:rPr>
              <w:t xml:space="preserve"> – Nombres de dominio internacionalizados (y multilingües)</w:t>
            </w:r>
          </w:p>
        </w:tc>
      </w:tr>
      <w:tr w:rsidR="0073131C" w:rsidRPr="00CA61A6" w:rsidTr="00E57F3E">
        <w:trPr>
          <w:cantSplit/>
          <w:trHeight w:val="288"/>
        </w:trPr>
        <w:tc>
          <w:tcPr>
            <w:tcW w:w="656" w:type="pct"/>
            <w:tcBorders>
              <w:top w:val="nil"/>
              <w:left w:val="single" w:sz="4" w:space="0" w:color="auto"/>
              <w:bottom w:val="single" w:sz="4" w:space="0" w:color="auto"/>
              <w:right w:val="single" w:sz="4" w:space="0" w:color="auto"/>
            </w:tcBorders>
            <w:shd w:val="clear" w:color="auto" w:fill="auto"/>
            <w:hideMark/>
          </w:tcPr>
          <w:p w:rsidR="0073131C" w:rsidRPr="00CA61A6" w:rsidRDefault="00110CAD" w:rsidP="007B3478">
            <w:pPr>
              <w:pStyle w:val="Tabletext"/>
              <w:jc w:val="center"/>
              <w:rPr>
                <w:color w:val="0000FF"/>
                <w:u w:val="single"/>
              </w:rPr>
            </w:pPr>
            <w:hyperlink r:id="rId36" w:history="1">
              <w:r w:rsidR="0073131C" w:rsidRPr="00CA61A6">
                <w:rPr>
                  <w:color w:val="0000FF"/>
                  <w:u w:val="single"/>
                </w:rPr>
                <w:t>49</w:t>
              </w:r>
            </w:hyperlink>
          </w:p>
        </w:tc>
        <w:tc>
          <w:tcPr>
            <w:tcW w:w="4344" w:type="pct"/>
            <w:tcBorders>
              <w:top w:val="nil"/>
              <w:left w:val="nil"/>
              <w:bottom w:val="single" w:sz="4" w:space="0" w:color="auto"/>
              <w:right w:val="single" w:sz="4" w:space="0" w:color="auto"/>
            </w:tcBorders>
            <w:shd w:val="clear" w:color="auto" w:fill="auto"/>
            <w:hideMark/>
          </w:tcPr>
          <w:p w:rsidR="0073131C" w:rsidRPr="00CA61A6" w:rsidRDefault="00110CAD" w:rsidP="007B3478">
            <w:pPr>
              <w:pStyle w:val="Tabletext"/>
              <w:rPr>
                <w:color w:val="000000"/>
              </w:rPr>
            </w:pPr>
            <w:hyperlink w:anchor="_21_Resolución_49" w:history="1">
              <w:r w:rsidR="0073131C" w:rsidRPr="00CA61A6">
                <w:rPr>
                  <w:rStyle w:val="Hyperlink"/>
                </w:rPr>
                <w:t>Resolución 49</w:t>
              </w:r>
            </w:hyperlink>
            <w:r w:rsidR="0073131C" w:rsidRPr="00CA61A6">
              <w:rPr>
                <w:color w:val="000000"/>
              </w:rPr>
              <w:t xml:space="preserve"> – ENUM</w:t>
            </w:r>
          </w:p>
        </w:tc>
      </w:tr>
      <w:tr w:rsidR="0073131C" w:rsidRPr="00CA61A6" w:rsidTr="00E57F3E">
        <w:trPr>
          <w:cantSplit/>
          <w:trHeight w:val="288"/>
        </w:trPr>
        <w:tc>
          <w:tcPr>
            <w:tcW w:w="656" w:type="pct"/>
            <w:tcBorders>
              <w:top w:val="nil"/>
              <w:left w:val="single" w:sz="4" w:space="0" w:color="auto"/>
              <w:bottom w:val="single" w:sz="4" w:space="0" w:color="auto"/>
              <w:right w:val="single" w:sz="4" w:space="0" w:color="auto"/>
            </w:tcBorders>
            <w:shd w:val="clear" w:color="auto" w:fill="auto"/>
            <w:hideMark/>
          </w:tcPr>
          <w:p w:rsidR="0073131C" w:rsidRPr="00CA61A6" w:rsidRDefault="00110CAD" w:rsidP="007B3478">
            <w:pPr>
              <w:pStyle w:val="Tabletext"/>
              <w:jc w:val="center"/>
              <w:rPr>
                <w:color w:val="0000FF"/>
                <w:u w:val="single"/>
              </w:rPr>
            </w:pPr>
            <w:hyperlink r:id="rId37" w:history="1">
              <w:r w:rsidR="0073131C" w:rsidRPr="00CA61A6">
                <w:rPr>
                  <w:color w:val="0000FF"/>
                  <w:u w:val="single"/>
                </w:rPr>
                <w:t>50</w:t>
              </w:r>
            </w:hyperlink>
          </w:p>
        </w:tc>
        <w:tc>
          <w:tcPr>
            <w:tcW w:w="4344" w:type="pct"/>
            <w:tcBorders>
              <w:top w:val="nil"/>
              <w:left w:val="nil"/>
              <w:bottom w:val="single" w:sz="4" w:space="0" w:color="auto"/>
              <w:right w:val="single" w:sz="4" w:space="0" w:color="auto"/>
            </w:tcBorders>
            <w:shd w:val="clear" w:color="auto" w:fill="auto"/>
            <w:hideMark/>
          </w:tcPr>
          <w:p w:rsidR="0073131C" w:rsidRPr="00CA61A6" w:rsidRDefault="00110CAD" w:rsidP="007B3478">
            <w:pPr>
              <w:pStyle w:val="Tabletext"/>
              <w:rPr>
                <w:color w:val="000000"/>
              </w:rPr>
            </w:pPr>
            <w:hyperlink w:anchor="_22_Resolución_50" w:history="1">
              <w:r w:rsidR="0073131C" w:rsidRPr="00CA61A6">
                <w:rPr>
                  <w:rStyle w:val="Hyperlink"/>
                </w:rPr>
                <w:t>Resolución 50</w:t>
              </w:r>
            </w:hyperlink>
            <w:r w:rsidR="0073131C" w:rsidRPr="00CA61A6">
              <w:rPr>
                <w:color w:val="000000"/>
              </w:rPr>
              <w:t xml:space="preserve"> – Ciberseguridad</w:t>
            </w:r>
          </w:p>
        </w:tc>
      </w:tr>
      <w:tr w:rsidR="0073131C" w:rsidRPr="00CA61A6" w:rsidTr="00E57F3E">
        <w:trPr>
          <w:cantSplit/>
          <w:trHeight w:val="288"/>
        </w:trPr>
        <w:tc>
          <w:tcPr>
            <w:tcW w:w="656" w:type="pct"/>
            <w:tcBorders>
              <w:top w:val="nil"/>
              <w:left w:val="single" w:sz="4" w:space="0" w:color="auto"/>
              <w:bottom w:val="single" w:sz="4" w:space="0" w:color="auto"/>
              <w:right w:val="single" w:sz="4" w:space="0" w:color="auto"/>
            </w:tcBorders>
            <w:shd w:val="clear" w:color="auto" w:fill="auto"/>
            <w:hideMark/>
          </w:tcPr>
          <w:p w:rsidR="0073131C" w:rsidRPr="00CA61A6" w:rsidRDefault="00110CAD" w:rsidP="007B3478">
            <w:pPr>
              <w:pStyle w:val="Tabletext"/>
              <w:jc w:val="center"/>
              <w:rPr>
                <w:color w:val="0000FF"/>
                <w:u w:val="single"/>
              </w:rPr>
            </w:pPr>
            <w:hyperlink r:id="rId38" w:history="1">
              <w:r w:rsidR="0073131C" w:rsidRPr="00CA61A6">
                <w:rPr>
                  <w:color w:val="0000FF"/>
                  <w:u w:val="single"/>
                </w:rPr>
                <w:t>52</w:t>
              </w:r>
            </w:hyperlink>
          </w:p>
        </w:tc>
        <w:tc>
          <w:tcPr>
            <w:tcW w:w="4344" w:type="pct"/>
            <w:tcBorders>
              <w:top w:val="nil"/>
              <w:left w:val="nil"/>
              <w:bottom w:val="single" w:sz="4" w:space="0" w:color="auto"/>
              <w:right w:val="single" w:sz="4" w:space="0" w:color="auto"/>
            </w:tcBorders>
            <w:shd w:val="clear" w:color="auto" w:fill="auto"/>
            <w:hideMark/>
          </w:tcPr>
          <w:p w:rsidR="0073131C" w:rsidRPr="00CA61A6" w:rsidRDefault="00110CAD" w:rsidP="007B3478">
            <w:pPr>
              <w:pStyle w:val="Tabletext"/>
              <w:rPr>
                <w:color w:val="000000"/>
              </w:rPr>
            </w:pPr>
            <w:hyperlink w:anchor="_23_Resolución_52" w:history="1">
              <w:r w:rsidR="0073131C" w:rsidRPr="00CA61A6">
                <w:rPr>
                  <w:rStyle w:val="Hyperlink"/>
                </w:rPr>
                <w:t>Resolución 52</w:t>
              </w:r>
            </w:hyperlink>
            <w:r w:rsidR="0073131C" w:rsidRPr="00CA61A6">
              <w:rPr>
                <w:color w:val="000000"/>
              </w:rPr>
              <w:t xml:space="preserve"> – Respuesta y lucha contra el correo basura</w:t>
            </w:r>
          </w:p>
        </w:tc>
      </w:tr>
      <w:tr w:rsidR="0073131C" w:rsidRPr="00CA61A6" w:rsidTr="00E57F3E">
        <w:trPr>
          <w:cantSplit/>
          <w:trHeight w:val="288"/>
        </w:trPr>
        <w:tc>
          <w:tcPr>
            <w:tcW w:w="656" w:type="pct"/>
            <w:tcBorders>
              <w:top w:val="nil"/>
              <w:left w:val="single" w:sz="4" w:space="0" w:color="auto"/>
              <w:bottom w:val="single" w:sz="4" w:space="0" w:color="auto"/>
              <w:right w:val="single" w:sz="4" w:space="0" w:color="auto"/>
            </w:tcBorders>
            <w:shd w:val="clear" w:color="auto" w:fill="auto"/>
            <w:hideMark/>
          </w:tcPr>
          <w:p w:rsidR="0073131C" w:rsidRPr="00CA61A6" w:rsidRDefault="00110CAD" w:rsidP="007B3478">
            <w:pPr>
              <w:pStyle w:val="Tabletext"/>
              <w:jc w:val="center"/>
              <w:rPr>
                <w:color w:val="0000FF"/>
                <w:u w:val="single"/>
              </w:rPr>
            </w:pPr>
            <w:hyperlink r:id="rId39" w:history="1">
              <w:r w:rsidR="0073131C" w:rsidRPr="00CA61A6">
                <w:rPr>
                  <w:color w:val="0000FF"/>
                  <w:u w:val="single"/>
                </w:rPr>
                <w:t>54</w:t>
              </w:r>
            </w:hyperlink>
          </w:p>
        </w:tc>
        <w:tc>
          <w:tcPr>
            <w:tcW w:w="4344" w:type="pct"/>
            <w:tcBorders>
              <w:top w:val="nil"/>
              <w:left w:val="nil"/>
              <w:bottom w:val="single" w:sz="4" w:space="0" w:color="auto"/>
              <w:right w:val="single" w:sz="4" w:space="0" w:color="auto"/>
            </w:tcBorders>
            <w:shd w:val="clear" w:color="auto" w:fill="auto"/>
            <w:hideMark/>
          </w:tcPr>
          <w:p w:rsidR="0073131C" w:rsidRPr="00CA61A6" w:rsidRDefault="00110CAD" w:rsidP="007B3478">
            <w:pPr>
              <w:pStyle w:val="Tabletext"/>
              <w:rPr>
                <w:color w:val="000000"/>
              </w:rPr>
            </w:pPr>
            <w:hyperlink w:anchor="_24_Resolución_54" w:history="1">
              <w:r w:rsidR="0073131C" w:rsidRPr="00CA61A6">
                <w:rPr>
                  <w:rStyle w:val="Hyperlink"/>
                </w:rPr>
                <w:t>Resolución 54</w:t>
              </w:r>
            </w:hyperlink>
            <w:r w:rsidR="0073131C" w:rsidRPr="00CA61A6">
              <w:rPr>
                <w:color w:val="000000"/>
              </w:rPr>
              <w:t xml:space="preserve"> – </w:t>
            </w:r>
            <w:r w:rsidR="00242837" w:rsidRPr="00CA61A6">
              <w:rPr>
                <w:color w:val="000000"/>
              </w:rPr>
              <w:t>Creación de Grupos Regionales y asistencia a esos Grupos</w:t>
            </w:r>
          </w:p>
        </w:tc>
      </w:tr>
      <w:tr w:rsidR="0073131C" w:rsidRPr="00CA61A6" w:rsidTr="00E57F3E">
        <w:trPr>
          <w:cantSplit/>
          <w:trHeight w:val="288"/>
        </w:trPr>
        <w:tc>
          <w:tcPr>
            <w:tcW w:w="656" w:type="pct"/>
            <w:tcBorders>
              <w:top w:val="nil"/>
              <w:left w:val="single" w:sz="4" w:space="0" w:color="auto"/>
              <w:bottom w:val="single" w:sz="4" w:space="0" w:color="auto"/>
              <w:right w:val="single" w:sz="4" w:space="0" w:color="auto"/>
            </w:tcBorders>
            <w:shd w:val="clear" w:color="auto" w:fill="auto"/>
            <w:hideMark/>
          </w:tcPr>
          <w:p w:rsidR="0073131C" w:rsidRPr="00CA61A6" w:rsidRDefault="00110CAD" w:rsidP="007B3478">
            <w:pPr>
              <w:pStyle w:val="Tabletext"/>
              <w:jc w:val="center"/>
              <w:rPr>
                <w:color w:val="0000FF"/>
                <w:u w:val="single"/>
              </w:rPr>
            </w:pPr>
            <w:hyperlink r:id="rId40" w:history="1">
              <w:r w:rsidR="0073131C" w:rsidRPr="00CA61A6">
                <w:rPr>
                  <w:color w:val="0000FF"/>
                  <w:u w:val="single"/>
                </w:rPr>
                <w:t>55</w:t>
              </w:r>
            </w:hyperlink>
          </w:p>
        </w:tc>
        <w:tc>
          <w:tcPr>
            <w:tcW w:w="4344" w:type="pct"/>
            <w:tcBorders>
              <w:top w:val="nil"/>
              <w:left w:val="nil"/>
              <w:bottom w:val="single" w:sz="4" w:space="0" w:color="auto"/>
              <w:right w:val="single" w:sz="4" w:space="0" w:color="auto"/>
            </w:tcBorders>
            <w:shd w:val="clear" w:color="auto" w:fill="auto"/>
            <w:hideMark/>
          </w:tcPr>
          <w:p w:rsidR="0073131C" w:rsidRPr="00CA61A6" w:rsidRDefault="00110CAD" w:rsidP="007B3478">
            <w:pPr>
              <w:pStyle w:val="Tabletext"/>
              <w:rPr>
                <w:color w:val="000000"/>
              </w:rPr>
            </w:pPr>
            <w:hyperlink w:anchor="_25_Resolución_55" w:history="1">
              <w:r w:rsidR="0073131C" w:rsidRPr="00CA61A6">
                <w:rPr>
                  <w:rStyle w:val="Hyperlink"/>
                </w:rPr>
                <w:t>Resolución 55</w:t>
              </w:r>
            </w:hyperlink>
            <w:r w:rsidR="0073131C" w:rsidRPr="00CA61A6">
              <w:rPr>
                <w:color w:val="000000"/>
              </w:rPr>
              <w:t xml:space="preserve"> – </w:t>
            </w:r>
            <w:r w:rsidR="00242837" w:rsidRPr="00CA61A6">
              <w:rPr>
                <w:color w:val="000000"/>
              </w:rPr>
              <w:t>Integración de una perspectiva de género en las actividades del Sector de Normalización de las Telecomunicaciones de la UIT</w:t>
            </w:r>
          </w:p>
        </w:tc>
      </w:tr>
      <w:tr w:rsidR="0073131C" w:rsidRPr="00CA61A6" w:rsidTr="00E57F3E">
        <w:trPr>
          <w:cantSplit/>
          <w:trHeight w:val="288"/>
        </w:trPr>
        <w:tc>
          <w:tcPr>
            <w:tcW w:w="656" w:type="pct"/>
            <w:tcBorders>
              <w:top w:val="nil"/>
              <w:left w:val="single" w:sz="4" w:space="0" w:color="auto"/>
              <w:bottom w:val="single" w:sz="4" w:space="0" w:color="auto"/>
              <w:right w:val="single" w:sz="4" w:space="0" w:color="auto"/>
            </w:tcBorders>
            <w:shd w:val="clear" w:color="auto" w:fill="auto"/>
            <w:hideMark/>
          </w:tcPr>
          <w:p w:rsidR="0073131C" w:rsidRPr="00CA61A6" w:rsidRDefault="00110CAD" w:rsidP="007B3478">
            <w:pPr>
              <w:pStyle w:val="Tabletext"/>
              <w:jc w:val="center"/>
              <w:rPr>
                <w:color w:val="0000FF"/>
                <w:u w:val="single"/>
              </w:rPr>
            </w:pPr>
            <w:hyperlink r:id="rId41" w:history="1">
              <w:r w:rsidR="0073131C" w:rsidRPr="00CA61A6">
                <w:rPr>
                  <w:color w:val="0000FF"/>
                  <w:u w:val="single"/>
                </w:rPr>
                <w:t>57</w:t>
              </w:r>
            </w:hyperlink>
          </w:p>
        </w:tc>
        <w:tc>
          <w:tcPr>
            <w:tcW w:w="4344" w:type="pct"/>
            <w:tcBorders>
              <w:top w:val="nil"/>
              <w:left w:val="nil"/>
              <w:bottom w:val="single" w:sz="4" w:space="0" w:color="auto"/>
              <w:right w:val="single" w:sz="4" w:space="0" w:color="auto"/>
            </w:tcBorders>
            <w:shd w:val="clear" w:color="auto" w:fill="auto"/>
            <w:hideMark/>
          </w:tcPr>
          <w:p w:rsidR="0073131C" w:rsidRPr="00CA61A6" w:rsidRDefault="00110CAD" w:rsidP="007B3478">
            <w:pPr>
              <w:pStyle w:val="Tabletext"/>
              <w:rPr>
                <w:color w:val="000000"/>
              </w:rPr>
            </w:pPr>
            <w:hyperlink w:anchor="_26_Resolución_57" w:history="1">
              <w:r w:rsidR="0073131C" w:rsidRPr="00CA61A6">
                <w:rPr>
                  <w:rStyle w:val="Hyperlink"/>
                </w:rPr>
                <w:t>Resolución 57</w:t>
              </w:r>
            </w:hyperlink>
            <w:r w:rsidR="0073131C" w:rsidRPr="00CA61A6">
              <w:rPr>
                <w:color w:val="000000"/>
              </w:rPr>
              <w:t xml:space="preserve"> – </w:t>
            </w:r>
            <w:r w:rsidR="00813C07" w:rsidRPr="00CA61A6">
              <w:rPr>
                <w:color w:val="000000"/>
              </w:rPr>
              <w:t>Fortalecimiento de la coordinación y la cooperación entre los tres Sectores de la UIT en asuntos de interés mutuo</w:t>
            </w:r>
          </w:p>
        </w:tc>
      </w:tr>
      <w:tr w:rsidR="0073131C" w:rsidRPr="00CA61A6" w:rsidTr="00E57F3E">
        <w:trPr>
          <w:cantSplit/>
          <w:trHeight w:val="288"/>
        </w:trPr>
        <w:tc>
          <w:tcPr>
            <w:tcW w:w="656" w:type="pct"/>
            <w:tcBorders>
              <w:top w:val="nil"/>
              <w:left w:val="single" w:sz="4" w:space="0" w:color="auto"/>
              <w:bottom w:val="single" w:sz="4" w:space="0" w:color="auto"/>
              <w:right w:val="single" w:sz="4" w:space="0" w:color="auto"/>
            </w:tcBorders>
            <w:shd w:val="clear" w:color="auto" w:fill="auto"/>
            <w:hideMark/>
          </w:tcPr>
          <w:p w:rsidR="0073131C" w:rsidRPr="00CA61A6" w:rsidRDefault="00110CAD" w:rsidP="007B3478">
            <w:pPr>
              <w:pStyle w:val="Tabletext"/>
              <w:jc w:val="center"/>
              <w:rPr>
                <w:color w:val="0000FF"/>
                <w:u w:val="single"/>
              </w:rPr>
            </w:pPr>
            <w:hyperlink r:id="rId42" w:history="1">
              <w:r w:rsidR="0073131C" w:rsidRPr="00CA61A6">
                <w:rPr>
                  <w:color w:val="0000FF"/>
                  <w:u w:val="single"/>
                </w:rPr>
                <w:t>58</w:t>
              </w:r>
            </w:hyperlink>
          </w:p>
        </w:tc>
        <w:tc>
          <w:tcPr>
            <w:tcW w:w="4344" w:type="pct"/>
            <w:tcBorders>
              <w:top w:val="nil"/>
              <w:left w:val="nil"/>
              <w:bottom w:val="single" w:sz="4" w:space="0" w:color="auto"/>
              <w:right w:val="single" w:sz="4" w:space="0" w:color="auto"/>
            </w:tcBorders>
            <w:shd w:val="clear" w:color="auto" w:fill="auto"/>
            <w:hideMark/>
          </w:tcPr>
          <w:p w:rsidR="0073131C" w:rsidRPr="00CA61A6" w:rsidRDefault="00110CAD" w:rsidP="007B3478">
            <w:pPr>
              <w:pStyle w:val="Tabletext"/>
              <w:rPr>
                <w:color w:val="000000"/>
              </w:rPr>
            </w:pPr>
            <w:hyperlink w:anchor="_27_Resolución_58" w:history="1">
              <w:r w:rsidR="0073131C" w:rsidRPr="00CA61A6">
                <w:rPr>
                  <w:rStyle w:val="Hyperlink"/>
                </w:rPr>
                <w:t>Resolución 58</w:t>
              </w:r>
            </w:hyperlink>
            <w:r w:rsidR="0073131C" w:rsidRPr="00CA61A6">
              <w:rPr>
                <w:color w:val="000000"/>
              </w:rPr>
              <w:t xml:space="preserve"> – </w:t>
            </w:r>
            <w:r w:rsidR="00813C07" w:rsidRPr="00CA61A6">
              <w:rPr>
                <w:color w:val="000000"/>
              </w:rPr>
              <w:t>Fomento de la creación de equipos nacionales de intervención en caso de incidente informático, especialmente para los países en desarrollo</w:t>
            </w:r>
          </w:p>
        </w:tc>
      </w:tr>
      <w:tr w:rsidR="0073131C" w:rsidRPr="00CA61A6" w:rsidTr="00E57F3E">
        <w:trPr>
          <w:cantSplit/>
          <w:trHeight w:val="288"/>
        </w:trPr>
        <w:tc>
          <w:tcPr>
            <w:tcW w:w="656" w:type="pct"/>
            <w:tcBorders>
              <w:top w:val="nil"/>
              <w:left w:val="single" w:sz="4" w:space="0" w:color="auto"/>
              <w:bottom w:val="single" w:sz="4" w:space="0" w:color="auto"/>
              <w:right w:val="single" w:sz="4" w:space="0" w:color="auto"/>
            </w:tcBorders>
            <w:shd w:val="clear" w:color="auto" w:fill="auto"/>
            <w:hideMark/>
          </w:tcPr>
          <w:p w:rsidR="0073131C" w:rsidRPr="00CA61A6" w:rsidRDefault="00110CAD" w:rsidP="007B3478">
            <w:pPr>
              <w:pStyle w:val="Tabletext"/>
              <w:jc w:val="center"/>
              <w:rPr>
                <w:color w:val="0000FF"/>
                <w:u w:val="single"/>
              </w:rPr>
            </w:pPr>
            <w:hyperlink r:id="rId43" w:history="1">
              <w:r w:rsidR="0073131C" w:rsidRPr="00CA61A6">
                <w:rPr>
                  <w:color w:val="0000FF"/>
                  <w:u w:val="single"/>
                </w:rPr>
                <w:t>59</w:t>
              </w:r>
            </w:hyperlink>
          </w:p>
        </w:tc>
        <w:tc>
          <w:tcPr>
            <w:tcW w:w="4344" w:type="pct"/>
            <w:tcBorders>
              <w:top w:val="nil"/>
              <w:left w:val="nil"/>
              <w:bottom w:val="single" w:sz="4" w:space="0" w:color="auto"/>
              <w:right w:val="single" w:sz="4" w:space="0" w:color="auto"/>
            </w:tcBorders>
            <w:shd w:val="clear" w:color="auto" w:fill="auto"/>
            <w:hideMark/>
          </w:tcPr>
          <w:p w:rsidR="0073131C" w:rsidRPr="00CA61A6" w:rsidRDefault="00110CAD" w:rsidP="007B3478">
            <w:pPr>
              <w:pStyle w:val="Tabletext"/>
              <w:rPr>
                <w:color w:val="000000"/>
              </w:rPr>
            </w:pPr>
            <w:hyperlink w:anchor="_28_Resolución_59" w:history="1">
              <w:r w:rsidR="0073131C" w:rsidRPr="00CA61A6">
                <w:rPr>
                  <w:rStyle w:val="Hyperlink"/>
                </w:rPr>
                <w:t>Resolución 59</w:t>
              </w:r>
            </w:hyperlink>
            <w:r w:rsidR="0073131C" w:rsidRPr="00CA61A6">
              <w:rPr>
                <w:color w:val="000000"/>
              </w:rPr>
              <w:t xml:space="preserve"> – Mejorar la participación de los operadores de telecomunicaciones de los países en desarrollo</w:t>
            </w:r>
          </w:p>
        </w:tc>
      </w:tr>
      <w:tr w:rsidR="0073131C" w:rsidRPr="00CA61A6" w:rsidTr="00E57F3E">
        <w:trPr>
          <w:cantSplit/>
          <w:trHeight w:val="288"/>
        </w:trPr>
        <w:tc>
          <w:tcPr>
            <w:tcW w:w="656" w:type="pct"/>
            <w:tcBorders>
              <w:top w:val="nil"/>
              <w:left w:val="single" w:sz="4" w:space="0" w:color="auto"/>
              <w:bottom w:val="single" w:sz="4" w:space="0" w:color="auto"/>
              <w:right w:val="single" w:sz="4" w:space="0" w:color="auto"/>
            </w:tcBorders>
            <w:shd w:val="clear" w:color="auto" w:fill="auto"/>
            <w:hideMark/>
          </w:tcPr>
          <w:p w:rsidR="0073131C" w:rsidRPr="00CA61A6" w:rsidRDefault="00110CAD" w:rsidP="007B3478">
            <w:pPr>
              <w:pStyle w:val="Tabletext"/>
              <w:jc w:val="center"/>
              <w:rPr>
                <w:color w:val="0000FF"/>
                <w:u w:val="single"/>
              </w:rPr>
            </w:pPr>
            <w:hyperlink r:id="rId44" w:history="1">
              <w:r w:rsidR="0073131C" w:rsidRPr="00CA61A6">
                <w:rPr>
                  <w:color w:val="0000FF"/>
                  <w:u w:val="single"/>
                </w:rPr>
                <w:t>60</w:t>
              </w:r>
            </w:hyperlink>
          </w:p>
        </w:tc>
        <w:tc>
          <w:tcPr>
            <w:tcW w:w="4344" w:type="pct"/>
            <w:tcBorders>
              <w:top w:val="nil"/>
              <w:left w:val="nil"/>
              <w:bottom w:val="single" w:sz="4" w:space="0" w:color="auto"/>
              <w:right w:val="single" w:sz="4" w:space="0" w:color="auto"/>
            </w:tcBorders>
            <w:shd w:val="clear" w:color="auto" w:fill="auto"/>
            <w:hideMark/>
          </w:tcPr>
          <w:p w:rsidR="0073131C" w:rsidRPr="00CA61A6" w:rsidRDefault="00110CAD" w:rsidP="007B3478">
            <w:pPr>
              <w:pStyle w:val="Tabletext"/>
              <w:rPr>
                <w:color w:val="000000"/>
              </w:rPr>
            </w:pPr>
            <w:hyperlink w:anchor="_29_Resolución_60" w:history="1">
              <w:r w:rsidR="0073131C" w:rsidRPr="00CA61A6">
                <w:rPr>
                  <w:rStyle w:val="Hyperlink"/>
                </w:rPr>
                <w:t>Resolución 60</w:t>
              </w:r>
            </w:hyperlink>
            <w:r w:rsidR="0073131C" w:rsidRPr="00CA61A6">
              <w:rPr>
                <w:color w:val="000000"/>
              </w:rPr>
              <w:t xml:space="preserve"> – </w:t>
            </w:r>
            <w:r w:rsidR="00813C07" w:rsidRPr="00CA61A6">
              <w:rPr>
                <w:color w:val="000000"/>
              </w:rPr>
              <w:t>Respuesta a los desafíos que plantea la evolución del sistema de identificación/numeración y su convergencia con los sistemas/redes basados en IP</w:t>
            </w:r>
          </w:p>
        </w:tc>
      </w:tr>
      <w:tr w:rsidR="0073131C" w:rsidRPr="00CA61A6" w:rsidTr="00E57F3E">
        <w:trPr>
          <w:cantSplit/>
          <w:trHeight w:val="288"/>
        </w:trPr>
        <w:tc>
          <w:tcPr>
            <w:tcW w:w="656" w:type="pct"/>
            <w:tcBorders>
              <w:top w:val="nil"/>
              <w:left w:val="single" w:sz="4" w:space="0" w:color="auto"/>
              <w:bottom w:val="single" w:sz="4" w:space="0" w:color="auto"/>
              <w:right w:val="single" w:sz="4" w:space="0" w:color="auto"/>
            </w:tcBorders>
            <w:shd w:val="clear" w:color="auto" w:fill="auto"/>
            <w:hideMark/>
          </w:tcPr>
          <w:p w:rsidR="0073131C" w:rsidRPr="00CA61A6" w:rsidRDefault="00110CAD" w:rsidP="007B3478">
            <w:pPr>
              <w:pStyle w:val="Tabletext"/>
              <w:jc w:val="center"/>
              <w:rPr>
                <w:color w:val="0000FF"/>
                <w:u w:val="single"/>
              </w:rPr>
            </w:pPr>
            <w:hyperlink r:id="rId45" w:history="1">
              <w:r w:rsidR="0073131C" w:rsidRPr="00CA61A6">
                <w:rPr>
                  <w:color w:val="0000FF"/>
                  <w:u w:val="single"/>
                </w:rPr>
                <w:t>61</w:t>
              </w:r>
            </w:hyperlink>
          </w:p>
        </w:tc>
        <w:tc>
          <w:tcPr>
            <w:tcW w:w="4344" w:type="pct"/>
            <w:tcBorders>
              <w:top w:val="nil"/>
              <w:left w:val="nil"/>
              <w:bottom w:val="single" w:sz="4" w:space="0" w:color="auto"/>
              <w:right w:val="single" w:sz="4" w:space="0" w:color="auto"/>
            </w:tcBorders>
            <w:shd w:val="clear" w:color="auto" w:fill="auto"/>
            <w:hideMark/>
          </w:tcPr>
          <w:p w:rsidR="0073131C" w:rsidRPr="00CA61A6" w:rsidRDefault="00110CAD" w:rsidP="007B3478">
            <w:pPr>
              <w:pStyle w:val="Tabletext"/>
              <w:rPr>
                <w:color w:val="000000"/>
              </w:rPr>
            </w:pPr>
            <w:hyperlink w:anchor="_30_Resolución_61" w:history="1">
              <w:r w:rsidR="0073131C" w:rsidRPr="00CA61A6">
                <w:rPr>
                  <w:rStyle w:val="Hyperlink"/>
                </w:rPr>
                <w:t>Resolución 61</w:t>
              </w:r>
            </w:hyperlink>
            <w:r w:rsidR="0073131C" w:rsidRPr="00CA61A6">
              <w:rPr>
                <w:color w:val="000000"/>
              </w:rPr>
              <w:t xml:space="preserve"> – </w:t>
            </w:r>
            <w:r w:rsidR="00813C07" w:rsidRPr="00CA61A6">
              <w:rPr>
                <w:color w:val="000000"/>
              </w:rPr>
              <w:t>Respuesta y lucha contra la apropiación y uso indebidos de recursos internacionales de numeración para las telecomunicaciones</w:t>
            </w:r>
          </w:p>
        </w:tc>
      </w:tr>
      <w:tr w:rsidR="0073131C" w:rsidRPr="00CA61A6" w:rsidTr="00E57F3E">
        <w:trPr>
          <w:cantSplit/>
          <w:trHeight w:val="288"/>
        </w:trPr>
        <w:tc>
          <w:tcPr>
            <w:tcW w:w="656" w:type="pct"/>
            <w:tcBorders>
              <w:top w:val="nil"/>
              <w:left w:val="single" w:sz="4" w:space="0" w:color="auto"/>
              <w:bottom w:val="single" w:sz="4" w:space="0" w:color="auto"/>
              <w:right w:val="single" w:sz="4" w:space="0" w:color="auto"/>
            </w:tcBorders>
            <w:shd w:val="clear" w:color="auto" w:fill="auto"/>
            <w:hideMark/>
          </w:tcPr>
          <w:p w:rsidR="0073131C" w:rsidRPr="00CA61A6" w:rsidRDefault="00110CAD" w:rsidP="007B3478">
            <w:pPr>
              <w:pStyle w:val="Tabletext"/>
              <w:jc w:val="center"/>
              <w:rPr>
                <w:color w:val="0000FF"/>
                <w:u w:val="single"/>
              </w:rPr>
            </w:pPr>
            <w:hyperlink r:id="rId46" w:history="1">
              <w:r w:rsidR="0073131C" w:rsidRPr="00CA61A6">
                <w:rPr>
                  <w:color w:val="0000FF"/>
                  <w:u w:val="single"/>
                </w:rPr>
                <w:t>62</w:t>
              </w:r>
            </w:hyperlink>
          </w:p>
        </w:tc>
        <w:tc>
          <w:tcPr>
            <w:tcW w:w="4344" w:type="pct"/>
            <w:tcBorders>
              <w:top w:val="nil"/>
              <w:left w:val="nil"/>
              <w:bottom w:val="single" w:sz="4" w:space="0" w:color="auto"/>
              <w:right w:val="single" w:sz="4" w:space="0" w:color="auto"/>
            </w:tcBorders>
            <w:shd w:val="clear" w:color="auto" w:fill="auto"/>
            <w:hideMark/>
          </w:tcPr>
          <w:p w:rsidR="0073131C" w:rsidRPr="00CA61A6" w:rsidRDefault="00110CAD" w:rsidP="007B3478">
            <w:pPr>
              <w:pStyle w:val="Tabletext"/>
              <w:rPr>
                <w:color w:val="000000"/>
              </w:rPr>
            </w:pPr>
            <w:hyperlink w:anchor="_31_Resolución_62" w:history="1">
              <w:r w:rsidR="0073131C" w:rsidRPr="00CA61A6">
                <w:rPr>
                  <w:rStyle w:val="Hyperlink"/>
                </w:rPr>
                <w:t>Resolución 62</w:t>
              </w:r>
            </w:hyperlink>
            <w:r w:rsidR="0073131C" w:rsidRPr="00CA61A6">
              <w:rPr>
                <w:color w:val="000000"/>
              </w:rPr>
              <w:t xml:space="preserve"> – Solución de controversias</w:t>
            </w:r>
          </w:p>
        </w:tc>
      </w:tr>
      <w:tr w:rsidR="0073131C" w:rsidRPr="00CA61A6" w:rsidTr="00E57F3E">
        <w:trPr>
          <w:cantSplit/>
          <w:trHeight w:val="288"/>
        </w:trPr>
        <w:tc>
          <w:tcPr>
            <w:tcW w:w="656" w:type="pct"/>
            <w:tcBorders>
              <w:top w:val="nil"/>
              <w:left w:val="single" w:sz="4" w:space="0" w:color="auto"/>
              <w:bottom w:val="single" w:sz="4" w:space="0" w:color="auto"/>
              <w:right w:val="single" w:sz="4" w:space="0" w:color="auto"/>
            </w:tcBorders>
            <w:shd w:val="clear" w:color="auto" w:fill="auto"/>
            <w:hideMark/>
          </w:tcPr>
          <w:p w:rsidR="0073131C" w:rsidRPr="00CA61A6" w:rsidRDefault="00110CAD" w:rsidP="007B3478">
            <w:pPr>
              <w:pStyle w:val="Tabletext"/>
              <w:jc w:val="center"/>
              <w:rPr>
                <w:color w:val="0000FF"/>
                <w:u w:val="single"/>
              </w:rPr>
            </w:pPr>
            <w:hyperlink r:id="rId47" w:history="1">
              <w:r w:rsidR="0073131C" w:rsidRPr="00CA61A6">
                <w:rPr>
                  <w:color w:val="0000FF"/>
                  <w:u w:val="single"/>
                </w:rPr>
                <w:t>64</w:t>
              </w:r>
            </w:hyperlink>
          </w:p>
        </w:tc>
        <w:tc>
          <w:tcPr>
            <w:tcW w:w="4344" w:type="pct"/>
            <w:tcBorders>
              <w:top w:val="nil"/>
              <w:left w:val="nil"/>
              <w:bottom w:val="single" w:sz="4" w:space="0" w:color="auto"/>
              <w:right w:val="single" w:sz="4" w:space="0" w:color="auto"/>
            </w:tcBorders>
            <w:shd w:val="clear" w:color="auto" w:fill="auto"/>
            <w:hideMark/>
          </w:tcPr>
          <w:p w:rsidR="0073131C" w:rsidRPr="00CA61A6" w:rsidRDefault="00110CAD" w:rsidP="007B3478">
            <w:pPr>
              <w:pStyle w:val="Tabletext"/>
              <w:rPr>
                <w:color w:val="000000"/>
              </w:rPr>
            </w:pPr>
            <w:hyperlink w:anchor="_32_Resolución_64" w:history="1">
              <w:r w:rsidR="0073131C" w:rsidRPr="00CA61A6">
                <w:rPr>
                  <w:rStyle w:val="Hyperlink"/>
                </w:rPr>
                <w:t>Resolución 64</w:t>
              </w:r>
            </w:hyperlink>
            <w:r w:rsidR="0073131C" w:rsidRPr="00CA61A6">
              <w:rPr>
                <w:color w:val="000000"/>
              </w:rPr>
              <w:t xml:space="preserve"> – </w:t>
            </w:r>
            <w:r w:rsidR="00813C07" w:rsidRPr="00CA61A6">
              <w:rPr>
                <w:color w:val="000000"/>
              </w:rPr>
              <w:t>Asignación de direcciones IP y medidas encaminadas a facilitar la transición a IPv6 y su implantación</w:t>
            </w:r>
          </w:p>
        </w:tc>
      </w:tr>
      <w:tr w:rsidR="0073131C" w:rsidRPr="00CA61A6" w:rsidTr="00E57F3E">
        <w:trPr>
          <w:cantSplit/>
          <w:trHeight w:val="288"/>
        </w:trPr>
        <w:tc>
          <w:tcPr>
            <w:tcW w:w="656" w:type="pct"/>
            <w:tcBorders>
              <w:top w:val="nil"/>
              <w:left w:val="single" w:sz="4" w:space="0" w:color="auto"/>
              <w:bottom w:val="single" w:sz="4" w:space="0" w:color="auto"/>
              <w:right w:val="single" w:sz="4" w:space="0" w:color="auto"/>
            </w:tcBorders>
            <w:shd w:val="clear" w:color="auto" w:fill="auto"/>
            <w:hideMark/>
          </w:tcPr>
          <w:p w:rsidR="0073131C" w:rsidRPr="00CA61A6" w:rsidRDefault="00110CAD" w:rsidP="007B3478">
            <w:pPr>
              <w:pStyle w:val="Tabletext"/>
              <w:jc w:val="center"/>
              <w:rPr>
                <w:color w:val="0000FF"/>
                <w:u w:val="single"/>
              </w:rPr>
            </w:pPr>
            <w:hyperlink r:id="rId48" w:history="1">
              <w:r w:rsidR="0073131C" w:rsidRPr="00CA61A6">
                <w:rPr>
                  <w:color w:val="0000FF"/>
                  <w:u w:val="single"/>
                </w:rPr>
                <w:t>65</w:t>
              </w:r>
            </w:hyperlink>
          </w:p>
        </w:tc>
        <w:tc>
          <w:tcPr>
            <w:tcW w:w="4344" w:type="pct"/>
            <w:tcBorders>
              <w:top w:val="nil"/>
              <w:left w:val="nil"/>
              <w:bottom w:val="single" w:sz="4" w:space="0" w:color="auto"/>
              <w:right w:val="single" w:sz="4" w:space="0" w:color="auto"/>
            </w:tcBorders>
            <w:shd w:val="clear" w:color="auto" w:fill="auto"/>
            <w:hideMark/>
          </w:tcPr>
          <w:p w:rsidR="0073131C" w:rsidRPr="00CA61A6" w:rsidRDefault="00110CAD" w:rsidP="007B3478">
            <w:pPr>
              <w:pStyle w:val="Tabletext"/>
              <w:rPr>
                <w:color w:val="000000"/>
              </w:rPr>
            </w:pPr>
            <w:hyperlink w:anchor="_33_Resolución_65" w:history="1">
              <w:r w:rsidR="0073131C" w:rsidRPr="00CA61A6">
                <w:rPr>
                  <w:rStyle w:val="Hyperlink"/>
                </w:rPr>
                <w:t>Resolución 65</w:t>
              </w:r>
            </w:hyperlink>
            <w:r w:rsidR="0073131C" w:rsidRPr="00CA61A6">
              <w:rPr>
                <w:color w:val="000000"/>
              </w:rPr>
              <w:t xml:space="preserve"> – </w:t>
            </w:r>
            <w:r w:rsidR="00813C07" w:rsidRPr="00CA61A6">
              <w:rPr>
                <w:color w:val="000000"/>
              </w:rPr>
              <w:t>Comunicación del número de la parte llamante, identificación de la línea llamante e identificación del origen</w:t>
            </w:r>
          </w:p>
        </w:tc>
      </w:tr>
      <w:tr w:rsidR="0073131C" w:rsidRPr="00CA61A6" w:rsidTr="00E57F3E">
        <w:trPr>
          <w:cantSplit/>
          <w:trHeight w:val="288"/>
        </w:trPr>
        <w:tc>
          <w:tcPr>
            <w:tcW w:w="656" w:type="pct"/>
            <w:tcBorders>
              <w:top w:val="nil"/>
              <w:left w:val="single" w:sz="4" w:space="0" w:color="auto"/>
              <w:bottom w:val="single" w:sz="4" w:space="0" w:color="auto"/>
              <w:right w:val="single" w:sz="4" w:space="0" w:color="auto"/>
            </w:tcBorders>
            <w:shd w:val="clear" w:color="auto" w:fill="auto"/>
            <w:hideMark/>
          </w:tcPr>
          <w:p w:rsidR="0073131C" w:rsidRPr="00CA61A6" w:rsidRDefault="00110CAD" w:rsidP="007B3478">
            <w:pPr>
              <w:pStyle w:val="Tabletext"/>
              <w:jc w:val="center"/>
              <w:rPr>
                <w:color w:val="0000FF"/>
                <w:u w:val="single"/>
              </w:rPr>
            </w:pPr>
            <w:hyperlink r:id="rId49" w:history="1">
              <w:r w:rsidR="0073131C" w:rsidRPr="00CA61A6">
                <w:rPr>
                  <w:color w:val="0000FF"/>
                  <w:u w:val="single"/>
                </w:rPr>
                <w:t>66</w:t>
              </w:r>
            </w:hyperlink>
          </w:p>
        </w:tc>
        <w:tc>
          <w:tcPr>
            <w:tcW w:w="4344" w:type="pct"/>
            <w:tcBorders>
              <w:top w:val="nil"/>
              <w:left w:val="nil"/>
              <w:bottom w:val="single" w:sz="4" w:space="0" w:color="auto"/>
              <w:right w:val="single" w:sz="4" w:space="0" w:color="auto"/>
            </w:tcBorders>
            <w:shd w:val="clear" w:color="auto" w:fill="auto"/>
            <w:hideMark/>
          </w:tcPr>
          <w:p w:rsidR="0073131C" w:rsidRPr="00CA61A6" w:rsidRDefault="00110CAD" w:rsidP="007B3478">
            <w:pPr>
              <w:pStyle w:val="Tabletext"/>
              <w:rPr>
                <w:color w:val="000000"/>
              </w:rPr>
            </w:pPr>
            <w:hyperlink w:anchor="_34_Resolución_66" w:history="1">
              <w:r w:rsidR="0073131C" w:rsidRPr="00CA61A6">
                <w:rPr>
                  <w:rStyle w:val="Hyperlink"/>
                </w:rPr>
                <w:t>Resolución 66</w:t>
              </w:r>
            </w:hyperlink>
            <w:r w:rsidR="0073131C" w:rsidRPr="00CA61A6">
              <w:rPr>
                <w:color w:val="000000"/>
              </w:rPr>
              <w:t xml:space="preserve"> – </w:t>
            </w:r>
            <w:r w:rsidR="00473D28" w:rsidRPr="00CA61A6">
              <w:rPr>
                <w:color w:val="000000"/>
              </w:rPr>
              <w:t>Observatorio tecnológico en la Oficina de Normalización de las Telecomunicaciones</w:t>
            </w:r>
          </w:p>
        </w:tc>
      </w:tr>
      <w:tr w:rsidR="0073131C" w:rsidRPr="00CA61A6" w:rsidTr="00E57F3E">
        <w:trPr>
          <w:cantSplit/>
          <w:trHeight w:val="288"/>
        </w:trPr>
        <w:tc>
          <w:tcPr>
            <w:tcW w:w="656" w:type="pct"/>
            <w:tcBorders>
              <w:top w:val="nil"/>
              <w:left w:val="single" w:sz="4" w:space="0" w:color="auto"/>
              <w:bottom w:val="single" w:sz="4" w:space="0" w:color="auto"/>
              <w:right w:val="single" w:sz="4" w:space="0" w:color="auto"/>
            </w:tcBorders>
            <w:shd w:val="clear" w:color="auto" w:fill="auto"/>
            <w:hideMark/>
          </w:tcPr>
          <w:p w:rsidR="0073131C" w:rsidRPr="00CA61A6" w:rsidRDefault="00110CAD" w:rsidP="007B3478">
            <w:pPr>
              <w:pStyle w:val="Tabletext"/>
              <w:jc w:val="center"/>
              <w:rPr>
                <w:color w:val="0000FF"/>
                <w:u w:val="single"/>
              </w:rPr>
            </w:pPr>
            <w:hyperlink r:id="rId50" w:history="1">
              <w:r w:rsidR="0073131C" w:rsidRPr="00CA61A6">
                <w:rPr>
                  <w:color w:val="0000FF"/>
                  <w:u w:val="single"/>
                </w:rPr>
                <w:t>67</w:t>
              </w:r>
            </w:hyperlink>
          </w:p>
        </w:tc>
        <w:tc>
          <w:tcPr>
            <w:tcW w:w="4344" w:type="pct"/>
            <w:tcBorders>
              <w:top w:val="nil"/>
              <w:left w:val="nil"/>
              <w:bottom w:val="single" w:sz="4" w:space="0" w:color="auto"/>
              <w:right w:val="single" w:sz="4" w:space="0" w:color="auto"/>
            </w:tcBorders>
            <w:shd w:val="clear" w:color="auto" w:fill="auto"/>
            <w:hideMark/>
          </w:tcPr>
          <w:p w:rsidR="0073131C" w:rsidRPr="00CA61A6" w:rsidRDefault="00110CAD" w:rsidP="007B3478">
            <w:pPr>
              <w:pStyle w:val="Tabletext"/>
              <w:rPr>
                <w:color w:val="000000"/>
              </w:rPr>
            </w:pPr>
            <w:hyperlink w:anchor="_35_Resolución_67" w:history="1">
              <w:r w:rsidR="0073131C" w:rsidRPr="00CA61A6">
                <w:rPr>
                  <w:rStyle w:val="Hyperlink"/>
                </w:rPr>
                <w:t>Resolución 67</w:t>
              </w:r>
            </w:hyperlink>
            <w:r w:rsidR="0073131C" w:rsidRPr="00CA61A6">
              <w:rPr>
                <w:color w:val="000000"/>
              </w:rPr>
              <w:t xml:space="preserve"> – </w:t>
            </w:r>
            <w:r w:rsidR="00473D28" w:rsidRPr="00CA61A6">
              <w:rPr>
                <w:color w:val="000000"/>
              </w:rPr>
              <w:t>Utilización en el Sector de Normalización de las Telecomunicaciones de la UIT de los idiomas de la Unión en pie de igualdad</w:t>
            </w:r>
          </w:p>
        </w:tc>
      </w:tr>
      <w:tr w:rsidR="0073131C" w:rsidRPr="00CA61A6" w:rsidTr="00E57F3E">
        <w:trPr>
          <w:cantSplit/>
          <w:trHeight w:val="288"/>
        </w:trPr>
        <w:tc>
          <w:tcPr>
            <w:tcW w:w="656" w:type="pct"/>
            <w:tcBorders>
              <w:top w:val="nil"/>
              <w:left w:val="single" w:sz="4" w:space="0" w:color="auto"/>
              <w:bottom w:val="single" w:sz="4" w:space="0" w:color="auto"/>
              <w:right w:val="single" w:sz="4" w:space="0" w:color="auto"/>
            </w:tcBorders>
            <w:shd w:val="clear" w:color="auto" w:fill="auto"/>
            <w:hideMark/>
          </w:tcPr>
          <w:p w:rsidR="0073131C" w:rsidRPr="00CA61A6" w:rsidRDefault="00110CAD" w:rsidP="007B3478">
            <w:pPr>
              <w:pStyle w:val="Tabletext"/>
              <w:jc w:val="center"/>
              <w:rPr>
                <w:color w:val="0000FF"/>
                <w:u w:val="single"/>
              </w:rPr>
            </w:pPr>
            <w:hyperlink r:id="rId51" w:history="1">
              <w:r w:rsidR="0073131C" w:rsidRPr="00CA61A6">
                <w:rPr>
                  <w:color w:val="0000FF"/>
                  <w:u w:val="single"/>
                </w:rPr>
                <w:t>68</w:t>
              </w:r>
            </w:hyperlink>
          </w:p>
        </w:tc>
        <w:tc>
          <w:tcPr>
            <w:tcW w:w="4344" w:type="pct"/>
            <w:tcBorders>
              <w:top w:val="nil"/>
              <w:left w:val="nil"/>
              <w:bottom w:val="single" w:sz="4" w:space="0" w:color="auto"/>
              <w:right w:val="single" w:sz="4" w:space="0" w:color="auto"/>
            </w:tcBorders>
            <w:shd w:val="clear" w:color="auto" w:fill="auto"/>
            <w:hideMark/>
          </w:tcPr>
          <w:p w:rsidR="0073131C" w:rsidRPr="00CA61A6" w:rsidRDefault="00110CAD" w:rsidP="007B3478">
            <w:pPr>
              <w:pStyle w:val="Tabletext"/>
              <w:rPr>
                <w:color w:val="000000"/>
              </w:rPr>
            </w:pPr>
            <w:hyperlink w:anchor="_36_Resolución_68" w:history="1">
              <w:r w:rsidR="0073131C" w:rsidRPr="00CA61A6">
                <w:rPr>
                  <w:rStyle w:val="Hyperlink"/>
                </w:rPr>
                <w:t>Resolución 68</w:t>
              </w:r>
            </w:hyperlink>
            <w:r w:rsidR="0073131C" w:rsidRPr="00CA61A6">
              <w:rPr>
                <w:color w:val="000000"/>
              </w:rPr>
              <w:t xml:space="preserve"> – </w:t>
            </w:r>
            <w:r w:rsidR="00473D28" w:rsidRPr="00CA61A6">
              <w:rPr>
                <w:color w:val="000000"/>
              </w:rPr>
              <w:t>Aplicación de la Resolución 122 (Rev. Guadalajara, 2010) de la Conferencia de Plenipotenciarios sobre la evolución del papel de la Asamblea Mundial de Normalización de las Telecomunicaciones</w:t>
            </w:r>
          </w:p>
        </w:tc>
      </w:tr>
      <w:tr w:rsidR="0073131C" w:rsidRPr="00CA61A6" w:rsidTr="00E57F3E">
        <w:trPr>
          <w:cantSplit/>
          <w:trHeight w:val="288"/>
        </w:trPr>
        <w:tc>
          <w:tcPr>
            <w:tcW w:w="656" w:type="pct"/>
            <w:tcBorders>
              <w:top w:val="nil"/>
              <w:left w:val="single" w:sz="4" w:space="0" w:color="auto"/>
              <w:bottom w:val="single" w:sz="4" w:space="0" w:color="auto"/>
              <w:right w:val="single" w:sz="4" w:space="0" w:color="auto"/>
            </w:tcBorders>
            <w:shd w:val="clear" w:color="auto" w:fill="auto"/>
            <w:hideMark/>
          </w:tcPr>
          <w:p w:rsidR="0073131C" w:rsidRPr="00CA61A6" w:rsidRDefault="00110CAD" w:rsidP="007B3478">
            <w:pPr>
              <w:pStyle w:val="Tabletext"/>
              <w:jc w:val="center"/>
              <w:rPr>
                <w:color w:val="0000FF"/>
                <w:u w:val="single"/>
              </w:rPr>
            </w:pPr>
            <w:hyperlink r:id="rId52" w:history="1">
              <w:r w:rsidR="0073131C" w:rsidRPr="00CA61A6">
                <w:rPr>
                  <w:color w:val="0000FF"/>
                  <w:u w:val="single"/>
                </w:rPr>
                <w:t>69</w:t>
              </w:r>
            </w:hyperlink>
          </w:p>
        </w:tc>
        <w:tc>
          <w:tcPr>
            <w:tcW w:w="4344" w:type="pct"/>
            <w:tcBorders>
              <w:top w:val="nil"/>
              <w:left w:val="nil"/>
              <w:bottom w:val="single" w:sz="4" w:space="0" w:color="auto"/>
              <w:right w:val="single" w:sz="4" w:space="0" w:color="auto"/>
            </w:tcBorders>
            <w:shd w:val="clear" w:color="auto" w:fill="auto"/>
            <w:hideMark/>
          </w:tcPr>
          <w:p w:rsidR="0073131C" w:rsidRPr="00CA61A6" w:rsidRDefault="00110CAD" w:rsidP="007B3478">
            <w:pPr>
              <w:pStyle w:val="Tabletext"/>
              <w:rPr>
                <w:color w:val="000000"/>
              </w:rPr>
            </w:pPr>
            <w:hyperlink w:anchor="_37_Resolución_69" w:history="1">
              <w:r w:rsidR="0073131C" w:rsidRPr="00CA61A6">
                <w:rPr>
                  <w:rStyle w:val="Hyperlink"/>
                </w:rPr>
                <w:t>Resolución 69</w:t>
              </w:r>
            </w:hyperlink>
            <w:r w:rsidR="0073131C" w:rsidRPr="00CA61A6">
              <w:rPr>
                <w:color w:val="000000"/>
              </w:rPr>
              <w:t xml:space="preserve"> – </w:t>
            </w:r>
            <w:r w:rsidR="00473D28" w:rsidRPr="00CA61A6">
              <w:rPr>
                <w:color w:val="000000"/>
              </w:rPr>
              <w:t>Acceso y utilización no discriminatorios de los recursos de Internet</w:t>
            </w:r>
          </w:p>
        </w:tc>
      </w:tr>
      <w:tr w:rsidR="0073131C" w:rsidRPr="00CA61A6" w:rsidTr="00E57F3E">
        <w:trPr>
          <w:cantSplit/>
          <w:trHeight w:val="288"/>
        </w:trPr>
        <w:tc>
          <w:tcPr>
            <w:tcW w:w="656" w:type="pct"/>
            <w:tcBorders>
              <w:top w:val="nil"/>
              <w:left w:val="single" w:sz="4" w:space="0" w:color="auto"/>
              <w:bottom w:val="single" w:sz="4" w:space="0" w:color="auto"/>
              <w:right w:val="single" w:sz="4" w:space="0" w:color="auto"/>
            </w:tcBorders>
            <w:shd w:val="clear" w:color="auto" w:fill="auto"/>
            <w:hideMark/>
          </w:tcPr>
          <w:p w:rsidR="0073131C" w:rsidRPr="00CA61A6" w:rsidRDefault="00110CAD" w:rsidP="007B3478">
            <w:pPr>
              <w:pStyle w:val="Tabletext"/>
              <w:jc w:val="center"/>
              <w:rPr>
                <w:color w:val="0000FF"/>
                <w:u w:val="single"/>
              </w:rPr>
            </w:pPr>
            <w:hyperlink r:id="rId53" w:history="1">
              <w:r w:rsidR="0073131C" w:rsidRPr="00CA61A6">
                <w:rPr>
                  <w:color w:val="0000FF"/>
                  <w:u w:val="single"/>
                </w:rPr>
                <w:t>70</w:t>
              </w:r>
            </w:hyperlink>
          </w:p>
        </w:tc>
        <w:tc>
          <w:tcPr>
            <w:tcW w:w="4344" w:type="pct"/>
            <w:tcBorders>
              <w:top w:val="nil"/>
              <w:left w:val="nil"/>
              <w:bottom w:val="single" w:sz="4" w:space="0" w:color="auto"/>
              <w:right w:val="single" w:sz="4" w:space="0" w:color="auto"/>
            </w:tcBorders>
            <w:shd w:val="clear" w:color="auto" w:fill="auto"/>
            <w:hideMark/>
          </w:tcPr>
          <w:p w:rsidR="0073131C" w:rsidRPr="00CA61A6" w:rsidRDefault="00110CAD" w:rsidP="007B3478">
            <w:pPr>
              <w:pStyle w:val="Tabletext"/>
            </w:pPr>
            <w:hyperlink w:anchor="_38_Resolución_70" w:history="1">
              <w:r w:rsidR="0073131C" w:rsidRPr="00CA61A6">
                <w:rPr>
                  <w:color w:val="0000FF"/>
                  <w:u w:val="single"/>
                </w:rPr>
                <w:t>Resolución 70</w:t>
              </w:r>
            </w:hyperlink>
            <w:r w:rsidR="0073131C" w:rsidRPr="00CA61A6">
              <w:t xml:space="preserve"> </w:t>
            </w:r>
            <w:r w:rsidR="0073131C" w:rsidRPr="00CA61A6">
              <w:rPr>
                <w:color w:val="000000"/>
              </w:rPr>
              <w:t>–</w:t>
            </w:r>
            <w:r w:rsidR="0073131C" w:rsidRPr="00CA61A6">
              <w:t xml:space="preserve"> </w:t>
            </w:r>
            <w:r w:rsidR="00473D28" w:rsidRPr="00CA61A6">
              <w:t>Accesibilidad de las telecomunicaciones/tecnologías de la información y la comunicación para las personas con discapacidades</w:t>
            </w:r>
          </w:p>
        </w:tc>
      </w:tr>
      <w:tr w:rsidR="0073131C" w:rsidRPr="00CA61A6" w:rsidTr="00E57F3E">
        <w:trPr>
          <w:cantSplit/>
          <w:trHeight w:val="288"/>
        </w:trPr>
        <w:tc>
          <w:tcPr>
            <w:tcW w:w="656" w:type="pct"/>
            <w:tcBorders>
              <w:top w:val="nil"/>
              <w:left w:val="single" w:sz="4" w:space="0" w:color="auto"/>
              <w:bottom w:val="single" w:sz="4" w:space="0" w:color="auto"/>
              <w:right w:val="single" w:sz="4" w:space="0" w:color="auto"/>
            </w:tcBorders>
            <w:shd w:val="clear" w:color="auto" w:fill="auto"/>
            <w:hideMark/>
          </w:tcPr>
          <w:p w:rsidR="0073131C" w:rsidRPr="00CA61A6" w:rsidRDefault="00110CAD" w:rsidP="007B3478">
            <w:pPr>
              <w:pStyle w:val="Tabletext"/>
              <w:jc w:val="center"/>
              <w:rPr>
                <w:color w:val="0000FF"/>
                <w:u w:val="single"/>
              </w:rPr>
            </w:pPr>
            <w:hyperlink r:id="rId54" w:history="1">
              <w:r w:rsidR="0073131C" w:rsidRPr="00CA61A6">
                <w:rPr>
                  <w:color w:val="0000FF"/>
                  <w:u w:val="single"/>
                </w:rPr>
                <w:t>71</w:t>
              </w:r>
            </w:hyperlink>
          </w:p>
        </w:tc>
        <w:tc>
          <w:tcPr>
            <w:tcW w:w="4344" w:type="pct"/>
            <w:tcBorders>
              <w:top w:val="nil"/>
              <w:left w:val="nil"/>
              <w:bottom w:val="single" w:sz="4" w:space="0" w:color="auto"/>
              <w:right w:val="single" w:sz="4" w:space="0" w:color="auto"/>
            </w:tcBorders>
            <w:shd w:val="clear" w:color="auto" w:fill="auto"/>
            <w:hideMark/>
          </w:tcPr>
          <w:p w:rsidR="0073131C" w:rsidRPr="00CA61A6" w:rsidRDefault="00110CAD" w:rsidP="007B3478">
            <w:pPr>
              <w:pStyle w:val="Tabletext"/>
              <w:rPr>
                <w:color w:val="000000"/>
              </w:rPr>
            </w:pPr>
            <w:hyperlink w:anchor="_39_Resolución_71" w:history="1">
              <w:r w:rsidR="0073131C" w:rsidRPr="00CA61A6">
                <w:rPr>
                  <w:rStyle w:val="Hyperlink"/>
                </w:rPr>
                <w:t>Resolución 71</w:t>
              </w:r>
            </w:hyperlink>
            <w:r w:rsidR="0073131C" w:rsidRPr="00CA61A6">
              <w:rPr>
                <w:color w:val="000000"/>
              </w:rPr>
              <w:t xml:space="preserve"> – </w:t>
            </w:r>
            <w:r w:rsidR="00473D28" w:rsidRPr="00CA61A6">
              <w:rPr>
                <w:color w:val="000000"/>
              </w:rPr>
              <w:t>Admisión de instituciones académicas para que participen en los trabajos del Sector de Normalización de las Telecomunicaciones de la UIT</w:t>
            </w:r>
          </w:p>
        </w:tc>
      </w:tr>
      <w:tr w:rsidR="0073131C" w:rsidRPr="00CA61A6" w:rsidTr="00E57F3E">
        <w:trPr>
          <w:cantSplit/>
          <w:trHeight w:val="288"/>
        </w:trPr>
        <w:tc>
          <w:tcPr>
            <w:tcW w:w="656" w:type="pct"/>
            <w:tcBorders>
              <w:top w:val="nil"/>
              <w:left w:val="single" w:sz="4" w:space="0" w:color="auto"/>
              <w:bottom w:val="single" w:sz="4" w:space="0" w:color="auto"/>
              <w:right w:val="single" w:sz="4" w:space="0" w:color="auto"/>
            </w:tcBorders>
            <w:shd w:val="clear" w:color="auto" w:fill="auto"/>
            <w:hideMark/>
          </w:tcPr>
          <w:p w:rsidR="0073131C" w:rsidRPr="00CA61A6" w:rsidRDefault="00110CAD" w:rsidP="007B3478">
            <w:pPr>
              <w:pStyle w:val="Tabletext"/>
              <w:jc w:val="center"/>
              <w:rPr>
                <w:color w:val="0000FF"/>
                <w:u w:val="single"/>
              </w:rPr>
            </w:pPr>
            <w:hyperlink r:id="rId55" w:history="1">
              <w:r w:rsidR="0073131C" w:rsidRPr="00CA61A6">
                <w:rPr>
                  <w:color w:val="0000FF"/>
                  <w:u w:val="single"/>
                </w:rPr>
                <w:t>72</w:t>
              </w:r>
            </w:hyperlink>
          </w:p>
        </w:tc>
        <w:tc>
          <w:tcPr>
            <w:tcW w:w="4344" w:type="pct"/>
            <w:tcBorders>
              <w:top w:val="nil"/>
              <w:left w:val="nil"/>
              <w:bottom w:val="single" w:sz="4" w:space="0" w:color="auto"/>
              <w:right w:val="single" w:sz="4" w:space="0" w:color="auto"/>
            </w:tcBorders>
            <w:shd w:val="clear" w:color="auto" w:fill="auto"/>
            <w:hideMark/>
          </w:tcPr>
          <w:p w:rsidR="0073131C" w:rsidRPr="00CA61A6" w:rsidRDefault="00110CAD" w:rsidP="007B3478">
            <w:pPr>
              <w:pStyle w:val="Tabletext"/>
              <w:rPr>
                <w:color w:val="000000"/>
              </w:rPr>
            </w:pPr>
            <w:hyperlink w:anchor="_40_Resolución_72" w:history="1">
              <w:r w:rsidR="0073131C" w:rsidRPr="00CA61A6">
                <w:rPr>
                  <w:rStyle w:val="Hyperlink"/>
                </w:rPr>
                <w:t>Resolución 72</w:t>
              </w:r>
            </w:hyperlink>
            <w:r w:rsidR="0073131C" w:rsidRPr="00CA61A6">
              <w:rPr>
                <w:color w:val="000000"/>
              </w:rPr>
              <w:t xml:space="preserve"> – </w:t>
            </w:r>
            <w:r w:rsidR="00473D28" w:rsidRPr="00CA61A6">
              <w:rPr>
                <w:color w:val="000000"/>
              </w:rPr>
              <w:t>Problemas de medición relativos a la exposición de las personas a los campos electromagnéticos</w:t>
            </w:r>
          </w:p>
        </w:tc>
      </w:tr>
      <w:tr w:rsidR="0073131C" w:rsidRPr="00CA61A6" w:rsidTr="00E57F3E">
        <w:trPr>
          <w:cantSplit/>
          <w:trHeight w:val="288"/>
        </w:trPr>
        <w:tc>
          <w:tcPr>
            <w:tcW w:w="656" w:type="pct"/>
            <w:tcBorders>
              <w:top w:val="nil"/>
              <w:left w:val="single" w:sz="4" w:space="0" w:color="auto"/>
              <w:bottom w:val="single" w:sz="4" w:space="0" w:color="auto"/>
              <w:right w:val="single" w:sz="4" w:space="0" w:color="auto"/>
            </w:tcBorders>
            <w:shd w:val="clear" w:color="auto" w:fill="auto"/>
            <w:hideMark/>
          </w:tcPr>
          <w:p w:rsidR="0073131C" w:rsidRPr="00CA61A6" w:rsidRDefault="00110CAD" w:rsidP="007B3478">
            <w:pPr>
              <w:pStyle w:val="Tabletext"/>
              <w:jc w:val="center"/>
              <w:rPr>
                <w:color w:val="0000FF"/>
                <w:u w:val="single"/>
              </w:rPr>
            </w:pPr>
            <w:hyperlink r:id="rId56" w:history="1">
              <w:r w:rsidR="0073131C" w:rsidRPr="00CA61A6">
                <w:rPr>
                  <w:color w:val="0000FF"/>
                  <w:u w:val="single"/>
                </w:rPr>
                <w:t>73</w:t>
              </w:r>
            </w:hyperlink>
          </w:p>
        </w:tc>
        <w:tc>
          <w:tcPr>
            <w:tcW w:w="4344" w:type="pct"/>
            <w:tcBorders>
              <w:top w:val="nil"/>
              <w:left w:val="nil"/>
              <w:bottom w:val="single" w:sz="4" w:space="0" w:color="auto"/>
              <w:right w:val="single" w:sz="4" w:space="0" w:color="auto"/>
            </w:tcBorders>
            <w:shd w:val="clear" w:color="auto" w:fill="auto"/>
            <w:hideMark/>
          </w:tcPr>
          <w:p w:rsidR="0073131C" w:rsidRPr="00CA61A6" w:rsidRDefault="00110CAD" w:rsidP="007B3478">
            <w:pPr>
              <w:pStyle w:val="Tabletext"/>
              <w:rPr>
                <w:color w:val="000000"/>
              </w:rPr>
            </w:pPr>
            <w:hyperlink w:anchor="_41_Resolución_73" w:history="1">
              <w:r w:rsidR="0073131C" w:rsidRPr="00CA61A6">
                <w:rPr>
                  <w:rStyle w:val="Hyperlink"/>
                </w:rPr>
                <w:t>Resolución 73</w:t>
              </w:r>
            </w:hyperlink>
            <w:r w:rsidR="0073131C" w:rsidRPr="00CA61A6">
              <w:rPr>
                <w:color w:val="000000"/>
              </w:rPr>
              <w:t xml:space="preserve"> – </w:t>
            </w:r>
            <w:r w:rsidR="00473D28" w:rsidRPr="00CA61A6">
              <w:rPr>
                <w:color w:val="000000"/>
              </w:rPr>
              <w:t>Tecnologías de la información y la comunicación, medio ambiente y cambio climático</w:t>
            </w:r>
          </w:p>
        </w:tc>
      </w:tr>
      <w:tr w:rsidR="0073131C" w:rsidRPr="00CA61A6" w:rsidTr="00E57F3E">
        <w:trPr>
          <w:cantSplit/>
          <w:trHeight w:val="288"/>
        </w:trPr>
        <w:tc>
          <w:tcPr>
            <w:tcW w:w="656" w:type="pct"/>
            <w:tcBorders>
              <w:top w:val="nil"/>
              <w:left w:val="single" w:sz="4" w:space="0" w:color="auto"/>
              <w:bottom w:val="single" w:sz="4" w:space="0" w:color="auto"/>
              <w:right w:val="single" w:sz="4" w:space="0" w:color="auto"/>
            </w:tcBorders>
            <w:shd w:val="clear" w:color="auto" w:fill="auto"/>
            <w:hideMark/>
          </w:tcPr>
          <w:p w:rsidR="0073131C" w:rsidRPr="00CA61A6" w:rsidRDefault="00110CAD" w:rsidP="007B3478">
            <w:pPr>
              <w:pStyle w:val="Tabletext"/>
              <w:jc w:val="center"/>
              <w:rPr>
                <w:color w:val="0000FF"/>
                <w:u w:val="single"/>
              </w:rPr>
            </w:pPr>
            <w:hyperlink r:id="rId57" w:history="1">
              <w:r w:rsidR="0073131C" w:rsidRPr="00CA61A6">
                <w:rPr>
                  <w:color w:val="0000FF"/>
                  <w:u w:val="single"/>
                </w:rPr>
                <w:t>74</w:t>
              </w:r>
            </w:hyperlink>
          </w:p>
        </w:tc>
        <w:tc>
          <w:tcPr>
            <w:tcW w:w="4344" w:type="pct"/>
            <w:tcBorders>
              <w:top w:val="nil"/>
              <w:left w:val="nil"/>
              <w:bottom w:val="single" w:sz="4" w:space="0" w:color="auto"/>
              <w:right w:val="single" w:sz="4" w:space="0" w:color="auto"/>
            </w:tcBorders>
            <w:shd w:val="clear" w:color="auto" w:fill="auto"/>
            <w:hideMark/>
          </w:tcPr>
          <w:p w:rsidR="0073131C" w:rsidRPr="00CA61A6" w:rsidRDefault="00110CAD" w:rsidP="007B3478">
            <w:pPr>
              <w:pStyle w:val="Tabletext"/>
              <w:rPr>
                <w:color w:val="000000"/>
              </w:rPr>
            </w:pPr>
            <w:hyperlink w:anchor="_42_Resolución_74" w:history="1">
              <w:r w:rsidR="0073131C" w:rsidRPr="00CA61A6">
                <w:rPr>
                  <w:rStyle w:val="Hyperlink"/>
                </w:rPr>
                <w:t>Resolución 74</w:t>
              </w:r>
            </w:hyperlink>
            <w:r w:rsidR="0073131C" w:rsidRPr="00CA61A6">
              <w:rPr>
                <w:color w:val="000000"/>
              </w:rPr>
              <w:t xml:space="preserve"> – </w:t>
            </w:r>
            <w:r w:rsidR="00473D28" w:rsidRPr="00CA61A6">
              <w:rPr>
                <w:color w:val="000000"/>
              </w:rPr>
              <w:t>Admisión de Miembros de Sector de los países en desarrollo en la labor del Sector de Normalización de las Telecomunicaciones de la UIT</w:t>
            </w:r>
          </w:p>
        </w:tc>
      </w:tr>
      <w:tr w:rsidR="0073131C" w:rsidRPr="00CA61A6" w:rsidTr="00E57F3E">
        <w:trPr>
          <w:cantSplit/>
          <w:trHeight w:val="288"/>
        </w:trPr>
        <w:tc>
          <w:tcPr>
            <w:tcW w:w="656" w:type="pct"/>
            <w:tcBorders>
              <w:top w:val="nil"/>
              <w:left w:val="single" w:sz="4" w:space="0" w:color="auto"/>
              <w:bottom w:val="single" w:sz="4" w:space="0" w:color="auto"/>
              <w:right w:val="single" w:sz="4" w:space="0" w:color="auto"/>
            </w:tcBorders>
            <w:shd w:val="clear" w:color="auto" w:fill="auto"/>
            <w:hideMark/>
          </w:tcPr>
          <w:p w:rsidR="0073131C" w:rsidRPr="00CA61A6" w:rsidRDefault="00110CAD" w:rsidP="007B3478">
            <w:pPr>
              <w:pStyle w:val="Tabletext"/>
              <w:jc w:val="center"/>
              <w:rPr>
                <w:color w:val="0000FF"/>
                <w:u w:val="single"/>
              </w:rPr>
            </w:pPr>
            <w:hyperlink r:id="rId58" w:history="1">
              <w:r w:rsidR="0073131C" w:rsidRPr="00CA61A6">
                <w:rPr>
                  <w:color w:val="0000FF"/>
                  <w:u w:val="single"/>
                </w:rPr>
                <w:t>75</w:t>
              </w:r>
            </w:hyperlink>
          </w:p>
        </w:tc>
        <w:tc>
          <w:tcPr>
            <w:tcW w:w="4344" w:type="pct"/>
            <w:tcBorders>
              <w:top w:val="nil"/>
              <w:left w:val="nil"/>
              <w:bottom w:val="single" w:sz="4" w:space="0" w:color="auto"/>
              <w:right w:val="single" w:sz="4" w:space="0" w:color="auto"/>
            </w:tcBorders>
            <w:shd w:val="clear" w:color="auto" w:fill="auto"/>
            <w:hideMark/>
          </w:tcPr>
          <w:p w:rsidR="0073131C" w:rsidRPr="00CA61A6" w:rsidRDefault="00110CAD" w:rsidP="007B3478">
            <w:pPr>
              <w:pStyle w:val="Tabletext"/>
              <w:rPr>
                <w:color w:val="000000"/>
              </w:rPr>
            </w:pPr>
            <w:hyperlink w:anchor="_43_Resolución_75" w:history="1">
              <w:r w:rsidR="0073131C" w:rsidRPr="00CA61A6">
                <w:rPr>
                  <w:rStyle w:val="Hyperlink"/>
                </w:rPr>
                <w:t>Resolución 75</w:t>
              </w:r>
            </w:hyperlink>
            <w:r w:rsidR="0073131C" w:rsidRPr="00CA61A6">
              <w:rPr>
                <w:color w:val="000000"/>
              </w:rPr>
              <w:t xml:space="preserve"> – </w:t>
            </w:r>
            <w:r w:rsidR="00473D28" w:rsidRPr="00CA61A6">
              <w:rPr>
                <w:color w:val="000000"/>
              </w:rPr>
              <w:t>Contribución del Sector de Normalización de las Telecomunicaciones de la UIT a la puesta en práctica de los resultados de la Cumbre Mundial sobre la Sociedad de la Información</w:t>
            </w:r>
          </w:p>
        </w:tc>
      </w:tr>
      <w:tr w:rsidR="0073131C" w:rsidRPr="00CA61A6" w:rsidTr="00E57F3E">
        <w:trPr>
          <w:cantSplit/>
          <w:trHeight w:val="288"/>
        </w:trPr>
        <w:tc>
          <w:tcPr>
            <w:tcW w:w="656" w:type="pct"/>
            <w:tcBorders>
              <w:top w:val="nil"/>
              <w:left w:val="single" w:sz="4" w:space="0" w:color="auto"/>
              <w:bottom w:val="single" w:sz="4" w:space="0" w:color="auto"/>
              <w:right w:val="single" w:sz="4" w:space="0" w:color="auto"/>
            </w:tcBorders>
            <w:shd w:val="clear" w:color="auto" w:fill="auto"/>
            <w:hideMark/>
          </w:tcPr>
          <w:p w:rsidR="0073131C" w:rsidRPr="00CA61A6" w:rsidRDefault="00110CAD" w:rsidP="007B3478">
            <w:pPr>
              <w:pStyle w:val="Tabletext"/>
              <w:jc w:val="center"/>
              <w:rPr>
                <w:color w:val="0000FF"/>
                <w:u w:val="single"/>
              </w:rPr>
            </w:pPr>
            <w:hyperlink r:id="rId59" w:history="1">
              <w:r w:rsidR="0073131C" w:rsidRPr="00CA61A6">
                <w:rPr>
                  <w:color w:val="0000FF"/>
                  <w:u w:val="single"/>
                </w:rPr>
                <w:t>76</w:t>
              </w:r>
            </w:hyperlink>
          </w:p>
        </w:tc>
        <w:tc>
          <w:tcPr>
            <w:tcW w:w="4344" w:type="pct"/>
            <w:tcBorders>
              <w:top w:val="nil"/>
              <w:left w:val="nil"/>
              <w:bottom w:val="single" w:sz="4" w:space="0" w:color="auto"/>
              <w:right w:val="single" w:sz="4" w:space="0" w:color="auto"/>
            </w:tcBorders>
            <w:shd w:val="clear" w:color="auto" w:fill="auto"/>
            <w:hideMark/>
          </w:tcPr>
          <w:p w:rsidR="0073131C" w:rsidRPr="00CA61A6" w:rsidRDefault="00110CAD" w:rsidP="007B3478">
            <w:pPr>
              <w:pStyle w:val="Tabletext"/>
              <w:rPr>
                <w:color w:val="000000"/>
              </w:rPr>
            </w:pPr>
            <w:hyperlink w:anchor="_44_Resolución_76" w:history="1">
              <w:r w:rsidR="0073131C" w:rsidRPr="00CA61A6">
                <w:rPr>
                  <w:rStyle w:val="Hyperlink"/>
                </w:rPr>
                <w:t>Resolución 76</w:t>
              </w:r>
            </w:hyperlink>
            <w:r w:rsidR="0073131C" w:rsidRPr="00CA61A6">
              <w:rPr>
                <w:color w:val="000000"/>
              </w:rPr>
              <w:t xml:space="preserve"> – </w:t>
            </w:r>
            <w:r w:rsidR="00473D28" w:rsidRPr="00CA61A6">
              <w:rPr>
                <w:color w:val="000000"/>
              </w:rPr>
              <w:t>Estudios relacionados con las pruebas de conformidad e interoperabilidad, la asistencia a los países en desarrollo y un posible futuro programa relativo a la Marca UIT</w:t>
            </w:r>
          </w:p>
        </w:tc>
      </w:tr>
      <w:tr w:rsidR="00250A85" w:rsidRPr="00CA61A6" w:rsidTr="00E57F3E">
        <w:trPr>
          <w:cantSplit/>
          <w:trHeight w:val="288"/>
        </w:trPr>
        <w:tc>
          <w:tcPr>
            <w:tcW w:w="656" w:type="pct"/>
            <w:tcBorders>
              <w:top w:val="nil"/>
              <w:left w:val="single" w:sz="4" w:space="0" w:color="auto"/>
              <w:bottom w:val="single" w:sz="4" w:space="0" w:color="auto"/>
              <w:right w:val="single" w:sz="4" w:space="0" w:color="auto"/>
            </w:tcBorders>
            <w:shd w:val="clear" w:color="auto" w:fill="auto"/>
            <w:hideMark/>
          </w:tcPr>
          <w:p w:rsidR="00250A85"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hyperlink r:id="rId60" w:history="1">
              <w:r w:rsidR="00250A85" w:rsidRPr="00CA61A6">
                <w:rPr>
                  <w:color w:val="0000FF"/>
                  <w:sz w:val="20"/>
                  <w:u w:val="single"/>
                </w:rPr>
                <w:t>77</w:t>
              </w:r>
            </w:hyperlink>
          </w:p>
        </w:tc>
        <w:tc>
          <w:tcPr>
            <w:tcW w:w="4344" w:type="pct"/>
            <w:tcBorders>
              <w:top w:val="nil"/>
              <w:left w:val="nil"/>
              <w:bottom w:val="single" w:sz="4" w:space="0" w:color="auto"/>
              <w:right w:val="single" w:sz="4" w:space="0" w:color="auto"/>
            </w:tcBorders>
            <w:shd w:val="clear" w:color="auto" w:fill="auto"/>
            <w:hideMark/>
          </w:tcPr>
          <w:p w:rsidR="00250A85" w:rsidRPr="00CA61A6" w:rsidRDefault="00110CAD" w:rsidP="007B3478">
            <w:pPr>
              <w:pStyle w:val="Tabletext"/>
            </w:pPr>
            <w:hyperlink w:anchor="_45_Resolución_77" w:history="1">
              <w:r w:rsidR="00250A85" w:rsidRPr="00CA61A6">
                <w:rPr>
                  <w:rStyle w:val="Hyperlink"/>
                </w:rPr>
                <w:t>Resolución 7</w:t>
              </w:r>
              <w:r w:rsidR="001A6C62" w:rsidRPr="00CA61A6">
                <w:rPr>
                  <w:rStyle w:val="Hyperlink"/>
                </w:rPr>
                <w:t>7</w:t>
              </w:r>
            </w:hyperlink>
            <w:r w:rsidR="00250A85" w:rsidRPr="00CA61A6">
              <w:t xml:space="preserve"> – </w:t>
            </w:r>
            <w:r w:rsidR="00473D28" w:rsidRPr="00CA61A6">
              <w:t>Normalización de las redes definidas por software en el Sector de Normalización de las Telecomunicaciones de la UIT</w:t>
            </w:r>
          </w:p>
        </w:tc>
      </w:tr>
      <w:tr w:rsidR="00250A85" w:rsidRPr="00CA61A6" w:rsidTr="00E57F3E">
        <w:trPr>
          <w:cantSplit/>
          <w:trHeight w:val="288"/>
        </w:trPr>
        <w:tc>
          <w:tcPr>
            <w:tcW w:w="656" w:type="pct"/>
            <w:tcBorders>
              <w:top w:val="nil"/>
              <w:left w:val="single" w:sz="4" w:space="0" w:color="auto"/>
              <w:bottom w:val="single" w:sz="4" w:space="0" w:color="auto"/>
              <w:right w:val="single" w:sz="4" w:space="0" w:color="auto"/>
            </w:tcBorders>
            <w:shd w:val="clear" w:color="auto" w:fill="auto"/>
            <w:hideMark/>
          </w:tcPr>
          <w:p w:rsidR="00250A85"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hyperlink r:id="rId61" w:history="1">
              <w:r w:rsidR="00250A85" w:rsidRPr="00CA61A6">
                <w:rPr>
                  <w:color w:val="0000FF"/>
                  <w:sz w:val="20"/>
                  <w:u w:val="single"/>
                </w:rPr>
                <w:t>78</w:t>
              </w:r>
            </w:hyperlink>
          </w:p>
        </w:tc>
        <w:tc>
          <w:tcPr>
            <w:tcW w:w="4344" w:type="pct"/>
            <w:tcBorders>
              <w:top w:val="nil"/>
              <w:left w:val="nil"/>
              <w:bottom w:val="single" w:sz="4" w:space="0" w:color="auto"/>
              <w:right w:val="single" w:sz="4" w:space="0" w:color="auto"/>
            </w:tcBorders>
            <w:shd w:val="clear" w:color="auto" w:fill="auto"/>
            <w:hideMark/>
          </w:tcPr>
          <w:p w:rsidR="00250A85" w:rsidRPr="00CA61A6" w:rsidRDefault="00110CAD" w:rsidP="007B3478">
            <w:pPr>
              <w:pStyle w:val="Tabletext"/>
            </w:pPr>
            <w:hyperlink w:anchor="_46_Resolución_78" w:history="1">
              <w:r w:rsidR="00250A85" w:rsidRPr="00CA61A6">
                <w:rPr>
                  <w:rStyle w:val="Hyperlink"/>
                </w:rPr>
                <w:t>Resolución 7</w:t>
              </w:r>
              <w:r w:rsidR="001A6C62" w:rsidRPr="00CA61A6">
                <w:rPr>
                  <w:rStyle w:val="Hyperlink"/>
                </w:rPr>
                <w:t>8</w:t>
              </w:r>
            </w:hyperlink>
            <w:r w:rsidR="00250A85" w:rsidRPr="00CA61A6">
              <w:t xml:space="preserve"> – </w:t>
            </w:r>
            <w:r w:rsidR="00473D28" w:rsidRPr="00CA61A6">
              <w:t>Aplicaciones y normas de las tecnologías de la información y la comunicación para mejorar el acceso a los servicios de cibersalud</w:t>
            </w:r>
          </w:p>
        </w:tc>
      </w:tr>
      <w:tr w:rsidR="00250A85" w:rsidRPr="00CA61A6" w:rsidTr="00E57F3E">
        <w:trPr>
          <w:cantSplit/>
          <w:trHeight w:val="288"/>
        </w:trPr>
        <w:tc>
          <w:tcPr>
            <w:tcW w:w="656" w:type="pct"/>
            <w:tcBorders>
              <w:top w:val="nil"/>
              <w:left w:val="single" w:sz="4" w:space="0" w:color="auto"/>
              <w:bottom w:val="single" w:sz="4" w:space="0" w:color="auto"/>
              <w:right w:val="single" w:sz="4" w:space="0" w:color="auto"/>
            </w:tcBorders>
            <w:shd w:val="clear" w:color="auto" w:fill="auto"/>
            <w:hideMark/>
          </w:tcPr>
          <w:p w:rsidR="00250A85"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hyperlink r:id="rId62" w:history="1">
              <w:r w:rsidR="00250A85" w:rsidRPr="00CA61A6">
                <w:rPr>
                  <w:color w:val="0000FF"/>
                  <w:sz w:val="20"/>
                  <w:u w:val="single"/>
                </w:rPr>
                <w:t>79</w:t>
              </w:r>
            </w:hyperlink>
          </w:p>
        </w:tc>
        <w:tc>
          <w:tcPr>
            <w:tcW w:w="4344" w:type="pct"/>
            <w:tcBorders>
              <w:top w:val="nil"/>
              <w:left w:val="nil"/>
              <w:bottom w:val="single" w:sz="4" w:space="0" w:color="auto"/>
              <w:right w:val="single" w:sz="4" w:space="0" w:color="auto"/>
            </w:tcBorders>
            <w:shd w:val="clear" w:color="auto" w:fill="auto"/>
            <w:hideMark/>
          </w:tcPr>
          <w:p w:rsidR="00250A85" w:rsidRPr="00CA61A6" w:rsidRDefault="00110CAD" w:rsidP="007B3478">
            <w:pPr>
              <w:pStyle w:val="Tabletext"/>
            </w:pPr>
            <w:hyperlink w:anchor="_47_Resolución_79" w:history="1">
              <w:r w:rsidR="00250A85" w:rsidRPr="00CA61A6">
                <w:rPr>
                  <w:rStyle w:val="Hyperlink"/>
                </w:rPr>
                <w:t>Resolución 7</w:t>
              </w:r>
              <w:r w:rsidR="001A6C62" w:rsidRPr="00CA61A6">
                <w:rPr>
                  <w:rStyle w:val="Hyperlink"/>
                </w:rPr>
                <w:t>9</w:t>
              </w:r>
            </w:hyperlink>
            <w:r w:rsidR="00250A85" w:rsidRPr="00CA61A6">
              <w:t xml:space="preserve"> – </w:t>
            </w:r>
            <w:r w:rsidR="00473D28" w:rsidRPr="00CA61A6">
              <w:t>Función de las telecomunicaciones/tecnologías de la información y la comunicación en el tratamiento y el control de residuos electrónicos de equipos de telecomunicaciones y tecnologías de la información, y métodos para su procesamiento</w:t>
            </w:r>
          </w:p>
        </w:tc>
      </w:tr>
      <w:tr w:rsidR="00250A85" w:rsidRPr="00CA61A6" w:rsidTr="00E57F3E">
        <w:trPr>
          <w:cantSplit/>
          <w:trHeight w:val="288"/>
        </w:trPr>
        <w:tc>
          <w:tcPr>
            <w:tcW w:w="656" w:type="pct"/>
            <w:tcBorders>
              <w:top w:val="nil"/>
              <w:left w:val="single" w:sz="4" w:space="0" w:color="auto"/>
              <w:bottom w:val="single" w:sz="4" w:space="0" w:color="auto"/>
              <w:right w:val="single" w:sz="4" w:space="0" w:color="auto"/>
            </w:tcBorders>
            <w:shd w:val="clear" w:color="auto" w:fill="auto"/>
            <w:hideMark/>
          </w:tcPr>
          <w:p w:rsidR="00250A85"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hyperlink r:id="rId63" w:history="1">
              <w:r w:rsidR="00250A85" w:rsidRPr="00CA61A6">
                <w:rPr>
                  <w:color w:val="0000FF"/>
                  <w:sz w:val="20"/>
                  <w:u w:val="single"/>
                </w:rPr>
                <w:t>80</w:t>
              </w:r>
            </w:hyperlink>
          </w:p>
        </w:tc>
        <w:tc>
          <w:tcPr>
            <w:tcW w:w="4344" w:type="pct"/>
            <w:tcBorders>
              <w:top w:val="nil"/>
              <w:left w:val="nil"/>
              <w:bottom w:val="single" w:sz="4" w:space="0" w:color="auto"/>
              <w:right w:val="single" w:sz="4" w:space="0" w:color="auto"/>
            </w:tcBorders>
            <w:shd w:val="clear" w:color="auto" w:fill="auto"/>
            <w:hideMark/>
          </w:tcPr>
          <w:p w:rsidR="00250A85" w:rsidRPr="00CA61A6" w:rsidRDefault="00110CAD" w:rsidP="007B3478">
            <w:pPr>
              <w:pStyle w:val="Tabletext"/>
            </w:pPr>
            <w:hyperlink w:anchor="_48_Resolución_80" w:history="1">
              <w:r w:rsidR="00250A85" w:rsidRPr="00CA61A6">
                <w:rPr>
                  <w:rStyle w:val="Hyperlink"/>
                </w:rPr>
                <w:t xml:space="preserve">Resolución </w:t>
              </w:r>
              <w:r w:rsidR="001A6C62" w:rsidRPr="00CA61A6">
                <w:rPr>
                  <w:rStyle w:val="Hyperlink"/>
                </w:rPr>
                <w:t>80</w:t>
              </w:r>
            </w:hyperlink>
            <w:r w:rsidR="00250A85" w:rsidRPr="00CA61A6">
              <w:t xml:space="preserve"> – </w:t>
            </w:r>
            <w:r w:rsidR="00473D28" w:rsidRPr="00CA61A6">
              <w:t>Reconocimiento de la participación activa de los Miembros en los resultados del Sector de Normalización de las Telecomunicaciones de la UIT</w:t>
            </w:r>
          </w:p>
        </w:tc>
      </w:tr>
      <w:tr w:rsidR="001A6C62" w:rsidRPr="00CA61A6" w:rsidTr="00E57F3E">
        <w:trPr>
          <w:cantSplit/>
          <w:trHeight w:val="288"/>
        </w:trPr>
        <w:tc>
          <w:tcPr>
            <w:tcW w:w="656" w:type="pct"/>
            <w:tcBorders>
              <w:top w:val="nil"/>
              <w:left w:val="single" w:sz="4" w:space="0" w:color="auto"/>
              <w:bottom w:val="single" w:sz="4" w:space="0" w:color="auto"/>
              <w:right w:val="single" w:sz="4" w:space="0" w:color="auto"/>
            </w:tcBorders>
            <w:shd w:val="clear" w:color="auto" w:fill="auto"/>
            <w:hideMark/>
          </w:tcPr>
          <w:p w:rsidR="001A6C62"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hyperlink r:id="rId64" w:history="1">
              <w:r w:rsidR="001A6C62" w:rsidRPr="00CA61A6">
                <w:rPr>
                  <w:color w:val="0000FF"/>
                  <w:sz w:val="20"/>
                  <w:u w:val="single"/>
                </w:rPr>
                <w:t>81</w:t>
              </w:r>
            </w:hyperlink>
          </w:p>
        </w:tc>
        <w:tc>
          <w:tcPr>
            <w:tcW w:w="4344" w:type="pct"/>
            <w:tcBorders>
              <w:top w:val="nil"/>
              <w:left w:val="nil"/>
              <w:bottom w:val="single" w:sz="4" w:space="0" w:color="auto"/>
              <w:right w:val="single" w:sz="4" w:space="0" w:color="auto"/>
            </w:tcBorders>
            <w:shd w:val="clear" w:color="auto" w:fill="auto"/>
            <w:hideMark/>
          </w:tcPr>
          <w:p w:rsidR="001A6C62" w:rsidRPr="00CA61A6" w:rsidRDefault="00110CAD" w:rsidP="007B3478">
            <w:pPr>
              <w:pStyle w:val="Tabletext"/>
            </w:pPr>
            <w:hyperlink w:anchor="_49_Resolución_81" w:history="1">
              <w:r w:rsidR="001A6C62" w:rsidRPr="00CA61A6">
                <w:rPr>
                  <w:rStyle w:val="Hyperlink"/>
                </w:rPr>
                <w:t>Resolución 8</w:t>
              </w:r>
              <w:r w:rsidR="00693153" w:rsidRPr="00CA61A6">
                <w:rPr>
                  <w:rStyle w:val="Hyperlink"/>
                </w:rPr>
                <w:t>1</w:t>
              </w:r>
            </w:hyperlink>
            <w:r w:rsidR="001A6C62" w:rsidRPr="00CA61A6">
              <w:t xml:space="preserve"> – </w:t>
            </w:r>
            <w:r w:rsidR="00993B9A" w:rsidRPr="00CA61A6">
              <w:t>Fortalecimiento de la colaboración</w:t>
            </w:r>
          </w:p>
        </w:tc>
      </w:tr>
      <w:tr w:rsidR="001A6C62" w:rsidRPr="00CA61A6" w:rsidTr="00E57F3E">
        <w:trPr>
          <w:cantSplit/>
          <w:trHeight w:val="288"/>
        </w:trPr>
        <w:tc>
          <w:tcPr>
            <w:tcW w:w="656" w:type="pct"/>
            <w:tcBorders>
              <w:top w:val="nil"/>
              <w:left w:val="single" w:sz="4" w:space="0" w:color="auto"/>
              <w:bottom w:val="single" w:sz="4" w:space="0" w:color="auto"/>
              <w:right w:val="single" w:sz="4" w:space="0" w:color="auto"/>
            </w:tcBorders>
            <w:shd w:val="clear" w:color="auto" w:fill="auto"/>
            <w:hideMark/>
          </w:tcPr>
          <w:p w:rsidR="001A6C62"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hyperlink r:id="rId65" w:history="1">
              <w:r w:rsidR="001A6C62" w:rsidRPr="00CA61A6">
                <w:rPr>
                  <w:color w:val="0000FF"/>
                  <w:sz w:val="20"/>
                  <w:u w:val="single"/>
                </w:rPr>
                <w:t>82</w:t>
              </w:r>
            </w:hyperlink>
          </w:p>
        </w:tc>
        <w:tc>
          <w:tcPr>
            <w:tcW w:w="4344" w:type="pct"/>
            <w:tcBorders>
              <w:top w:val="nil"/>
              <w:left w:val="nil"/>
              <w:bottom w:val="single" w:sz="4" w:space="0" w:color="auto"/>
              <w:right w:val="single" w:sz="4" w:space="0" w:color="auto"/>
            </w:tcBorders>
            <w:shd w:val="clear" w:color="auto" w:fill="auto"/>
            <w:hideMark/>
          </w:tcPr>
          <w:p w:rsidR="001A6C62" w:rsidRPr="00CA61A6" w:rsidRDefault="00110CAD" w:rsidP="007B3478">
            <w:pPr>
              <w:pStyle w:val="Tabletext"/>
            </w:pPr>
            <w:hyperlink w:anchor="_50_Resolución_82" w:history="1">
              <w:r w:rsidR="001A6C62" w:rsidRPr="00CA61A6">
                <w:rPr>
                  <w:rStyle w:val="Hyperlink"/>
                </w:rPr>
                <w:t>Resolución 8</w:t>
              </w:r>
              <w:r w:rsidR="00693153" w:rsidRPr="00CA61A6">
                <w:rPr>
                  <w:rStyle w:val="Hyperlink"/>
                </w:rPr>
                <w:t>2</w:t>
              </w:r>
            </w:hyperlink>
            <w:r w:rsidR="001A6C62" w:rsidRPr="00CA61A6">
              <w:t xml:space="preserve"> – </w:t>
            </w:r>
            <w:r w:rsidR="00FD316D" w:rsidRPr="00CA61A6">
              <w:t>Examen estratégico y estructural del UIT-T</w:t>
            </w:r>
          </w:p>
        </w:tc>
      </w:tr>
      <w:tr w:rsidR="001A6C62" w:rsidRPr="00CA61A6" w:rsidTr="00560C90">
        <w:trPr>
          <w:cantSplit/>
          <w:trHeight w:val="288"/>
        </w:trPr>
        <w:tc>
          <w:tcPr>
            <w:tcW w:w="656" w:type="pct"/>
            <w:tcBorders>
              <w:top w:val="nil"/>
              <w:left w:val="single" w:sz="4" w:space="0" w:color="auto"/>
              <w:bottom w:val="single" w:sz="4" w:space="0" w:color="auto"/>
              <w:right w:val="single" w:sz="4" w:space="0" w:color="auto"/>
            </w:tcBorders>
            <w:shd w:val="clear" w:color="auto" w:fill="auto"/>
            <w:hideMark/>
          </w:tcPr>
          <w:p w:rsidR="001A6C62"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hyperlink r:id="rId66" w:history="1">
              <w:r w:rsidR="001A6C62" w:rsidRPr="00CA61A6">
                <w:rPr>
                  <w:color w:val="0000FF"/>
                  <w:sz w:val="20"/>
                  <w:u w:val="single"/>
                </w:rPr>
                <w:t>Opini</w:t>
              </w:r>
              <w:r w:rsidR="00590BCF" w:rsidRPr="00CA61A6">
                <w:rPr>
                  <w:color w:val="0000FF"/>
                  <w:sz w:val="20"/>
                  <w:u w:val="single"/>
                </w:rPr>
                <w:t>ó</w:t>
              </w:r>
              <w:r w:rsidR="001A6C62" w:rsidRPr="00CA61A6">
                <w:rPr>
                  <w:color w:val="0000FF"/>
                  <w:sz w:val="20"/>
                  <w:u w:val="single"/>
                </w:rPr>
                <w:t>n 1</w:t>
              </w:r>
            </w:hyperlink>
          </w:p>
        </w:tc>
        <w:tc>
          <w:tcPr>
            <w:tcW w:w="4344" w:type="pct"/>
            <w:tcBorders>
              <w:top w:val="nil"/>
              <w:left w:val="nil"/>
              <w:bottom w:val="single" w:sz="4" w:space="0" w:color="auto"/>
              <w:right w:val="single" w:sz="4" w:space="0" w:color="auto"/>
            </w:tcBorders>
            <w:shd w:val="clear" w:color="auto" w:fill="auto"/>
            <w:hideMark/>
          </w:tcPr>
          <w:p w:rsidR="001A6C62" w:rsidRPr="00CA61A6" w:rsidRDefault="00110CAD" w:rsidP="007B3478">
            <w:pPr>
              <w:pStyle w:val="Tabletext"/>
            </w:pPr>
            <w:hyperlink w:anchor="_51_Opinión_1" w:history="1">
              <w:r w:rsidR="00590BCF" w:rsidRPr="00CA61A6">
                <w:rPr>
                  <w:color w:val="0000FF"/>
                  <w:u w:val="single"/>
                </w:rPr>
                <w:t>Opinión 1</w:t>
              </w:r>
            </w:hyperlink>
            <w:r w:rsidR="001A6C62" w:rsidRPr="00CA61A6">
              <w:t xml:space="preserve"> – </w:t>
            </w:r>
            <w:r w:rsidR="00FE1FF2" w:rsidRPr="00CA61A6">
              <w:t>Aplicación efectiva de la prima de externalidad de red</w:t>
            </w:r>
          </w:p>
        </w:tc>
      </w:tr>
      <w:tr w:rsidR="00560C90" w:rsidRPr="00CA61A6" w:rsidTr="00560C90">
        <w:trPr>
          <w:cantSplit/>
          <w:trHeight w:val="288"/>
        </w:trPr>
        <w:tc>
          <w:tcPr>
            <w:tcW w:w="5000" w:type="pct"/>
            <w:gridSpan w:val="2"/>
            <w:tcBorders>
              <w:top w:val="single" w:sz="4" w:space="0" w:color="auto"/>
            </w:tcBorders>
            <w:shd w:val="clear" w:color="auto" w:fill="auto"/>
          </w:tcPr>
          <w:p w:rsidR="00560C90" w:rsidRPr="009920C6" w:rsidRDefault="00560C90" w:rsidP="00491F82">
            <w:pPr>
              <w:pStyle w:val="Tablelegend"/>
              <w:tabs>
                <w:tab w:val="clear" w:pos="567"/>
                <w:tab w:val="left" w:pos="589"/>
              </w:tabs>
              <w:ind w:left="567" w:hanging="567"/>
              <w:rPr>
                <w:rFonts w:eastAsia="SimSun"/>
              </w:rPr>
            </w:pPr>
            <w:r w:rsidRPr="00CA61A6">
              <w:rPr>
                <w:rStyle w:val="FootnoteReference"/>
              </w:rPr>
              <w:t>*</w:t>
            </w:r>
            <w:r w:rsidRPr="00CA61A6">
              <w:tab/>
            </w:r>
            <w:r w:rsidRPr="009920C6">
              <w:rPr>
                <w:rFonts w:eastAsia="SimSun"/>
              </w:rPr>
              <w:t>Los números de la columna Número de la Resolución son hipervínculos al texto completo de las Resoluciones publicadas.</w:t>
            </w:r>
          </w:p>
          <w:p w:rsidR="00560C90" w:rsidRDefault="00560C90" w:rsidP="00491F82">
            <w:pPr>
              <w:pStyle w:val="Tabletext"/>
              <w:tabs>
                <w:tab w:val="clear" w:pos="284"/>
                <w:tab w:val="clear" w:pos="567"/>
                <w:tab w:val="left" w:pos="589"/>
              </w:tabs>
              <w:ind w:left="589" w:hanging="589"/>
            </w:pPr>
            <w:r w:rsidRPr="00CA61A6">
              <w:rPr>
                <w:rStyle w:val="FootnoteReference"/>
              </w:rPr>
              <w:t>**</w:t>
            </w:r>
            <w:r w:rsidRPr="00CA61A6">
              <w:tab/>
            </w:r>
            <w:r w:rsidRPr="009920C6">
              <w:rPr>
                <w:rFonts w:eastAsia="SimSun"/>
              </w:rPr>
              <w:t>Los títulos de las Resoluciones son hipervínculos a los informes de situación que se presentan más adelante en este documento.</w:t>
            </w:r>
          </w:p>
        </w:tc>
      </w:tr>
    </w:tbl>
    <w:p w:rsidR="00E83D45" w:rsidRPr="00CA61A6" w:rsidRDefault="00477A62" w:rsidP="007B3478">
      <w:r w:rsidRPr="00CA61A6">
        <w:t>El Plan de Acción para las Resoluciones</w:t>
      </w:r>
      <w:r w:rsidR="002E3D68" w:rsidRPr="00CA61A6">
        <w:t xml:space="preserve"> y la Opinión</w:t>
      </w:r>
      <w:r w:rsidRPr="00CA61A6">
        <w:t xml:space="preserve"> de la AMNT-</w:t>
      </w:r>
      <w:r w:rsidR="005A23C8" w:rsidRPr="00CA61A6">
        <w:t>12</w:t>
      </w:r>
      <w:r w:rsidRPr="00CA61A6">
        <w:t xml:space="preserve"> contiene referencias y vínculos a documentos y actividades del UIT-T, así como a documentos y actividades del Consejo, la Conferencia de Plenipotenciarios y los otros Sectores. Estas referencias y vínculos se actualizan cada vez que se actualiza el Plan de Acción.</w:t>
      </w:r>
    </w:p>
    <w:p w:rsidR="00647EF9" w:rsidRPr="00CA61A6" w:rsidRDefault="00110CAD" w:rsidP="007B3478">
      <w:hyperlink w:anchor="Top" w:history="1">
        <w:r w:rsidR="00647EF9" w:rsidRPr="00CA61A6">
          <w:rPr>
            <w:rStyle w:val="Hyperlink"/>
          </w:rPr>
          <w:t>» Arriba</w:t>
        </w:r>
      </w:hyperlink>
    </w:p>
    <w:p w:rsidR="00985405" w:rsidRPr="00CA61A6" w:rsidRDefault="00985405" w:rsidP="007B3478">
      <w:r w:rsidRPr="00CA61A6">
        <w:br w:type="page"/>
      </w:r>
    </w:p>
    <w:p w:rsidR="00E1239C" w:rsidRPr="00046C08" w:rsidRDefault="00E1239C" w:rsidP="00046C08">
      <w:pPr>
        <w:pStyle w:val="Headingb"/>
        <w:rPr>
          <w:rFonts w:ascii="Times New Roman" w:hAnsi="Times New Roman"/>
          <w:sz w:val="28"/>
        </w:rPr>
      </w:pPr>
      <w:bookmarkStart w:id="4" w:name="_Toc340066374"/>
      <w:r w:rsidRPr="00046C08">
        <w:rPr>
          <w:rFonts w:ascii="Times New Roman" w:hAnsi="Times New Roman"/>
          <w:sz w:val="28"/>
        </w:rPr>
        <w:lastRenderedPageBreak/>
        <w:t>Sección II – Informe sobre el avance en la aplicación de las Resoluciones</w:t>
      </w:r>
      <w:r w:rsidR="002E3D68" w:rsidRPr="00046C08">
        <w:rPr>
          <w:rFonts w:ascii="Times New Roman" w:hAnsi="Times New Roman"/>
          <w:sz w:val="28"/>
        </w:rPr>
        <w:t xml:space="preserve"> y la Opinión</w:t>
      </w:r>
      <w:r w:rsidRPr="00046C08">
        <w:rPr>
          <w:rFonts w:ascii="Times New Roman" w:hAnsi="Times New Roman"/>
          <w:sz w:val="28"/>
        </w:rPr>
        <w:t xml:space="preserve"> de la AMNT</w:t>
      </w:r>
      <w:r w:rsidRPr="00046C08">
        <w:rPr>
          <w:rFonts w:ascii="Times New Roman" w:hAnsi="Times New Roman"/>
          <w:sz w:val="28"/>
        </w:rPr>
        <w:noBreakHyphen/>
      </w:r>
      <w:bookmarkEnd w:id="4"/>
      <w:r w:rsidR="00965ACA" w:rsidRPr="00046C08">
        <w:rPr>
          <w:rFonts w:ascii="Times New Roman" w:hAnsi="Times New Roman"/>
          <w:sz w:val="28"/>
        </w:rPr>
        <w:t>12</w:t>
      </w:r>
    </w:p>
    <w:p w:rsidR="000F50BA" w:rsidRPr="00CA61A6" w:rsidRDefault="000F50BA" w:rsidP="007B3478">
      <w:r w:rsidRPr="00CA61A6">
        <w:t>Esta parte del Informe contiene el nombre de cada Resolución</w:t>
      </w:r>
      <w:r w:rsidR="002E3D68" w:rsidRPr="00CA61A6">
        <w:t>/Opinió</w:t>
      </w:r>
      <w:r w:rsidR="0043225E" w:rsidRPr="00CA61A6">
        <w:t>n</w:t>
      </w:r>
      <w:r w:rsidRPr="00CA61A6">
        <w:t xml:space="preserve"> de la AMNT-</w:t>
      </w:r>
      <w:r w:rsidR="0043225E" w:rsidRPr="00CA61A6">
        <w:t>12</w:t>
      </w:r>
      <w:r w:rsidRPr="00CA61A6">
        <w:t xml:space="preserve"> seguido de la parte "operativ</w:t>
      </w:r>
      <w:r w:rsidR="002E3D68" w:rsidRPr="00CA61A6">
        <w:t xml:space="preserve">a" de la Resolución, es decir, </w:t>
      </w:r>
      <w:r w:rsidRPr="00CA61A6">
        <w:t>l</w:t>
      </w:r>
      <w:r w:rsidR="002E3D68" w:rsidRPr="00CA61A6">
        <w:t>os</w:t>
      </w:r>
      <w:r w:rsidRPr="00CA61A6">
        <w:t xml:space="preserve"> </w:t>
      </w:r>
      <w:r w:rsidRPr="00CA61A6">
        <w:rPr>
          <w:i/>
          <w:iCs/>
        </w:rPr>
        <w:t>resuelve</w:t>
      </w:r>
      <w:r w:rsidRPr="00CA61A6">
        <w:t xml:space="preserve">, </w:t>
      </w:r>
      <w:r w:rsidRPr="00CA61A6">
        <w:rPr>
          <w:i/>
          <w:iCs/>
        </w:rPr>
        <w:t>pide</w:t>
      </w:r>
      <w:r w:rsidRPr="00CA61A6">
        <w:t xml:space="preserve">, </w:t>
      </w:r>
      <w:r w:rsidRPr="00CA61A6">
        <w:rPr>
          <w:i/>
          <w:iCs/>
        </w:rPr>
        <w:t>encarga</w:t>
      </w:r>
      <w:r w:rsidRPr="00CA61A6">
        <w:t xml:space="preserve">, etc., una lista de Acciones y fechas previstas, </w:t>
      </w:r>
      <w:r w:rsidR="002E3D68" w:rsidRPr="00CA61A6">
        <w:t xml:space="preserve">con </w:t>
      </w:r>
      <w:r w:rsidRPr="00CA61A6">
        <w:t>una columna</w:t>
      </w:r>
      <w:r w:rsidR="002E3D68" w:rsidRPr="00CA61A6">
        <w:t xml:space="preserve"> en la que se indica</w:t>
      </w:r>
      <w:r w:rsidRPr="00CA61A6">
        <w:t xml:space="preserve"> si una acción concreta es de </w:t>
      </w:r>
      <w:r w:rsidR="00065413" w:rsidRPr="00CA61A6">
        <w:t>carácter continuo</w:t>
      </w:r>
      <w:r w:rsidRPr="00CA61A6">
        <w:t xml:space="preserve"> y se han cumplido periódicamente los objetivos, y otra columna</w:t>
      </w:r>
      <w:r w:rsidR="002E3D68" w:rsidRPr="00CA61A6">
        <w:t xml:space="preserve"> en la que se muestra</w:t>
      </w:r>
      <w:r w:rsidRPr="00CA61A6">
        <w:t xml:space="preserve"> si una acción concreta se ha finalizado. </w:t>
      </w:r>
      <w:r w:rsidR="002E3D68" w:rsidRPr="00CA61A6">
        <w:t xml:space="preserve">En los recuadros </w:t>
      </w:r>
      <w:r w:rsidRPr="00CA61A6">
        <w:t>rojo</w:t>
      </w:r>
      <w:r w:rsidR="002E3D68" w:rsidRPr="00CA61A6">
        <w:t>s</w:t>
      </w:r>
      <w:r w:rsidRPr="00CA61A6">
        <w:t xml:space="preserve"> </w:t>
      </w:r>
      <w:r w:rsidR="002E3D68" w:rsidRPr="00CA61A6">
        <w:t>figuran</w:t>
      </w:r>
      <w:r w:rsidRPr="00CA61A6">
        <w:t xml:space="preserve"> los elementos que requieren una atención particular o que </w:t>
      </w:r>
      <w:r w:rsidR="002E3D68" w:rsidRPr="00CA61A6">
        <w:t>se hallan</w:t>
      </w:r>
      <w:r w:rsidRPr="00CA61A6">
        <w:t xml:space="preserve"> en peligro. Para cada acción se facilita</w:t>
      </w:r>
      <w:r w:rsidR="002E3D68" w:rsidRPr="00CA61A6">
        <w:t>rá</w:t>
      </w:r>
      <w:r w:rsidRPr="00CA61A6">
        <w:t xml:space="preserve"> información detallada. Los números de las Acciones de la primera columna son hipervínculos al informe de situación de </w:t>
      </w:r>
      <w:r w:rsidR="002E3D68" w:rsidRPr="00CA61A6">
        <w:t>la</w:t>
      </w:r>
      <w:r w:rsidRPr="00CA61A6">
        <w:t xml:space="preserve"> Acción</w:t>
      </w:r>
      <w:r w:rsidR="002E3D68" w:rsidRPr="00CA61A6">
        <w:t xml:space="preserve"> de que se trate</w:t>
      </w:r>
      <w:r w:rsidRPr="00CA61A6">
        <w:t>.</w:t>
      </w:r>
    </w:p>
    <w:p w:rsidR="002560F0" w:rsidRPr="00CA61A6" w:rsidRDefault="002560F0" w:rsidP="007B3478">
      <w:pPr>
        <w:pStyle w:val="Heading1"/>
      </w:pPr>
      <w:bookmarkStart w:id="5" w:name="_1_Resolución_1"/>
      <w:bookmarkStart w:id="6" w:name="_Toc335979769"/>
      <w:bookmarkStart w:id="7" w:name="_Toc338837103"/>
      <w:bookmarkStart w:id="8" w:name="_Toc340066375"/>
      <w:bookmarkStart w:id="9" w:name="_Toc463335752"/>
      <w:bookmarkEnd w:id="5"/>
      <w:r w:rsidRPr="00CA61A6">
        <w:t>1</w:t>
      </w:r>
      <w:r w:rsidRPr="00CA61A6">
        <w:tab/>
        <w:t xml:space="preserve">Resolución 1 </w:t>
      </w:r>
      <w:r w:rsidRPr="00CA61A6">
        <w:rPr>
          <w:color w:val="000000"/>
        </w:rPr>
        <w:t>–</w:t>
      </w:r>
      <w:r w:rsidRPr="00CA61A6">
        <w:t xml:space="preserve"> Reglamento Interno del Sector de Normalización de las Telecomunicaciones de la UIT (UIT-T)</w:t>
      </w:r>
      <w:bookmarkEnd w:id="6"/>
      <w:bookmarkEnd w:id="7"/>
      <w:bookmarkEnd w:id="8"/>
      <w:bookmarkEnd w:id="9"/>
    </w:p>
    <w:p w:rsidR="002560F0" w:rsidRPr="00CA61A6" w:rsidRDefault="002560F0" w:rsidP="007F5D8B">
      <w:pPr>
        <w:pStyle w:val="Headingb"/>
      </w:pPr>
      <w:r w:rsidRPr="00CA61A6">
        <w:t>Resolución 1</w:t>
      </w:r>
    </w:p>
    <w:p w:rsidR="00791350" w:rsidRPr="00CA61A6" w:rsidRDefault="00791350" w:rsidP="007B3478">
      <w:pPr>
        <w:pStyle w:val="Call"/>
      </w:pPr>
      <w:r w:rsidRPr="00CA61A6">
        <w:t>resuelve</w:t>
      </w:r>
    </w:p>
    <w:p w:rsidR="00791350" w:rsidRPr="00CA61A6" w:rsidRDefault="00791350" w:rsidP="007B3478">
      <w:pPr>
        <w:keepNext/>
        <w:keepLines/>
        <w:spacing w:after="120"/>
      </w:pPr>
      <w:r w:rsidRPr="00CA61A6">
        <w:t xml:space="preserve">que las disposiciones a que se hace referencia más arriba, en los apartados </w:t>
      </w:r>
      <w:r w:rsidRPr="00CA61A6">
        <w:rPr>
          <w:i/>
          <w:iCs/>
        </w:rPr>
        <w:t>e)</w:t>
      </w:r>
      <w:r w:rsidRPr="00CA61A6">
        <w:t xml:space="preserve">, </w:t>
      </w:r>
      <w:r w:rsidRPr="00CA61A6">
        <w:rPr>
          <w:i/>
          <w:iCs/>
        </w:rPr>
        <w:t>f)</w:t>
      </w:r>
      <w:r w:rsidRPr="00CA61A6">
        <w:t xml:space="preserve">, </w:t>
      </w:r>
      <w:r w:rsidRPr="00CA61A6">
        <w:rPr>
          <w:i/>
          <w:iCs/>
        </w:rPr>
        <w:t>g)</w:t>
      </w:r>
      <w:r w:rsidRPr="00CA61A6">
        <w:t xml:space="preserve"> y </w:t>
      </w:r>
      <w:r w:rsidRPr="00CA61A6">
        <w:rPr>
          <w:i/>
          <w:iCs/>
        </w:rPr>
        <w:t>h)</w:t>
      </w:r>
      <w:r w:rsidRPr="00CA61A6">
        <w:t xml:space="preserve"> del </w:t>
      </w:r>
      <w:r w:rsidRPr="00CA61A6">
        <w:rPr>
          <w:i/>
          <w:iCs/>
        </w:rPr>
        <w:t>considerando</w:t>
      </w:r>
      <w:r w:rsidRPr="00CA61A6">
        <w:t>,</w:t>
      </w:r>
      <w:r w:rsidRPr="00CA61A6">
        <w:rPr>
          <w:i/>
          <w:iCs/>
        </w:rPr>
        <w:t xml:space="preserve"> </w:t>
      </w:r>
      <w:r w:rsidRPr="00CA61A6">
        <w:t>se completen con las disposiciones establecidas en la presente Resolución y en las Resoluciones a que remiten habida cuenta de que, en caso de contradicción, la Constitución, el Convenio, el Reglamento de las Telecomunicaciones Internacionales y el Reglamento General de las Conferencias, Asambleas y Reuniones de la Unión prevalecerán (por este orden) sobre la presente Resolución.</w:t>
      </w:r>
    </w:p>
    <w:tbl>
      <w:tblPr>
        <w:tblW w:w="9832" w:type="dxa"/>
        <w:tblInd w:w="-13" w:type="dxa"/>
        <w:tblLook w:val="04A0" w:firstRow="1" w:lastRow="0" w:firstColumn="1" w:lastColumn="0" w:noHBand="0" w:noVBand="1"/>
      </w:tblPr>
      <w:tblGrid>
        <w:gridCol w:w="916"/>
        <w:gridCol w:w="4553"/>
        <w:gridCol w:w="1866"/>
        <w:gridCol w:w="1236"/>
        <w:gridCol w:w="1261"/>
      </w:tblGrid>
      <w:tr w:rsidR="00AF04CB" w:rsidRPr="00CA61A6" w:rsidTr="006B3285">
        <w:trPr>
          <w:trHeight w:val="647"/>
          <w:tblHeader/>
        </w:trPr>
        <w:tc>
          <w:tcPr>
            <w:tcW w:w="916" w:type="dxa"/>
            <w:tcBorders>
              <w:top w:val="single" w:sz="4" w:space="0" w:color="auto"/>
              <w:left w:val="single" w:sz="4" w:space="0" w:color="auto"/>
              <w:bottom w:val="double" w:sz="4" w:space="0" w:color="auto"/>
              <w:right w:val="single" w:sz="4" w:space="0" w:color="auto"/>
            </w:tcBorders>
            <w:vAlign w:val="center"/>
          </w:tcPr>
          <w:p w:rsidR="00AF04CB" w:rsidRPr="00CA61A6" w:rsidRDefault="00AF04CB" w:rsidP="007B3478">
            <w:pPr>
              <w:pStyle w:val="Tablehead"/>
            </w:pPr>
            <w:r w:rsidRPr="00CA61A6">
              <w:t>Número</w:t>
            </w:r>
          </w:p>
        </w:tc>
        <w:tc>
          <w:tcPr>
            <w:tcW w:w="4553" w:type="dxa"/>
            <w:tcBorders>
              <w:top w:val="single" w:sz="4" w:space="0" w:color="auto"/>
              <w:left w:val="single" w:sz="4" w:space="0" w:color="auto"/>
              <w:bottom w:val="double" w:sz="4" w:space="0" w:color="auto"/>
              <w:right w:val="single" w:sz="4" w:space="0" w:color="auto"/>
            </w:tcBorders>
            <w:shd w:val="clear" w:color="auto" w:fill="auto"/>
            <w:vAlign w:val="center"/>
            <w:hideMark/>
          </w:tcPr>
          <w:p w:rsidR="00AF04CB" w:rsidRPr="00CA61A6" w:rsidRDefault="00AF04CB" w:rsidP="007B3478">
            <w:pPr>
              <w:pStyle w:val="Tablehead"/>
            </w:pPr>
            <w:r w:rsidRPr="00CA61A6">
              <w:t>Acción</w:t>
            </w:r>
          </w:p>
        </w:tc>
        <w:tc>
          <w:tcPr>
            <w:tcW w:w="1866" w:type="dxa"/>
            <w:tcBorders>
              <w:top w:val="single" w:sz="4" w:space="0" w:color="auto"/>
              <w:left w:val="nil"/>
              <w:bottom w:val="double" w:sz="4" w:space="0" w:color="auto"/>
              <w:right w:val="single" w:sz="4" w:space="0" w:color="auto"/>
            </w:tcBorders>
            <w:shd w:val="clear" w:color="auto" w:fill="auto"/>
            <w:vAlign w:val="center"/>
            <w:hideMark/>
          </w:tcPr>
          <w:p w:rsidR="00AF04CB" w:rsidRPr="00CA61A6" w:rsidRDefault="00AF04CB" w:rsidP="007B3478">
            <w:pPr>
              <w:pStyle w:val="Tablehead"/>
            </w:pPr>
            <w:r w:rsidRPr="00CA61A6">
              <w:t>Fecha objetivo</w:t>
            </w:r>
          </w:p>
        </w:tc>
        <w:tc>
          <w:tcPr>
            <w:tcW w:w="1236" w:type="dxa"/>
            <w:tcBorders>
              <w:top w:val="single" w:sz="4" w:space="0" w:color="auto"/>
              <w:left w:val="nil"/>
              <w:bottom w:val="double" w:sz="4" w:space="0" w:color="auto"/>
              <w:right w:val="single" w:sz="4" w:space="0" w:color="auto"/>
            </w:tcBorders>
            <w:vAlign w:val="center"/>
          </w:tcPr>
          <w:p w:rsidR="00AF04CB" w:rsidRPr="00CA61A6" w:rsidRDefault="00AF04CB" w:rsidP="007B3478">
            <w:pPr>
              <w:pStyle w:val="Tablehead"/>
            </w:pPr>
            <w:r w:rsidRPr="00CA61A6">
              <w:t>Objetivos periódicos cumplidos</w:t>
            </w:r>
          </w:p>
        </w:tc>
        <w:tc>
          <w:tcPr>
            <w:tcW w:w="1261" w:type="dxa"/>
            <w:tcBorders>
              <w:top w:val="single" w:sz="4" w:space="0" w:color="auto"/>
              <w:left w:val="single" w:sz="4" w:space="0" w:color="auto"/>
              <w:bottom w:val="double" w:sz="4" w:space="0" w:color="auto"/>
              <w:right w:val="single" w:sz="4" w:space="0" w:color="auto"/>
            </w:tcBorders>
            <w:vAlign w:val="center"/>
          </w:tcPr>
          <w:p w:rsidR="00AF04CB" w:rsidRPr="00CA61A6" w:rsidRDefault="00AF04CB" w:rsidP="007B3478">
            <w:pPr>
              <w:pStyle w:val="Tablehead"/>
            </w:pPr>
            <w:r w:rsidRPr="00CA61A6">
              <w:t>Completada</w:t>
            </w:r>
          </w:p>
        </w:tc>
      </w:tr>
      <w:tr w:rsidR="00AF04CB" w:rsidRPr="00CA61A6" w:rsidTr="006B3285">
        <w:trPr>
          <w:trHeight w:val="620"/>
        </w:trPr>
        <w:tc>
          <w:tcPr>
            <w:tcW w:w="916" w:type="dxa"/>
            <w:tcBorders>
              <w:top w:val="double" w:sz="4" w:space="0" w:color="auto"/>
              <w:left w:val="single" w:sz="4" w:space="0" w:color="auto"/>
              <w:bottom w:val="single" w:sz="4" w:space="0" w:color="auto"/>
              <w:right w:val="single" w:sz="4" w:space="0" w:color="auto"/>
            </w:tcBorders>
            <w:vAlign w:val="center"/>
          </w:tcPr>
          <w:p w:rsidR="00AF04CB" w:rsidRPr="00CA61A6" w:rsidRDefault="00110CAD" w:rsidP="007B3478">
            <w:pPr>
              <w:pStyle w:val="Tabletext"/>
              <w:keepNext/>
              <w:jc w:val="center"/>
            </w:pPr>
            <w:hyperlink w:anchor="Item01_01" w:history="1">
              <w:r w:rsidR="00AF04CB" w:rsidRPr="00CA61A6">
                <w:rPr>
                  <w:rStyle w:val="Hyperlink"/>
                </w:rPr>
                <w:t>01-01</w:t>
              </w:r>
            </w:hyperlink>
          </w:p>
        </w:tc>
        <w:tc>
          <w:tcPr>
            <w:tcW w:w="4553"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AF04CB" w:rsidRPr="00CA61A6" w:rsidRDefault="00AF04CB" w:rsidP="007B3478">
            <w:pPr>
              <w:pStyle w:val="Tabletext"/>
              <w:keepNext/>
            </w:pPr>
            <w:r w:rsidRPr="00CA61A6">
              <w:t>La TSB preparará un acuerdo con el país anfitrión para la AMNT-1</w:t>
            </w:r>
            <w:r w:rsidR="00201C67" w:rsidRPr="00CA61A6">
              <w:t>6</w:t>
            </w:r>
          </w:p>
        </w:tc>
        <w:tc>
          <w:tcPr>
            <w:tcW w:w="1866" w:type="dxa"/>
            <w:tcBorders>
              <w:top w:val="double" w:sz="4" w:space="0" w:color="auto"/>
              <w:left w:val="nil"/>
              <w:bottom w:val="single" w:sz="4" w:space="0" w:color="auto"/>
              <w:right w:val="single" w:sz="4" w:space="0" w:color="auto"/>
            </w:tcBorders>
            <w:shd w:val="clear" w:color="auto" w:fill="auto"/>
            <w:vAlign w:val="center"/>
            <w:hideMark/>
          </w:tcPr>
          <w:p w:rsidR="00AF04CB" w:rsidRPr="00CA61A6" w:rsidRDefault="00D96FAC" w:rsidP="007B3478">
            <w:pPr>
              <w:pStyle w:val="Tabletext"/>
              <w:keepNext/>
              <w:jc w:val="center"/>
            </w:pPr>
            <w:r w:rsidRPr="00CA61A6">
              <w:t>Un año</w:t>
            </w:r>
            <w:r w:rsidR="00C075C2" w:rsidRPr="00CA61A6">
              <w:rPr>
                <w:rStyle w:val="FootnoteReference"/>
              </w:rPr>
              <w:footnoteReference w:customMarkFollows="1" w:id="1"/>
              <w:t>1</w:t>
            </w:r>
            <w:r w:rsidR="00C6751D" w:rsidRPr="00CA61A6">
              <w:t xml:space="preserve"> </w:t>
            </w:r>
            <w:r w:rsidRPr="00CA61A6">
              <w:t>antes de la</w:t>
            </w:r>
            <w:r w:rsidR="00C6751D" w:rsidRPr="00CA61A6">
              <w:t xml:space="preserve"> </w:t>
            </w:r>
            <w:r w:rsidR="00600502" w:rsidRPr="00CA61A6">
              <w:t>AMNT</w:t>
            </w:r>
            <w:r w:rsidR="00C6751D" w:rsidRPr="00CA61A6">
              <w:t>-16</w:t>
            </w:r>
          </w:p>
        </w:tc>
        <w:tc>
          <w:tcPr>
            <w:tcW w:w="1236" w:type="dxa"/>
            <w:tcBorders>
              <w:top w:val="double" w:sz="4" w:space="0" w:color="auto"/>
              <w:left w:val="nil"/>
              <w:bottom w:val="single" w:sz="4" w:space="0" w:color="auto"/>
              <w:right w:val="single" w:sz="4" w:space="0" w:color="auto"/>
            </w:tcBorders>
            <w:vAlign w:val="center"/>
          </w:tcPr>
          <w:p w:rsidR="00AF04CB" w:rsidRPr="00CA61A6" w:rsidRDefault="00AF04CB" w:rsidP="007B3478">
            <w:pPr>
              <w:pStyle w:val="Tabletext"/>
              <w:keepNext/>
              <w:jc w:val="center"/>
              <w:rPr>
                <w:szCs w:val="24"/>
              </w:rPr>
            </w:pPr>
          </w:p>
        </w:tc>
        <w:tc>
          <w:tcPr>
            <w:tcW w:w="1261" w:type="dxa"/>
            <w:tcBorders>
              <w:top w:val="double" w:sz="4" w:space="0" w:color="auto"/>
              <w:left w:val="single" w:sz="4" w:space="0" w:color="auto"/>
              <w:bottom w:val="single" w:sz="4" w:space="0" w:color="auto"/>
              <w:right w:val="single" w:sz="4" w:space="0" w:color="auto"/>
            </w:tcBorders>
            <w:vAlign w:val="center"/>
          </w:tcPr>
          <w:p w:rsidR="00AF04CB" w:rsidRPr="00CA61A6" w:rsidRDefault="00AF4D49" w:rsidP="007B3478">
            <w:pPr>
              <w:pStyle w:val="Tabletext"/>
              <w:keepNext/>
              <w:jc w:val="center"/>
              <w:rPr>
                <w:szCs w:val="24"/>
              </w:rPr>
            </w:pPr>
            <w:r w:rsidRPr="00CA61A6">
              <w:sym w:font="Wingdings" w:char="F0FC"/>
            </w:r>
          </w:p>
        </w:tc>
      </w:tr>
      <w:tr w:rsidR="00AF04CB" w:rsidRPr="00CA61A6" w:rsidTr="00A30D5B">
        <w:trPr>
          <w:trHeight w:val="597"/>
        </w:trPr>
        <w:tc>
          <w:tcPr>
            <w:tcW w:w="916" w:type="dxa"/>
            <w:tcBorders>
              <w:top w:val="nil"/>
              <w:left w:val="single" w:sz="4" w:space="0" w:color="auto"/>
              <w:bottom w:val="single" w:sz="4" w:space="0" w:color="auto"/>
              <w:right w:val="single" w:sz="4" w:space="0" w:color="auto"/>
            </w:tcBorders>
            <w:vAlign w:val="center"/>
          </w:tcPr>
          <w:p w:rsidR="00AF04CB" w:rsidRPr="00CA61A6" w:rsidRDefault="00110CAD" w:rsidP="007B3478">
            <w:pPr>
              <w:pStyle w:val="Tabletext"/>
              <w:keepNext/>
              <w:jc w:val="center"/>
            </w:pPr>
            <w:hyperlink w:anchor="Item01_02" w:history="1">
              <w:r w:rsidR="00AF04CB" w:rsidRPr="005E7FC3">
                <w:rPr>
                  <w:rStyle w:val="Hyperlink"/>
                </w:rPr>
                <w:t>01-02</w:t>
              </w:r>
            </w:hyperlink>
          </w:p>
        </w:tc>
        <w:tc>
          <w:tcPr>
            <w:tcW w:w="4553" w:type="dxa"/>
            <w:tcBorders>
              <w:top w:val="nil"/>
              <w:left w:val="single" w:sz="4" w:space="0" w:color="auto"/>
              <w:bottom w:val="single" w:sz="4" w:space="0" w:color="auto"/>
              <w:right w:val="single" w:sz="4" w:space="0" w:color="auto"/>
            </w:tcBorders>
            <w:shd w:val="clear" w:color="auto" w:fill="auto"/>
            <w:vAlign w:val="center"/>
            <w:hideMark/>
          </w:tcPr>
          <w:p w:rsidR="00AF04CB" w:rsidRPr="00CA61A6" w:rsidRDefault="00AF04CB" w:rsidP="007B3478">
            <w:pPr>
              <w:pStyle w:val="Tabletext"/>
              <w:keepNext/>
            </w:pPr>
            <w:r w:rsidRPr="00CA61A6">
              <w:t xml:space="preserve">El Director preparará una propuesta de organización y estructura </w:t>
            </w:r>
            <w:r w:rsidR="006D0F7D" w:rsidRPr="00CA61A6">
              <w:t>para</w:t>
            </w:r>
            <w:r w:rsidRPr="00CA61A6">
              <w:t xml:space="preserve"> la AMNT-1</w:t>
            </w:r>
            <w:r w:rsidR="00201C67" w:rsidRPr="00CA61A6">
              <w:t>6</w:t>
            </w:r>
          </w:p>
        </w:tc>
        <w:tc>
          <w:tcPr>
            <w:tcW w:w="1866" w:type="dxa"/>
            <w:tcBorders>
              <w:top w:val="nil"/>
              <w:left w:val="nil"/>
              <w:bottom w:val="single" w:sz="4" w:space="0" w:color="auto"/>
              <w:right w:val="single" w:sz="4" w:space="0" w:color="auto"/>
            </w:tcBorders>
            <w:shd w:val="clear" w:color="auto" w:fill="auto"/>
            <w:vAlign w:val="center"/>
            <w:hideMark/>
          </w:tcPr>
          <w:p w:rsidR="00AF04CB" w:rsidRPr="00CA61A6" w:rsidRDefault="00C6751D" w:rsidP="007B3478">
            <w:pPr>
              <w:pStyle w:val="Tabletext"/>
              <w:keepNext/>
              <w:jc w:val="center"/>
            </w:pPr>
            <w:r w:rsidRPr="00CA61A6">
              <w:t xml:space="preserve">3 </w:t>
            </w:r>
            <w:r w:rsidR="00AC00FF" w:rsidRPr="00CA61A6">
              <w:t>meses antes de la</w:t>
            </w:r>
            <w:r w:rsidRPr="00CA61A6">
              <w:t xml:space="preserve"> </w:t>
            </w:r>
            <w:r w:rsidR="00600502" w:rsidRPr="00CA61A6">
              <w:t>AMNT</w:t>
            </w:r>
            <w:r w:rsidRPr="00CA61A6">
              <w:t>-16</w:t>
            </w:r>
          </w:p>
        </w:tc>
        <w:tc>
          <w:tcPr>
            <w:tcW w:w="1236" w:type="dxa"/>
            <w:tcBorders>
              <w:top w:val="single" w:sz="4" w:space="0" w:color="auto"/>
              <w:left w:val="nil"/>
              <w:bottom w:val="single" w:sz="4" w:space="0" w:color="auto"/>
              <w:right w:val="single" w:sz="4" w:space="0" w:color="auto"/>
            </w:tcBorders>
            <w:vAlign w:val="center"/>
          </w:tcPr>
          <w:p w:rsidR="00AF04CB" w:rsidRPr="00CA61A6" w:rsidRDefault="00AF04CB" w:rsidP="007B3478">
            <w:pPr>
              <w:pStyle w:val="Tabletext"/>
              <w:keepNext/>
              <w:jc w:val="center"/>
              <w:rPr>
                <w:szCs w:val="24"/>
              </w:rPr>
            </w:pPr>
          </w:p>
        </w:tc>
        <w:tc>
          <w:tcPr>
            <w:tcW w:w="1261" w:type="dxa"/>
            <w:tcBorders>
              <w:top w:val="single" w:sz="4" w:space="0" w:color="auto"/>
              <w:left w:val="single" w:sz="4" w:space="0" w:color="auto"/>
              <w:bottom w:val="single" w:sz="4" w:space="0" w:color="auto"/>
              <w:right w:val="single" w:sz="4" w:space="0" w:color="auto"/>
            </w:tcBorders>
            <w:vAlign w:val="center"/>
          </w:tcPr>
          <w:p w:rsidR="00AF04CB" w:rsidRPr="00CA61A6" w:rsidRDefault="00AF4D49" w:rsidP="007B3478">
            <w:pPr>
              <w:pStyle w:val="Tabletext"/>
              <w:keepNext/>
              <w:jc w:val="center"/>
              <w:rPr>
                <w:szCs w:val="24"/>
              </w:rPr>
            </w:pPr>
            <w:r w:rsidRPr="00CA61A6">
              <w:sym w:font="Wingdings" w:char="F0FC"/>
            </w:r>
          </w:p>
        </w:tc>
      </w:tr>
      <w:tr w:rsidR="00AF04CB" w:rsidRPr="00CA61A6" w:rsidTr="005F7C08">
        <w:trPr>
          <w:trHeight w:val="530"/>
        </w:trPr>
        <w:tc>
          <w:tcPr>
            <w:tcW w:w="916" w:type="dxa"/>
            <w:tcBorders>
              <w:top w:val="nil"/>
              <w:left w:val="single" w:sz="4" w:space="0" w:color="auto"/>
              <w:bottom w:val="single" w:sz="4" w:space="0" w:color="auto"/>
              <w:right w:val="single" w:sz="4" w:space="0" w:color="auto"/>
            </w:tcBorders>
            <w:vAlign w:val="center"/>
          </w:tcPr>
          <w:p w:rsidR="00AF04CB" w:rsidRPr="00CA61A6" w:rsidRDefault="00110CAD" w:rsidP="007B3478">
            <w:pPr>
              <w:pStyle w:val="Tabletext"/>
              <w:jc w:val="center"/>
            </w:pPr>
            <w:hyperlink w:anchor="Item01_03" w:history="1">
              <w:r w:rsidR="00AF04CB" w:rsidRPr="00CA61A6">
                <w:rPr>
                  <w:rStyle w:val="Hyperlink"/>
                </w:rPr>
                <w:t>01-03</w:t>
              </w:r>
            </w:hyperlink>
          </w:p>
        </w:tc>
        <w:tc>
          <w:tcPr>
            <w:tcW w:w="4553" w:type="dxa"/>
            <w:tcBorders>
              <w:top w:val="nil"/>
              <w:left w:val="single" w:sz="4" w:space="0" w:color="auto"/>
              <w:bottom w:val="single" w:sz="4" w:space="0" w:color="auto"/>
              <w:right w:val="single" w:sz="4" w:space="0" w:color="auto"/>
            </w:tcBorders>
            <w:shd w:val="clear" w:color="auto" w:fill="auto"/>
            <w:vAlign w:val="center"/>
            <w:hideMark/>
          </w:tcPr>
          <w:p w:rsidR="00AF04CB" w:rsidRPr="00CA61A6" w:rsidRDefault="00AF04CB" w:rsidP="007B3478">
            <w:pPr>
              <w:pStyle w:val="Tabletext"/>
            </w:pPr>
            <w:r w:rsidRPr="00CA61A6">
              <w:t>El Director prep</w:t>
            </w:r>
            <w:r w:rsidR="00E53C21" w:rsidRPr="00CA61A6">
              <w:t>arará un Informe para la AMNT-16</w:t>
            </w:r>
            <w:r w:rsidRPr="00CA61A6">
              <w:t xml:space="preserve"> (§1.9.1)</w:t>
            </w:r>
          </w:p>
        </w:tc>
        <w:tc>
          <w:tcPr>
            <w:tcW w:w="1866" w:type="dxa"/>
            <w:tcBorders>
              <w:top w:val="nil"/>
              <w:left w:val="nil"/>
              <w:bottom w:val="single" w:sz="4" w:space="0" w:color="auto"/>
              <w:right w:val="single" w:sz="4" w:space="0" w:color="auto"/>
            </w:tcBorders>
            <w:shd w:val="clear" w:color="auto" w:fill="auto"/>
            <w:vAlign w:val="center"/>
            <w:hideMark/>
          </w:tcPr>
          <w:p w:rsidR="00AF04CB" w:rsidRPr="00CA61A6" w:rsidRDefault="00600502" w:rsidP="007B3478">
            <w:pPr>
              <w:pStyle w:val="Tabletext"/>
              <w:jc w:val="center"/>
            </w:pPr>
            <w:r w:rsidRPr="00CA61A6">
              <w:t>AMNT</w:t>
            </w:r>
            <w:r w:rsidR="00C6751D" w:rsidRPr="00CA61A6">
              <w:t>-16</w:t>
            </w:r>
          </w:p>
        </w:tc>
        <w:tc>
          <w:tcPr>
            <w:tcW w:w="1236" w:type="dxa"/>
            <w:tcBorders>
              <w:top w:val="single" w:sz="4" w:space="0" w:color="auto"/>
              <w:left w:val="nil"/>
              <w:bottom w:val="single" w:sz="4" w:space="0" w:color="auto"/>
              <w:right w:val="single" w:sz="4" w:space="0" w:color="auto"/>
            </w:tcBorders>
            <w:vAlign w:val="center"/>
          </w:tcPr>
          <w:p w:rsidR="00AF04CB" w:rsidRPr="00CA61A6" w:rsidRDefault="00AF04CB" w:rsidP="007B3478">
            <w:pPr>
              <w:pStyle w:val="Tabletext"/>
              <w:jc w:val="center"/>
              <w:rPr>
                <w:szCs w:val="24"/>
              </w:rPr>
            </w:pPr>
          </w:p>
        </w:tc>
        <w:tc>
          <w:tcPr>
            <w:tcW w:w="1261" w:type="dxa"/>
            <w:tcBorders>
              <w:top w:val="single" w:sz="4" w:space="0" w:color="auto"/>
              <w:left w:val="single" w:sz="4" w:space="0" w:color="auto"/>
              <w:bottom w:val="single" w:sz="4" w:space="0" w:color="auto"/>
              <w:right w:val="single" w:sz="4" w:space="0" w:color="auto"/>
            </w:tcBorders>
            <w:vAlign w:val="center"/>
          </w:tcPr>
          <w:p w:rsidR="00AF04CB" w:rsidRPr="00CA61A6" w:rsidRDefault="00AF4D49" w:rsidP="007B3478">
            <w:pPr>
              <w:pStyle w:val="Tabletext"/>
              <w:jc w:val="center"/>
              <w:rPr>
                <w:szCs w:val="24"/>
              </w:rPr>
            </w:pPr>
            <w:r w:rsidRPr="00CA61A6">
              <w:sym w:font="Wingdings" w:char="F0FC"/>
            </w:r>
          </w:p>
        </w:tc>
      </w:tr>
    </w:tbl>
    <w:p w:rsidR="00EB4FBF" w:rsidRDefault="00B860F9" w:rsidP="00B860F9">
      <w:pPr>
        <w:pStyle w:val="Headingb"/>
      </w:pPr>
      <w:r>
        <w:t>Acció</w:t>
      </w:r>
      <w:r w:rsidR="00EB4FBF" w:rsidRPr="00B860F9">
        <w:t>n</w:t>
      </w:r>
      <w:bookmarkStart w:id="10" w:name="Item01_01"/>
      <w:bookmarkEnd w:id="10"/>
      <w:r>
        <w:t xml:space="preserve"> </w:t>
      </w:r>
      <w:r w:rsidR="00EB4FBF" w:rsidRPr="00B860F9">
        <w:t>01-01</w:t>
      </w:r>
      <w:r w:rsidR="00EB4FBF" w:rsidRPr="00DC6E3C">
        <w:t>:</w:t>
      </w:r>
      <w:r w:rsidR="00EB4FBF">
        <w:t xml:space="preserve"> TSB</w:t>
      </w:r>
    </w:p>
    <w:p w:rsidR="00985405" w:rsidRPr="00CA61A6" w:rsidRDefault="00906EEB" w:rsidP="007B3478">
      <w:r w:rsidRPr="00CA61A6">
        <w:t xml:space="preserve">Completada. </w:t>
      </w:r>
      <w:r w:rsidR="002C2520" w:rsidRPr="00CA61A6">
        <w:t xml:space="preserve">La UIT y el gobierno de Túnez </w:t>
      </w:r>
      <w:r w:rsidR="00FC41F5" w:rsidRPr="00CA61A6">
        <w:t>firmaron</w:t>
      </w:r>
      <w:r w:rsidR="002C2520" w:rsidRPr="00CA61A6">
        <w:t xml:space="preserve"> el Acuerdo de País Anfitrión que oficializa las disposiciones de celebración de la Asamblea Mundial de Normalización de las </w:t>
      </w:r>
      <w:r w:rsidR="002C2520" w:rsidRPr="00CA61A6">
        <w:rPr>
          <w:cs/>
        </w:rPr>
        <w:t>‎</w:t>
      </w:r>
      <w:r w:rsidR="002C2520" w:rsidRPr="00CA61A6">
        <w:t>Telecomunicaciones de 2016 (AMNT-16)</w:t>
      </w:r>
      <w:r w:rsidR="002C2520" w:rsidRPr="00CA61A6">
        <w:rPr>
          <w:cs/>
        </w:rPr>
        <w:t>‎</w:t>
      </w:r>
      <w:r w:rsidR="000A0364" w:rsidRPr="00CA61A6">
        <w:t xml:space="preserve"> el 30 de mayo de 2016</w:t>
      </w:r>
      <w:r w:rsidR="002C2520" w:rsidRPr="00CA61A6">
        <w:t xml:space="preserve"> </w:t>
      </w:r>
      <w:r w:rsidR="004B1DDE" w:rsidRPr="00CA61A6">
        <w:t xml:space="preserve">durante </w:t>
      </w:r>
      <w:r w:rsidR="002C2520" w:rsidRPr="00CA61A6">
        <w:t>la reunión</w:t>
      </w:r>
      <w:r w:rsidR="00FC41F5" w:rsidRPr="00CA61A6">
        <w:t xml:space="preserve"> </w:t>
      </w:r>
      <w:r w:rsidR="002C2520" w:rsidRPr="00CA61A6">
        <w:t>del Consejo de la UIT</w:t>
      </w:r>
      <w:r w:rsidR="00E45D3E" w:rsidRPr="00CA61A6">
        <w:t xml:space="preserve"> en Ginebra, Suiza</w:t>
      </w:r>
      <w:r w:rsidR="002C2520" w:rsidRPr="00CA61A6">
        <w:t>.</w:t>
      </w:r>
    </w:p>
    <w:p w:rsidR="00825700" w:rsidRDefault="00A130A6" w:rsidP="00825700">
      <w:pPr>
        <w:pStyle w:val="Headingb"/>
      </w:pPr>
      <w:bookmarkStart w:id="11" w:name="Item01_02"/>
      <w:r>
        <w:t>Acció</w:t>
      </w:r>
      <w:r w:rsidRPr="00B860F9">
        <w:t>n</w:t>
      </w:r>
      <w:r>
        <w:t xml:space="preserve"> </w:t>
      </w:r>
      <w:r w:rsidR="00825700" w:rsidRPr="0019205D">
        <w:t>01-02</w:t>
      </w:r>
      <w:r w:rsidR="00825700" w:rsidRPr="00DC6E3C">
        <w:t>:</w:t>
      </w:r>
      <w:r w:rsidR="00825700">
        <w:t xml:space="preserve"> TSB</w:t>
      </w:r>
    </w:p>
    <w:bookmarkEnd w:id="11"/>
    <w:p w:rsidR="006F6E5D" w:rsidRPr="00CA61A6" w:rsidRDefault="006F6E5D" w:rsidP="007B3478">
      <w:r w:rsidRPr="00CA61A6">
        <w:t>Completada.</w:t>
      </w:r>
      <w:r w:rsidR="00800FC4" w:rsidRPr="00CA61A6">
        <w:t xml:space="preserve"> Véase la Circular 230 de la TSB de fecha 13 de julio de 2016.</w:t>
      </w:r>
    </w:p>
    <w:p w:rsidR="006F1FE1" w:rsidRPr="00CA61A6" w:rsidRDefault="006F1FE1" w:rsidP="007B3478">
      <w:pPr>
        <w:pStyle w:val="Headingb"/>
      </w:pPr>
      <w:bookmarkStart w:id="12" w:name="Item01_03"/>
      <w:r w:rsidRPr="00CA61A6">
        <w:lastRenderedPageBreak/>
        <w:t>Acción 01-03: TSB</w:t>
      </w:r>
    </w:p>
    <w:bookmarkEnd w:id="12"/>
    <w:p w:rsidR="00254820" w:rsidRPr="00CA61A6" w:rsidRDefault="00800FC4" w:rsidP="007B3478">
      <w:pPr>
        <w:rPr>
          <w:szCs w:val="24"/>
          <w:lang w:eastAsia="ja-JP"/>
        </w:rPr>
      </w:pPr>
      <w:r w:rsidRPr="00CA61A6">
        <w:rPr>
          <w:szCs w:val="24"/>
          <w:lang w:eastAsia="ja-JP"/>
        </w:rPr>
        <w:t>Se completará en el plazo previsto</w:t>
      </w:r>
      <w:r w:rsidR="00254820" w:rsidRPr="00CA61A6">
        <w:rPr>
          <w:szCs w:val="24"/>
          <w:lang w:eastAsia="ja-JP"/>
        </w:rPr>
        <w:t>.</w:t>
      </w:r>
    </w:p>
    <w:bookmarkStart w:id="13" w:name="_Toc335979770"/>
    <w:bookmarkStart w:id="14" w:name="_Toc338837104"/>
    <w:bookmarkStart w:id="15" w:name="_Toc340066376"/>
    <w:p w:rsidR="002D22A8" w:rsidRPr="00CA61A6" w:rsidRDefault="002D22A8" w:rsidP="002D22A8">
      <w:r w:rsidRPr="00CA61A6">
        <w:fldChar w:fldCharType="begin"/>
      </w:r>
      <w:r w:rsidRPr="00CA61A6">
        <w:instrText xml:space="preserve"> HYPERLINK \l "Top" </w:instrText>
      </w:r>
      <w:r w:rsidRPr="00CA61A6">
        <w:fldChar w:fldCharType="separate"/>
      </w:r>
      <w:r w:rsidRPr="00CA61A6">
        <w:rPr>
          <w:rStyle w:val="Hyperlink"/>
        </w:rPr>
        <w:t>» Arriba</w:t>
      </w:r>
      <w:r w:rsidRPr="00CA61A6">
        <w:rPr>
          <w:rStyle w:val="Hyperlink"/>
        </w:rPr>
        <w:fldChar w:fldCharType="end"/>
      </w:r>
    </w:p>
    <w:p w:rsidR="006E08FD" w:rsidRPr="00CA61A6" w:rsidRDefault="006E08FD" w:rsidP="007B3478">
      <w:pPr>
        <w:pStyle w:val="Heading1"/>
      </w:pPr>
      <w:bookmarkStart w:id="16" w:name="_2_Resolución_2"/>
      <w:bookmarkStart w:id="17" w:name="_Toc463335753"/>
      <w:bookmarkEnd w:id="16"/>
      <w:r w:rsidRPr="00CA61A6">
        <w:t>2</w:t>
      </w:r>
      <w:r w:rsidRPr="00CA61A6">
        <w:tab/>
        <w:t xml:space="preserve">Resolución 2 </w:t>
      </w:r>
      <w:r w:rsidRPr="00CA61A6">
        <w:rPr>
          <w:color w:val="000000"/>
        </w:rPr>
        <w:t>–</w:t>
      </w:r>
      <w:r w:rsidRPr="00CA61A6">
        <w:t xml:space="preserve"> </w:t>
      </w:r>
      <w:bookmarkEnd w:id="13"/>
      <w:bookmarkEnd w:id="14"/>
      <w:bookmarkEnd w:id="15"/>
      <w:r w:rsidR="00800FC4" w:rsidRPr="00CA61A6">
        <w:t xml:space="preserve">Responsabilidad y mandato de las Comisiones de Estudio del Sector de Normalización </w:t>
      </w:r>
      <w:r w:rsidR="00E0308E" w:rsidRPr="00CA61A6">
        <w:t>de las Telecomunicaciones de la </w:t>
      </w:r>
      <w:r w:rsidR="00800FC4" w:rsidRPr="00CA61A6">
        <w:t>UIT</w:t>
      </w:r>
      <w:bookmarkEnd w:id="17"/>
    </w:p>
    <w:p w:rsidR="00AD3BFD" w:rsidRPr="00CA61A6" w:rsidRDefault="00433099" w:rsidP="007B3478">
      <w:pPr>
        <w:pStyle w:val="Headingb"/>
      </w:pPr>
      <w:r w:rsidRPr="00CA61A6">
        <w:t>Resolución 2</w:t>
      </w:r>
    </w:p>
    <w:p w:rsidR="006F7638" w:rsidRPr="00CA61A6" w:rsidRDefault="006F7638" w:rsidP="007B3478">
      <w:pPr>
        <w:pStyle w:val="Call"/>
      </w:pPr>
      <w:r w:rsidRPr="00CA61A6">
        <w:t>resuelve</w:t>
      </w:r>
    </w:p>
    <w:p w:rsidR="006F7638" w:rsidRPr="00CA61A6" w:rsidRDefault="006F7638" w:rsidP="007B3478">
      <w:r w:rsidRPr="00CA61A6">
        <w:t>1</w:t>
      </w:r>
      <w:r w:rsidRPr="00CA61A6">
        <w:tab/>
        <w:t>que el mandato de cada Comisión de Estudio, que habrá de servir de base a la misma para la organización de su programa de estudios, consista en:</w:t>
      </w:r>
    </w:p>
    <w:p w:rsidR="006F7638" w:rsidRPr="00CA61A6" w:rsidRDefault="006F7638" w:rsidP="007B3478">
      <w:pPr>
        <w:pStyle w:val="enumlev1"/>
      </w:pPr>
      <w:r w:rsidRPr="00CA61A6">
        <w:t>–</w:t>
      </w:r>
      <w:r w:rsidRPr="00CA61A6">
        <w:tab/>
        <w:t>un área general de responsabilidad, como se expone en el anexo A, dentro de la cual la Comisión de Estudio puede modificar Recomendaciones existentes, en colaboración con otros grupos, cuando proceda; y</w:t>
      </w:r>
    </w:p>
    <w:p w:rsidR="006F7638" w:rsidRPr="00CA61A6" w:rsidRDefault="006F7638" w:rsidP="007B3478">
      <w:pPr>
        <w:pStyle w:val="enumlev1"/>
      </w:pPr>
      <w:r w:rsidRPr="00CA61A6">
        <w:t>–</w:t>
      </w:r>
      <w:r w:rsidRPr="00CA61A6">
        <w:tab/>
        <w:t xml:space="preserve">un conjunto de Cuestiones relativas a áreas de estudio particulares, compatibles con el área general de responsabilidad y que deben estar orientadas a la consecución de determinados resultados (véase la sección 7 de la Resolución 1 (Rev. </w:t>
      </w:r>
      <w:r w:rsidR="00CA61A6" w:rsidRPr="00CA61A6">
        <w:t>Dubái</w:t>
      </w:r>
      <w:r w:rsidRPr="00CA61A6">
        <w:t>, 2012) de esta Asamblea);</w:t>
      </w:r>
    </w:p>
    <w:p w:rsidR="006F7638" w:rsidRPr="00CA61A6" w:rsidRDefault="006F7638" w:rsidP="007B3478">
      <w:r w:rsidRPr="00CA61A6">
        <w:t>2</w:t>
      </w:r>
      <w:r w:rsidRPr="00CA61A6">
        <w:tab/>
        <w:t>alentar a las Comisiones de Estudio a examinar la posibilidad de celebrar en paralelo reuniones (por ejemplo, Plenarias de Comisiones de Estudio, reuniones de Grupos de Trabajo o reuniones de Grupos de Relator) como mecanismo destinado a mejorar la cooperación en ciertas áreas de trabajo. Las correspondientes Comisiones de Estudio deberán identificar, sobre la base de sus mandatos, las áreas de estudio en las que es necesario cooperar y mantendrán informados de ello al GANT y a la TSB,</w:t>
      </w:r>
    </w:p>
    <w:p w:rsidR="006F7638" w:rsidRPr="00CA61A6" w:rsidRDefault="006F7638" w:rsidP="007B3478">
      <w:pPr>
        <w:pStyle w:val="Call"/>
        <w:keepNext w:val="0"/>
      </w:pPr>
      <w:r w:rsidRPr="00CA61A6">
        <w:t>encarga a la Oficina de Normalización de las Telecomunicaciones</w:t>
      </w:r>
    </w:p>
    <w:p w:rsidR="006F7638" w:rsidRPr="00CA61A6" w:rsidRDefault="006F7638" w:rsidP="00741684">
      <w:pPr>
        <w:spacing w:after="120"/>
      </w:pPr>
      <w:r w:rsidRPr="00CA61A6">
        <w:t>que apoye y facilite los aspectos prácticos de la celebración de reuniones en paralelo.</w:t>
      </w:r>
    </w:p>
    <w:tbl>
      <w:tblPr>
        <w:tblW w:w="9832" w:type="dxa"/>
        <w:tblInd w:w="-13" w:type="dxa"/>
        <w:tblLook w:val="04A0" w:firstRow="1" w:lastRow="0" w:firstColumn="1" w:lastColumn="0" w:noHBand="0" w:noVBand="1"/>
      </w:tblPr>
      <w:tblGrid>
        <w:gridCol w:w="916"/>
        <w:gridCol w:w="4600"/>
        <w:gridCol w:w="1536"/>
        <w:gridCol w:w="1464"/>
        <w:gridCol w:w="1316"/>
      </w:tblGrid>
      <w:tr w:rsidR="00AD77B2" w:rsidRPr="00CA61A6" w:rsidTr="0014259E">
        <w:trPr>
          <w:trHeight w:val="647"/>
          <w:tblHeader/>
        </w:trPr>
        <w:tc>
          <w:tcPr>
            <w:tcW w:w="916" w:type="dxa"/>
            <w:tcBorders>
              <w:top w:val="single" w:sz="4" w:space="0" w:color="auto"/>
              <w:left w:val="single" w:sz="4" w:space="0" w:color="auto"/>
              <w:bottom w:val="double" w:sz="4" w:space="0" w:color="auto"/>
              <w:right w:val="single" w:sz="4" w:space="0" w:color="auto"/>
            </w:tcBorders>
            <w:vAlign w:val="center"/>
          </w:tcPr>
          <w:p w:rsidR="00AD77B2" w:rsidRPr="00CA61A6" w:rsidRDefault="00AD77B2" w:rsidP="007B3478">
            <w:pPr>
              <w:pStyle w:val="Tablehead"/>
            </w:pPr>
            <w:r w:rsidRPr="00CA61A6">
              <w:t>Número</w:t>
            </w:r>
          </w:p>
        </w:tc>
        <w:tc>
          <w:tcPr>
            <w:tcW w:w="4600" w:type="dxa"/>
            <w:tcBorders>
              <w:top w:val="single" w:sz="4" w:space="0" w:color="auto"/>
              <w:left w:val="single" w:sz="4" w:space="0" w:color="auto"/>
              <w:bottom w:val="double" w:sz="4" w:space="0" w:color="auto"/>
              <w:right w:val="single" w:sz="4" w:space="0" w:color="auto"/>
            </w:tcBorders>
            <w:shd w:val="clear" w:color="auto" w:fill="auto"/>
            <w:vAlign w:val="center"/>
            <w:hideMark/>
          </w:tcPr>
          <w:p w:rsidR="00AD77B2" w:rsidRPr="00CA61A6" w:rsidRDefault="00AD77B2" w:rsidP="007B3478">
            <w:pPr>
              <w:pStyle w:val="Tablehead"/>
            </w:pPr>
            <w:r w:rsidRPr="00CA61A6">
              <w:t>Acción</w:t>
            </w:r>
          </w:p>
        </w:tc>
        <w:tc>
          <w:tcPr>
            <w:tcW w:w="1536" w:type="dxa"/>
            <w:tcBorders>
              <w:top w:val="single" w:sz="4" w:space="0" w:color="auto"/>
              <w:left w:val="nil"/>
              <w:bottom w:val="double" w:sz="4" w:space="0" w:color="auto"/>
              <w:right w:val="single" w:sz="4" w:space="0" w:color="auto"/>
            </w:tcBorders>
            <w:shd w:val="clear" w:color="auto" w:fill="auto"/>
            <w:vAlign w:val="center"/>
            <w:hideMark/>
          </w:tcPr>
          <w:p w:rsidR="00AD77B2" w:rsidRPr="00CA61A6" w:rsidRDefault="00AD77B2" w:rsidP="007B3478">
            <w:pPr>
              <w:pStyle w:val="Tablehead"/>
            </w:pPr>
            <w:r w:rsidRPr="00CA61A6">
              <w:t>Fecha objetivo</w:t>
            </w:r>
          </w:p>
        </w:tc>
        <w:tc>
          <w:tcPr>
            <w:tcW w:w="1464" w:type="dxa"/>
            <w:tcBorders>
              <w:top w:val="single" w:sz="4" w:space="0" w:color="auto"/>
              <w:left w:val="nil"/>
              <w:bottom w:val="double" w:sz="4" w:space="0" w:color="auto"/>
              <w:right w:val="single" w:sz="4" w:space="0" w:color="auto"/>
            </w:tcBorders>
            <w:vAlign w:val="center"/>
          </w:tcPr>
          <w:p w:rsidR="00AD77B2" w:rsidRPr="00CA61A6" w:rsidRDefault="00AD77B2" w:rsidP="007B3478">
            <w:pPr>
              <w:pStyle w:val="Tablehead"/>
            </w:pPr>
            <w:r w:rsidRPr="00CA61A6">
              <w:t>Objetivos periódicos cumplidos</w:t>
            </w:r>
          </w:p>
        </w:tc>
        <w:tc>
          <w:tcPr>
            <w:tcW w:w="1316" w:type="dxa"/>
            <w:tcBorders>
              <w:top w:val="single" w:sz="4" w:space="0" w:color="auto"/>
              <w:left w:val="single" w:sz="4" w:space="0" w:color="auto"/>
              <w:bottom w:val="double" w:sz="4" w:space="0" w:color="auto"/>
              <w:right w:val="single" w:sz="4" w:space="0" w:color="auto"/>
            </w:tcBorders>
            <w:vAlign w:val="center"/>
          </w:tcPr>
          <w:p w:rsidR="00AD77B2" w:rsidRPr="00CA61A6" w:rsidRDefault="00AD77B2" w:rsidP="007B3478">
            <w:pPr>
              <w:pStyle w:val="Tablehead"/>
            </w:pPr>
            <w:r w:rsidRPr="00CA61A6">
              <w:t>Completada</w:t>
            </w:r>
          </w:p>
        </w:tc>
      </w:tr>
      <w:tr w:rsidR="00AD77B2" w:rsidRPr="00CA61A6" w:rsidTr="0014259E">
        <w:trPr>
          <w:cantSplit/>
          <w:trHeight w:val="620"/>
        </w:trPr>
        <w:tc>
          <w:tcPr>
            <w:tcW w:w="916" w:type="dxa"/>
            <w:tcBorders>
              <w:top w:val="double" w:sz="4" w:space="0" w:color="auto"/>
              <w:left w:val="single" w:sz="4" w:space="0" w:color="auto"/>
              <w:bottom w:val="single" w:sz="4" w:space="0" w:color="auto"/>
              <w:right w:val="single" w:sz="4" w:space="0" w:color="auto"/>
            </w:tcBorders>
            <w:vAlign w:val="center"/>
          </w:tcPr>
          <w:p w:rsidR="00AD77B2" w:rsidRPr="00CA61A6" w:rsidRDefault="00110CAD" w:rsidP="007B3478">
            <w:pPr>
              <w:pStyle w:val="Tabletext"/>
            </w:pPr>
            <w:hyperlink w:anchor="Item02_01" w:history="1">
              <w:r w:rsidR="00AD77B2" w:rsidRPr="00CA61A6">
                <w:rPr>
                  <w:rStyle w:val="Hyperlink"/>
                </w:rPr>
                <w:t>02-01</w:t>
              </w:r>
            </w:hyperlink>
          </w:p>
        </w:tc>
        <w:tc>
          <w:tcPr>
            <w:tcW w:w="4600"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AD77B2" w:rsidRPr="00CA61A6" w:rsidRDefault="00F51AC0" w:rsidP="007B3478">
            <w:pPr>
              <w:pStyle w:val="Tabletext"/>
            </w:pPr>
            <w:r w:rsidRPr="00CA61A6">
              <w:t>Los</w:t>
            </w:r>
            <w:r w:rsidR="00AD77B2" w:rsidRPr="00CA61A6">
              <w:t xml:space="preserve"> Consejero</w:t>
            </w:r>
            <w:r w:rsidRPr="00CA61A6">
              <w:t>s</w:t>
            </w:r>
            <w:r w:rsidR="00AD77B2" w:rsidRPr="00CA61A6">
              <w:t xml:space="preserve"> de la TSB insertará</w:t>
            </w:r>
            <w:r w:rsidR="00912E43" w:rsidRPr="00CA61A6">
              <w:t>n</w:t>
            </w:r>
            <w:r w:rsidR="00AD77B2" w:rsidRPr="00CA61A6">
              <w:t xml:space="preserve"> en la página web de la Resolución 2 un puntero hacia el emplazamiento de la estructura de las Comisiones de Estudio, su mandato o la información del Anexo C actualizados en el plazo de un mes después de que se efectúen los cambios</w:t>
            </w:r>
          </w:p>
        </w:tc>
        <w:tc>
          <w:tcPr>
            <w:tcW w:w="1536" w:type="dxa"/>
            <w:tcBorders>
              <w:top w:val="double" w:sz="4" w:space="0" w:color="auto"/>
              <w:left w:val="nil"/>
              <w:bottom w:val="single" w:sz="4" w:space="0" w:color="auto"/>
              <w:right w:val="single" w:sz="4" w:space="0" w:color="auto"/>
            </w:tcBorders>
            <w:shd w:val="clear" w:color="auto" w:fill="auto"/>
            <w:vAlign w:val="center"/>
            <w:hideMark/>
          </w:tcPr>
          <w:p w:rsidR="00AD77B2" w:rsidRPr="00CA61A6" w:rsidRDefault="00AD77B2" w:rsidP="007B3478">
            <w:pPr>
              <w:pStyle w:val="Tabletext"/>
              <w:jc w:val="center"/>
            </w:pPr>
            <w:r w:rsidRPr="00CA61A6">
              <w:t>En curso</w:t>
            </w:r>
          </w:p>
        </w:tc>
        <w:tc>
          <w:tcPr>
            <w:tcW w:w="1464" w:type="dxa"/>
            <w:tcBorders>
              <w:top w:val="double" w:sz="4" w:space="0" w:color="auto"/>
              <w:left w:val="nil"/>
              <w:bottom w:val="single" w:sz="4" w:space="0" w:color="auto"/>
              <w:right w:val="single" w:sz="4" w:space="0" w:color="auto"/>
            </w:tcBorders>
            <w:vAlign w:val="center"/>
          </w:tcPr>
          <w:p w:rsidR="00AD77B2" w:rsidRPr="00CA61A6" w:rsidRDefault="00AF4D49" w:rsidP="007B3478">
            <w:pPr>
              <w:pStyle w:val="Tabletext"/>
              <w:jc w:val="center"/>
            </w:pPr>
            <w:r w:rsidRPr="00CA61A6">
              <w:sym w:font="Wingdings" w:char="F0FC"/>
            </w:r>
          </w:p>
        </w:tc>
        <w:tc>
          <w:tcPr>
            <w:tcW w:w="1316" w:type="dxa"/>
            <w:tcBorders>
              <w:top w:val="double" w:sz="4" w:space="0" w:color="auto"/>
              <w:left w:val="single" w:sz="4" w:space="0" w:color="auto"/>
              <w:bottom w:val="single" w:sz="4" w:space="0" w:color="auto"/>
              <w:right w:val="single" w:sz="4" w:space="0" w:color="auto"/>
            </w:tcBorders>
            <w:shd w:val="clear" w:color="auto" w:fill="auto"/>
            <w:vAlign w:val="center"/>
          </w:tcPr>
          <w:p w:rsidR="00AD77B2" w:rsidRPr="00CA61A6" w:rsidRDefault="00AF4D49" w:rsidP="007B3478">
            <w:pPr>
              <w:pStyle w:val="Tabletext"/>
              <w:jc w:val="center"/>
            </w:pPr>
            <w:r w:rsidRPr="00CA61A6">
              <w:sym w:font="Wingdings" w:char="F0FC"/>
            </w:r>
          </w:p>
        </w:tc>
      </w:tr>
      <w:tr w:rsidR="009F062B" w:rsidRPr="00CA61A6" w:rsidTr="00EF5F08">
        <w:trPr>
          <w:cantSplit/>
          <w:trHeight w:val="620"/>
        </w:trPr>
        <w:tc>
          <w:tcPr>
            <w:tcW w:w="916" w:type="dxa"/>
            <w:tcBorders>
              <w:top w:val="single" w:sz="4" w:space="0" w:color="auto"/>
              <w:left w:val="single" w:sz="4" w:space="0" w:color="auto"/>
              <w:bottom w:val="single" w:sz="4" w:space="0" w:color="auto"/>
              <w:right w:val="single" w:sz="4" w:space="0" w:color="auto"/>
            </w:tcBorders>
            <w:vAlign w:val="center"/>
          </w:tcPr>
          <w:p w:rsidR="009F062B" w:rsidRPr="00CA61A6" w:rsidRDefault="00110CAD" w:rsidP="007B3478">
            <w:pPr>
              <w:pStyle w:val="Tabletext"/>
            </w:pPr>
            <w:hyperlink w:anchor="Item02_02" w:history="1">
              <w:r w:rsidR="009F062B" w:rsidRPr="00CA61A6">
                <w:rPr>
                  <w:rStyle w:val="Hyperlink"/>
                </w:rPr>
                <w:t>02-0</w:t>
              </w:r>
              <w:r w:rsidR="00992C11" w:rsidRPr="00CA61A6">
                <w:rPr>
                  <w:rStyle w:val="Hyperlink"/>
                </w:rPr>
                <w:t>2</w:t>
              </w:r>
            </w:hyperlink>
          </w:p>
        </w:tc>
        <w:tc>
          <w:tcPr>
            <w:tcW w:w="4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F062B" w:rsidRPr="00CA61A6" w:rsidRDefault="00F51AC0" w:rsidP="007B3478">
            <w:pPr>
              <w:pStyle w:val="Tabletext"/>
            </w:pPr>
            <w:r w:rsidRPr="00CA61A6">
              <w:t xml:space="preserve">Las Comisiones de </w:t>
            </w:r>
            <w:r w:rsidR="00321400" w:rsidRPr="00CA61A6">
              <w:t xml:space="preserve">Estudio 2 y 3 celebrarán reuniones </w:t>
            </w:r>
            <w:r w:rsidR="00B05E62" w:rsidRPr="00CA61A6">
              <w:rPr>
                <w:szCs w:val="24"/>
                <w:lang w:eastAsia="ja-JP"/>
              </w:rPr>
              <w:t>coordinada</w:t>
            </w:r>
            <w:r w:rsidR="00E746F5" w:rsidRPr="00CA61A6">
              <w:t xml:space="preserve">s </w:t>
            </w:r>
            <w:r w:rsidR="00321400" w:rsidRPr="00CA61A6">
              <w:t>en el futuro</w:t>
            </w:r>
          </w:p>
        </w:tc>
        <w:tc>
          <w:tcPr>
            <w:tcW w:w="1536" w:type="dxa"/>
            <w:tcBorders>
              <w:top w:val="single" w:sz="4" w:space="0" w:color="auto"/>
              <w:left w:val="nil"/>
              <w:bottom w:val="single" w:sz="4" w:space="0" w:color="auto"/>
              <w:right w:val="single" w:sz="4" w:space="0" w:color="auto"/>
            </w:tcBorders>
            <w:shd w:val="clear" w:color="auto" w:fill="auto"/>
            <w:vAlign w:val="center"/>
            <w:hideMark/>
          </w:tcPr>
          <w:p w:rsidR="009F062B" w:rsidRPr="00CA61A6" w:rsidRDefault="009F062B" w:rsidP="007B3478">
            <w:pPr>
              <w:pStyle w:val="Tabletext"/>
              <w:jc w:val="center"/>
            </w:pPr>
            <w:r w:rsidRPr="00CA61A6">
              <w:t>En curso</w:t>
            </w:r>
          </w:p>
        </w:tc>
        <w:tc>
          <w:tcPr>
            <w:tcW w:w="1464" w:type="dxa"/>
            <w:tcBorders>
              <w:top w:val="single" w:sz="4" w:space="0" w:color="auto"/>
              <w:left w:val="nil"/>
              <w:bottom w:val="single" w:sz="4" w:space="0" w:color="auto"/>
              <w:right w:val="single" w:sz="4" w:space="0" w:color="auto"/>
            </w:tcBorders>
            <w:vAlign w:val="center"/>
          </w:tcPr>
          <w:p w:rsidR="009F062B" w:rsidRPr="00CA61A6" w:rsidRDefault="00AF4D49" w:rsidP="007B3478">
            <w:pPr>
              <w:pStyle w:val="Tabletext"/>
              <w:jc w:val="center"/>
              <w:rPr>
                <w:szCs w:val="24"/>
              </w:rPr>
            </w:pPr>
            <w:r w:rsidRPr="00CA61A6">
              <w:sym w:font="Wingdings" w:char="F0FC"/>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tcPr>
          <w:p w:rsidR="009F062B" w:rsidRPr="00CA61A6" w:rsidRDefault="00321400" w:rsidP="007B3478">
            <w:pPr>
              <w:pStyle w:val="Tabletext"/>
              <w:jc w:val="center"/>
              <w:rPr>
                <w:i/>
                <w:iCs/>
                <w:szCs w:val="24"/>
              </w:rPr>
            </w:pPr>
            <w:r w:rsidRPr="00CA61A6">
              <w:t xml:space="preserve">Véase más información </w:t>
            </w:r>
            <w:r w:rsidRPr="00CA61A6">
              <w:rPr>
                <w:i/>
                <w:iCs/>
              </w:rPr>
              <w:t>infra</w:t>
            </w:r>
          </w:p>
        </w:tc>
      </w:tr>
    </w:tbl>
    <w:p w:rsidR="001D6ED0" w:rsidRPr="00CA61A6" w:rsidRDefault="001D6ED0" w:rsidP="007B3478">
      <w:pPr>
        <w:pStyle w:val="Headingb"/>
      </w:pPr>
      <w:bookmarkStart w:id="18" w:name="Item02_01"/>
      <w:r w:rsidRPr="00CA61A6">
        <w:t>Acción 02-01: TSB</w:t>
      </w:r>
    </w:p>
    <w:bookmarkEnd w:id="18"/>
    <w:p w:rsidR="00321400" w:rsidRPr="00CA61A6" w:rsidRDefault="00321400" w:rsidP="00857287">
      <w:pPr>
        <w:rPr>
          <w:lang w:eastAsia="ja-JP"/>
        </w:rPr>
      </w:pPr>
      <w:r w:rsidRPr="00CA61A6">
        <w:rPr>
          <w:lang w:eastAsia="ja-JP"/>
        </w:rPr>
        <w:t xml:space="preserve">El Anexo C actualizado está disponible en la página web del UIT-T en: </w:t>
      </w:r>
      <w:hyperlink r:id="rId67" w:history="1">
        <w:r w:rsidRPr="00CA61A6">
          <w:rPr>
            <w:color w:val="0000FF"/>
            <w:u w:val="single"/>
            <w:lang w:eastAsia="ja-JP"/>
          </w:rPr>
          <w:t>http://itu.int/en/ITU-T/about/Pages/res2-annexc-sp15.aspx</w:t>
        </w:r>
      </w:hyperlink>
      <w:r w:rsidRPr="00CA61A6">
        <w:rPr>
          <w:lang w:eastAsia="ja-JP"/>
        </w:rPr>
        <w:t>. Las actualizaciones se publican en esta página justo después de su aprobación.</w:t>
      </w:r>
    </w:p>
    <w:p w:rsidR="00C83FFA" w:rsidRPr="00CA61A6" w:rsidRDefault="00321400" w:rsidP="00B26079">
      <w:pPr>
        <w:keepNext/>
        <w:keepLines/>
        <w:rPr>
          <w:szCs w:val="24"/>
          <w:lang w:eastAsia="ja-JP"/>
        </w:rPr>
      </w:pPr>
      <w:r w:rsidRPr="00CA61A6">
        <w:rPr>
          <w:szCs w:val="24"/>
          <w:lang w:eastAsia="ja-JP"/>
        </w:rPr>
        <w:lastRenderedPageBreak/>
        <w:t xml:space="preserve">Los cambios en el mandato y las funciones de Comisión de Estudio Rectora se publican directamente en el apartado </w:t>
      </w:r>
      <w:r w:rsidR="00B26079" w:rsidRPr="00CA61A6">
        <w:rPr>
          <w:szCs w:val="24"/>
          <w:lang w:eastAsia="ja-JP"/>
        </w:rPr>
        <w:t>"</w:t>
      </w:r>
      <w:r w:rsidR="00E746F5" w:rsidRPr="00CA61A6">
        <w:rPr>
          <w:b/>
          <w:bCs/>
          <w:szCs w:val="24"/>
          <w:lang w:eastAsia="ja-JP"/>
        </w:rPr>
        <w:t>Mandate and lead roles</w:t>
      </w:r>
      <w:r w:rsidR="00B26079" w:rsidRPr="00CA61A6">
        <w:rPr>
          <w:szCs w:val="24"/>
          <w:lang w:eastAsia="ja-JP"/>
        </w:rPr>
        <w:t>"</w:t>
      </w:r>
      <w:r w:rsidR="00E746F5" w:rsidRPr="00CA61A6">
        <w:rPr>
          <w:szCs w:val="24"/>
          <w:lang w:eastAsia="ja-JP"/>
        </w:rPr>
        <w:t xml:space="preserve"> de la página web de cada una de las Comisiones</w:t>
      </w:r>
      <w:r w:rsidRPr="00CA61A6">
        <w:rPr>
          <w:szCs w:val="24"/>
          <w:lang w:eastAsia="ja-JP"/>
        </w:rPr>
        <w:t xml:space="preserve"> de </w:t>
      </w:r>
      <w:r w:rsidR="00E746F5" w:rsidRPr="00CA61A6">
        <w:rPr>
          <w:szCs w:val="24"/>
          <w:lang w:eastAsia="ja-JP"/>
        </w:rPr>
        <w:t>E</w:t>
      </w:r>
      <w:r w:rsidRPr="00CA61A6">
        <w:rPr>
          <w:szCs w:val="24"/>
          <w:lang w:eastAsia="ja-JP"/>
        </w:rPr>
        <w:t xml:space="preserve">studio </w:t>
      </w:r>
      <w:r w:rsidR="00E746F5" w:rsidRPr="00CA61A6">
        <w:rPr>
          <w:szCs w:val="24"/>
          <w:lang w:eastAsia="ja-JP"/>
        </w:rPr>
        <w:t xml:space="preserve">en: </w:t>
      </w:r>
      <w:hyperlink r:id="rId68" w:history="1">
        <w:r w:rsidR="00E746F5" w:rsidRPr="00CA61A6">
          <w:rPr>
            <w:rStyle w:val="Hyperlink"/>
            <w:szCs w:val="24"/>
            <w:lang w:eastAsia="ja-JP"/>
          </w:rPr>
          <w:t>http://itu.int/en/ITU-T/studygroups/2013-2016/</w:t>
        </w:r>
        <w:r w:rsidR="00E746F5" w:rsidRPr="00CA61A6">
          <w:rPr>
            <w:rStyle w:val="Hyperlink"/>
            <w:i/>
            <w:iCs/>
            <w:szCs w:val="24"/>
            <w:lang w:eastAsia="ja-JP"/>
          </w:rPr>
          <w:t>xx</w:t>
        </w:r>
        <w:r w:rsidR="00E746F5" w:rsidRPr="00CA61A6">
          <w:rPr>
            <w:rStyle w:val="Hyperlink"/>
            <w:szCs w:val="24"/>
            <w:lang w:eastAsia="ja-JP"/>
          </w:rPr>
          <w:t>/Pages/mandate.aspx</w:t>
        </w:r>
      </w:hyperlink>
      <w:r w:rsidR="00E746F5" w:rsidRPr="00CA61A6">
        <w:rPr>
          <w:szCs w:val="24"/>
          <w:lang w:eastAsia="ja-JP"/>
        </w:rPr>
        <w:t xml:space="preserve"> (</w:t>
      </w:r>
      <w:r w:rsidR="00B741FE" w:rsidRPr="00CA61A6">
        <w:rPr>
          <w:szCs w:val="24"/>
          <w:lang w:eastAsia="ja-JP"/>
        </w:rPr>
        <w:t>siendo</w:t>
      </w:r>
      <w:r w:rsidRPr="00CA61A6">
        <w:rPr>
          <w:szCs w:val="24"/>
          <w:lang w:eastAsia="ja-JP"/>
        </w:rPr>
        <w:t xml:space="preserve"> xx = 02, 03, 05, 09, 11, 12, 13, 15, 16, 17, 20</w:t>
      </w:r>
      <w:r w:rsidR="00E746F5" w:rsidRPr="00CA61A6">
        <w:rPr>
          <w:szCs w:val="24"/>
          <w:lang w:eastAsia="ja-JP"/>
        </w:rPr>
        <w:t>)</w:t>
      </w:r>
      <w:r w:rsidRPr="00CA61A6">
        <w:rPr>
          <w:szCs w:val="24"/>
          <w:lang w:eastAsia="ja-JP"/>
        </w:rPr>
        <w:t>.</w:t>
      </w:r>
    </w:p>
    <w:p w:rsidR="00CF4075" w:rsidRPr="00CA61A6" w:rsidRDefault="00CF4075" w:rsidP="007B3478">
      <w:pPr>
        <w:pStyle w:val="Headingb"/>
      </w:pPr>
      <w:bookmarkStart w:id="19" w:name="Item02_02"/>
      <w:r w:rsidRPr="00CA61A6">
        <w:t>Acción 02-02: TSB</w:t>
      </w:r>
    </w:p>
    <w:bookmarkEnd w:id="19"/>
    <w:p w:rsidR="005F6B8D" w:rsidRPr="00CA61A6" w:rsidRDefault="00E746F5" w:rsidP="007B3478">
      <w:pPr>
        <w:rPr>
          <w:szCs w:val="24"/>
          <w:lang w:eastAsia="ja-JP"/>
        </w:rPr>
      </w:pPr>
      <w:r w:rsidRPr="00CA61A6">
        <w:rPr>
          <w:szCs w:val="24"/>
          <w:lang w:eastAsia="ja-JP"/>
        </w:rPr>
        <w:t xml:space="preserve">Los Presidentes de las Comisiones de Estudio 2 y 3 </w:t>
      </w:r>
      <w:r w:rsidR="00CA61A6" w:rsidRPr="00CA61A6">
        <w:rPr>
          <w:szCs w:val="24"/>
          <w:lang w:eastAsia="ja-JP"/>
        </w:rPr>
        <w:t>mantuvieron</w:t>
      </w:r>
      <w:r w:rsidRPr="00CA61A6">
        <w:rPr>
          <w:szCs w:val="24"/>
          <w:lang w:eastAsia="ja-JP"/>
        </w:rPr>
        <w:t xml:space="preserve"> </w:t>
      </w:r>
      <w:r w:rsidRPr="00CA61A6">
        <w:t>audioconferencias con la</w:t>
      </w:r>
      <w:r w:rsidRPr="00CA61A6">
        <w:rPr>
          <w:szCs w:val="24"/>
          <w:lang w:eastAsia="ja-JP"/>
        </w:rPr>
        <w:t xml:space="preserve"> Secretaría de la TSB. Ambas Comisiones celebra</w:t>
      </w:r>
      <w:r w:rsidR="00B741FE" w:rsidRPr="00CA61A6">
        <w:rPr>
          <w:szCs w:val="24"/>
          <w:lang w:eastAsia="ja-JP"/>
        </w:rPr>
        <w:t>ro</w:t>
      </w:r>
      <w:r w:rsidRPr="00CA61A6">
        <w:rPr>
          <w:szCs w:val="24"/>
          <w:lang w:eastAsia="ja-JP"/>
        </w:rPr>
        <w:t>n reuniones</w:t>
      </w:r>
      <w:r w:rsidR="00B05E62" w:rsidRPr="00CA61A6">
        <w:rPr>
          <w:szCs w:val="24"/>
          <w:lang w:eastAsia="ja-JP"/>
        </w:rPr>
        <w:t xml:space="preserve"> coordinadas</w:t>
      </w:r>
      <w:r w:rsidRPr="00CA61A6">
        <w:rPr>
          <w:szCs w:val="24"/>
          <w:lang w:eastAsia="ja-JP"/>
        </w:rPr>
        <w:t xml:space="preserve"> en mayo-junio de 2014 y marzo de 2015.</w:t>
      </w:r>
    </w:p>
    <w:p w:rsidR="005F6B8D" w:rsidRPr="00CA61A6" w:rsidRDefault="002D1CFE" w:rsidP="007B3478">
      <w:pPr>
        <w:rPr>
          <w:szCs w:val="24"/>
          <w:lang w:eastAsia="ja-JP"/>
        </w:rPr>
      </w:pPr>
      <w:r w:rsidRPr="00CA61A6">
        <w:rPr>
          <w:szCs w:val="24"/>
          <w:lang w:eastAsia="ja-JP"/>
        </w:rPr>
        <w:t>L</w:t>
      </w:r>
      <w:r w:rsidR="00A52E49" w:rsidRPr="00CA61A6">
        <w:rPr>
          <w:szCs w:val="24"/>
          <w:lang w:eastAsia="ja-JP"/>
        </w:rPr>
        <w:t xml:space="preserve">as </w:t>
      </w:r>
      <w:r w:rsidRPr="00CA61A6">
        <w:rPr>
          <w:szCs w:val="24"/>
          <w:lang w:eastAsia="ja-JP"/>
        </w:rPr>
        <w:t>primeras reuniones que</w:t>
      </w:r>
      <w:r w:rsidR="00A52E49" w:rsidRPr="00CA61A6">
        <w:rPr>
          <w:szCs w:val="24"/>
          <w:lang w:eastAsia="ja-JP"/>
        </w:rPr>
        <w:t xml:space="preserve"> las Comisiones de Estudio 2 y 3 </w:t>
      </w:r>
      <w:r w:rsidRPr="00CA61A6">
        <w:rPr>
          <w:szCs w:val="24"/>
          <w:lang w:eastAsia="ja-JP"/>
        </w:rPr>
        <w:t xml:space="preserve">celebraron en 2016 no pudieron organizarse </w:t>
      </w:r>
      <w:r w:rsidR="00B05E62" w:rsidRPr="00CA61A6">
        <w:rPr>
          <w:szCs w:val="24"/>
          <w:lang w:eastAsia="ja-JP"/>
        </w:rPr>
        <w:t>de manera coordinada</w:t>
      </w:r>
      <w:r w:rsidRPr="00CA61A6">
        <w:rPr>
          <w:szCs w:val="24"/>
          <w:lang w:eastAsia="ja-JP"/>
        </w:rPr>
        <w:t xml:space="preserve">, a causa de las disposiciones </w:t>
      </w:r>
      <w:r w:rsidR="00E746F5" w:rsidRPr="00CA61A6">
        <w:rPr>
          <w:szCs w:val="24"/>
          <w:lang w:eastAsia="ja-JP"/>
        </w:rPr>
        <w:t>de las reuniones del Grupo Regional de la CE 3,</w:t>
      </w:r>
      <w:r w:rsidRPr="00CA61A6">
        <w:rPr>
          <w:szCs w:val="24"/>
          <w:lang w:eastAsia="ja-JP"/>
        </w:rPr>
        <w:t xml:space="preserve"> de</w:t>
      </w:r>
      <w:r w:rsidR="00E746F5" w:rsidRPr="00CA61A6">
        <w:rPr>
          <w:szCs w:val="24"/>
          <w:lang w:eastAsia="ja-JP"/>
        </w:rPr>
        <w:t xml:space="preserve"> la disponibilidad de </w:t>
      </w:r>
      <w:r w:rsidRPr="00CA61A6">
        <w:rPr>
          <w:szCs w:val="24"/>
          <w:lang w:eastAsia="ja-JP"/>
        </w:rPr>
        <w:t xml:space="preserve">las </w:t>
      </w:r>
      <w:r w:rsidR="00E746F5" w:rsidRPr="00CA61A6">
        <w:rPr>
          <w:szCs w:val="24"/>
          <w:lang w:eastAsia="ja-JP"/>
        </w:rPr>
        <w:t>salas de reuniones,</w:t>
      </w:r>
      <w:r w:rsidRPr="00CA61A6">
        <w:rPr>
          <w:szCs w:val="24"/>
          <w:lang w:eastAsia="ja-JP"/>
        </w:rPr>
        <w:t xml:space="preserve"> de las</w:t>
      </w:r>
      <w:r w:rsidR="00E746F5" w:rsidRPr="00CA61A6">
        <w:rPr>
          <w:szCs w:val="24"/>
          <w:lang w:eastAsia="ja-JP"/>
        </w:rPr>
        <w:t xml:space="preserve"> fechas de</w:t>
      </w:r>
      <w:r w:rsidRPr="00CA61A6">
        <w:rPr>
          <w:szCs w:val="24"/>
          <w:lang w:eastAsia="ja-JP"/>
        </w:rPr>
        <w:t>l</w:t>
      </w:r>
      <w:r w:rsidR="00E746F5" w:rsidRPr="00CA61A6">
        <w:rPr>
          <w:szCs w:val="24"/>
          <w:lang w:eastAsia="ja-JP"/>
        </w:rPr>
        <w:t xml:space="preserve"> </w:t>
      </w:r>
      <w:r w:rsidRPr="00CA61A6">
        <w:rPr>
          <w:szCs w:val="24"/>
          <w:lang w:eastAsia="ja-JP"/>
        </w:rPr>
        <w:t>Salón del Automóvil de Ginebra</w:t>
      </w:r>
      <w:r w:rsidR="00E746F5" w:rsidRPr="00CA61A6">
        <w:rPr>
          <w:szCs w:val="24"/>
          <w:lang w:eastAsia="ja-JP"/>
        </w:rPr>
        <w:t xml:space="preserve"> y </w:t>
      </w:r>
      <w:r w:rsidRPr="00CA61A6">
        <w:rPr>
          <w:szCs w:val="24"/>
          <w:lang w:eastAsia="ja-JP"/>
        </w:rPr>
        <w:t xml:space="preserve">de </w:t>
      </w:r>
      <w:r w:rsidR="00E746F5" w:rsidRPr="00CA61A6">
        <w:rPr>
          <w:szCs w:val="24"/>
          <w:lang w:eastAsia="ja-JP"/>
        </w:rPr>
        <w:t>las fechas previstas para la segunda reunión de la CE 2 en 2016.</w:t>
      </w:r>
    </w:p>
    <w:p w:rsidR="00BE1A2E" w:rsidRPr="00CA61A6" w:rsidRDefault="00E746F5" w:rsidP="007B3478">
      <w:pPr>
        <w:rPr>
          <w:szCs w:val="24"/>
          <w:lang w:eastAsia="ja-JP"/>
        </w:rPr>
      </w:pPr>
      <w:r w:rsidRPr="00CA61A6">
        <w:rPr>
          <w:szCs w:val="24"/>
          <w:lang w:eastAsia="ja-JP"/>
        </w:rPr>
        <w:t xml:space="preserve">El Presidente </w:t>
      </w:r>
      <w:r w:rsidR="002D1CFE" w:rsidRPr="00CA61A6">
        <w:rPr>
          <w:szCs w:val="24"/>
          <w:lang w:eastAsia="ja-JP"/>
        </w:rPr>
        <w:t xml:space="preserve">de la CE </w:t>
      </w:r>
      <w:r w:rsidRPr="00CA61A6">
        <w:rPr>
          <w:szCs w:val="24"/>
          <w:lang w:eastAsia="ja-JP"/>
        </w:rPr>
        <w:t>3</w:t>
      </w:r>
      <w:r w:rsidR="002D1CFE" w:rsidRPr="00CA61A6">
        <w:rPr>
          <w:szCs w:val="24"/>
          <w:lang w:eastAsia="ja-JP"/>
        </w:rPr>
        <w:t xml:space="preserve"> presentó</w:t>
      </w:r>
      <w:r w:rsidRPr="00CA61A6">
        <w:rPr>
          <w:szCs w:val="24"/>
          <w:lang w:eastAsia="ja-JP"/>
        </w:rPr>
        <w:t xml:space="preserve"> </w:t>
      </w:r>
      <w:r w:rsidR="002D1CFE" w:rsidRPr="00CA61A6">
        <w:rPr>
          <w:szCs w:val="24"/>
          <w:lang w:eastAsia="ja-JP"/>
        </w:rPr>
        <w:t>el</w:t>
      </w:r>
      <w:r w:rsidR="002F01B8">
        <w:rPr>
          <w:szCs w:val="24"/>
          <w:lang w:eastAsia="ja-JP"/>
        </w:rPr>
        <w:t xml:space="preserve"> Documento</w:t>
      </w:r>
      <w:r w:rsidR="002D1CFE" w:rsidRPr="00CA61A6">
        <w:rPr>
          <w:szCs w:val="24"/>
          <w:lang w:eastAsia="ja-JP"/>
        </w:rPr>
        <w:t xml:space="preserve"> </w:t>
      </w:r>
      <w:hyperlink r:id="rId69" w:history="1">
        <w:r w:rsidR="002D1CFE" w:rsidRPr="00CA61A6">
          <w:rPr>
            <w:color w:val="0000FF"/>
            <w:szCs w:val="24"/>
            <w:u w:val="single"/>
            <w:lang w:eastAsia="ja-JP"/>
          </w:rPr>
          <w:t>TD158</w:t>
        </w:r>
      </w:hyperlink>
      <w:r w:rsidR="002D1CFE" w:rsidRPr="00CA61A6">
        <w:rPr>
          <w:szCs w:val="24"/>
          <w:lang w:eastAsia="ja-JP"/>
        </w:rPr>
        <w:t xml:space="preserve"> </w:t>
      </w:r>
      <w:r w:rsidRPr="00CA61A6">
        <w:rPr>
          <w:szCs w:val="24"/>
          <w:lang w:eastAsia="ja-JP"/>
        </w:rPr>
        <w:t>a</w:t>
      </w:r>
      <w:r w:rsidR="002D1CFE" w:rsidRPr="00CA61A6">
        <w:rPr>
          <w:szCs w:val="24"/>
          <w:lang w:eastAsia="ja-JP"/>
        </w:rPr>
        <w:t>l Comité de Examen del UIT-T</w:t>
      </w:r>
      <w:r w:rsidRPr="00CA61A6">
        <w:rPr>
          <w:szCs w:val="24"/>
          <w:lang w:eastAsia="ja-JP"/>
        </w:rPr>
        <w:t xml:space="preserve"> en su reunión de mayo de 2015,</w:t>
      </w:r>
      <w:r w:rsidR="002D1CFE" w:rsidRPr="00CA61A6">
        <w:rPr>
          <w:szCs w:val="24"/>
          <w:lang w:eastAsia="ja-JP"/>
        </w:rPr>
        <w:t xml:space="preserve"> e indicó que las Comisiones de Estudio 2 y 3 del</w:t>
      </w:r>
      <w:r w:rsidRPr="00CA61A6">
        <w:rPr>
          <w:szCs w:val="24"/>
          <w:lang w:eastAsia="ja-JP"/>
        </w:rPr>
        <w:t xml:space="preserve"> UIT-T </w:t>
      </w:r>
      <w:r w:rsidR="002D1CFE" w:rsidRPr="00CA61A6">
        <w:rPr>
          <w:szCs w:val="24"/>
          <w:lang w:eastAsia="ja-JP"/>
        </w:rPr>
        <w:t>comprendían á</w:t>
      </w:r>
      <w:r w:rsidR="00B741FE" w:rsidRPr="00CA61A6">
        <w:rPr>
          <w:szCs w:val="24"/>
          <w:lang w:eastAsia="ja-JP"/>
        </w:rPr>
        <w:t>reas</w:t>
      </w:r>
      <w:r w:rsidR="002D1CFE" w:rsidRPr="00CA61A6">
        <w:rPr>
          <w:szCs w:val="24"/>
          <w:lang w:eastAsia="ja-JP"/>
        </w:rPr>
        <w:t xml:space="preserve"> de trabajo </w:t>
      </w:r>
      <w:r w:rsidR="00B741FE" w:rsidRPr="00CA61A6">
        <w:rPr>
          <w:szCs w:val="24"/>
          <w:lang w:eastAsia="ja-JP"/>
        </w:rPr>
        <w:t xml:space="preserve">independientes </w:t>
      </w:r>
      <w:r w:rsidR="002D1CFE" w:rsidRPr="00CA61A6">
        <w:rPr>
          <w:szCs w:val="24"/>
          <w:lang w:eastAsia="ja-JP"/>
        </w:rPr>
        <w:t>y</w:t>
      </w:r>
      <w:r w:rsidR="00BE1A2E" w:rsidRPr="00CA61A6">
        <w:rPr>
          <w:szCs w:val="24"/>
          <w:lang w:eastAsia="ja-JP"/>
        </w:rPr>
        <w:t xml:space="preserve"> temas</w:t>
      </w:r>
      <w:r w:rsidRPr="00CA61A6">
        <w:rPr>
          <w:szCs w:val="24"/>
          <w:lang w:eastAsia="ja-JP"/>
        </w:rPr>
        <w:t xml:space="preserve"> de estudio</w:t>
      </w:r>
      <w:r w:rsidR="00B741FE" w:rsidRPr="00CA61A6">
        <w:rPr>
          <w:szCs w:val="24"/>
          <w:lang w:eastAsia="ja-JP"/>
        </w:rPr>
        <w:t xml:space="preserve"> distintos</w:t>
      </w:r>
      <w:r w:rsidRPr="00CA61A6">
        <w:rPr>
          <w:szCs w:val="24"/>
          <w:lang w:eastAsia="ja-JP"/>
        </w:rPr>
        <w:t>. Observó que</w:t>
      </w:r>
      <w:r w:rsidR="00BE1A2E" w:rsidRPr="00CA61A6">
        <w:rPr>
          <w:szCs w:val="24"/>
          <w:lang w:eastAsia="ja-JP"/>
        </w:rPr>
        <w:t xml:space="preserve"> </w:t>
      </w:r>
      <w:r w:rsidR="00BE1A2E" w:rsidRPr="00CA61A6">
        <w:t xml:space="preserve">el solapamiento en términos de participación en ambas </w:t>
      </w:r>
      <w:r w:rsidR="00CA61A6" w:rsidRPr="00CA61A6">
        <w:t>Comisiones</w:t>
      </w:r>
      <w:r w:rsidR="00BE1A2E" w:rsidRPr="00CA61A6">
        <w:t xml:space="preserve"> era mínimo</w:t>
      </w:r>
      <w:r w:rsidRPr="00CA61A6">
        <w:rPr>
          <w:szCs w:val="24"/>
          <w:lang w:eastAsia="ja-JP"/>
        </w:rPr>
        <w:t xml:space="preserve"> y</w:t>
      </w:r>
      <w:r w:rsidR="00BE1A2E" w:rsidRPr="00CA61A6">
        <w:rPr>
          <w:szCs w:val="24"/>
          <w:lang w:eastAsia="ja-JP"/>
        </w:rPr>
        <w:t xml:space="preserve"> señaló el </w:t>
      </w:r>
      <w:r w:rsidR="00BE1A2E" w:rsidRPr="00CA61A6">
        <w:t xml:space="preserve">escaso, por no decir nulo, trabajo de colaboración </w:t>
      </w:r>
      <w:r w:rsidR="00BE1A2E" w:rsidRPr="00CA61A6">
        <w:rPr>
          <w:i/>
          <w:iCs/>
        </w:rPr>
        <w:t>in situ</w:t>
      </w:r>
      <w:r w:rsidR="00BE1A2E" w:rsidRPr="00CA61A6">
        <w:t>.</w:t>
      </w:r>
      <w:r w:rsidRPr="00CA61A6">
        <w:rPr>
          <w:szCs w:val="24"/>
          <w:lang w:eastAsia="ja-JP"/>
        </w:rPr>
        <w:t xml:space="preserve"> Además, </w:t>
      </w:r>
      <w:r w:rsidR="00BE1A2E" w:rsidRPr="00CA61A6">
        <w:rPr>
          <w:szCs w:val="24"/>
          <w:lang w:eastAsia="ja-JP"/>
        </w:rPr>
        <w:t>destacó</w:t>
      </w:r>
      <w:r w:rsidRPr="00CA61A6">
        <w:rPr>
          <w:szCs w:val="24"/>
          <w:lang w:eastAsia="ja-JP"/>
        </w:rPr>
        <w:t xml:space="preserve"> que los </w:t>
      </w:r>
      <w:r w:rsidR="00BE1A2E" w:rsidRPr="00CA61A6">
        <w:t xml:space="preserve">Grupos Mixtos de Relator de la CE 2 y la CE 3 </w:t>
      </w:r>
      <w:r w:rsidRPr="00CA61A6">
        <w:rPr>
          <w:szCs w:val="24"/>
          <w:lang w:eastAsia="ja-JP"/>
        </w:rPr>
        <w:t>est</w:t>
      </w:r>
      <w:r w:rsidR="00BE1A2E" w:rsidRPr="00CA61A6">
        <w:rPr>
          <w:szCs w:val="24"/>
          <w:lang w:eastAsia="ja-JP"/>
        </w:rPr>
        <w:t>aba</w:t>
      </w:r>
      <w:r w:rsidRPr="00CA61A6">
        <w:rPr>
          <w:szCs w:val="24"/>
          <w:lang w:eastAsia="ja-JP"/>
        </w:rPr>
        <w:t xml:space="preserve">n colaborando fuera </w:t>
      </w:r>
      <w:r w:rsidR="00BE1A2E" w:rsidRPr="00CA61A6">
        <w:rPr>
          <w:szCs w:val="24"/>
          <w:lang w:eastAsia="ja-JP"/>
        </w:rPr>
        <w:t xml:space="preserve">del contexto de </w:t>
      </w:r>
      <w:r w:rsidR="00B05E62" w:rsidRPr="00CA61A6">
        <w:rPr>
          <w:szCs w:val="24"/>
          <w:lang w:eastAsia="ja-JP"/>
        </w:rPr>
        <w:t>dich</w:t>
      </w:r>
      <w:r w:rsidR="00BE1A2E" w:rsidRPr="00CA61A6">
        <w:rPr>
          <w:szCs w:val="24"/>
          <w:lang w:eastAsia="ja-JP"/>
        </w:rPr>
        <w:t>as reuniones coordinadas.</w:t>
      </w:r>
    </w:p>
    <w:p w:rsidR="005F6B8D" w:rsidRPr="00CA61A6" w:rsidRDefault="00BE1A2E" w:rsidP="007B3478">
      <w:pPr>
        <w:rPr>
          <w:szCs w:val="24"/>
          <w:lang w:eastAsia="ja-JP"/>
        </w:rPr>
      </w:pPr>
      <w:r w:rsidRPr="00CA61A6">
        <w:rPr>
          <w:szCs w:val="24"/>
          <w:lang w:eastAsia="ja-JP"/>
        </w:rPr>
        <w:t>En la sesión plenaria de apertura de la reunión que la CE 2 celebró del 20 al 29 de enero de 2016, el Presidente de la Comisión</w:t>
      </w:r>
      <w:r w:rsidR="00E746F5" w:rsidRPr="00CA61A6">
        <w:rPr>
          <w:szCs w:val="24"/>
          <w:lang w:eastAsia="ja-JP"/>
        </w:rPr>
        <w:t xml:space="preserve"> señaló</w:t>
      </w:r>
      <w:r w:rsidRPr="00CA61A6">
        <w:rPr>
          <w:szCs w:val="24"/>
          <w:lang w:eastAsia="ja-JP"/>
        </w:rPr>
        <w:t xml:space="preserve"> que, de acuerdo con</w:t>
      </w:r>
      <w:r w:rsidR="00E746F5" w:rsidRPr="00CA61A6">
        <w:rPr>
          <w:szCs w:val="24"/>
          <w:lang w:eastAsia="ja-JP"/>
        </w:rPr>
        <w:t xml:space="preserve"> los debates en</w:t>
      </w:r>
      <w:r w:rsidRPr="00CA61A6">
        <w:rPr>
          <w:szCs w:val="24"/>
          <w:lang w:eastAsia="ja-JP"/>
        </w:rPr>
        <w:t>tablados hasta la fecha por la</w:t>
      </w:r>
      <w:r w:rsidR="00E746F5" w:rsidRPr="00CA61A6">
        <w:rPr>
          <w:szCs w:val="24"/>
          <w:lang w:eastAsia="ja-JP"/>
        </w:rPr>
        <w:t xml:space="preserve"> </w:t>
      </w:r>
      <w:r w:rsidRPr="00CA61A6">
        <w:rPr>
          <w:szCs w:val="24"/>
          <w:lang w:eastAsia="ja-JP"/>
        </w:rPr>
        <w:t xml:space="preserve">CE </w:t>
      </w:r>
      <w:r w:rsidR="00E746F5" w:rsidRPr="00CA61A6">
        <w:rPr>
          <w:szCs w:val="24"/>
          <w:lang w:eastAsia="ja-JP"/>
        </w:rPr>
        <w:t xml:space="preserve">2, </w:t>
      </w:r>
      <w:r w:rsidR="00A148B7">
        <w:rPr>
          <w:szCs w:val="24"/>
          <w:lang w:eastAsia="ja-JP"/>
        </w:rPr>
        <w:t xml:space="preserve">la </w:t>
      </w:r>
      <w:r w:rsidRPr="00CA61A6">
        <w:rPr>
          <w:szCs w:val="24"/>
          <w:lang w:eastAsia="ja-JP"/>
        </w:rPr>
        <w:t xml:space="preserve">CE </w:t>
      </w:r>
      <w:r w:rsidR="00E746F5" w:rsidRPr="00CA61A6">
        <w:rPr>
          <w:szCs w:val="24"/>
          <w:lang w:eastAsia="ja-JP"/>
        </w:rPr>
        <w:t>3 y</w:t>
      </w:r>
      <w:r w:rsidRPr="00CA61A6">
        <w:rPr>
          <w:szCs w:val="24"/>
          <w:lang w:eastAsia="ja-JP"/>
        </w:rPr>
        <w:t xml:space="preserve"> el</w:t>
      </w:r>
      <w:r w:rsidR="00E746F5" w:rsidRPr="00CA61A6">
        <w:rPr>
          <w:szCs w:val="24"/>
          <w:lang w:eastAsia="ja-JP"/>
        </w:rPr>
        <w:t xml:space="preserve"> </w:t>
      </w:r>
      <w:r w:rsidRPr="00CA61A6">
        <w:rPr>
          <w:szCs w:val="24"/>
          <w:lang w:eastAsia="ja-JP"/>
        </w:rPr>
        <w:t xml:space="preserve">Comité de Examen, no era necesario que las Comisiones de Estudio 2 y 3 </w:t>
      </w:r>
      <w:r w:rsidR="00B05E62" w:rsidRPr="00CA61A6">
        <w:rPr>
          <w:szCs w:val="24"/>
          <w:lang w:eastAsia="ja-JP"/>
        </w:rPr>
        <w:t>coordinasen sus reuniones (véase el Documento</w:t>
      </w:r>
      <w:r w:rsidR="00B05E62" w:rsidRPr="00CA61A6">
        <w:t xml:space="preserve"> </w:t>
      </w:r>
      <w:hyperlink r:id="rId70" w:history="1">
        <w:r w:rsidR="005D32B0">
          <w:rPr>
            <w:color w:val="0000FF"/>
            <w:szCs w:val="24"/>
            <w:u w:val="single"/>
            <w:lang w:eastAsia="ja-JP"/>
          </w:rPr>
          <w:t>TD</w:t>
        </w:r>
        <w:r w:rsidR="00B05E62" w:rsidRPr="00CA61A6">
          <w:rPr>
            <w:color w:val="0000FF"/>
            <w:szCs w:val="24"/>
            <w:u w:val="single"/>
            <w:lang w:eastAsia="ja-JP"/>
          </w:rPr>
          <w:t>174/RevCom</w:t>
        </w:r>
      </w:hyperlink>
      <w:r w:rsidR="00B05E62" w:rsidRPr="00CA61A6">
        <w:rPr>
          <w:szCs w:val="24"/>
          <w:lang w:eastAsia="ja-JP"/>
        </w:rPr>
        <w:t xml:space="preserve">). </w:t>
      </w:r>
      <w:r w:rsidR="00E746F5" w:rsidRPr="00CA61A6">
        <w:rPr>
          <w:szCs w:val="24"/>
          <w:lang w:eastAsia="ja-JP"/>
        </w:rPr>
        <w:t xml:space="preserve">Sin embargo, la reunión </w:t>
      </w:r>
      <w:r w:rsidR="00B05E62" w:rsidRPr="00CA61A6">
        <w:rPr>
          <w:szCs w:val="24"/>
          <w:lang w:eastAsia="ja-JP"/>
        </w:rPr>
        <w:t>consideró importante que ambas Comisiones continuasen colaborando a través de los Grupos Mixtos de Relator y los Grupos por C</w:t>
      </w:r>
      <w:r w:rsidR="00E746F5" w:rsidRPr="00CA61A6">
        <w:rPr>
          <w:szCs w:val="24"/>
          <w:lang w:eastAsia="ja-JP"/>
        </w:rPr>
        <w:t>orrespondencia</w:t>
      </w:r>
      <w:r w:rsidR="00B05E62" w:rsidRPr="00CA61A6">
        <w:rPr>
          <w:szCs w:val="24"/>
          <w:lang w:eastAsia="ja-JP"/>
        </w:rPr>
        <w:t>, segú</w:t>
      </w:r>
      <w:r w:rsidR="00B741FE" w:rsidRPr="00CA61A6">
        <w:rPr>
          <w:szCs w:val="24"/>
          <w:lang w:eastAsia="ja-JP"/>
        </w:rPr>
        <w:t>n</w:t>
      </w:r>
      <w:r w:rsidR="00B05E62" w:rsidRPr="00CA61A6">
        <w:rPr>
          <w:szCs w:val="24"/>
          <w:lang w:eastAsia="ja-JP"/>
        </w:rPr>
        <w:t xml:space="preserve"> correspondiera</w:t>
      </w:r>
      <w:r w:rsidR="00E746F5" w:rsidRPr="00CA61A6">
        <w:rPr>
          <w:szCs w:val="24"/>
          <w:lang w:eastAsia="ja-JP"/>
        </w:rPr>
        <w:t xml:space="preserve">, así como </w:t>
      </w:r>
      <w:r w:rsidR="00B05E62" w:rsidRPr="00CA61A6">
        <w:rPr>
          <w:szCs w:val="24"/>
          <w:lang w:eastAsia="ja-JP"/>
        </w:rPr>
        <w:t>de los coordina</w:t>
      </w:r>
      <w:r w:rsidR="00B741FE" w:rsidRPr="00CA61A6">
        <w:rPr>
          <w:szCs w:val="24"/>
          <w:lang w:eastAsia="ja-JP"/>
        </w:rPr>
        <w:t>do</w:t>
      </w:r>
      <w:r w:rsidR="00B05E62" w:rsidRPr="00CA61A6">
        <w:rPr>
          <w:szCs w:val="24"/>
          <w:lang w:eastAsia="ja-JP"/>
        </w:rPr>
        <w:t>res</w:t>
      </w:r>
      <w:r w:rsidR="00E746F5" w:rsidRPr="00CA61A6">
        <w:rPr>
          <w:szCs w:val="24"/>
          <w:lang w:eastAsia="ja-JP"/>
        </w:rPr>
        <w:t xml:space="preserve">. </w:t>
      </w:r>
      <w:r w:rsidR="00B05E62" w:rsidRPr="00CA61A6">
        <w:rPr>
          <w:szCs w:val="24"/>
          <w:lang w:eastAsia="ja-JP"/>
        </w:rPr>
        <w:t xml:space="preserve">La CE </w:t>
      </w:r>
      <w:r w:rsidR="00E746F5" w:rsidRPr="00CA61A6">
        <w:rPr>
          <w:szCs w:val="24"/>
          <w:lang w:eastAsia="ja-JP"/>
        </w:rPr>
        <w:t>2</w:t>
      </w:r>
      <w:r w:rsidR="00B05E62" w:rsidRPr="00CA61A6">
        <w:rPr>
          <w:szCs w:val="24"/>
          <w:lang w:eastAsia="ja-JP"/>
        </w:rPr>
        <w:t xml:space="preserve"> celebrará </w:t>
      </w:r>
      <w:r w:rsidR="00E746F5" w:rsidRPr="00CA61A6">
        <w:rPr>
          <w:szCs w:val="24"/>
          <w:lang w:eastAsia="ja-JP"/>
        </w:rPr>
        <w:t xml:space="preserve">su próxima reunión del 14 al 23 de septiembre de 2016. </w:t>
      </w:r>
    </w:p>
    <w:bookmarkStart w:id="20" w:name="_Toc335979771"/>
    <w:bookmarkStart w:id="21" w:name="_Toc338837105"/>
    <w:bookmarkStart w:id="22" w:name="_Toc340066377"/>
    <w:p w:rsidR="00443260" w:rsidRPr="00CA61A6" w:rsidRDefault="00443260" w:rsidP="00443260">
      <w:r w:rsidRPr="00CA61A6">
        <w:fldChar w:fldCharType="begin"/>
      </w:r>
      <w:r w:rsidRPr="00CA61A6">
        <w:instrText xml:space="preserve"> HYPERLINK \l "Top" </w:instrText>
      </w:r>
      <w:r w:rsidRPr="00CA61A6">
        <w:fldChar w:fldCharType="separate"/>
      </w:r>
      <w:r w:rsidRPr="00CA61A6">
        <w:rPr>
          <w:rStyle w:val="Hyperlink"/>
        </w:rPr>
        <w:t>» Arriba</w:t>
      </w:r>
      <w:r w:rsidRPr="00CA61A6">
        <w:rPr>
          <w:rStyle w:val="Hyperlink"/>
        </w:rPr>
        <w:fldChar w:fldCharType="end"/>
      </w:r>
    </w:p>
    <w:p w:rsidR="0098181B" w:rsidRPr="00CA61A6" w:rsidRDefault="0098181B" w:rsidP="007B3478">
      <w:pPr>
        <w:pStyle w:val="Heading1"/>
      </w:pPr>
      <w:bookmarkStart w:id="23" w:name="_3_Resolución_7"/>
      <w:bookmarkStart w:id="24" w:name="_Toc463335754"/>
      <w:bookmarkEnd w:id="23"/>
      <w:r w:rsidRPr="00CA61A6">
        <w:t>3</w:t>
      </w:r>
      <w:r w:rsidRPr="00CA61A6">
        <w:tab/>
        <w:t xml:space="preserve">Resolución 7 – </w:t>
      </w:r>
      <w:bookmarkEnd w:id="20"/>
      <w:bookmarkEnd w:id="21"/>
      <w:bookmarkEnd w:id="22"/>
      <w:r w:rsidR="00B05E62" w:rsidRPr="00CA61A6">
        <w:t>Colaboración con la Organización Internacional de Normalización y la Comisión Electrotécnica Internacional</w:t>
      </w:r>
      <w:bookmarkEnd w:id="24"/>
    </w:p>
    <w:p w:rsidR="004631FD" w:rsidRPr="00CA61A6" w:rsidRDefault="004631FD" w:rsidP="007B3478">
      <w:pPr>
        <w:pStyle w:val="Headingb"/>
      </w:pPr>
      <w:r w:rsidRPr="00CA61A6">
        <w:t>Resolución 7</w:t>
      </w:r>
    </w:p>
    <w:p w:rsidR="004631FD" w:rsidRPr="00CA61A6" w:rsidRDefault="004631FD" w:rsidP="007B3478">
      <w:pPr>
        <w:pStyle w:val="Call"/>
      </w:pPr>
      <w:r w:rsidRPr="00CA61A6">
        <w:t>resuelve</w:t>
      </w:r>
    </w:p>
    <w:p w:rsidR="004631FD" w:rsidRPr="00CA61A6" w:rsidRDefault="004631FD" w:rsidP="007B3478">
      <w:r w:rsidRPr="00CA61A6">
        <w:t>1</w:t>
      </w:r>
      <w:r w:rsidRPr="00CA61A6">
        <w:tab/>
        <w:t>seguir invitando a la ISO y a la CEI a que examinen el programa de estudios del UIT-T desde las fases iniciales de sus estudios, y viceversa, y a que continúen examinando esos programas para tener en cuenta los cambios que se vayan produciendo, con el fin de determinar los temas en los cuales la coordinación se considera deseable, e informar al Director de la Oficina de Normalización de las Telecomunicaciones (TSB) al respecto;</w:t>
      </w:r>
    </w:p>
    <w:p w:rsidR="004631FD" w:rsidRPr="00CA61A6" w:rsidRDefault="004631FD" w:rsidP="007B3478">
      <w:r w:rsidRPr="00CA61A6">
        <w:t>2</w:t>
      </w:r>
      <w:r w:rsidRPr="00CA61A6">
        <w:tab/>
        <w:t>pedir al Director de la TSB que, en consulta con los Presidentes de las Comisiones de Estudio interesadas, responda y proporcione a la ISO y a la CEI cualquier información adicional que soliciten, a medida que esté disponible;</w:t>
      </w:r>
    </w:p>
    <w:p w:rsidR="004631FD" w:rsidRPr="00CA61A6" w:rsidRDefault="004631FD" w:rsidP="007B3478">
      <w:r w:rsidRPr="00CA61A6">
        <w:t>3</w:t>
      </w:r>
      <w:r w:rsidRPr="00CA61A6">
        <w:tab/>
        <w:t xml:space="preserve">pedir al Director de la TSB que </w:t>
      </w:r>
      <w:r w:rsidRPr="00CA61A6">
        <w:rPr>
          <w:lang w:eastAsia="ko-KR"/>
        </w:rPr>
        <w:t>examine y actualice el programa de cooperación y la prioridad entre los temas de estudio del UIT-T, la ISO y la CEI, y que publique dicha información periódicamente en lugar destacado en el sitio web del UIT</w:t>
      </w:r>
      <w:r w:rsidRPr="00CA61A6">
        <w:rPr>
          <w:lang w:eastAsia="ko-KR"/>
        </w:rPr>
        <w:noBreakHyphen/>
        <w:t>T;</w:t>
      </w:r>
    </w:p>
    <w:p w:rsidR="004631FD" w:rsidRPr="00CA61A6" w:rsidRDefault="004631FD" w:rsidP="007B3478">
      <w:r w:rsidRPr="00CA61A6">
        <w:t>4</w:t>
      </w:r>
      <w:r w:rsidRPr="00CA61A6">
        <w:tab/>
        <w:t xml:space="preserve">pedir al Director de la TSB, a las Comisiones de Estudio y al Grupo Asesor de Normalización de las Telecomunicaciones que examinen y propongan más mejoras de los </w:t>
      </w:r>
      <w:r w:rsidRPr="00CA61A6">
        <w:lastRenderedPageBreak/>
        <w:t>procedimientos de cooperación entre el UIT</w:t>
      </w:r>
      <w:r w:rsidRPr="00CA61A6">
        <w:noBreakHyphen/>
        <w:t>T, la ISO y la CEI, incluido el establecimiento de las prioridades en dicha cooperación como los esquemas de evaluación de conformidad y las normas de laboratorio;</w:t>
      </w:r>
    </w:p>
    <w:p w:rsidR="004631FD" w:rsidRPr="00CA61A6" w:rsidRDefault="004631FD" w:rsidP="007B3478">
      <w:r w:rsidRPr="00CA61A6">
        <w:t>5</w:t>
      </w:r>
      <w:r w:rsidRPr="00CA61A6">
        <w:tab/>
        <w:t>que se establezcan los contactos necesarios con la ISO y/o la CEI en los niveles apropiados y que se acuerden mutuamente los métodos de coordinación y se organicen periódicamente eventos de coordinación:</w:t>
      </w:r>
    </w:p>
    <w:p w:rsidR="004631FD" w:rsidRPr="00CA61A6" w:rsidRDefault="004631FD" w:rsidP="007B3478">
      <w:pPr>
        <w:pStyle w:val="enumlev1"/>
        <w:spacing w:before="40"/>
      </w:pPr>
      <w:r w:rsidRPr="00CA61A6">
        <w:t>•</w:t>
      </w:r>
      <w:r w:rsidRPr="00CA61A6">
        <w:tab/>
        <w:t>para los trabajos en los que haya que redactar textos conjuntos y mantenerlos alineados, se aplican los procedimientos de la Recomendación UIT-T A.23 y las directrices para la cooperación;</w:t>
      </w:r>
    </w:p>
    <w:p w:rsidR="004631FD" w:rsidRPr="00CA61A6" w:rsidRDefault="004631FD" w:rsidP="007B3478">
      <w:pPr>
        <w:pStyle w:val="enumlev1"/>
        <w:spacing w:before="40"/>
      </w:pPr>
      <w:r w:rsidRPr="00CA61A6">
        <w:t>•</w:t>
      </w:r>
      <w:r w:rsidRPr="00CA61A6">
        <w:tab/>
        <w:t>para otras actividades en las que se necesita la coordinación entre el UIT-T, la ISO y la CEI (por ejemplo, en relación a los acuerdos, como el Memorándum de Entendimiento sobre normalización en el campo del comercio electrónico), se crearán mecanismos de coordinación claros y se entablarán contactos de coordinación de manera regular;</w:t>
      </w:r>
    </w:p>
    <w:p w:rsidR="004631FD" w:rsidRPr="00CA61A6" w:rsidRDefault="004631FD" w:rsidP="007B3478">
      <w:r w:rsidRPr="00CA61A6">
        <w:t>6</w:t>
      </w:r>
      <w:r w:rsidRPr="00CA61A6">
        <w:tab/>
        <w:t>pedir a los Presidentes de las Comisiones de Estudio que tengan en cuenta los programas de trabajo relacionados y los progresos alcanzados en los proyectos de la ISO, de la CEI y del JTC 1 de ISO/CEI; que además colaboren con estas organizaciones de la forma más amplia posible y por todos los medios apropiados con el fin de:</w:t>
      </w:r>
    </w:p>
    <w:p w:rsidR="004631FD" w:rsidRPr="00CA61A6" w:rsidRDefault="004631FD" w:rsidP="007B3478">
      <w:pPr>
        <w:pStyle w:val="enumlev1"/>
        <w:spacing w:before="40"/>
      </w:pPr>
      <w:r w:rsidRPr="00CA61A6">
        <w:t>•</w:t>
      </w:r>
      <w:r w:rsidRPr="00CA61A6">
        <w:tab/>
        <w:t>asegurar que las especificaciones elaboradas como textos comunes se mantienen alineadas;</w:t>
      </w:r>
    </w:p>
    <w:p w:rsidR="004631FD" w:rsidRPr="00CA61A6" w:rsidRDefault="004631FD" w:rsidP="007B3478">
      <w:pPr>
        <w:pStyle w:val="enumlev1"/>
        <w:spacing w:before="40"/>
      </w:pPr>
      <w:r w:rsidRPr="00CA61A6">
        <w:t>•</w:t>
      </w:r>
      <w:r w:rsidRPr="00CA61A6">
        <w:tab/>
        <w:t>colaborar en la elaboración de otras especificaciones en campos de interés común;</w:t>
      </w:r>
    </w:p>
    <w:p w:rsidR="004631FD" w:rsidRPr="00CA61A6" w:rsidRDefault="004631FD" w:rsidP="007B3478">
      <w:r w:rsidRPr="00CA61A6">
        <w:t>7</w:t>
      </w:r>
      <w:r w:rsidRPr="00CA61A6">
        <w:tab/>
        <w:t>que, por razones de economía, las reuniones de colaboración necesarias se celebren, a ser posible, asociadas con otras reuniones;</w:t>
      </w:r>
    </w:p>
    <w:p w:rsidR="004631FD" w:rsidRPr="00CA61A6" w:rsidRDefault="004631FD" w:rsidP="007B3478">
      <w:r w:rsidRPr="00CA61A6">
        <w:t>8</w:t>
      </w:r>
      <w:r w:rsidRPr="00CA61A6">
        <w:tab/>
        <w:t>que se indique en el informe sobre esa coordinación el grado de alineamiento y de compatibilidad de los proyectos de textos sobre los puntos de interés común, y en particular identificar los asuntos que puede estudiar una sola organización, así como los casos en que las referencias a los textos de otras organizaciones resultan útiles para los usuarios de las Normas Internacionales y de las Recomendaciones publicadas;</w:t>
      </w:r>
    </w:p>
    <w:p w:rsidR="004631FD" w:rsidRPr="00CA61A6" w:rsidRDefault="004631FD" w:rsidP="007B3478">
      <w:pPr>
        <w:spacing w:after="120"/>
      </w:pPr>
      <w:r w:rsidRPr="00CA61A6">
        <w:t>9</w:t>
      </w:r>
      <w:r w:rsidRPr="00CA61A6">
        <w:tab/>
        <w:t>invitar a las administraciones a contribuir significativamente a la coordinación entre el UIT</w:t>
      </w:r>
      <w:r w:rsidRPr="00CA61A6">
        <w:noBreakHyphen/>
        <w:t>T por un lado, y la ISO y la CEI por otro, asegurando la adecuada coordinación de las actividades nacionales asociadas con las tres organizaciones.</w:t>
      </w:r>
    </w:p>
    <w:tbl>
      <w:tblPr>
        <w:tblW w:w="9832" w:type="dxa"/>
        <w:tblInd w:w="-13" w:type="dxa"/>
        <w:tblLook w:val="04A0" w:firstRow="1" w:lastRow="0" w:firstColumn="1" w:lastColumn="0" w:noHBand="0" w:noVBand="1"/>
      </w:tblPr>
      <w:tblGrid>
        <w:gridCol w:w="916"/>
        <w:gridCol w:w="4904"/>
        <w:gridCol w:w="1542"/>
        <w:gridCol w:w="1152"/>
        <w:gridCol w:w="1318"/>
      </w:tblGrid>
      <w:tr w:rsidR="00672B1A" w:rsidRPr="00CA61A6" w:rsidTr="007468D6">
        <w:trPr>
          <w:trHeight w:val="647"/>
          <w:tblHeader/>
        </w:trPr>
        <w:tc>
          <w:tcPr>
            <w:tcW w:w="916" w:type="dxa"/>
            <w:tcBorders>
              <w:top w:val="single" w:sz="4" w:space="0" w:color="auto"/>
              <w:left w:val="single" w:sz="4" w:space="0" w:color="auto"/>
              <w:bottom w:val="double" w:sz="6" w:space="0" w:color="auto"/>
              <w:right w:val="single" w:sz="4" w:space="0" w:color="auto"/>
            </w:tcBorders>
            <w:vAlign w:val="center"/>
          </w:tcPr>
          <w:p w:rsidR="00672B1A" w:rsidRPr="00CA61A6" w:rsidRDefault="00672B1A" w:rsidP="007B3478">
            <w:pPr>
              <w:pStyle w:val="Tablehead"/>
            </w:pPr>
            <w:r w:rsidRPr="00CA61A6">
              <w:t>Número</w:t>
            </w:r>
          </w:p>
        </w:tc>
        <w:tc>
          <w:tcPr>
            <w:tcW w:w="4904" w:type="dxa"/>
            <w:tcBorders>
              <w:top w:val="single" w:sz="4" w:space="0" w:color="auto"/>
              <w:left w:val="single" w:sz="4" w:space="0" w:color="auto"/>
              <w:bottom w:val="double" w:sz="6" w:space="0" w:color="auto"/>
              <w:right w:val="single" w:sz="4" w:space="0" w:color="auto"/>
            </w:tcBorders>
            <w:shd w:val="clear" w:color="auto" w:fill="auto"/>
            <w:vAlign w:val="center"/>
            <w:hideMark/>
          </w:tcPr>
          <w:p w:rsidR="00672B1A" w:rsidRPr="00CA61A6" w:rsidRDefault="00672B1A" w:rsidP="007B3478">
            <w:pPr>
              <w:pStyle w:val="Tablehead"/>
            </w:pPr>
            <w:r w:rsidRPr="00CA61A6">
              <w:t>Acción</w:t>
            </w:r>
          </w:p>
        </w:tc>
        <w:tc>
          <w:tcPr>
            <w:tcW w:w="1542" w:type="dxa"/>
            <w:tcBorders>
              <w:top w:val="single" w:sz="4" w:space="0" w:color="auto"/>
              <w:left w:val="nil"/>
              <w:bottom w:val="double" w:sz="6" w:space="0" w:color="auto"/>
              <w:right w:val="single" w:sz="4" w:space="0" w:color="auto"/>
            </w:tcBorders>
            <w:shd w:val="clear" w:color="auto" w:fill="auto"/>
            <w:vAlign w:val="center"/>
            <w:hideMark/>
          </w:tcPr>
          <w:p w:rsidR="00672B1A" w:rsidRPr="00CA61A6" w:rsidRDefault="00672B1A" w:rsidP="007B3478">
            <w:pPr>
              <w:pStyle w:val="Tablehead"/>
            </w:pPr>
            <w:r w:rsidRPr="00CA61A6">
              <w:t>Fecha objetivo</w:t>
            </w:r>
          </w:p>
        </w:tc>
        <w:tc>
          <w:tcPr>
            <w:tcW w:w="1152" w:type="dxa"/>
            <w:tcBorders>
              <w:top w:val="single" w:sz="4" w:space="0" w:color="auto"/>
              <w:left w:val="nil"/>
              <w:bottom w:val="double" w:sz="6" w:space="0" w:color="auto"/>
              <w:right w:val="single" w:sz="4" w:space="0" w:color="auto"/>
            </w:tcBorders>
            <w:vAlign w:val="center"/>
          </w:tcPr>
          <w:p w:rsidR="00672B1A" w:rsidRPr="00CA61A6" w:rsidRDefault="00672B1A" w:rsidP="007B3478">
            <w:pPr>
              <w:pStyle w:val="Tablehead"/>
            </w:pPr>
            <w:r w:rsidRPr="00CA61A6">
              <w:t>Objetivos periódicos cumplidos</w:t>
            </w:r>
          </w:p>
        </w:tc>
        <w:tc>
          <w:tcPr>
            <w:tcW w:w="1318" w:type="dxa"/>
            <w:tcBorders>
              <w:top w:val="single" w:sz="4" w:space="0" w:color="auto"/>
              <w:left w:val="single" w:sz="4" w:space="0" w:color="auto"/>
              <w:bottom w:val="double" w:sz="6" w:space="0" w:color="auto"/>
              <w:right w:val="single" w:sz="4" w:space="0" w:color="auto"/>
            </w:tcBorders>
            <w:vAlign w:val="center"/>
          </w:tcPr>
          <w:p w:rsidR="00672B1A" w:rsidRPr="00CA61A6" w:rsidRDefault="00672B1A" w:rsidP="007B3478">
            <w:pPr>
              <w:pStyle w:val="Tablehead"/>
            </w:pPr>
            <w:r w:rsidRPr="00CA61A6">
              <w:t>Completada</w:t>
            </w:r>
          </w:p>
        </w:tc>
      </w:tr>
      <w:tr w:rsidR="00672B1A" w:rsidRPr="00CA61A6" w:rsidTr="007468D6">
        <w:trPr>
          <w:trHeight w:val="620"/>
        </w:trPr>
        <w:tc>
          <w:tcPr>
            <w:tcW w:w="916" w:type="dxa"/>
            <w:tcBorders>
              <w:top w:val="double" w:sz="6" w:space="0" w:color="auto"/>
              <w:left w:val="single" w:sz="4" w:space="0" w:color="auto"/>
              <w:bottom w:val="single" w:sz="4" w:space="0" w:color="auto"/>
              <w:right w:val="single" w:sz="4" w:space="0" w:color="auto"/>
            </w:tcBorders>
            <w:vAlign w:val="center"/>
          </w:tcPr>
          <w:p w:rsidR="00672B1A" w:rsidRPr="00CA61A6" w:rsidRDefault="00110CAD" w:rsidP="007B3478">
            <w:pPr>
              <w:pStyle w:val="Tabletext"/>
              <w:keepNext/>
            </w:pPr>
            <w:hyperlink w:anchor="Item07_01" w:history="1">
              <w:r w:rsidR="00672B1A" w:rsidRPr="00CA61A6">
                <w:rPr>
                  <w:rStyle w:val="Hyperlink"/>
                </w:rPr>
                <w:t>07-01</w:t>
              </w:r>
            </w:hyperlink>
          </w:p>
        </w:tc>
        <w:tc>
          <w:tcPr>
            <w:tcW w:w="4904" w:type="dxa"/>
            <w:tcBorders>
              <w:top w:val="double" w:sz="6" w:space="0" w:color="auto"/>
              <w:left w:val="single" w:sz="4" w:space="0" w:color="auto"/>
              <w:bottom w:val="single" w:sz="4" w:space="0" w:color="auto"/>
              <w:right w:val="single" w:sz="4" w:space="0" w:color="auto"/>
            </w:tcBorders>
            <w:shd w:val="clear" w:color="auto" w:fill="auto"/>
            <w:vAlign w:val="center"/>
            <w:hideMark/>
          </w:tcPr>
          <w:p w:rsidR="00672B1A" w:rsidRPr="00CA61A6" w:rsidRDefault="00672B1A" w:rsidP="007B3478">
            <w:pPr>
              <w:pStyle w:val="Tabletext"/>
              <w:keepNext/>
            </w:pPr>
            <w:r w:rsidRPr="00CA61A6">
              <w:t>De conformidad con la Resolución 7, el Directo</w:t>
            </w:r>
            <w:r w:rsidR="00065AF4">
              <w:t>r consultará con la ISO y la CEI</w:t>
            </w:r>
            <w:r w:rsidRPr="00CA61A6">
              <w:t xml:space="preserve"> los programas de trabajo y</w:t>
            </w:r>
            <w:r w:rsidR="000846FC" w:rsidRPr="00CA61A6">
              <w:t>,</w:t>
            </w:r>
            <w:r w:rsidRPr="00CA61A6">
              <w:t xml:space="preserve"> a continuación</w:t>
            </w:r>
            <w:r w:rsidR="000846FC" w:rsidRPr="00CA61A6">
              <w:t>,</w:t>
            </w:r>
            <w:r w:rsidRPr="00CA61A6">
              <w:t xml:space="preserve"> tratará el asunto con los Presidentes de las Comisiones de Estudio</w:t>
            </w:r>
          </w:p>
        </w:tc>
        <w:tc>
          <w:tcPr>
            <w:tcW w:w="1542" w:type="dxa"/>
            <w:tcBorders>
              <w:top w:val="double" w:sz="6" w:space="0" w:color="auto"/>
              <w:left w:val="nil"/>
              <w:bottom w:val="single" w:sz="4" w:space="0" w:color="auto"/>
              <w:right w:val="single" w:sz="4" w:space="0" w:color="auto"/>
            </w:tcBorders>
            <w:shd w:val="clear" w:color="auto" w:fill="auto"/>
            <w:vAlign w:val="center"/>
            <w:hideMark/>
          </w:tcPr>
          <w:p w:rsidR="00672B1A" w:rsidRPr="00CA61A6" w:rsidRDefault="00672B1A" w:rsidP="007B3478">
            <w:pPr>
              <w:pStyle w:val="Tabletext"/>
              <w:keepNext/>
              <w:jc w:val="center"/>
            </w:pPr>
            <w:r w:rsidRPr="00CA61A6">
              <w:t>En curso</w:t>
            </w:r>
          </w:p>
        </w:tc>
        <w:tc>
          <w:tcPr>
            <w:tcW w:w="1152" w:type="dxa"/>
            <w:tcBorders>
              <w:top w:val="double" w:sz="6" w:space="0" w:color="auto"/>
              <w:left w:val="single" w:sz="4" w:space="0" w:color="auto"/>
              <w:bottom w:val="single" w:sz="4" w:space="0" w:color="auto"/>
              <w:right w:val="single" w:sz="4" w:space="0" w:color="auto"/>
            </w:tcBorders>
            <w:vAlign w:val="center"/>
          </w:tcPr>
          <w:p w:rsidR="00672B1A" w:rsidRPr="00CA61A6" w:rsidRDefault="00AF4D49" w:rsidP="007B3478">
            <w:pPr>
              <w:pStyle w:val="Tabletext"/>
              <w:keepNext/>
              <w:jc w:val="center"/>
              <w:rPr>
                <w:szCs w:val="24"/>
              </w:rPr>
            </w:pPr>
            <w:r w:rsidRPr="00CA61A6">
              <w:sym w:font="Wingdings" w:char="F0FC"/>
            </w:r>
          </w:p>
        </w:tc>
        <w:tc>
          <w:tcPr>
            <w:tcW w:w="1318" w:type="dxa"/>
            <w:tcBorders>
              <w:top w:val="double" w:sz="6" w:space="0" w:color="auto"/>
              <w:left w:val="single" w:sz="4" w:space="0" w:color="auto"/>
              <w:bottom w:val="single" w:sz="4" w:space="0" w:color="auto"/>
              <w:right w:val="single" w:sz="4" w:space="0" w:color="auto"/>
            </w:tcBorders>
            <w:vAlign w:val="center"/>
          </w:tcPr>
          <w:p w:rsidR="00672B1A" w:rsidRPr="00CA61A6" w:rsidRDefault="00672B1A" w:rsidP="007B3478">
            <w:pPr>
              <w:pStyle w:val="Tabletext"/>
              <w:keepNext/>
              <w:jc w:val="center"/>
              <w:rPr>
                <w:szCs w:val="24"/>
              </w:rPr>
            </w:pPr>
          </w:p>
        </w:tc>
      </w:tr>
      <w:tr w:rsidR="00672B1A" w:rsidRPr="00CA61A6" w:rsidTr="007468D6">
        <w:trPr>
          <w:trHeight w:val="710"/>
        </w:trPr>
        <w:tc>
          <w:tcPr>
            <w:tcW w:w="916" w:type="dxa"/>
            <w:tcBorders>
              <w:top w:val="nil"/>
              <w:left w:val="single" w:sz="4" w:space="0" w:color="auto"/>
              <w:bottom w:val="single" w:sz="4" w:space="0" w:color="auto"/>
              <w:right w:val="single" w:sz="4" w:space="0" w:color="auto"/>
            </w:tcBorders>
            <w:vAlign w:val="center"/>
          </w:tcPr>
          <w:p w:rsidR="00672B1A" w:rsidRPr="00CA61A6" w:rsidRDefault="00110CAD" w:rsidP="007B3478">
            <w:pPr>
              <w:pStyle w:val="Tabletext"/>
            </w:pPr>
            <w:hyperlink w:anchor="Item07_02" w:history="1">
              <w:r w:rsidR="00672B1A" w:rsidRPr="00CA61A6">
                <w:rPr>
                  <w:rStyle w:val="Hyperlink"/>
                </w:rPr>
                <w:t>07-02</w:t>
              </w:r>
            </w:hyperlink>
          </w:p>
        </w:tc>
        <w:tc>
          <w:tcPr>
            <w:tcW w:w="4904" w:type="dxa"/>
            <w:tcBorders>
              <w:top w:val="nil"/>
              <w:left w:val="single" w:sz="4" w:space="0" w:color="auto"/>
              <w:bottom w:val="single" w:sz="4" w:space="0" w:color="auto"/>
              <w:right w:val="single" w:sz="4" w:space="0" w:color="auto"/>
            </w:tcBorders>
            <w:shd w:val="clear" w:color="auto" w:fill="auto"/>
            <w:vAlign w:val="center"/>
            <w:hideMark/>
          </w:tcPr>
          <w:p w:rsidR="00672B1A" w:rsidRPr="00CA61A6" w:rsidRDefault="00672B1A" w:rsidP="007B3478">
            <w:pPr>
              <w:pStyle w:val="Tabletext"/>
            </w:pPr>
            <w:r w:rsidRPr="00CA61A6">
              <w:t xml:space="preserve">El </w:t>
            </w:r>
            <w:r w:rsidR="004A4DAE" w:rsidRPr="00CA61A6">
              <w:t>GANT y la CE 17 continuarán trabajando en la</w:t>
            </w:r>
            <w:r w:rsidR="000846FC" w:rsidRPr="00CA61A6">
              <w:t>s</w:t>
            </w:r>
            <w:r w:rsidR="004A4DAE" w:rsidRPr="00CA61A6">
              <w:t xml:space="preserve"> enmienda</w:t>
            </w:r>
            <w:r w:rsidR="000846FC" w:rsidRPr="00CA61A6">
              <w:t>s</w:t>
            </w:r>
            <w:r w:rsidR="004A4DAE" w:rsidRPr="00CA61A6">
              <w:t xml:space="preserve"> a la Recomendación UIT-T A.23 relativa a la autoridad de registro</w:t>
            </w:r>
          </w:p>
        </w:tc>
        <w:tc>
          <w:tcPr>
            <w:tcW w:w="1542" w:type="dxa"/>
            <w:tcBorders>
              <w:top w:val="nil"/>
              <w:left w:val="nil"/>
              <w:bottom w:val="single" w:sz="4" w:space="0" w:color="auto"/>
              <w:right w:val="single" w:sz="4" w:space="0" w:color="auto"/>
            </w:tcBorders>
            <w:shd w:val="clear" w:color="auto" w:fill="auto"/>
            <w:vAlign w:val="center"/>
            <w:hideMark/>
          </w:tcPr>
          <w:p w:rsidR="00672B1A" w:rsidRPr="00CA61A6" w:rsidRDefault="00672B1A" w:rsidP="007B3478">
            <w:pPr>
              <w:pStyle w:val="Tabletext"/>
              <w:jc w:val="center"/>
            </w:pPr>
            <w:r w:rsidRPr="00CA61A6">
              <w:t>En curso</w:t>
            </w:r>
          </w:p>
        </w:tc>
        <w:tc>
          <w:tcPr>
            <w:tcW w:w="1152" w:type="dxa"/>
            <w:tcBorders>
              <w:top w:val="single" w:sz="4" w:space="0" w:color="auto"/>
              <w:left w:val="single" w:sz="4" w:space="0" w:color="auto"/>
              <w:bottom w:val="single" w:sz="4" w:space="0" w:color="auto"/>
              <w:right w:val="single" w:sz="4" w:space="0" w:color="auto"/>
            </w:tcBorders>
            <w:vAlign w:val="center"/>
          </w:tcPr>
          <w:p w:rsidR="00672B1A" w:rsidRPr="00CA61A6" w:rsidRDefault="00AF4D49" w:rsidP="007B3478">
            <w:pPr>
              <w:pStyle w:val="Tabletext"/>
              <w:jc w:val="center"/>
              <w:rPr>
                <w:szCs w:val="24"/>
              </w:rPr>
            </w:pPr>
            <w:r w:rsidRPr="00CA61A6">
              <w:sym w:font="Wingdings" w:char="F0FC"/>
            </w:r>
          </w:p>
        </w:tc>
        <w:tc>
          <w:tcPr>
            <w:tcW w:w="1318" w:type="dxa"/>
            <w:tcBorders>
              <w:top w:val="nil"/>
              <w:left w:val="single" w:sz="4" w:space="0" w:color="auto"/>
              <w:bottom w:val="single" w:sz="4" w:space="0" w:color="auto"/>
              <w:right w:val="single" w:sz="4" w:space="0" w:color="auto"/>
            </w:tcBorders>
            <w:vAlign w:val="center"/>
          </w:tcPr>
          <w:p w:rsidR="00672B1A" w:rsidRPr="00CA61A6" w:rsidRDefault="00672B1A" w:rsidP="007B3478">
            <w:pPr>
              <w:pStyle w:val="Tabletext"/>
              <w:jc w:val="center"/>
              <w:rPr>
                <w:szCs w:val="24"/>
              </w:rPr>
            </w:pPr>
          </w:p>
        </w:tc>
      </w:tr>
      <w:tr w:rsidR="00672B1A" w:rsidRPr="00CA61A6" w:rsidTr="007468D6">
        <w:trPr>
          <w:trHeight w:val="530"/>
        </w:trPr>
        <w:tc>
          <w:tcPr>
            <w:tcW w:w="916" w:type="dxa"/>
            <w:tcBorders>
              <w:top w:val="single" w:sz="4" w:space="0" w:color="auto"/>
              <w:left w:val="single" w:sz="4" w:space="0" w:color="auto"/>
              <w:bottom w:val="single" w:sz="4" w:space="0" w:color="auto"/>
              <w:right w:val="single" w:sz="4" w:space="0" w:color="auto"/>
            </w:tcBorders>
            <w:vAlign w:val="center"/>
          </w:tcPr>
          <w:p w:rsidR="00672B1A" w:rsidRPr="00CA61A6" w:rsidRDefault="00110CAD" w:rsidP="007B3478">
            <w:pPr>
              <w:pStyle w:val="Tabletext"/>
            </w:pPr>
            <w:hyperlink w:anchor="Item07_03" w:history="1">
              <w:r w:rsidR="00672B1A" w:rsidRPr="00CA61A6">
                <w:rPr>
                  <w:rStyle w:val="Hyperlink"/>
                </w:rPr>
                <w:t>07-03</w:t>
              </w:r>
            </w:hyperlink>
          </w:p>
        </w:tc>
        <w:tc>
          <w:tcPr>
            <w:tcW w:w="49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2B1A" w:rsidRPr="00CA61A6" w:rsidRDefault="004A4DAE" w:rsidP="007B3478">
            <w:pPr>
              <w:pStyle w:val="Tabletext"/>
            </w:pPr>
            <w:r w:rsidRPr="00CA61A6">
              <w:t>La TSB, en consulta con las Comisiones de Estudio, actualizará el programa de cooperación y las prioridades del UIT-T, la ISO y la CEI, así como el sitio web</w:t>
            </w:r>
          </w:p>
        </w:tc>
        <w:tc>
          <w:tcPr>
            <w:tcW w:w="1542" w:type="dxa"/>
            <w:tcBorders>
              <w:top w:val="single" w:sz="4" w:space="0" w:color="auto"/>
              <w:left w:val="nil"/>
              <w:bottom w:val="single" w:sz="4" w:space="0" w:color="auto"/>
              <w:right w:val="single" w:sz="4" w:space="0" w:color="auto"/>
            </w:tcBorders>
            <w:shd w:val="clear" w:color="auto" w:fill="auto"/>
            <w:vAlign w:val="center"/>
            <w:hideMark/>
          </w:tcPr>
          <w:p w:rsidR="00672B1A" w:rsidRPr="00CA61A6" w:rsidRDefault="002205A4" w:rsidP="007B3478">
            <w:pPr>
              <w:pStyle w:val="Tabletext"/>
              <w:jc w:val="center"/>
            </w:pPr>
            <w:r w:rsidRPr="00CA61A6">
              <w:t>En curso</w:t>
            </w:r>
          </w:p>
        </w:tc>
        <w:tc>
          <w:tcPr>
            <w:tcW w:w="1152" w:type="dxa"/>
            <w:tcBorders>
              <w:top w:val="single" w:sz="4" w:space="0" w:color="auto"/>
              <w:left w:val="single" w:sz="4" w:space="0" w:color="auto"/>
              <w:bottom w:val="single" w:sz="4" w:space="0" w:color="auto"/>
              <w:right w:val="single" w:sz="4" w:space="0" w:color="auto"/>
            </w:tcBorders>
            <w:vAlign w:val="center"/>
          </w:tcPr>
          <w:p w:rsidR="00672B1A" w:rsidRPr="00CA61A6" w:rsidRDefault="00AF4D49" w:rsidP="007B3478">
            <w:pPr>
              <w:pStyle w:val="Tabletext"/>
              <w:jc w:val="center"/>
              <w:rPr>
                <w:szCs w:val="24"/>
              </w:rPr>
            </w:pPr>
            <w:r w:rsidRPr="00CA61A6">
              <w:sym w:font="Wingdings" w:char="F0FC"/>
            </w:r>
          </w:p>
        </w:tc>
        <w:tc>
          <w:tcPr>
            <w:tcW w:w="1318" w:type="dxa"/>
            <w:tcBorders>
              <w:top w:val="single" w:sz="4" w:space="0" w:color="auto"/>
              <w:left w:val="single" w:sz="4" w:space="0" w:color="auto"/>
              <w:bottom w:val="single" w:sz="4" w:space="0" w:color="auto"/>
              <w:right w:val="single" w:sz="4" w:space="0" w:color="auto"/>
            </w:tcBorders>
            <w:vAlign w:val="center"/>
          </w:tcPr>
          <w:p w:rsidR="00672B1A" w:rsidRPr="00CA61A6" w:rsidRDefault="00672B1A" w:rsidP="007B3478">
            <w:pPr>
              <w:pStyle w:val="Tabletext"/>
              <w:jc w:val="center"/>
              <w:rPr>
                <w:szCs w:val="24"/>
              </w:rPr>
            </w:pPr>
          </w:p>
        </w:tc>
      </w:tr>
      <w:tr w:rsidR="00672B1A" w:rsidRPr="00CA61A6" w:rsidTr="007468D6">
        <w:trPr>
          <w:trHeight w:val="530"/>
        </w:trPr>
        <w:tc>
          <w:tcPr>
            <w:tcW w:w="916" w:type="dxa"/>
            <w:tcBorders>
              <w:top w:val="single" w:sz="4" w:space="0" w:color="auto"/>
              <w:left w:val="single" w:sz="4" w:space="0" w:color="auto"/>
              <w:bottom w:val="single" w:sz="4" w:space="0" w:color="auto"/>
              <w:right w:val="single" w:sz="4" w:space="0" w:color="auto"/>
            </w:tcBorders>
            <w:vAlign w:val="center"/>
          </w:tcPr>
          <w:p w:rsidR="00672B1A" w:rsidRPr="00CA61A6" w:rsidRDefault="00110CAD" w:rsidP="007B3478">
            <w:pPr>
              <w:pStyle w:val="Tabletext"/>
            </w:pPr>
            <w:hyperlink w:anchor="Item07_04" w:history="1">
              <w:r w:rsidR="00672B1A" w:rsidRPr="00CA61A6">
                <w:rPr>
                  <w:rStyle w:val="Hyperlink"/>
                </w:rPr>
                <w:t>07-04</w:t>
              </w:r>
            </w:hyperlink>
          </w:p>
        </w:tc>
        <w:tc>
          <w:tcPr>
            <w:tcW w:w="4904" w:type="dxa"/>
            <w:tcBorders>
              <w:top w:val="single" w:sz="4" w:space="0" w:color="auto"/>
              <w:left w:val="single" w:sz="4" w:space="0" w:color="auto"/>
              <w:bottom w:val="single" w:sz="4" w:space="0" w:color="auto"/>
              <w:right w:val="single" w:sz="4" w:space="0" w:color="auto"/>
            </w:tcBorders>
            <w:shd w:val="clear" w:color="auto" w:fill="auto"/>
            <w:vAlign w:val="center"/>
          </w:tcPr>
          <w:p w:rsidR="00672B1A" w:rsidRPr="00CA61A6" w:rsidRDefault="00672B1A" w:rsidP="007B3478">
            <w:pPr>
              <w:pStyle w:val="Tabletext"/>
            </w:pPr>
            <w:r w:rsidRPr="00CA61A6">
              <w:t xml:space="preserve">La TSB, en consulta con las Comisiones de Estudio, </w:t>
            </w:r>
            <w:r w:rsidR="004A4DAE" w:rsidRPr="00CA61A6">
              <w:t xml:space="preserve">cooperará con la ISO y/o la CEI </w:t>
            </w:r>
            <w:r w:rsidR="000846FC" w:rsidRPr="00CA61A6">
              <w:t>en</w:t>
            </w:r>
            <w:r w:rsidR="004A4DAE" w:rsidRPr="00CA61A6">
              <w:t xml:space="preserve"> temas</w:t>
            </w:r>
            <w:r w:rsidR="000846FC" w:rsidRPr="00CA61A6">
              <w:t xml:space="preserve"> relacionados con la</w:t>
            </w:r>
            <w:r w:rsidR="004A4DAE" w:rsidRPr="00CA61A6">
              <w:t xml:space="preserve"> conformidad y la interoperatividad</w:t>
            </w:r>
          </w:p>
        </w:tc>
        <w:tc>
          <w:tcPr>
            <w:tcW w:w="1542" w:type="dxa"/>
            <w:tcBorders>
              <w:top w:val="single" w:sz="4" w:space="0" w:color="auto"/>
              <w:left w:val="nil"/>
              <w:bottom w:val="single" w:sz="4" w:space="0" w:color="auto"/>
              <w:right w:val="single" w:sz="4" w:space="0" w:color="auto"/>
            </w:tcBorders>
            <w:shd w:val="clear" w:color="auto" w:fill="auto"/>
            <w:vAlign w:val="center"/>
          </w:tcPr>
          <w:p w:rsidR="00672B1A" w:rsidRPr="00CA61A6" w:rsidRDefault="002205A4" w:rsidP="00167B36">
            <w:pPr>
              <w:pStyle w:val="Tabletext"/>
              <w:jc w:val="center"/>
            </w:pPr>
            <w:r w:rsidRPr="00CA61A6">
              <w:t>E</w:t>
            </w:r>
            <w:r w:rsidR="00672B1A" w:rsidRPr="00CA61A6">
              <w:t>n curso</w:t>
            </w:r>
          </w:p>
        </w:tc>
        <w:tc>
          <w:tcPr>
            <w:tcW w:w="1152" w:type="dxa"/>
            <w:tcBorders>
              <w:top w:val="single" w:sz="4" w:space="0" w:color="auto"/>
              <w:left w:val="single" w:sz="4" w:space="0" w:color="auto"/>
              <w:bottom w:val="single" w:sz="4" w:space="0" w:color="auto"/>
              <w:right w:val="single" w:sz="4" w:space="0" w:color="auto"/>
            </w:tcBorders>
            <w:vAlign w:val="center"/>
          </w:tcPr>
          <w:p w:rsidR="00672B1A" w:rsidRPr="00CA61A6" w:rsidRDefault="00AF4D49" w:rsidP="007B3478">
            <w:pPr>
              <w:pStyle w:val="Tabletext"/>
              <w:jc w:val="center"/>
              <w:rPr>
                <w:szCs w:val="24"/>
              </w:rPr>
            </w:pPr>
            <w:r w:rsidRPr="00CA61A6">
              <w:sym w:font="Wingdings" w:char="F0FC"/>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rsidR="00672B1A" w:rsidRPr="00CA61A6" w:rsidRDefault="00672B1A" w:rsidP="007B3478">
            <w:pPr>
              <w:pStyle w:val="Tabletext"/>
              <w:jc w:val="center"/>
              <w:rPr>
                <w:szCs w:val="24"/>
              </w:rPr>
            </w:pPr>
          </w:p>
        </w:tc>
      </w:tr>
    </w:tbl>
    <w:p w:rsidR="00D42D8F" w:rsidRPr="00CA61A6" w:rsidRDefault="00D42D8F" w:rsidP="007B3478">
      <w:pPr>
        <w:pStyle w:val="Headingb"/>
      </w:pPr>
      <w:bookmarkStart w:id="25" w:name="Item07_01"/>
      <w:r w:rsidRPr="00CA61A6">
        <w:lastRenderedPageBreak/>
        <w:t>Acción 07-01: TSB y CE</w:t>
      </w:r>
    </w:p>
    <w:bookmarkEnd w:id="25"/>
    <w:p w:rsidR="00DF4F6A" w:rsidRPr="00CA61A6" w:rsidRDefault="004A4DAE" w:rsidP="007B3478">
      <w:pPr>
        <w:rPr>
          <w:szCs w:val="24"/>
          <w:lang w:eastAsia="ja-JP"/>
        </w:rPr>
      </w:pPr>
      <w:r w:rsidRPr="00CA61A6">
        <w:rPr>
          <w:szCs w:val="24"/>
          <w:lang w:eastAsia="ja-JP"/>
        </w:rPr>
        <w:t>L</w:t>
      </w:r>
      <w:r w:rsidR="00A57BF8" w:rsidRPr="00CA61A6">
        <w:rPr>
          <w:szCs w:val="24"/>
          <w:lang w:eastAsia="ja-JP"/>
        </w:rPr>
        <w:t xml:space="preserve">a </w:t>
      </w:r>
      <w:hyperlink r:id="rId71" w:history="1">
        <w:r w:rsidR="00A57BF8" w:rsidRPr="00CA61A6">
          <w:rPr>
            <w:color w:val="0000FF"/>
            <w:szCs w:val="24"/>
            <w:u w:val="single"/>
            <w:lang w:eastAsia="ja-JP"/>
          </w:rPr>
          <w:t>World Standards Cooperation</w:t>
        </w:r>
      </w:hyperlink>
      <w:r w:rsidRPr="00CA61A6">
        <w:rPr>
          <w:szCs w:val="24"/>
          <w:lang w:eastAsia="ja-JP"/>
        </w:rPr>
        <w:t xml:space="preserve"> </w:t>
      </w:r>
      <w:r w:rsidR="00A57BF8" w:rsidRPr="00CA61A6">
        <w:rPr>
          <w:szCs w:val="24"/>
          <w:lang w:eastAsia="ja-JP"/>
        </w:rPr>
        <w:t>(</w:t>
      </w:r>
      <w:r w:rsidR="003B5CA0">
        <w:rPr>
          <w:szCs w:val="24"/>
          <w:lang w:eastAsia="ja-JP"/>
        </w:rPr>
        <w:t xml:space="preserve">WSC, </w:t>
      </w:r>
      <w:r w:rsidR="000846FC" w:rsidRPr="00CA61A6">
        <w:t>cooperación mundial sobre normas</w:t>
      </w:r>
      <w:r w:rsidRPr="00CA61A6">
        <w:t>)</w:t>
      </w:r>
      <w:r w:rsidRPr="00CA61A6">
        <w:rPr>
          <w:szCs w:val="24"/>
          <w:lang w:eastAsia="ja-JP"/>
        </w:rPr>
        <w:t xml:space="preserve"> se reúne</w:t>
      </w:r>
      <w:r w:rsidR="00A57BF8" w:rsidRPr="00CA61A6">
        <w:rPr>
          <w:szCs w:val="24"/>
          <w:lang w:eastAsia="ja-JP"/>
        </w:rPr>
        <w:t xml:space="preserve"> una vez al año durante el mes de </w:t>
      </w:r>
      <w:r w:rsidRPr="00CA61A6">
        <w:rPr>
          <w:szCs w:val="24"/>
          <w:lang w:eastAsia="ja-JP"/>
        </w:rPr>
        <w:t>febrero. Además, el Director de la TSB</w:t>
      </w:r>
      <w:r w:rsidR="000846FC" w:rsidRPr="00CA61A6">
        <w:rPr>
          <w:szCs w:val="24"/>
          <w:lang w:eastAsia="ja-JP"/>
        </w:rPr>
        <w:t xml:space="preserve"> y </w:t>
      </w:r>
      <w:r w:rsidR="00A57BF8" w:rsidRPr="00CA61A6">
        <w:rPr>
          <w:szCs w:val="24"/>
          <w:lang w:eastAsia="ja-JP"/>
        </w:rPr>
        <w:t>l</w:t>
      </w:r>
      <w:r w:rsidR="000846FC" w:rsidRPr="00CA61A6">
        <w:rPr>
          <w:szCs w:val="24"/>
          <w:lang w:eastAsia="ja-JP"/>
        </w:rPr>
        <w:t>os</w:t>
      </w:r>
      <w:r w:rsidRPr="00CA61A6">
        <w:rPr>
          <w:szCs w:val="24"/>
          <w:lang w:eastAsia="ja-JP"/>
        </w:rPr>
        <w:t xml:space="preserve"> Secretario</w:t>
      </w:r>
      <w:r w:rsidR="000846FC" w:rsidRPr="00CA61A6">
        <w:rPr>
          <w:szCs w:val="24"/>
          <w:lang w:eastAsia="ja-JP"/>
        </w:rPr>
        <w:t>s</w:t>
      </w:r>
      <w:r w:rsidRPr="00CA61A6">
        <w:rPr>
          <w:szCs w:val="24"/>
          <w:lang w:eastAsia="ja-JP"/>
        </w:rPr>
        <w:t xml:space="preserve"> General</w:t>
      </w:r>
      <w:r w:rsidR="000846FC" w:rsidRPr="00CA61A6">
        <w:rPr>
          <w:szCs w:val="24"/>
          <w:lang w:eastAsia="ja-JP"/>
        </w:rPr>
        <w:t>es</w:t>
      </w:r>
      <w:r w:rsidRPr="00CA61A6">
        <w:rPr>
          <w:szCs w:val="24"/>
          <w:lang w:eastAsia="ja-JP"/>
        </w:rPr>
        <w:t xml:space="preserve"> de la ISO y</w:t>
      </w:r>
      <w:r w:rsidR="00A57BF8" w:rsidRPr="00CA61A6">
        <w:rPr>
          <w:szCs w:val="24"/>
          <w:lang w:eastAsia="ja-JP"/>
        </w:rPr>
        <w:t xml:space="preserve"> la CEI</w:t>
      </w:r>
      <w:r w:rsidRPr="00CA61A6">
        <w:rPr>
          <w:szCs w:val="24"/>
          <w:lang w:eastAsia="ja-JP"/>
        </w:rPr>
        <w:t xml:space="preserve"> se reúnen periódicamente (dos o tres veces al año) para discutir temas</w:t>
      </w:r>
      <w:r w:rsidR="00A57BF8" w:rsidRPr="00CA61A6">
        <w:rPr>
          <w:szCs w:val="24"/>
          <w:lang w:eastAsia="ja-JP"/>
        </w:rPr>
        <w:t xml:space="preserve"> relativos a la</w:t>
      </w:r>
      <w:r w:rsidRPr="00CA61A6">
        <w:rPr>
          <w:szCs w:val="24"/>
          <w:lang w:eastAsia="ja-JP"/>
        </w:rPr>
        <w:t xml:space="preserve"> cooperación.</w:t>
      </w:r>
    </w:p>
    <w:p w:rsidR="00DF4F6A" w:rsidRPr="00CA61A6" w:rsidRDefault="00A57BF8" w:rsidP="007B3478">
      <w:pPr>
        <w:rPr>
          <w:szCs w:val="24"/>
          <w:lang w:eastAsia="ja-JP"/>
        </w:rPr>
      </w:pPr>
      <w:r w:rsidRPr="00CA61A6">
        <w:rPr>
          <w:szCs w:val="24"/>
          <w:lang w:eastAsia="ja-JP"/>
        </w:rPr>
        <w:t xml:space="preserve">Reuniones de la </w:t>
      </w:r>
      <w:r w:rsidR="00DF4F6A" w:rsidRPr="00CA61A6">
        <w:rPr>
          <w:szCs w:val="24"/>
          <w:lang w:eastAsia="ja-JP"/>
        </w:rPr>
        <w:t>W</w:t>
      </w:r>
      <w:r w:rsidRPr="00CA61A6">
        <w:rPr>
          <w:szCs w:val="24"/>
          <w:lang w:eastAsia="ja-JP"/>
        </w:rPr>
        <w:t>SC</w:t>
      </w:r>
      <w:r w:rsidR="00DF4F6A" w:rsidRPr="00CA61A6">
        <w:rPr>
          <w:szCs w:val="24"/>
          <w:lang w:eastAsia="ja-JP"/>
        </w:rPr>
        <w:t>:</w:t>
      </w:r>
    </w:p>
    <w:p w:rsidR="00A57BF8" w:rsidRPr="00CA61A6" w:rsidRDefault="001D1172" w:rsidP="007B3478">
      <w:pPr>
        <w:pStyle w:val="enumlev1"/>
        <w:rPr>
          <w:lang w:eastAsia="ja-JP"/>
        </w:rPr>
      </w:pPr>
      <w:r w:rsidRPr="00CA61A6">
        <w:rPr>
          <w:lang w:eastAsia="ja-JP"/>
        </w:rPr>
        <w:t>–</w:t>
      </w:r>
      <w:r w:rsidRPr="00CA61A6">
        <w:rPr>
          <w:lang w:eastAsia="ja-JP"/>
        </w:rPr>
        <w:tab/>
      </w:r>
      <w:r w:rsidR="00A57BF8" w:rsidRPr="00CA61A6">
        <w:rPr>
          <w:lang w:eastAsia="ja-JP"/>
        </w:rPr>
        <w:t>14 de febrero de 2013, organizada por la Secretaría de la ISO.</w:t>
      </w:r>
    </w:p>
    <w:p w:rsidR="00A57BF8" w:rsidRPr="00CA61A6" w:rsidRDefault="001D1172" w:rsidP="007B3478">
      <w:pPr>
        <w:pStyle w:val="enumlev1"/>
        <w:rPr>
          <w:lang w:eastAsia="ja-JP"/>
        </w:rPr>
      </w:pPr>
      <w:r w:rsidRPr="00CA61A6">
        <w:rPr>
          <w:lang w:eastAsia="ja-JP"/>
        </w:rPr>
        <w:t>–</w:t>
      </w:r>
      <w:r w:rsidRPr="00CA61A6">
        <w:rPr>
          <w:lang w:eastAsia="ja-JP"/>
        </w:rPr>
        <w:tab/>
      </w:r>
      <w:r w:rsidR="00A57BF8" w:rsidRPr="00CA61A6">
        <w:rPr>
          <w:lang w:eastAsia="ja-JP"/>
        </w:rPr>
        <w:t>20 de febrero de 2014, organizada por la Secretaría de la UIT.</w:t>
      </w:r>
    </w:p>
    <w:p w:rsidR="00DF4F6A" w:rsidRPr="00CA61A6" w:rsidRDefault="001D1172" w:rsidP="007B3478">
      <w:pPr>
        <w:pStyle w:val="enumlev1"/>
        <w:rPr>
          <w:rFonts w:asciiTheme="majorBidi" w:hAnsiTheme="majorBidi" w:cstheme="majorBidi"/>
          <w:color w:val="000000"/>
          <w:lang w:eastAsia="ja-JP"/>
        </w:rPr>
      </w:pPr>
      <w:r w:rsidRPr="00CA61A6">
        <w:rPr>
          <w:lang w:eastAsia="ja-JP"/>
        </w:rPr>
        <w:t>–</w:t>
      </w:r>
      <w:r w:rsidRPr="00CA61A6">
        <w:rPr>
          <w:lang w:eastAsia="ja-JP"/>
        </w:rPr>
        <w:tab/>
      </w:r>
      <w:r w:rsidR="00A57BF8" w:rsidRPr="00CA61A6">
        <w:rPr>
          <w:lang w:eastAsia="ja-JP"/>
        </w:rPr>
        <w:t>12 de febrero de 2015, organizada por la Secretaría de la CEI.</w:t>
      </w:r>
    </w:p>
    <w:p w:rsidR="00A57BF8" w:rsidRPr="00CA61A6" w:rsidRDefault="001D1172" w:rsidP="007B3478">
      <w:pPr>
        <w:pStyle w:val="enumlev1"/>
        <w:rPr>
          <w:lang w:eastAsia="ja-JP"/>
        </w:rPr>
      </w:pPr>
      <w:r w:rsidRPr="00CA61A6">
        <w:rPr>
          <w:lang w:eastAsia="ja-JP"/>
        </w:rPr>
        <w:t>–</w:t>
      </w:r>
      <w:r w:rsidRPr="00CA61A6">
        <w:rPr>
          <w:lang w:eastAsia="ja-JP"/>
        </w:rPr>
        <w:tab/>
      </w:r>
      <w:r w:rsidR="00A57BF8" w:rsidRPr="00CA61A6">
        <w:rPr>
          <w:lang w:eastAsia="ja-JP"/>
        </w:rPr>
        <w:t>25 de febrero de 2016, organizada por la Secretaría de la ISO.</w:t>
      </w:r>
    </w:p>
    <w:p w:rsidR="00DF4F6A" w:rsidRPr="00CA61A6" w:rsidRDefault="00A57BF8" w:rsidP="007B3478">
      <w:pPr>
        <w:rPr>
          <w:lang w:eastAsia="ja-JP"/>
        </w:rPr>
      </w:pPr>
      <w:r w:rsidRPr="00CA61A6">
        <w:rPr>
          <w:lang w:eastAsia="ja-JP"/>
        </w:rPr>
        <w:t xml:space="preserve">En su reunión anual, los miembros de la WSC acordaron un </w:t>
      </w:r>
      <w:r w:rsidR="00426668" w:rsidRPr="00CA61A6">
        <w:t>plan trienal renovable</w:t>
      </w:r>
      <w:r w:rsidRPr="00CA61A6">
        <w:rPr>
          <w:lang w:eastAsia="ja-JP"/>
        </w:rPr>
        <w:t>.</w:t>
      </w:r>
      <w:r w:rsidR="00426668" w:rsidRPr="00CA61A6">
        <w:rPr>
          <w:lang w:eastAsia="ja-JP"/>
        </w:rPr>
        <w:t xml:space="preserve"> Entre las actividades conjuntas de la </w:t>
      </w:r>
      <w:r w:rsidRPr="00CA61A6">
        <w:rPr>
          <w:lang w:eastAsia="ja-JP"/>
        </w:rPr>
        <w:t xml:space="preserve">WSC </w:t>
      </w:r>
      <w:r w:rsidR="00426668" w:rsidRPr="00CA61A6">
        <w:rPr>
          <w:lang w:eastAsia="ja-JP"/>
        </w:rPr>
        <w:t>figura</w:t>
      </w:r>
      <w:r w:rsidRPr="00CA61A6">
        <w:rPr>
          <w:lang w:eastAsia="ja-JP"/>
        </w:rPr>
        <w:t>n:</w:t>
      </w:r>
    </w:p>
    <w:p w:rsidR="00DF4F6A" w:rsidRPr="00CA61A6" w:rsidRDefault="005E07B6" w:rsidP="007B3478">
      <w:pPr>
        <w:pStyle w:val="enumlev1"/>
        <w:rPr>
          <w:lang w:eastAsia="ja-JP"/>
        </w:rPr>
      </w:pPr>
      <w:r w:rsidRPr="00CA61A6">
        <w:rPr>
          <w:lang w:eastAsia="ja-JP"/>
        </w:rPr>
        <w:t>–</w:t>
      </w:r>
      <w:r w:rsidRPr="00CA61A6">
        <w:rPr>
          <w:lang w:eastAsia="ja-JP"/>
        </w:rPr>
        <w:tab/>
      </w:r>
      <w:r w:rsidR="006D1A21">
        <w:t>Día Mundial de la Normalización</w:t>
      </w:r>
    </w:p>
    <w:p w:rsidR="00DF4F6A" w:rsidRPr="00CA61A6" w:rsidRDefault="00410904" w:rsidP="007B3478">
      <w:pPr>
        <w:pStyle w:val="enumlev2"/>
        <w:rPr>
          <w:lang w:eastAsia="ja-JP"/>
        </w:rPr>
      </w:pPr>
      <w:r w:rsidRPr="00CA61A6">
        <w:rPr>
          <w:lang w:eastAsia="ja-JP"/>
        </w:rPr>
        <w:t>•</w:t>
      </w:r>
      <w:r w:rsidRPr="00CA61A6">
        <w:rPr>
          <w:lang w:eastAsia="ja-JP"/>
        </w:rPr>
        <w:tab/>
      </w:r>
      <w:r w:rsidR="00D1634B" w:rsidRPr="00CA61A6">
        <w:rPr>
          <w:lang w:eastAsia="ja-JP"/>
        </w:rPr>
        <w:t xml:space="preserve">En 2014, el tradicional concurso de carteles en línea se organizó en torno al </w:t>
      </w:r>
      <w:r w:rsidR="00742BEC" w:rsidRPr="00CA61A6">
        <w:rPr>
          <w:lang w:eastAsia="ja-JP"/>
        </w:rPr>
        <w:t xml:space="preserve">papel que desempeñan </w:t>
      </w:r>
      <w:r w:rsidR="00D1634B" w:rsidRPr="00CA61A6">
        <w:rPr>
          <w:lang w:eastAsia="ja-JP"/>
        </w:rPr>
        <w:t>las normas internacionales</w:t>
      </w:r>
      <w:r w:rsidR="00742BEC" w:rsidRPr="00CA61A6">
        <w:rPr>
          <w:lang w:eastAsia="ja-JP"/>
        </w:rPr>
        <w:t xml:space="preserve"> en la creación de</w:t>
      </w:r>
      <w:r w:rsidR="00D1634B" w:rsidRPr="00CA61A6">
        <w:t xml:space="preserve"> condiciones equitativas para</w:t>
      </w:r>
      <w:r w:rsidR="00D1634B" w:rsidRPr="00CA61A6">
        <w:rPr>
          <w:lang w:eastAsia="ja-JP"/>
        </w:rPr>
        <w:t xml:space="preserve"> </w:t>
      </w:r>
      <w:r w:rsidR="00AA63A6" w:rsidRPr="00CA61A6">
        <w:rPr>
          <w:lang w:eastAsia="ja-JP"/>
        </w:rPr>
        <w:t>la competencia</w:t>
      </w:r>
      <w:r w:rsidR="00D1634B" w:rsidRPr="00CA61A6">
        <w:rPr>
          <w:lang w:eastAsia="ja-JP"/>
        </w:rPr>
        <w:t>.</w:t>
      </w:r>
    </w:p>
    <w:p w:rsidR="00DF4F6A" w:rsidRPr="00CA61A6" w:rsidRDefault="00410904" w:rsidP="007B3478">
      <w:pPr>
        <w:pStyle w:val="enumlev2"/>
        <w:rPr>
          <w:lang w:eastAsia="ja-JP"/>
        </w:rPr>
      </w:pPr>
      <w:r w:rsidRPr="00CA61A6">
        <w:rPr>
          <w:lang w:eastAsia="ja-JP"/>
        </w:rPr>
        <w:t>•</w:t>
      </w:r>
      <w:r w:rsidRPr="00CA61A6">
        <w:rPr>
          <w:lang w:eastAsia="ja-JP"/>
        </w:rPr>
        <w:tab/>
      </w:r>
      <w:r w:rsidR="00D1634B" w:rsidRPr="00CA61A6">
        <w:rPr>
          <w:lang w:eastAsia="ja-JP"/>
        </w:rPr>
        <w:t xml:space="preserve">En 2015, el tema será </w:t>
      </w:r>
      <w:r w:rsidR="00B26079" w:rsidRPr="00CA61A6">
        <w:rPr>
          <w:lang w:eastAsia="ja-JP"/>
        </w:rPr>
        <w:t>"</w:t>
      </w:r>
      <w:r w:rsidR="00D1634B" w:rsidRPr="00CA61A6">
        <w:rPr>
          <w:lang w:eastAsia="ja-JP"/>
        </w:rPr>
        <w:t xml:space="preserve">Normas </w:t>
      </w:r>
      <w:r w:rsidR="00AA63A6" w:rsidRPr="00CA61A6">
        <w:rPr>
          <w:lang w:eastAsia="ja-JP"/>
        </w:rPr>
        <w:t>–</w:t>
      </w:r>
      <w:r w:rsidR="00D1634B" w:rsidRPr="00CA61A6">
        <w:rPr>
          <w:lang w:eastAsia="ja-JP"/>
        </w:rPr>
        <w:t xml:space="preserve"> </w:t>
      </w:r>
      <w:r w:rsidR="00AA63A6" w:rsidRPr="00CA61A6">
        <w:rPr>
          <w:lang w:eastAsia="ja-JP"/>
        </w:rPr>
        <w:t xml:space="preserve">Partir </w:t>
      </w:r>
      <w:r w:rsidR="00D1634B" w:rsidRPr="00CA61A6">
        <w:rPr>
          <w:lang w:eastAsia="ja-JP"/>
        </w:rPr>
        <w:t>de un lenguaje común</w:t>
      </w:r>
      <w:r w:rsidR="00B26079" w:rsidRPr="00CA61A6">
        <w:rPr>
          <w:lang w:eastAsia="ja-JP"/>
        </w:rPr>
        <w:t>"</w:t>
      </w:r>
      <w:r w:rsidR="00D1634B" w:rsidRPr="00CA61A6">
        <w:rPr>
          <w:lang w:eastAsia="ja-JP"/>
        </w:rPr>
        <w:t>.</w:t>
      </w:r>
    </w:p>
    <w:p w:rsidR="00DF4F6A" w:rsidRPr="00CA61A6" w:rsidRDefault="005E07B6" w:rsidP="007B3478">
      <w:pPr>
        <w:pStyle w:val="enumlev1"/>
        <w:rPr>
          <w:lang w:eastAsia="ja-JP"/>
        </w:rPr>
      </w:pPr>
      <w:r w:rsidRPr="00CA61A6">
        <w:rPr>
          <w:lang w:eastAsia="ja-JP"/>
        </w:rPr>
        <w:t>–</w:t>
      </w:r>
      <w:r w:rsidRPr="00CA61A6">
        <w:rPr>
          <w:lang w:eastAsia="ja-JP"/>
        </w:rPr>
        <w:tab/>
      </w:r>
      <w:r w:rsidR="006D1A21">
        <w:rPr>
          <w:lang w:eastAsia="ja-JP"/>
        </w:rPr>
        <w:t>Círculos académicos</w:t>
      </w:r>
    </w:p>
    <w:p w:rsidR="00DF4F6A" w:rsidRPr="00CA61A6" w:rsidRDefault="00B34F53" w:rsidP="00E078FC">
      <w:pPr>
        <w:pStyle w:val="enumlev2"/>
        <w:rPr>
          <w:rFonts w:asciiTheme="majorBidi" w:hAnsiTheme="majorBidi" w:cstheme="majorBidi"/>
          <w:szCs w:val="24"/>
          <w:lang w:eastAsia="ja-JP"/>
        </w:rPr>
      </w:pPr>
      <w:r w:rsidRPr="00CA61A6">
        <w:rPr>
          <w:lang w:eastAsia="ja-JP"/>
        </w:rPr>
        <w:t>•</w:t>
      </w:r>
      <w:r w:rsidRPr="00CA61A6">
        <w:rPr>
          <w:lang w:eastAsia="ja-JP"/>
        </w:rPr>
        <w:tab/>
      </w:r>
      <w:r w:rsidR="00957766" w:rsidRPr="00CA61A6">
        <w:rPr>
          <w:lang w:eastAsia="ja-JP"/>
        </w:rPr>
        <w:t xml:space="preserve">La WSC </w:t>
      </w:r>
      <w:r w:rsidR="002053CB" w:rsidRPr="00CA61A6">
        <w:rPr>
          <w:lang w:eastAsia="ja-JP"/>
        </w:rPr>
        <w:t xml:space="preserve">y diversas organizaciones de normalización e instituciones académicas </w:t>
      </w:r>
      <w:r w:rsidR="00957766" w:rsidRPr="00CA61A6">
        <w:rPr>
          <w:lang w:eastAsia="ja-JP"/>
        </w:rPr>
        <w:t>organiz</w:t>
      </w:r>
      <w:r w:rsidR="002053CB" w:rsidRPr="00CA61A6">
        <w:rPr>
          <w:lang w:eastAsia="ja-JP"/>
        </w:rPr>
        <w:t>aron</w:t>
      </w:r>
      <w:r w:rsidR="00957766" w:rsidRPr="00CA61A6">
        <w:rPr>
          <w:lang w:eastAsia="ja-JP"/>
        </w:rPr>
        <w:t xml:space="preserve"> </w:t>
      </w:r>
      <w:r w:rsidR="00742BEC" w:rsidRPr="00CA61A6">
        <w:rPr>
          <w:lang w:eastAsia="ja-JP"/>
        </w:rPr>
        <w:t xml:space="preserve">el </w:t>
      </w:r>
      <w:r w:rsidR="00742BEC" w:rsidRPr="00CA61A6">
        <w:rPr>
          <w:i/>
          <w:iCs/>
          <w:lang w:eastAsia="ja-JP"/>
        </w:rPr>
        <w:t>Academic Day</w:t>
      </w:r>
      <w:r w:rsidR="00957766" w:rsidRPr="00CA61A6">
        <w:rPr>
          <w:lang w:eastAsia="ja-JP"/>
        </w:rPr>
        <w:t xml:space="preserve"> </w:t>
      </w:r>
      <w:r w:rsidR="00742BEC" w:rsidRPr="00CA61A6">
        <w:rPr>
          <w:lang w:eastAsia="ja-JP"/>
        </w:rPr>
        <w:t>(día ac</w:t>
      </w:r>
      <w:r w:rsidR="00957766" w:rsidRPr="00CA61A6">
        <w:rPr>
          <w:lang w:eastAsia="ja-JP"/>
        </w:rPr>
        <w:t>adémico</w:t>
      </w:r>
      <w:r w:rsidR="00742BEC" w:rsidRPr="00CA61A6">
        <w:rPr>
          <w:lang w:eastAsia="ja-JP"/>
        </w:rPr>
        <w:t>)</w:t>
      </w:r>
      <w:r w:rsidR="002053CB" w:rsidRPr="00CA61A6">
        <w:rPr>
          <w:lang w:eastAsia="ja-JP"/>
        </w:rPr>
        <w:t>, que se celebró</w:t>
      </w:r>
      <w:r w:rsidR="00957766" w:rsidRPr="00CA61A6">
        <w:rPr>
          <w:lang w:eastAsia="ja-JP"/>
        </w:rPr>
        <w:t xml:space="preserve"> en Ottawa</w:t>
      </w:r>
      <w:r w:rsidR="00742BEC" w:rsidRPr="00CA61A6">
        <w:rPr>
          <w:lang w:eastAsia="ja-JP"/>
        </w:rPr>
        <w:t>,</w:t>
      </w:r>
      <w:r w:rsidR="00957766" w:rsidRPr="00CA61A6">
        <w:rPr>
          <w:lang w:eastAsia="ja-JP"/>
        </w:rPr>
        <w:t xml:space="preserve"> Canadá</w:t>
      </w:r>
      <w:r w:rsidR="00742BEC" w:rsidRPr="00CA61A6">
        <w:rPr>
          <w:lang w:eastAsia="ja-JP"/>
        </w:rPr>
        <w:t>,</w:t>
      </w:r>
      <w:r w:rsidR="00957766" w:rsidRPr="00CA61A6">
        <w:rPr>
          <w:lang w:eastAsia="ja-JP"/>
        </w:rPr>
        <w:t xml:space="preserve"> el 15 de agosto de 2014</w:t>
      </w:r>
      <w:r w:rsidR="00742BEC" w:rsidRPr="00CA61A6">
        <w:rPr>
          <w:lang w:eastAsia="ja-JP"/>
        </w:rPr>
        <w:t xml:space="preserve">. El </w:t>
      </w:r>
      <w:r w:rsidR="00CA61A6" w:rsidRPr="00CA61A6">
        <w:rPr>
          <w:lang w:eastAsia="ja-JP"/>
        </w:rPr>
        <w:t>evento</w:t>
      </w:r>
      <w:r w:rsidR="00742BEC" w:rsidRPr="00CA61A6">
        <w:rPr>
          <w:lang w:eastAsia="ja-JP"/>
        </w:rPr>
        <w:t xml:space="preserve"> tuvo lugar</w:t>
      </w:r>
      <w:r w:rsidR="00957766" w:rsidRPr="00CA61A6">
        <w:rPr>
          <w:lang w:eastAsia="ja-JP"/>
        </w:rPr>
        <w:t xml:space="preserve"> en conjunción </w:t>
      </w:r>
      <w:r w:rsidR="00742BEC" w:rsidRPr="00CA61A6">
        <w:rPr>
          <w:lang w:eastAsia="ja-JP"/>
        </w:rPr>
        <w:t>con la conferencia anual de SES y se articuló en torno a</w:t>
      </w:r>
      <w:r w:rsidR="00957766" w:rsidRPr="00CA61A6">
        <w:rPr>
          <w:lang w:eastAsia="ja-JP"/>
        </w:rPr>
        <w:t xml:space="preserve">l tema </w:t>
      </w:r>
      <w:r w:rsidR="00B26079" w:rsidRPr="00CA61A6">
        <w:rPr>
          <w:lang w:eastAsia="ja-JP"/>
        </w:rPr>
        <w:t>"</w:t>
      </w:r>
      <w:r w:rsidR="00E078FC" w:rsidRPr="00CA61A6">
        <w:rPr>
          <w:lang w:eastAsia="ja-JP"/>
        </w:rPr>
        <w:t xml:space="preserve">alentar </w:t>
      </w:r>
      <w:r w:rsidR="00957766" w:rsidRPr="00CA61A6">
        <w:rPr>
          <w:lang w:eastAsia="ja-JP"/>
        </w:rPr>
        <w:t>a la próxima g</w:t>
      </w:r>
      <w:r w:rsidR="00B26079" w:rsidRPr="00CA61A6">
        <w:rPr>
          <w:lang w:eastAsia="ja-JP"/>
        </w:rPr>
        <w:t>eneración de expertos en normas"</w:t>
      </w:r>
      <w:r w:rsidR="00742BEC" w:rsidRPr="00CA61A6">
        <w:rPr>
          <w:lang w:eastAsia="ja-JP"/>
        </w:rPr>
        <w:t>.</w:t>
      </w:r>
      <w:r w:rsidR="002053CB" w:rsidRPr="00CA61A6">
        <w:rPr>
          <w:lang w:eastAsia="ja-JP"/>
        </w:rPr>
        <w:t xml:space="preserve"> </w:t>
      </w:r>
      <w:r w:rsidR="00742BEC" w:rsidRPr="00CA61A6">
        <w:rPr>
          <w:lang w:eastAsia="ja-JP"/>
        </w:rPr>
        <w:t>E</w:t>
      </w:r>
      <w:r w:rsidR="002053CB" w:rsidRPr="00CA61A6">
        <w:rPr>
          <w:lang w:eastAsia="ja-JP"/>
        </w:rPr>
        <w:t>n dicha ocasión, se h</w:t>
      </w:r>
      <w:r w:rsidR="0084397E" w:rsidRPr="00CA61A6">
        <w:rPr>
          <w:lang w:eastAsia="ja-JP"/>
        </w:rPr>
        <w:t xml:space="preserve">izo </w:t>
      </w:r>
      <w:r w:rsidR="002053CB" w:rsidRPr="00CA61A6">
        <w:rPr>
          <w:lang w:eastAsia="ja-JP"/>
        </w:rPr>
        <w:t>especial hincapié en</w:t>
      </w:r>
      <w:r w:rsidR="00742BEC" w:rsidRPr="00CA61A6">
        <w:rPr>
          <w:lang w:eastAsia="ja-JP"/>
        </w:rPr>
        <w:t xml:space="preserve"> </w:t>
      </w:r>
      <w:r w:rsidR="002053CB" w:rsidRPr="00CA61A6">
        <w:rPr>
          <w:lang w:eastAsia="ja-JP"/>
        </w:rPr>
        <w:t>l</w:t>
      </w:r>
      <w:r w:rsidR="00742BEC" w:rsidRPr="00CA61A6">
        <w:rPr>
          <w:lang w:eastAsia="ja-JP"/>
        </w:rPr>
        <w:t>a función</w:t>
      </w:r>
      <w:r w:rsidR="002053CB" w:rsidRPr="00CA61A6">
        <w:rPr>
          <w:lang w:eastAsia="ja-JP"/>
        </w:rPr>
        <w:t xml:space="preserve"> que</w:t>
      </w:r>
      <w:r w:rsidR="00957766" w:rsidRPr="00CA61A6">
        <w:rPr>
          <w:lang w:eastAsia="ja-JP"/>
        </w:rPr>
        <w:t xml:space="preserve"> la educación superior</w:t>
      </w:r>
      <w:r w:rsidR="002053CB" w:rsidRPr="00CA61A6">
        <w:rPr>
          <w:lang w:eastAsia="ja-JP"/>
        </w:rPr>
        <w:t xml:space="preserve"> en materia de </w:t>
      </w:r>
      <w:r w:rsidR="00957766" w:rsidRPr="00CA61A6">
        <w:rPr>
          <w:lang w:eastAsia="ja-JP"/>
        </w:rPr>
        <w:t xml:space="preserve">normalización puede </w:t>
      </w:r>
      <w:r w:rsidR="00742BEC" w:rsidRPr="00CA61A6">
        <w:rPr>
          <w:lang w:eastAsia="ja-JP"/>
        </w:rPr>
        <w:t>ejercer</w:t>
      </w:r>
      <w:r w:rsidR="002053CB" w:rsidRPr="00CA61A6">
        <w:rPr>
          <w:lang w:eastAsia="ja-JP"/>
        </w:rPr>
        <w:t xml:space="preserve"> en la formación de </w:t>
      </w:r>
      <w:r w:rsidR="00957766" w:rsidRPr="00CA61A6">
        <w:rPr>
          <w:lang w:eastAsia="ja-JP"/>
        </w:rPr>
        <w:t xml:space="preserve">nuevos expertos en </w:t>
      </w:r>
      <w:r w:rsidR="002053CB" w:rsidRPr="00CA61A6">
        <w:rPr>
          <w:lang w:eastAsia="ja-JP"/>
        </w:rPr>
        <w:t xml:space="preserve">normas, así como en </w:t>
      </w:r>
      <w:r w:rsidR="0084397E" w:rsidRPr="00CA61A6">
        <w:rPr>
          <w:lang w:eastAsia="ja-JP"/>
        </w:rPr>
        <w:t xml:space="preserve">una serie de </w:t>
      </w:r>
      <w:r w:rsidR="002053CB" w:rsidRPr="00CA61A6">
        <w:rPr>
          <w:lang w:eastAsia="ja-JP"/>
        </w:rPr>
        <w:t>programas encaminados al desarrollo y el progreso de jóvenes</w:t>
      </w:r>
      <w:r w:rsidR="00957766" w:rsidRPr="00CA61A6">
        <w:rPr>
          <w:lang w:eastAsia="ja-JP"/>
        </w:rPr>
        <w:t xml:space="preserve"> profesionales </w:t>
      </w:r>
      <w:r w:rsidR="002053CB" w:rsidRPr="00CA61A6">
        <w:rPr>
          <w:lang w:eastAsia="ja-JP"/>
        </w:rPr>
        <w:t>en la materia</w:t>
      </w:r>
      <w:r w:rsidR="00957766" w:rsidRPr="00CA61A6">
        <w:rPr>
          <w:lang w:eastAsia="ja-JP"/>
        </w:rPr>
        <w:t xml:space="preserve">. </w:t>
      </w:r>
      <w:r w:rsidR="002053CB" w:rsidRPr="00CA61A6">
        <w:rPr>
          <w:lang w:eastAsia="ja-JP"/>
        </w:rPr>
        <w:t>L</w:t>
      </w:r>
      <w:r w:rsidR="00957766" w:rsidRPr="00CA61A6">
        <w:rPr>
          <w:lang w:eastAsia="ja-JP"/>
        </w:rPr>
        <w:t xml:space="preserve">a </w:t>
      </w:r>
      <w:r w:rsidR="00937C07">
        <w:rPr>
          <w:lang w:eastAsia="ja-JP"/>
        </w:rPr>
        <w:t>8</w:t>
      </w:r>
      <w:r w:rsidR="002053CB" w:rsidRPr="00CA61A6">
        <w:rPr>
          <w:lang w:eastAsia="ja-JP"/>
        </w:rPr>
        <w:t>ª conferencia de Cooperación Internacional sobre Formación en materia de Normalización (ICES)</w:t>
      </w:r>
      <w:r w:rsidR="00957766" w:rsidRPr="00CA61A6">
        <w:rPr>
          <w:lang w:eastAsia="ja-JP"/>
        </w:rPr>
        <w:t xml:space="preserve"> se llevó a cabo</w:t>
      </w:r>
      <w:r w:rsidR="002053CB" w:rsidRPr="00CA61A6">
        <w:rPr>
          <w:lang w:eastAsia="ja-JP"/>
        </w:rPr>
        <w:t xml:space="preserve"> en el mismo lugar</w:t>
      </w:r>
      <w:r w:rsidR="00957766" w:rsidRPr="00CA61A6">
        <w:rPr>
          <w:lang w:eastAsia="ja-JP"/>
        </w:rPr>
        <w:t>.</w:t>
      </w:r>
    </w:p>
    <w:p w:rsidR="00DF4F6A" w:rsidRPr="00CA61A6" w:rsidRDefault="00B34F53" w:rsidP="00B26079">
      <w:pPr>
        <w:pStyle w:val="enumlev2"/>
        <w:rPr>
          <w:szCs w:val="24"/>
          <w:lang w:eastAsia="ja-JP"/>
        </w:rPr>
      </w:pPr>
      <w:r w:rsidRPr="00CA61A6">
        <w:rPr>
          <w:lang w:eastAsia="ja-JP"/>
        </w:rPr>
        <w:t>•</w:t>
      </w:r>
      <w:r w:rsidRPr="00CA61A6">
        <w:rPr>
          <w:lang w:eastAsia="ja-JP"/>
        </w:rPr>
        <w:tab/>
      </w:r>
      <w:r w:rsidR="0084397E" w:rsidRPr="00CA61A6">
        <w:rPr>
          <w:lang w:eastAsia="ja-JP"/>
        </w:rPr>
        <w:t xml:space="preserve">La </w:t>
      </w:r>
      <w:r w:rsidR="00DF4F6A" w:rsidRPr="00CA61A6">
        <w:rPr>
          <w:rFonts w:asciiTheme="majorBidi" w:eastAsiaTheme="majorBidi" w:hAnsiTheme="majorBidi" w:cstheme="majorBidi"/>
          <w:szCs w:val="24"/>
          <w:lang w:eastAsia="ja-JP"/>
        </w:rPr>
        <w:t xml:space="preserve">ISO, </w:t>
      </w:r>
      <w:r w:rsidR="0084397E" w:rsidRPr="00CA61A6">
        <w:rPr>
          <w:rFonts w:asciiTheme="majorBidi" w:eastAsiaTheme="majorBidi" w:hAnsiTheme="majorBidi" w:cstheme="majorBidi"/>
          <w:szCs w:val="24"/>
          <w:lang w:eastAsia="ja-JP"/>
        </w:rPr>
        <w:t xml:space="preserve">la </w:t>
      </w:r>
      <w:r w:rsidR="00E77420" w:rsidRPr="00CA61A6">
        <w:rPr>
          <w:rFonts w:asciiTheme="majorBidi" w:eastAsiaTheme="majorBidi" w:hAnsiTheme="majorBidi" w:cstheme="majorBidi"/>
          <w:szCs w:val="24"/>
          <w:lang w:eastAsia="ja-JP"/>
        </w:rPr>
        <w:t>CEI</w:t>
      </w:r>
      <w:r w:rsidR="00DF4F6A" w:rsidRPr="00CA61A6">
        <w:rPr>
          <w:rFonts w:asciiTheme="majorBidi" w:eastAsiaTheme="majorBidi" w:hAnsiTheme="majorBidi" w:cstheme="majorBidi"/>
          <w:szCs w:val="24"/>
          <w:lang w:eastAsia="ja-JP"/>
        </w:rPr>
        <w:t xml:space="preserve"> </w:t>
      </w:r>
      <w:r w:rsidR="00E77420" w:rsidRPr="00CA61A6">
        <w:rPr>
          <w:rFonts w:asciiTheme="majorBidi" w:eastAsiaTheme="majorBidi" w:hAnsiTheme="majorBidi" w:cstheme="majorBidi"/>
          <w:szCs w:val="24"/>
          <w:lang w:eastAsia="ja-JP"/>
        </w:rPr>
        <w:t xml:space="preserve">y </w:t>
      </w:r>
      <w:r w:rsidR="0084397E" w:rsidRPr="00CA61A6">
        <w:rPr>
          <w:rFonts w:asciiTheme="majorBidi" w:eastAsiaTheme="majorBidi" w:hAnsiTheme="majorBidi" w:cstheme="majorBidi"/>
          <w:szCs w:val="24"/>
          <w:lang w:eastAsia="ja-JP"/>
        </w:rPr>
        <w:t xml:space="preserve">la </w:t>
      </w:r>
      <w:r w:rsidR="00E77420" w:rsidRPr="00CA61A6">
        <w:rPr>
          <w:rFonts w:asciiTheme="majorBidi" w:eastAsiaTheme="majorBidi" w:hAnsiTheme="majorBidi" w:cstheme="majorBidi"/>
          <w:szCs w:val="24"/>
          <w:lang w:eastAsia="ja-JP"/>
        </w:rPr>
        <w:t>UIT</w:t>
      </w:r>
      <w:r w:rsidR="00DF4F6A" w:rsidRPr="00CA61A6">
        <w:rPr>
          <w:rFonts w:asciiTheme="majorBidi" w:eastAsiaTheme="majorBidi" w:hAnsiTheme="majorBidi" w:cstheme="majorBidi"/>
          <w:szCs w:val="24"/>
          <w:lang w:eastAsia="ja-JP"/>
        </w:rPr>
        <w:t xml:space="preserve"> </w:t>
      </w:r>
      <w:r w:rsidR="00BC565C" w:rsidRPr="00CA61A6">
        <w:rPr>
          <w:lang w:eastAsia="ja-JP"/>
        </w:rPr>
        <w:t>organizaron una mesa redonda de WSC</w:t>
      </w:r>
      <w:r w:rsidR="00FD09A0" w:rsidRPr="00CA61A6">
        <w:t xml:space="preserve"> en la Universidad de Washington, Seattle</w:t>
      </w:r>
      <w:r w:rsidR="00BC565C" w:rsidRPr="00CA61A6">
        <w:rPr>
          <w:lang w:eastAsia="ja-JP"/>
        </w:rPr>
        <w:t xml:space="preserve"> (Estados Unidos), los días 22 y 23 de enero de 2015</w:t>
      </w:r>
      <w:r w:rsidR="00DF4F6A" w:rsidRPr="00CA61A6">
        <w:rPr>
          <w:lang w:eastAsia="ja-JP"/>
        </w:rPr>
        <w:t xml:space="preserve">. </w:t>
      </w:r>
      <w:r w:rsidR="0084397E" w:rsidRPr="00CA61A6">
        <w:rPr>
          <w:lang w:eastAsia="ja-JP"/>
        </w:rPr>
        <w:t>El evento reunió a académicos de las principales escuelas de gestión del mundo, ejecutivos de institutos de normalización, actores la industria, empresarios y líderes gubernamentales interesados en las estrategias, prácticas, políticas, novedades y líneas educativas del ámbito de la normalización</w:t>
      </w:r>
      <w:r w:rsidR="00ED092F" w:rsidRPr="00CA61A6">
        <w:rPr>
          <w:lang w:eastAsia="ja-JP"/>
        </w:rPr>
        <w:t xml:space="preserve">. El tema fue </w:t>
      </w:r>
      <w:r w:rsidR="00B26079" w:rsidRPr="00CA61A6">
        <w:rPr>
          <w:lang w:eastAsia="ja-JP"/>
        </w:rPr>
        <w:t>"</w:t>
      </w:r>
      <w:r w:rsidR="00ED092F" w:rsidRPr="00CA61A6">
        <w:rPr>
          <w:lang w:eastAsia="ja-JP"/>
        </w:rPr>
        <w:t>e</w:t>
      </w:r>
      <w:r w:rsidR="0084397E" w:rsidRPr="00CA61A6">
        <w:rPr>
          <w:lang w:eastAsia="ja-JP"/>
        </w:rPr>
        <w:t>l papel de la normalización en la innovación y el espíritu empresarial</w:t>
      </w:r>
      <w:r w:rsidR="00B26079" w:rsidRPr="00CA61A6">
        <w:rPr>
          <w:lang w:eastAsia="ja-JP"/>
        </w:rPr>
        <w:t>"</w:t>
      </w:r>
      <w:r w:rsidR="0084397E" w:rsidRPr="00CA61A6">
        <w:rPr>
          <w:lang w:eastAsia="ja-JP"/>
        </w:rPr>
        <w:t>.</w:t>
      </w:r>
    </w:p>
    <w:p w:rsidR="00DF4F6A" w:rsidRPr="00CA61A6" w:rsidRDefault="00E96D68" w:rsidP="007B3478">
      <w:pPr>
        <w:pStyle w:val="enumlev1"/>
        <w:rPr>
          <w:lang w:eastAsia="ja-JP"/>
        </w:rPr>
      </w:pPr>
      <w:r w:rsidRPr="00CA61A6">
        <w:rPr>
          <w:lang w:eastAsia="ja-JP"/>
        </w:rPr>
        <w:t>–</w:t>
      </w:r>
      <w:r w:rsidRPr="00CA61A6">
        <w:rPr>
          <w:lang w:eastAsia="ja-JP"/>
        </w:rPr>
        <w:tab/>
      </w:r>
      <w:r w:rsidR="00DF4F6A" w:rsidRPr="00CA61A6">
        <w:rPr>
          <w:lang w:eastAsia="ja-JP"/>
        </w:rPr>
        <w:t>Acces</w:t>
      </w:r>
      <w:r w:rsidR="006D1A21">
        <w:rPr>
          <w:lang w:eastAsia="ja-JP"/>
        </w:rPr>
        <w:t>ibilidad</w:t>
      </w:r>
    </w:p>
    <w:p w:rsidR="00DF4F6A" w:rsidRPr="00CA61A6" w:rsidRDefault="00ED092F" w:rsidP="007B3478">
      <w:pPr>
        <w:rPr>
          <w:szCs w:val="24"/>
          <w:lang w:eastAsia="ja-JP"/>
        </w:rPr>
      </w:pPr>
      <w:r w:rsidRPr="00CA61A6">
        <w:rPr>
          <w:szCs w:val="24"/>
          <w:lang w:eastAsia="ja-JP"/>
        </w:rPr>
        <w:t>E</w:t>
      </w:r>
      <w:r w:rsidR="00261A48" w:rsidRPr="00CA61A6">
        <w:rPr>
          <w:szCs w:val="24"/>
          <w:lang w:eastAsia="ja-JP"/>
        </w:rPr>
        <w:t>n</w:t>
      </w:r>
      <w:r w:rsidR="00DF4F6A" w:rsidRPr="00CA61A6">
        <w:rPr>
          <w:szCs w:val="24"/>
          <w:lang w:eastAsia="ja-JP"/>
        </w:rPr>
        <w:t xml:space="preserve"> </w:t>
      </w:r>
      <w:r w:rsidR="00261A48" w:rsidRPr="00CA61A6">
        <w:rPr>
          <w:szCs w:val="24"/>
          <w:lang w:eastAsia="ja-JP"/>
        </w:rPr>
        <w:t>noviembre de 2010</w:t>
      </w:r>
      <w:r w:rsidR="00DF4F6A" w:rsidRPr="00CA61A6">
        <w:rPr>
          <w:szCs w:val="24"/>
          <w:lang w:eastAsia="ja-JP"/>
        </w:rPr>
        <w:t xml:space="preserve">, </w:t>
      </w:r>
      <w:r w:rsidRPr="00CA61A6">
        <w:rPr>
          <w:szCs w:val="24"/>
          <w:lang w:eastAsia="ja-JP"/>
        </w:rPr>
        <w:t xml:space="preserve">la WSC organizó un </w:t>
      </w:r>
      <w:r w:rsidR="00A518A6" w:rsidRPr="00CA61A6">
        <w:rPr>
          <w:szCs w:val="24"/>
          <w:lang w:eastAsia="ja-JP"/>
        </w:rPr>
        <w:t xml:space="preserve">taller </w:t>
      </w:r>
      <w:r w:rsidRPr="00CA61A6">
        <w:rPr>
          <w:szCs w:val="24"/>
          <w:lang w:eastAsia="ja-JP"/>
        </w:rPr>
        <w:t xml:space="preserve">internacional sobre la accesibilidad y la contribución de las normas internacionales. Los participantes en el </w:t>
      </w:r>
      <w:r w:rsidR="00A518A6" w:rsidRPr="00CA61A6">
        <w:rPr>
          <w:szCs w:val="24"/>
          <w:lang w:eastAsia="ja-JP"/>
        </w:rPr>
        <w:t xml:space="preserve">taller </w:t>
      </w:r>
      <w:r w:rsidRPr="00CA61A6">
        <w:rPr>
          <w:szCs w:val="24"/>
          <w:lang w:eastAsia="ja-JP"/>
        </w:rPr>
        <w:t>acordaron varias recomendaciones de la WSC con diferentes grados de prioridad.</w:t>
      </w:r>
    </w:p>
    <w:p w:rsidR="000D6728" w:rsidRPr="00CA61A6" w:rsidRDefault="00ED092F" w:rsidP="00B41843">
      <w:pPr>
        <w:rPr>
          <w:szCs w:val="24"/>
          <w:lang w:eastAsia="ja-JP"/>
        </w:rPr>
      </w:pPr>
      <w:r w:rsidRPr="00CA61A6">
        <w:rPr>
          <w:szCs w:val="24"/>
          <w:lang w:eastAsia="ja-JP"/>
        </w:rPr>
        <w:t>Entre</w:t>
      </w:r>
      <w:r w:rsidR="00CA7E1B" w:rsidRPr="00CA61A6">
        <w:rPr>
          <w:szCs w:val="24"/>
          <w:lang w:eastAsia="ja-JP"/>
        </w:rPr>
        <w:t xml:space="preserve"> las sumamente prioritarias figura la recomendación </w:t>
      </w:r>
      <w:r w:rsidR="00FD09A0" w:rsidRPr="00CA61A6">
        <w:rPr>
          <w:szCs w:val="24"/>
          <w:lang w:eastAsia="ja-JP"/>
        </w:rPr>
        <w:t xml:space="preserve">número 4 </w:t>
      </w:r>
      <w:r w:rsidR="00CA7E1B" w:rsidRPr="00CA61A6">
        <w:rPr>
          <w:szCs w:val="24"/>
          <w:lang w:eastAsia="ja-JP"/>
        </w:rPr>
        <w:t>de la WSC</w:t>
      </w:r>
      <w:r w:rsidR="00FD09A0" w:rsidRPr="00CA61A6">
        <w:rPr>
          <w:szCs w:val="24"/>
          <w:lang w:eastAsia="ja-JP"/>
        </w:rPr>
        <w:t>,</w:t>
      </w:r>
      <w:r w:rsidR="00CA7E1B" w:rsidRPr="00CA61A6">
        <w:rPr>
          <w:szCs w:val="24"/>
          <w:lang w:eastAsia="ja-JP"/>
        </w:rPr>
        <w:t xml:space="preserve"> en la que se estipula que </w:t>
      </w:r>
      <w:r w:rsidR="00A85411" w:rsidRPr="003218C8">
        <w:rPr>
          <w:szCs w:val="24"/>
          <w:lang w:eastAsia="ja-JP"/>
        </w:rPr>
        <w:t>"</w:t>
      </w:r>
      <w:r w:rsidR="00CA7E1B" w:rsidRPr="00CA61A6">
        <w:rPr>
          <w:i/>
          <w:iCs/>
          <w:szCs w:val="24"/>
          <w:lang w:eastAsia="ja-JP"/>
        </w:rPr>
        <w:t xml:space="preserve">las </w:t>
      </w:r>
      <w:r w:rsidRPr="00CA61A6">
        <w:rPr>
          <w:i/>
          <w:iCs/>
          <w:szCs w:val="24"/>
          <w:lang w:eastAsia="ja-JP"/>
        </w:rPr>
        <w:t>organizaciones</w:t>
      </w:r>
      <w:r w:rsidR="00CA7E1B" w:rsidRPr="00CA61A6">
        <w:rPr>
          <w:i/>
          <w:iCs/>
          <w:szCs w:val="24"/>
          <w:lang w:eastAsia="ja-JP"/>
        </w:rPr>
        <w:t xml:space="preserve"> de la WSC </w:t>
      </w:r>
      <w:r w:rsidRPr="00CA61A6">
        <w:rPr>
          <w:i/>
          <w:iCs/>
          <w:szCs w:val="24"/>
          <w:lang w:eastAsia="ja-JP"/>
        </w:rPr>
        <w:t>debe</w:t>
      </w:r>
      <w:r w:rsidR="00CA7E1B" w:rsidRPr="00CA61A6">
        <w:rPr>
          <w:i/>
          <w:iCs/>
          <w:szCs w:val="24"/>
          <w:lang w:eastAsia="ja-JP"/>
        </w:rPr>
        <w:t>ría</w:t>
      </w:r>
      <w:r w:rsidR="004650B1" w:rsidRPr="00CA61A6">
        <w:rPr>
          <w:i/>
          <w:iCs/>
          <w:szCs w:val="24"/>
          <w:lang w:eastAsia="ja-JP"/>
        </w:rPr>
        <w:t>n consolidar su relación con</w:t>
      </w:r>
      <w:r w:rsidRPr="00CA61A6">
        <w:rPr>
          <w:i/>
          <w:iCs/>
          <w:szCs w:val="24"/>
          <w:lang w:eastAsia="ja-JP"/>
        </w:rPr>
        <w:t xml:space="preserve"> la Convención de las Naciones Unidas </w:t>
      </w:r>
      <w:r w:rsidR="00CA7E1B" w:rsidRPr="00CA61A6">
        <w:rPr>
          <w:rStyle w:val="preferred"/>
          <w:i/>
          <w:iCs/>
        </w:rPr>
        <w:t xml:space="preserve">sobre los Derechos de las Personas con Discapacidad </w:t>
      </w:r>
      <w:r w:rsidRPr="00CA61A6">
        <w:rPr>
          <w:i/>
          <w:iCs/>
          <w:szCs w:val="24"/>
          <w:lang w:eastAsia="ja-JP"/>
        </w:rPr>
        <w:t>(</w:t>
      </w:r>
      <w:r w:rsidR="005C6190">
        <w:rPr>
          <w:i/>
          <w:iCs/>
          <w:szCs w:val="24"/>
          <w:lang w:eastAsia="ja-JP"/>
        </w:rPr>
        <w:t>UN</w:t>
      </w:r>
      <w:r w:rsidR="000D6728" w:rsidRPr="00CA61A6">
        <w:rPr>
          <w:i/>
          <w:iCs/>
          <w:szCs w:val="24"/>
          <w:lang w:eastAsia="ja-JP"/>
        </w:rPr>
        <w:t>CRPD</w:t>
      </w:r>
      <w:r w:rsidRPr="00CA61A6">
        <w:rPr>
          <w:i/>
          <w:iCs/>
          <w:szCs w:val="24"/>
          <w:lang w:eastAsia="ja-JP"/>
        </w:rPr>
        <w:t xml:space="preserve">) y establecer vínculos </w:t>
      </w:r>
      <w:r w:rsidR="00CA7E1B" w:rsidRPr="00CA61A6">
        <w:rPr>
          <w:i/>
          <w:iCs/>
          <w:szCs w:val="24"/>
          <w:lang w:eastAsia="ja-JP"/>
        </w:rPr>
        <w:t xml:space="preserve">de trabajo y coordinación </w:t>
      </w:r>
      <w:r w:rsidRPr="00CA61A6">
        <w:rPr>
          <w:i/>
          <w:iCs/>
          <w:szCs w:val="24"/>
          <w:lang w:eastAsia="ja-JP"/>
        </w:rPr>
        <w:t xml:space="preserve">con organizaciones </w:t>
      </w:r>
      <w:r w:rsidR="00CA7E1B" w:rsidRPr="00CA61A6">
        <w:rPr>
          <w:rStyle w:val="preferred"/>
          <w:i/>
          <w:iCs/>
        </w:rPr>
        <w:t>de personas con discapacidad</w:t>
      </w:r>
      <w:r w:rsidR="00A85411" w:rsidRPr="003218C8">
        <w:rPr>
          <w:rStyle w:val="preferred"/>
        </w:rPr>
        <w:t>"</w:t>
      </w:r>
      <w:r w:rsidRPr="00CA61A6">
        <w:rPr>
          <w:szCs w:val="24"/>
          <w:lang w:eastAsia="ja-JP"/>
        </w:rPr>
        <w:t>.</w:t>
      </w:r>
      <w:r w:rsidR="00CA7E1B" w:rsidRPr="00CA61A6">
        <w:rPr>
          <w:szCs w:val="24"/>
          <w:lang w:eastAsia="ja-JP"/>
        </w:rPr>
        <w:t xml:space="preserve"> A tal efecto, la WSC cuenta con la asistencia de la</w:t>
      </w:r>
      <w:r w:rsidRPr="00CA61A6">
        <w:rPr>
          <w:szCs w:val="24"/>
          <w:lang w:eastAsia="ja-JP"/>
        </w:rPr>
        <w:t xml:space="preserve"> UIT</w:t>
      </w:r>
      <w:r w:rsidR="00CA7E1B" w:rsidRPr="00CA61A6">
        <w:rPr>
          <w:szCs w:val="24"/>
          <w:lang w:eastAsia="ja-JP"/>
        </w:rPr>
        <w:t>, en su calidad de</w:t>
      </w:r>
      <w:r w:rsidRPr="00CA61A6">
        <w:rPr>
          <w:szCs w:val="24"/>
          <w:lang w:eastAsia="ja-JP"/>
        </w:rPr>
        <w:t xml:space="preserve"> organismo </w:t>
      </w:r>
      <w:r w:rsidR="004650B1" w:rsidRPr="00CA61A6">
        <w:rPr>
          <w:szCs w:val="24"/>
          <w:lang w:eastAsia="ja-JP"/>
        </w:rPr>
        <w:t xml:space="preserve">especializado </w:t>
      </w:r>
      <w:r w:rsidRPr="00CA61A6">
        <w:rPr>
          <w:szCs w:val="24"/>
          <w:lang w:eastAsia="ja-JP"/>
        </w:rPr>
        <w:t>de las Naciones Unidas y miembro permanente del</w:t>
      </w:r>
      <w:r w:rsidR="00CA7E1B" w:rsidRPr="00CA61A6">
        <w:rPr>
          <w:szCs w:val="24"/>
          <w:lang w:eastAsia="ja-JP"/>
        </w:rPr>
        <w:t xml:space="preserve"> </w:t>
      </w:r>
      <w:r w:rsidR="00CA7E1B" w:rsidRPr="00CA61A6">
        <w:rPr>
          <w:rStyle w:val="preferred"/>
        </w:rPr>
        <w:t>Grupo de Apoyo Interinstitucional</w:t>
      </w:r>
      <w:r w:rsidR="00401095">
        <w:rPr>
          <w:rStyle w:val="preferred"/>
        </w:rPr>
        <w:t xml:space="preserve"> </w:t>
      </w:r>
      <w:r w:rsidR="00CA7E1B" w:rsidRPr="00CA61A6">
        <w:rPr>
          <w:rStyle w:val="preferred"/>
        </w:rPr>
        <w:t xml:space="preserve">para la </w:t>
      </w:r>
      <w:r w:rsidR="009F0F77">
        <w:rPr>
          <w:rStyle w:val="preferred"/>
        </w:rPr>
        <w:t>UN</w:t>
      </w:r>
      <w:r w:rsidR="000D6728" w:rsidRPr="00CA61A6">
        <w:rPr>
          <w:szCs w:val="24"/>
          <w:lang w:eastAsia="ja-JP"/>
        </w:rPr>
        <w:t>CRPD</w:t>
      </w:r>
      <w:r w:rsidRPr="00CA61A6">
        <w:rPr>
          <w:szCs w:val="24"/>
          <w:lang w:eastAsia="ja-JP"/>
        </w:rPr>
        <w:t>.</w:t>
      </w:r>
      <w:r w:rsidR="000D6728" w:rsidRPr="00CA61A6">
        <w:rPr>
          <w:szCs w:val="24"/>
          <w:lang w:eastAsia="ja-JP"/>
        </w:rPr>
        <w:t xml:space="preserve"> </w:t>
      </w:r>
      <w:r w:rsidR="004650B1" w:rsidRPr="00CA61A6">
        <w:rPr>
          <w:szCs w:val="24"/>
          <w:lang w:eastAsia="ja-JP"/>
        </w:rPr>
        <w:lastRenderedPageBreak/>
        <w:t>Como parte del seguimiento, l</w:t>
      </w:r>
      <w:r w:rsidR="000D6728" w:rsidRPr="00CA61A6">
        <w:rPr>
          <w:szCs w:val="24"/>
          <w:lang w:eastAsia="ja-JP"/>
        </w:rPr>
        <w:t>a TSB realizó una presentación sobre los trabajos de</w:t>
      </w:r>
      <w:r w:rsidRPr="00CA61A6">
        <w:rPr>
          <w:szCs w:val="24"/>
          <w:lang w:eastAsia="ja-JP"/>
        </w:rPr>
        <w:t xml:space="preserve"> accesibilidad de</w:t>
      </w:r>
      <w:r w:rsidR="000D6728" w:rsidRPr="00CA61A6">
        <w:rPr>
          <w:szCs w:val="24"/>
          <w:lang w:eastAsia="ja-JP"/>
        </w:rPr>
        <w:t xml:space="preserve"> la WSC</w:t>
      </w:r>
      <w:r w:rsidRPr="00CA61A6">
        <w:rPr>
          <w:szCs w:val="24"/>
          <w:lang w:eastAsia="ja-JP"/>
        </w:rPr>
        <w:t xml:space="preserve"> </w:t>
      </w:r>
      <w:r w:rsidR="000D6728" w:rsidRPr="00CA61A6">
        <w:rPr>
          <w:szCs w:val="24"/>
          <w:lang w:eastAsia="ja-JP"/>
        </w:rPr>
        <w:t>durante</w:t>
      </w:r>
      <w:r w:rsidRPr="00CA61A6">
        <w:rPr>
          <w:szCs w:val="24"/>
          <w:lang w:eastAsia="ja-JP"/>
        </w:rPr>
        <w:t xml:space="preserve"> la reunión</w:t>
      </w:r>
      <w:r w:rsidR="000D6728" w:rsidRPr="00CA61A6">
        <w:rPr>
          <w:szCs w:val="24"/>
          <w:lang w:eastAsia="ja-JP"/>
        </w:rPr>
        <w:t xml:space="preserve"> que dicho </w:t>
      </w:r>
      <w:r w:rsidR="00BF51BA" w:rsidRPr="00CA61A6">
        <w:rPr>
          <w:szCs w:val="24"/>
          <w:lang w:eastAsia="ja-JP"/>
        </w:rPr>
        <w:t xml:space="preserve">Grupo </w:t>
      </w:r>
      <w:r w:rsidR="000D6728" w:rsidRPr="00CA61A6">
        <w:rPr>
          <w:szCs w:val="24"/>
          <w:lang w:eastAsia="ja-JP"/>
        </w:rPr>
        <w:t xml:space="preserve">de </w:t>
      </w:r>
      <w:r w:rsidR="00BF51BA" w:rsidRPr="00CA61A6">
        <w:rPr>
          <w:szCs w:val="24"/>
          <w:lang w:eastAsia="ja-JP"/>
        </w:rPr>
        <w:t xml:space="preserve">Apoyo </w:t>
      </w:r>
      <w:r w:rsidR="000D6728" w:rsidRPr="00CA61A6">
        <w:rPr>
          <w:szCs w:val="24"/>
          <w:lang w:eastAsia="ja-JP"/>
        </w:rPr>
        <w:t xml:space="preserve">celebró los días </w:t>
      </w:r>
      <w:r w:rsidRPr="00CA61A6">
        <w:rPr>
          <w:szCs w:val="24"/>
          <w:lang w:eastAsia="ja-JP"/>
        </w:rPr>
        <w:t xml:space="preserve">25 </w:t>
      </w:r>
      <w:r w:rsidR="000D6728" w:rsidRPr="00CA61A6">
        <w:rPr>
          <w:szCs w:val="24"/>
          <w:lang w:eastAsia="ja-JP"/>
        </w:rPr>
        <w:t>y</w:t>
      </w:r>
      <w:r w:rsidRPr="00CA61A6">
        <w:rPr>
          <w:szCs w:val="24"/>
          <w:lang w:eastAsia="ja-JP"/>
        </w:rPr>
        <w:t xml:space="preserve"> 26 de noviembre de 2013</w:t>
      </w:r>
      <w:r w:rsidR="000D6728" w:rsidRPr="00CA61A6">
        <w:rPr>
          <w:szCs w:val="24"/>
          <w:lang w:eastAsia="ja-JP"/>
        </w:rPr>
        <w:t xml:space="preserve"> en</w:t>
      </w:r>
      <w:r w:rsidRPr="00CA61A6">
        <w:rPr>
          <w:szCs w:val="24"/>
          <w:lang w:eastAsia="ja-JP"/>
        </w:rPr>
        <w:t xml:space="preserve"> la </w:t>
      </w:r>
      <w:r w:rsidR="000C7BF1" w:rsidRPr="00CA61A6">
        <w:rPr>
          <w:szCs w:val="24"/>
          <w:lang w:eastAsia="ja-JP"/>
        </w:rPr>
        <w:t xml:space="preserve">Sede </w:t>
      </w:r>
      <w:r w:rsidRPr="00CA61A6">
        <w:rPr>
          <w:szCs w:val="24"/>
          <w:lang w:eastAsia="ja-JP"/>
        </w:rPr>
        <w:t>de la UNESCO. La presentación</w:t>
      </w:r>
      <w:r w:rsidR="000D6728" w:rsidRPr="00CA61A6">
        <w:rPr>
          <w:szCs w:val="24"/>
          <w:lang w:eastAsia="ja-JP"/>
        </w:rPr>
        <w:t xml:space="preserve"> fue muy bien recibida por los miembros del</w:t>
      </w:r>
      <w:r w:rsidRPr="00CA61A6">
        <w:rPr>
          <w:szCs w:val="24"/>
          <w:lang w:eastAsia="ja-JP"/>
        </w:rPr>
        <w:t xml:space="preserve"> </w:t>
      </w:r>
      <w:r w:rsidR="000D6728" w:rsidRPr="00CA61A6">
        <w:rPr>
          <w:rStyle w:val="preferred"/>
        </w:rPr>
        <w:t>Grupo de Apoyo Interinstitucional</w:t>
      </w:r>
      <w:r w:rsidRPr="00CA61A6">
        <w:rPr>
          <w:szCs w:val="24"/>
          <w:lang w:eastAsia="ja-JP"/>
        </w:rPr>
        <w:t xml:space="preserve"> y </w:t>
      </w:r>
      <w:r w:rsidR="004650B1" w:rsidRPr="00CA61A6">
        <w:rPr>
          <w:szCs w:val="24"/>
          <w:lang w:eastAsia="ja-JP"/>
        </w:rPr>
        <w:t>d</w:t>
      </w:r>
      <w:r w:rsidRPr="00CA61A6">
        <w:rPr>
          <w:szCs w:val="24"/>
          <w:lang w:eastAsia="ja-JP"/>
        </w:rPr>
        <w:t xml:space="preserve">el </w:t>
      </w:r>
      <w:r w:rsidR="000D6728" w:rsidRPr="00CA61A6">
        <w:rPr>
          <w:rStyle w:val="preferred"/>
        </w:rPr>
        <w:t>Comité sobre los Derechos de las Personas con Discapacidad</w:t>
      </w:r>
      <w:r w:rsidR="00537D8C">
        <w:rPr>
          <w:rStyle w:val="preferred"/>
        </w:rPr>
        <w:t xml:space="preserve"> (CRPD)</w:t>
      </w:r>
      <w:r w:rsidRPr="00CA61A6">
        <w:rPr>
          <w:szCs w:val="24"/>
          <w:lang w:eastAsia="ja-JP"/>
        </w:rPr>
        <w:t xml:space="preserve">, </w:t>
      </w:r>
      <w:r w:rsidR="000D6728" w:rsidRPr="00CA61A6">
        <w:rPr>
          <w:szCs w:val="24"/>
          <w:lang w:eastAsia="ja-JP"/>
        </w:rPr>
        <w:t>a saber,</w:t>
      </w:r>
      <w:r w:rsidRPr="00CA61A6">
        <w:rPr>
          <w:szCs w:val="24"/>
          <w:lang w:eastAsia="ja-JP"/>
        </w:rPr>
        <w:t xml:space="preserve"> el grupo de expertos independientes que supervisa la aplicación de la </w:t>
      </w:r>
      <w:r w:rsidR="00483FDB">
        <w:rPr>
          <w:szCs w:val="24"/>
          <w:lang w:eastAsia="ja-JP"/>
        </w:rPr>
        <w:t>UN</w:t>
      </w:r>
      <w:r w:rsidR="000D6728" w:rsidRPr="00CA61A6">
        <w:rPr>
          <w:szCs w:val="24"/>
          <w:lang w:eastAsia="ja-JP"/>
        </w:rPr>
        <w:t>CRPD</w:t>
      </w:r>
      <w:r w:rsidRPr="00CA61A6">
        <w:rPr>
          <w:szCs w:val="24"/>
          <w:lang w:eastAsia="ja-JP"/>
        </w:rPr>
        <w:t>.</w:t>
      </w:r>
    </w:p>
    <w:p w:rsidR="00DF4F6A" w:rsidRPr="00CA61A6" w:rsidRDefault="000D6728" w:rsidP="007B3478">
      <w:pPr>
        <w:rPr>
          <w:rFonts w:asciiTheme="majorBidi" w:hAnsiTheme="majorBidi" w:cstheme="majorBidi"/>
          <w:szCs w:val="24"/>
          <w:lang w:eastAsia="ja-JP"/>
        </w:rPr>
      </w:pPr>
      <w:r w:rsidRPr="00CA61A6">
        <w:rPr>
          <w:szCs w:val="24"/>
          <w:lang w:eastAsia="ja-JP"/>
        </w:rPr>
        <w:t>En abril de 2014, la UIT facilitó y presentó el papel de las normas</w:t>
      </w:r>
      <w:r w:rsidR="007A7D8E" w:rsidRPr="00CA61A6">
        <w:rPr>
          <w:szCs w:val="24"/>
          <w:lang w:eastAsia="ja-JP"/>
        </w:rPr>
        <w:t xml:space="preserve"> en materia</w:t>
      </w:r>
      <w:r w:rsidRPr="00CA61A6">
        <w:rPr>
          <w:szCs w:val="24"/>
          <w:lang w:eastAsia="ja-JP"/>
        </w:rPr>
        <w:t xml:space="preserve"> de accesibilidad durante una </w:t>
      </w:r>
      <w:r w:rsidR="007A7D8E" w:rsidRPr="00CA61A6">
        <w:rPr>
          <w:szCs w:val="24"/>
          <w:lang w:eastAsia="ja-JP"/>
        </w:rPr>
        <w:t xml:space="preserve">reunión informativa dedicada a los progresos realizados en </w:t>
      </w:r>
      <w:r w:rsidRPr="00CA61A6">
        <w:rPr>
          <w:szCs w:val="24"/>
          <w:lang w:eastAsia="ja-JP"/>
        </w:rPr>
        <w:t xml:space="preserve">la aplicación del </w:t>
      </w:r>
      <w:r w:rsidR="00625676" w:rsidRPr="00CA61A6">
        <w:rPr>
          <w:szCs w:val="24"/>
          <w:lang w:eastAsia="ja-JP"/>
        </w:rPr>
        <w:t xml:space="preserve">Artículo </w:t>
      </w:r>
      <w:r w:rsidRPr="00CA61A6">
        <w:rPr>
          <w:szCs w:val="24"/>
          <w:lang w:eastAsia="ja-JP"/>
        </w:rPr>
        <w:t>9 de la C</w:t>
      </w:r>
      <w:r w:rsidR="007A7D8E" w:rsidRPr="00CA61A6">
        <w:rPr>
          <w:szCs w:val="24"/>
          <w:lang w:eastAsia="ja-JP"/>
        </w:rPr>
        <w:t xml:space="preserve">RPD sobre </w:t>
      </w:r>
      <w:r w:rsidR="00B26079" w:rsidRPr="00CA61A6">
        <w:rPr>
          <w:szCs w:val="24"/>
          <w:lang w:eastAsia="ja-JP"/>
        </w:rPr>
        <w:t>"</w:t>
      </w:r>
      <w:r w:rsidR="007A7D8E" w:rsidRPr="00CA61A6">
        <w:rPr>
          <w:szCs w:val="24"/>
          <w:lang w:eastAsia="ja-JP"/>
        </w:rPr>
        <w:t>a</w:t>
      </w:r>
      <w:r w:rsidRPr="00CA61A6">
        <w:rPr>
          <w:szCs w:val="24"/>
          <w:lang w:eastAsia="ja-JP"/>
        </w:rPr>
        <w:t>ccesibilidad</w:t>
      </w:r>
      <w:r w:rsidR="00B26079" w:rsidRPr="00CA61A6">
        <w:rPr>
          <w:szCs w:val="24"/>
          <w:lang w:eastAsia="ja-JP"/>
        </w:rPr>
        <w:t>"</w:t>
      </w:r>
      <w:r w:rsidRPr="00CA61A6">
        <w:rPr>
          <w:szCs w:val="24"/>
          <w:lang w:eastAsia="ja-JP"/>
        </w:rPr>
        <w:t xml:space="preserve">. </w:t>
      </w:r>
      <w:r w:rsidR="007A7D8E" w:rsidRPr="00CA61A6">
        <w:rPr>
          <w:szCs w:val="24"/>
          <w:lang w:eastAsia="ja-JP"/>
        </w:rPr>
        <w:t>Dicha reunión</w:t>
      </w:r>
      <w:r w:rsidRPr="00CA61A6">
        <w:rPr>
          <w:szCs w:val="24"/>
          <w:lang w:eastAsia="ja-JP"/>
        </w:rPr>
        <w:t xml:space="preserve"> fue organizada por la UIT y </w:t>
      </w:r>
      <w:r w:rsidR="004650B1" w:rsidRPr="00CA61A6">
        <w:rPr>
          <w:szCs w:val="24"/>
          <w:lang w:eastAsia="ja-JP"/>
        </w:rPr>
        <w:t xml:space="preserve">la </w:t>
      </w:r>
      <w:r w:rsidR="004650B1" w:rsidRPr="00CA61A6">
        <w:rPr>
          <w:rStyle w:val="preferred"/>
        </w:rPr>
        <w:t xml:space="preserve">Oficina del Alto Comisionado de las Naciones Unidas para los Derechos Humanos </w:t>
      </w:r>
      <w:r w:rsidR="007A7D8E" w:rsidRPr="00CA61A6">
        <w:rPr>
          <w:rStyle w:val="preferred"/>
        </w:rPr>
        <w:t>(</w:t>
      </w:r>
      <w:r w:rsidR="004650B1" w:rsidRPr="00CA61A6">
        <w:rPr>
          <w:rStyle w:val="acronym"/>
        </w:rPr>
        <w:t>ACNUDH</w:t>
      </w:r>
      <w:r w:rsidRPr="00CA61A6">
        <w:rPr>
          <w:szCs w:val="24"/>
          <w:lang w:eastAsia="ja-JP"/>
        </w:rPr>
        <w:t xml:space="preserve">), que </w:t>
      </w:r>
      <w:r w:rsidR="007A7D8E" w:rsidRPr="00CA61A6">
        <w:rPr>
          <w:szCs w:val="24"/>
          <w:lang w:eastAsia="ja-JP"/>
        </w:rPr>
        <w:t>ejerce de</w:t>
      </w:r>
      <w:r w:rsidRPr="00CA61A6">
        <w:rPr>
          <w:szCs w:val="24"/>
          <w:lang w:eastAsia="ja-JP"/>
        </w:rPr>
        <w:t xml:space="preserve"> Secretaría de la C</w:t>
      </w:r>
      <w:r w:rsidR="007A7D8E" w:rsidRPr="00CA61A6">
        <w:rPr>
          <w:szCs w:val="24"/>
          <w:lang w:eastAsia="ja-JP"/>
        </w:rPr>
        <w:t>R</w:t>
      </w:r>
      <w:r w:rsidRPr="00CA61A6">
        <w:rPr>
          <w:szCs w:val="24"/>
          <w:lang w:eastAsia="ja-JP"/>
        </w:rPr>
        <w:t>PD, durante la 11ª sesión de</w:t>
      </w:r>
      <w:r w:rsidR="007A7D8E" w:rsidRPr="00CA61A6">
        <w:rPr>
          <w:szCs w:val="24"/>
          <w:lang w:eastAsia="ja-JP"/>
        </w:rPr>
        <w:t xml:space="preserve">l </w:t>
      </w:r>
      <w:r w:rsidR="007A7D8E" w:rsidRPr="00CA61A6">
        <w:rPr>
          <w:rStyle w:val="preferred"/>
        </w:rPr>
        <w:t>Comité sobre los Derechos de las Personas con Discapacidad</w:t>
      </w:r>
      <w:r w:rsidRPr="00CA61A6">
        <w:rPr>
          <w:szCs w:val="24"/>
          <w:lang w:eastAsia="ja-JP"/>
        </w:rPr>
        <w:t>.</w:t>
      </w:r>
      <w:r w:rsidR="007A7D8E" w:rsidRPr="00CA61A6">
        <w:rPr>
          <w:szCs w:val="24"/>
          <w:lang w:eastAsia="ja-JP"/>
        </w:rPr>
        <w:t xml:space="preserve"> La</w:t>
      </w:r>
      <w:r w:rsidRPr="00CA61A6">
        <w:rPr>
          <w:szCs w:val="24"/>
          <w:lang w:eastAsia="ja-JP"/>
        </w:rPr>
        <w:t xml:space="preserve"> TSB </w:t>
      </w:r>
      <w:r w:rsidR="007A7D8E" w:rsidRPr="00CA61A6">
        <w:rPr>
          <w:szCs w:val="24"/>
          <w:lang w:eastAsia="ja-JP"/>
        </w:rPr>
        <w:t>llevó las riendas de est</w:t>
      </w:r>
      <w:r w:rsidRPr="00CA61A6">
        <w:rPr>
          <w:szCs w:val="24"/>
          <w:lang w:eastAsia="ja-JP"/>
        </w:rPr>
        <w:t>a iniciativa</w:t>
      </w:r>
      <w:r w:rsidR="007A7D8E" w:rsidRPr="00CA61A6">
        <w:rPr>
          <w:szCs w:val="24"/>
          <w:lang w:eastAsia="ja-JP"/>
        </w:rPr>
        <w:t xml:space="preserve">, en cuyo marco se entabló una </w:t>
      </w:r>
      <w:r w:rsidR="00CA61A6" w:rsidRPr="00CA61A6">
        <w:rPr>
          <w:szCs w:val="24"/>
          <w:lang w:eastAsia="ja-JP"/>
        </w:rPr>
        <w:t>fructífera</w:t>
      </w:r>
      <w:r w:rsidR="007A7D8E" w:rsidRPr="00CA61A6">
        <w:rPr>
          <w:szCs w:val="24"/>
          <w:lang w:eastAsia="ja-JP"/>
        </w:rPr>
        <w:t xml:space="preserve"> discusión con los expertos de la Comisión</w:t>
      </w:r>
      <w:r w:rsidRPr="00CA61A6">
        <w:rPr>
          <w:szCs w:val="24"/>
          <w:lang w:eastAsia="ja-JP"/>
        </w:rPr>
        <w:t>.</w:t>
      </w:r>
      <w:r w:rsidR="007A7D8E" w:rsidRPr="00CA61A6">
        <w:rPr>
          <w:szCs w:val="24"/>
          <w:lang w:eastAsia="ja-JP"/>
        </w:rPr>
        <w:t xml:space="preserve"> La</w:t>
      </w:r>
      <w:r w:rsidRPr="00CA61A6">
        <w:rPr>
          <w:szCs w:val="24"/>
          <w:lang w:eastAsia="ja-JP"/>
        </w:rPr>
        <w:t xml:space="preserve"> ISO </w:t>
      </w:r>
      <w:r w:rsidR="007A7D8E" w:rsidRPr="00CA61A6">
        <w:rPr>
          <w:szCs w:val="24"/>
          <w:lang w:eastAsia="ja-JP"/>
        </w:rPr>
        <w:t>y la CEI</w:t>
      </w:r>
      <w:r w:rsidRPr="00CA61A6">
        <w:rPr>
          <w:szCs w:val="24"/>
          <w:lang w:eastAsia="ja-JP"/>
        </w:rPr>
        <w:t xml:space="preserve"> fueron invitad</w:t>
      </w:r>
      <w:r w:rsidR="007A7D8E" w:rsidRPr="00CA61A6">
        <w:rPr>
          <w:szCs w:val="24"/>
          <w:lang w:eastAsia="ja-JP"/>
        </w:rPr>
        <w:t>a</w:t>
      </w:r>
      <w:r w:rsidRPr="00CA61A6">
        <w:rPr>
          <w:szCs w:val="24"/>
          <w:lang w:eastAsia="ja-JP"/>
        </w:rPr>
        <w:t xml:space="preserve">s y </w:t>
      </w:r>
      <w:r w:rsidR="007A7D8E" w:rsidRPr="00CA61A6">
        <w:rPr>
          <w:szCs w:val="24"/>
          <w:lang w:eastAsia="ja-JP"/>
        </w:rPr>
        <w:t>participaron en</w:t>
      </w:r>
      <w:r w:rsidRPr="00CA61A6">
        <w:rPr>
          <w:szCs w:val="24"/>
          <w:lang w:eastAsia="ja-JP"/>
        </w:rPr>
        <w:t xml:space="preserve"> la reunión. Esta actividad dio lugar a</w:t>
      </w:r>
      <w:r w:rsidR="000331C7" w:rsidRPr="00CA61A6">
        <w:rPr>
          <w:szCs w:val="24"/>
          <w:lang w:eastAsia="ja-JP"/>
        </w:rPr>
        <w:t xml:space="preserve"> l</w:t>
      </w:r>
      <w:r w:rsidRPr="00CA61A6">
        <w:rPr>
          <w:szCs w:val="24"/>
          <w:lang w:eastAsia="ja-JP"/>
        </w:rPr>
        <w:t>a inclusión de varias referenci</w:t>
      </w:r>
      <w:r w:rsidR="000331C7" w:rsidRPr="00CA61A6">
        <w:rPr>
          <w:szCs w:val="24"/>
          <w:lang w:eastAsia="ja-JP"/>
        </w:rPr>
        <w:t>as a la UIT y a</w:t>
      </w:r>
      <w:r w:rsidRPr="00CA61A6">
        <w:rPr>
          <w:szCs w:val="24"/>
          <w:lang w:eastAsia="ja-JP"/>
        </w:rPr>
        <w:t xml:space="preserve">l papel de las normas internacionales en </w:t>
      </w:r>
      <w:r w:rsidR="000331C7" w:rsidRPr="00CA61A6">
        <w:rPr>
          <w:szCs w:val="24"/>
          <w:lang w:eastAsia="ja-JP"/>
        </w:rPr>
        <w:t>el proyecto de observación general</w:t>
      </w:r>
      <w:r w:rsidRPr="00CA61A6">
        <w:rPr>
          <w:szCs w:val="24"/>
          <w:lang w:eastAsia="ja-JP"/>
        </w:rPr>
        <w:t xml:space="preserve"> sobre el </w:t>
      </w:r>
      <w:r w:rsidR="00483B68" w:rsidRPr="00CA61A6">
        <w:rPr>
          <w:szCs w:val="24"/>
          <w:lang w:eastAsia="ja-JP"/>
        </w:rPr>
        <w:t xml:space="preserve">Artículo </w:t>
      </w:r>
      <w:r w:rsidRPr="00CA61A6">
        <w:rPr>
          <w:szCs w:val="24"/>
          <w:lang w:eastAsia="ja-JP"/>
        </w:rPr>
        <w:t xml:space="preserve">9 de la </w:t>
      </w:r>
      <w:r w:rsidR="00483B68">
        <w:rPr>
          <w:szCs w:val="24"/>
          <w:lang w:eastAsia="ja-JP"/>
        </w:rPr>
        <w:t>UN</w:t>
      </w:r>
      <w:r w:rsidRPr="00CA61A6">
        <w:rPr>
          <w:szCs w:val="24"/>
          <w:lang w:eastAsia="ja-JP"/>
        </w:rPr>
        <w:t>C</w:t>
      </w:r>
      <w:r w:rsidR="000331C7" w:rsidRPr="00CA61A6">
        <w:rPr>
          <w:szCs w:val="24"/>
          <w:lang w:eastAsia="ja-JP"/>
        </w:rPr>
        <w:t>R</w:t>
      </w:r>
      <w:r w:rsidRPr="00CA61A6">
        <w:rPr>
          <w:szCs w:val="24"/>
          <w:lang w:eastAsia="ja-JP"/>
        </w:rPr>
        <w:t>PD.</w:t>
      </w:r>
    </w:p>
    <w:p w:rsidR="00DF4F6A" w:rsidRPr="00CA61A6" w:rsidRDefault="000331C7" w:rsidP="006F749A">
      <w:pPr>
        <w:rPr>
          <w:rFonts w:asciiTheme="majorBidi" w:hAnsiTheme="majorBidi" w:cstheme="majorBidi"/>
          <w:color w:val="000000"/>
          <w:lang w:eastAsia="ja-JP"/>
        </w:rPr>
      </w:pPr>
      <w:r w:rsidRPr="00CA61A6">
        <w:rPr>
          <w:rFonts w:asciiTheme="majorBidi" w:hAnsiTheme="majorBidi" w:cstheme="majorBidi"/>
          <w:color w:val="000000"/>
          <w:lang w:eastAsia="ja-JP"/>
        </w:rPr>
        <w:t>Otr</w:t>
      </w:r>
      <w:r w:rsidR="002A24E5" w:rsidRPr="00CA61A6">
        <w:rPr>
          <w:rFonts w:asciiTheme="majorBidi" w:hAnsiTheme="majorBidi" w:cstheme="majorBidi"/>
          <w:color w:val="000000"/>
          <w:lang w:eastAsia="ja-JP"/>
        </w:rPr>
        <w:t>a</w:t>
      </w:r>
      <w:r w:rsidRPr="00CA61A6">
        <w:rPr>
          <w:rFonts w:asciiTheme="majorBidi" w:hAnsiTheme="majorBidi" w:cstheme="majorBidi"/>
          <w:color w:val="000000"/>
          <w:lang w:eastAsia="ja-JP"/>
        </w:rPr>
        <w:t xml:space="preserve"> recomendación sumamente prioritaria condujo a la formulación de </w:t>
      </w:r>
      <w:r w:rsidR="00321211" w:rsidRPr="00CA61A6">
        <w:rPr>
          <w:rFonts w:asciiTheme="majorBidi" w:hAnsiTheme="majorBidi" w:cstheme="majorBidi"/>
          <w:color w:val="000000"/>
          <w:lang w:eastAsia="ja-JP"/>
        </w:rPr>
        <w:t>un</w:t>
      </w:r>
      <w:r w:rsidRPr="00CA61A6">
        <w:rPr>
          <w:rFonts w:asciiTheme="majorBidi" w:hAnsiTheme="majorBidi" w:cstheme="majorBidi"/>
          <w:color w:val="000000"/>
          <w:lang w:eastAsia="ja-JP"/>
        </w:rPr>
        <w:t xml:space="preserve">a </w:t>
      </w:r>
      <w:hyperlink r:id="rId72" w:history="1">
        <w:r w:rsidR="00CA587E">
          <w:rPr>
            <w:rStyle w:val="Hyperlink"/>
          </w:rPr>
          <w:t>D</w:t>
        </w:r>
        <w:r w:rsidR="00D27930" w:rsidRPr="00CA61A6">
          <w:rPr>
            <w:rStyle w:val="Hyperlink"/>
          </w:rPr>
          <w:t>eclaración de política conjunta</w:t>
        </w:r>
        <w:r w:rsidRPr="00CA61A6">
          <w:rPr>
            <w:rStyle w:val="Hyperlink"/>
          </w:rPr>
          <w:t xml:space="preserve"> </w:t>
        </w:r>
        <w:r w:rsidR="006262AD">
          <w:rPr>
            <w:rStyle w:val="Hyperlink"/>
          </w:rPr>
          <w:t xml:space="preserve">CEI/ISO/UIT </w:t>
        </w:r>
        <w:r w:rsidRPr="00CA61A6">
          <w:rPr>
            <w:rStyle w:val="Hyperlink"/>
          </w:rPr>
          <w:t xml:space="preserve">sobre </w:t>
        </w:r>
        <w:r w:rsidR="007E1227" w:rsidRPr="00CA61A6">
          <w:rPr>
            <w:rStyle w:val="Hyperlink"/>
          </w:rPr>
          <w:t xml:space="preserve">Normalización </w:t>
        </w:r>
        <w:r w:rsidRPr="00CA61A6">
          <w:rPr>
            <w:rStyle w:val="Hyperlink"/>
          </w:rPr>
          <w:t>y accesibilidad</w:t>
        </w:r>
      </w:hyperlink>
      <w:r w:rsidRPr="00CA61A6">
        <w:rPr>
          <w:rFonts w:asciiTheme="majorBidi" w:hAnsiTheme="majorBidi" w:cstheme="majorBidi"/>
          <w:color w:val="000000"/>
          <w:lang w:eastAsia="ja-JP"/>
        </w:rPr>
        <w:t xml:space="preserve">, que se publicó en octubre de 2014. La UIT también ha publicado la </w:t>
      </w:r>
      <w:r w:rsidRPr="00CA61A6">
        <w:t>Guía 71 de la ISO/CEI</w:t>
      </w:r>
      <w:r w:rsidRPr="00CA61A6">
        <w:rPr>
          <w:rFonts w:asciiTheme="majorBidi" w:hAnsiTheme="majorBidi" w:cstheme="majorBidi"/>
          <w:color w:val="000000"/>
          <w:lang w:eastAsia="ja-JP"/>
        </w:rPr>
        <w:t xml:space="preserve"> revisada como Sup</w:t>
      </w:r>
      <w:r w:rsidR="00B36DB1">
        <w:rPr>
          <w:rFonts w:asciiTheme="majorBidi" w:hAnsiTheme="majorBidi" w:cstheme="majorBidi"/>
          <w:color w:val="000000"/>
          <w:lang w:eastAsia="ja-JP"/>
        </w:rPr>
        <w:t>lemento 17 a la serie H del UIT</w:t>
      </w:r>
      <w:r w:rsidR="00B36DB1">
        <w:rPr>
          <w:rFonts w:asciiTheme="majorBidi" w:hAnsiTheme="majorBidi" w:cstheme="majorBidi"/>
          <w:color w:val="000000"/>
          <w:lang w:eastAsia="ja-JP"/>
        </w:rPr>
        <w:noBreakHyphen/>
      </w:r>
      <w:r w:rsidRPr="00CA61A6">
        <w:rPr>
          <w:rFonts w:asciiTheme="majorBidi" w:hAnsiTheme="majorBidi" w:cstheme="majorBidi"/>
          <w:color w:val="000000"/>
          <w:lang w:eastAsia="ja-JP"/>
        </w:rPr>
        <w:t>T, bajo el título</w:t>
      </w:r>
      <w:r w:rsidRPr="00CA61A6">
        <w:rPr>
          <w:rFonts w:asciiTheme="majorBidi" w:hAnsiTheme="majorBidi" w:cstheme="majorBidi"/>
          <w:i/>
          <w:iCs/>
          <w:color w:val="000000"/>
          <w:lang w:eastAsia="ja-JP"/>
        </w:rPr>
        <w:t xml:space="preserve"> Guide for addressing accessibility in standards </w:t>
      </w:r>
      <w:r w:rsidRPr="00CA61A6">
        <w:rPr>
          <w:rFonts w:asciiTheme="majorBidi" w:hAnsiTheme="majorBidi" w:cstheme="majorBidi"/>
          <w:color w:val="000000"/>
          <w:lang w:eastAsia="ja-JP"/>
        </w:rPr>
        <w:t>(</w:t>
      </w:r>
      <w:r w:rsidRPr="00CA61A6">
        <w:t>Guía para la integración de la accesibilidad en las normas).</w:t>
      </w:r>
    </w:p>
    <w:p w:rsidR="00DF4F6A" w:rsidRPr="00CA61A6" w:rsidRDefault="00862E2C" w:rsidP="007B3478">
      <w:pPr>
        <w:pStyle w:val="enumlev1"/>
        <w:rPr>
          <w:lang w:eastAsia="ja-JP"/>
        </w:rPr>
      </w:pPr>
      <w:r w:rsidRPr="00CA61A6">
        <w:rPr>
          <w:lang w:eastAsia="ja-JP"/>
        </w:rPr>
        <w:t>–</w:t>
      </w:r>
      <w:r w:rsidRPr="00CA61A6">
        <w:rPr>
          <w:lang w:eastAsia="ja-JP"/>
        </w:rPr>
        <w:tab/>
      </w:r>
      <w:r w:rsidR="000331C7" w:rsidRPr="00CA61A6">
        <w:rPr>
          <w:lang w:eastAsia="ja-JP"/>
        </w:rPr>
        <w:t>Coordinación de las relaciones con la OMC</w:t>
      </w:r>
    </w:p>
    <w:p w:rsidR="00DF4F6A" w:rsidRPr="00CA61A6" w:rsidRDefault="00862E2C" w:rsidP="007B3478">
      <w:pPr>
        <w:pStyle w:val="enumlev1"/>
        <w:rPr>
          <w:lang w:eastAsia="ja-JP"/>
        </w:rPr>
      </w:pPr>
      <w:r w:rsidRPr="00CA61A6">
        <w:rPr>
          <w:lang w:eastAsia="ja-JP"/>
        </w:rPr>
        <w:t>–</w:t>
      </w:r>
      <w:r w:rsidRPr="00CA61A6">
        <w:rPr>
          <w:lang w:eastAsia="ja-JP"/>
        </w:rPr>
        <w:tab/>
      </w:r>
      <w:r w:rsidR="00440867">
        <w:rPr>
          <w:lang w:eastAsia="ja-JP"/>
        </w:rPr>
        <w:t>Evaluación de la conformidad</w:t>
      </w:r>
    </w:p>
    <w:p w:rsidR="00DF4F6A" w:rsidRPr="00CA61A6" w:rsidRDefault="000F2D8B" w:rsidP="007B3478">
      <w:pPr>
        <w:pStyle w:val="enumlev2"/>
        <w:rPr>
          <w:lang w:eastAsia="ja-JP"/>
        </w:rPr>
      </w:pPr>
      <w:r w:rsidRPr="00CA61A6">
        <w:rPr>
          <w:lang w:eastAsia="ja-JP"/>
        </w:rPr>
        <w:t>•</w:t>
      </w:r>
      <w:r w:rsidRPr="00CA61A6">
        <w:rPr>
          <w:lang w:eastAsia="ja-JP"/>
        </w:rPr>
        <w:tab/>
      </w:r>
      <w:r w:rsidR="002A24E5" w:rsidRPr="00CA61A6">
        <w:rPr>
          <w:lang w:eastAsia="ja-JP"/>
        </w:rPr>
        <w:t>Bajo los auspicios de la CEI, l</w:t>
      </w:r>
      <w:r w:rsidR="00A11D5B" w:rsidRPr="00CA61A6">
        <w:rPr>
          <w:lang w:eastAsia="ja-JP"/>
        </w:rPr>
        <w:t xml:space="preserve">a </w:t>
      </w:r>
      <w:r w:rsidR="00AD2480" w:rsidRPr="00CA61A6">
        <w:rPr>
          <w:lang w:eastAsia="ja-JP"/>
        </w:rPr>
        <w:t>WSC organiz</w:t>
      </w:r>
      <w:r w:rsidR="00A11D5B" w:rsidRPr="00CA61A6">
        <w:rPr>
          <w:lang w:eastAsia="ja-JP"/>
        </w:rPr>
        <w:t>ó</w:t>
      </w:r>
      <w:r w:rsidR="00AD2480" w:rsidRPr="00CA61A6">
        <w:rPr>
          <w:lang w:eastAsia="ja-JP"/>
        </w:rPr>
        <w:t xml:space="preserve"> un </w:t>
      </w:r>
      <w:r w:rsidR="00A518A6" w:rsidRPr="00CA61A6">
        <w:rPr>
          <w:lang w:eastAsia="ja-JP"/>
        </w:rPr>
        <w:t xml:space="preserve">taller </w:t>
      </w:r>
      <w:r w:rsidR="00AD2480" w:rsidRPr="00CA61A6">
        <w:rPr>
          <w:lang w:eastAsia="ja-JP"/>
        </w:rPr>
        <w:t>sobre evaluación de la conformidad los días 1 y 2 de diciembre de 2015</w:t>
      </w:r>
      <w:r w:rsidR="002A24E5" w:rsidRPr="00CA61A6">
        <w:rPr>
          <w:lang w:eastAsia="ja-JP"/>
        </w:rPr>
        <w:t xml:space="preserve">, con objeto de promover la sensibilización al respecto </w:t>
      </w:r>
      <w:r w:rsidR="00A11D5B" w:rsidRPr="00CA61A6">
        <w:t>a escala mundial.</w:t>
      </w:r>
    </w:p>
    <w:p w:rsidR="00DF4F6A" w:rsidRPr="00CA61A6" w:rsidRDefault="00862E2C" w:rsidP="007B3478">
      <w:pPr>
        <w:pStyle w:val="enumlev1"/>
        <w:rPr>
          <w:lang w:eastAsia="ja-JP"/>
        </w:rPr>
      </w:pPr>
      <w:r w:rsidRPr="00CA61A6">
        <w:rPr>
          <w:lang w:eastAsia="ja-JP"/>
        </w:rPr>
        <w:t>–</w:t>
      </w:r>
      <w:r w:rsidRPr="00CA61A6">
        <w:rPr>
          <w:lang w:eastAsia="ja-JP"/>
        </w:rPr>
        <w:tab/>
      </w:r>
      <w:r w:rsidR="00DF4F6A" w:rsidRPr="00CA61A6">
        <w:rPr>
          <w:lang w:eastAsia="ja-JP"/>
        </w:rPr>
        <w:t>Promo</w:t>
      </w:r>
      <w:r w:rsidR="00440867">
        <w:rPr>
          <w:lang w:eastAsia="ja-JP"/>
        </w:rPr>
        <w:t>ción</w:t>
      </w:r>
    </w:p>
    <w:p w:rsidR="00A11D5B" w:rsidRPr="00CA61A6" w:rsidRDefault="000F2D8B" w:rsidP="007B3478">
      <w:pPr>
        <w:pStyle w:val="enumlev2"/>
        <w:rPr>
          <w:lang w:eastAsia="ja-JP"/>
        </w:rPr>
      </w:pPr>
      <w:r w:rsidRPr="00CA61A6">
        <w:rPr>
          <w:lang w:eastAsia="ja-JP"/>
        </w:rPr>
        <w:t>•</w:t>
      </w:r>
      <w:r w:rsidRPr="00CA61A6">
        <w:rPr>
          <w:lang w:eastAsia="ja-JP"/>
        </w:rPr>
        <w:tab/>
      </w:r>
      <w:r w:rsidR="00A11D5B" w:rsidRPr="00CA61A6">
        <w:rPr>
          <w:lang w:eastAsia="ja-JP"/>
        </w:rPr>
        <w:t xml:space="preserve">Los miembros de la WSC acordaron una propuesta para organizar un simposio conjunto de la WSC en el marco de </w:t>
      </w:r>
      <w:r w:rsidR="002A24E5" w:rsidRPr="00CA61A6">
        <w:rPr>
          <w:lang w:eastAsia="ja-JP"/>
        </w:rPr>
        <w:t>l</w:t>
      </w:r>
      <w:r w:rsidR="00A11D5B" w:rsidRPr="00CA61A6">
        <w:rPr>
          <w:lang w:eastAsia="ja-JP"/>
        </w:rPr>
        <w:t>a exposición y congreso mundial sobre ciudades inteligentes que se celebró en 2015</w:t>
      </w:r>
      <w:r w:rsidR="00AF4D49" w:rsidRPr="00CA61A6">
        <w:rPr>
          <w:lang w:eastAsia="ja-JP"/>
        </w:rPr>
        <w:t xml:space="preserve"> en Barcelona, </w:t>
      </w:r>
      <w:r w:rsidR="00A11D5B" w:rsidRPr="00CA61A6">
        <w:rPr>
          <w:lang w:eastAsia="ja-JP"/>
        </w:rPr>
        <w:t>bajo la dirección de la CEI.</w:t>
      </w:r>
    </w:p>
    <w:p w:rsidR="00DF4F6A" w:rsidRPr="00CA61A6" w:rsidRDefault="00862E2C" w:rsidP="007B3478">
      <w:pPr>
        <w:pStyle w:val="enumlev1"/>
        <w:rPr>
          <w:lang w:eastAsia="ja-JP"/>
        </w:rPr>
      </w:pPr>
      <w:r w:rsidRPr="00CA61A6">
        <w:rPr>
          <w:lang w:eastAsia="ja-JP"/>
        </w:rPr>
        <w:t>–</w:t>
      </w:r>
      <w:r w:rsidRPr="00CA61A6">
        <w:rPr>
          <w:lang w:eastAsia="ja-JP"/>
        </w:rPr>
        <w:tab/>
      </w:r>
      <w:r w:rsidR="00A11D5B" w:rsidRPr="00CA61A6">
        <w:rPr>
          <w:lang w:eastAsia="ja-JP"/>
        </w:rPr>
        <w:t>Derechos de Propiedad Intelectual (DPI)</w:t>
      </w:r>
      <w:bookmarkStart w:id="26" w:name="_GoBack"/>
      <w:bookmarkEnd w:id="26"/>
    </w:p>
    <w:p w:rsidR="00DF4F6A" w:rsidRPr="00CA61A6" w:rsidRDefault="00A11D5B" w:rsidP="007B3478">
      <w:pPr>
        <w:rPr>
          <w:szCs w:val="24"/>
          <w:lang w:eastAsia="ja-JP"/>
        </w:rPr>
      </w:pPr>
      <w:r w:rsidRPr="00CA61A6">
        <w:rPr>
          <w:szCs w:val="24"/>
          <w:lang w:eastAsia="ja-JP"/>
        </w:rPr>
        <w:t>En cuanto a las inquietudes pl</w:t>
      </w:r>
      <w:r w:rsidR="005A413E" w:rsidRPr="00CA61A6">
        <w:rPr>
          <w:szCs w:val="24"/>
          <w:lang w:eastAsia="ja-JP"/>
        </w:rPr>
        <w:t xml:space="preserve">anteadas por los participantes en </w:t>
      </w:r>
      <w:r w:rsidRPr="00CA61A6">
        <w:rPr>
          <w:szCs w:val="24"/>
          <w:lang w:eastAsia="ja-JP"/>
        </w:rPr>
        <w:t xml:space="preserve">el </w:t>
      </w:r>
      <w:r w:rsidR="004405D8" w:rsidRPr="00CA61A6">
        <w:t>Grupo ad hoc de la UIT sobre DPI</w:t>
      </w:r>
      <w:r w:rsidRPr="00CA61A6">
        <w:rPr>
          <w:szCs w:val="24"/>
          <w:lang w:eastAsia="ja-JP"/>
        </w:rPr>
        <w:t xml:space="preserve"> </w:t>
      </w:r>
      <w:r w:rsidR="004405D8" w:rsidRPr="00CA61A6">
        <w:rPr>
          <w:szCs w:val="24"/>
          <w:lang w:eastAsia="ja-JP"/>
        </w:rPr>
        <w:t>con respecto al pr</w:t>
      </w:r>
      <w:r w:rsidRPr="00CA61A6">
        <w:rPr>
          <w:szCs w:val="24"/>
          <w:lang w:eastAsia="ja-JP"/>
        </w:rPr>
        <w:t xml:space="preserve">oceso de elaboración y aprobación de </w:t>
      </w:r>
      <w:r w:rsidR="004405D8" w:rsidRPr="00CA61A6">
        <w:rPr>
          <w:szCs w:val="24"/>
          <w:lang w:eastAsia="ja-JP"/>
        </w:rPr>
        <w:t>enmiendas a</w:t>
      </w:r>
      <w:r w:rsidRPr="00CA61A6">
        <w:rPr>
          <w:szCs w:val="24"/>
          <w:lang w:eastAsia="ja-JP"/>
        </w:rPr>
        <w:t xml:space="preserve"> los textos relacionados con la</w:t>
      </w:r>
      <w:r w:rsidR="004405D8" w:rsidRPr="00CA61A6">
        <w:t xml:space="preserve"> política común de patentes de la CEI, la ISO y la UIT, la</w:t>
      </w:r>
      <w:r w:rsidRPr="00CA61A6">
        <w:rPr>
          <w:szCs w:val="24"/>
          <w:lang w:eastAsia="ja-JP"/>
        </w:rPr>
        <w:t xml:space="preserve"> </w:t>
      </w:r>
      <w:r w:rsidR="004405D8" w:rsidRPr="00CA61A6">
        <w:rPr>
          <w:szCs w:val="24"/>
          <w:lang w:eastAsia="ja-JP"/>
        </w:rPr>
        <w:t>WSC</w:t>
      </w:r>
      <w:r w:rsidR="005A413E" w:rsidRPr="00CA61A6">
        <w:rPr>
          <w:szCs w:val="24"/>
          <w:lang w:eastAsia="ja-JP"/>
        </w:rPr>
        <w:t xml:space="preserve"> convino en</w:t>
      </w:r>
      <w:r w:rsidRPr="00CA61A6">
        <w:rPr>
          <w:szCs w:val="24"/>
          <w:lang w:eastAsia="ja-JP"/>
        </w:rPr>
        <w:t xml:space="preserve"> volver a examinar el proceso </w:t>
      </w:r>
      <w:r w:rsidR="004405D8" w:rsidRPr="00CA61A6">
        <w:rPr>
          <w:szCs w:val="24"/>
          <w:lang w:eastAsia="ja-JP"/>
        </w:rPr>
        <w:t>a fin de revalidarlo</w:t>
      </w:r>
      <w:r w:rsidRPr="00CA61A6">
        <w:rPr>
          <w:szCs w:val="24"/>
          <w:lang w:eastAsia="ja-JP"/>
        </w:rPr>
        <w:t xml:space="preserve"> o proponer mejoras.</w:t>
      </w:r>
    </w:p>
    <w:p w:rsidR="004405D8" w:rsidRPr="00CA61A6" w:rsidRDefault="004405D8" w:rsidP="007B3478">
      <w:r w:rsidRPr="00CA61A6">
        <w:rPr>
          <w:szCs w:val="24"/>
          <w:lang w:eastAsia="ja-JP"/>
        </w:rPr>
        <w:t xml:space="preserve">La </w:t>
      </w:r>
      <w:r w:rsidR="00816118">
        <w:rPr>
          <w:szCs w:val="24"/>
          <w:lang w:eastAsia="ja-JP"/>
        </w:rPr>
        <w:t>UIT, la ISO y la CEI</w:t>
      </w:r>
      <w:r w:rsidR="00A11D5B" w:rsidRPr="00CA61A6">
        <w:rPr>
          <w:szCs w:val="24"/>
          <w:lang w:eastAsia="ja-JP"/>
        </w:rPr>
        <w:t xml:space="preserve"> organizaron conjuntamente </w:t>
      </w:r>
      <w:r w:rsidRPr="00CA61A6">
        <w:rPr>
          <w:szCs w:val="24"/>
          <w:lang w:eastAsia="ja-JP"/>
        </w:rPr>
        <w:t xml:space="preserve">los </w:t>
      </w:r>
      <w:r w:rsidR="00A518A6" w:rsidRPr="00CA61A6">
        <w:rPr>
          <w:szCs w:val="24"/>
          <w:lang w:eastAsia="ja-JP"/>
        </w:rPr>
        <w:t>talleres</w:t>
      </w:r>
      <w:r w:rsidR="00A518A6" w:rsidRPr="00CA61A6">
        <w:t xml:space="preserve"> </w:t>
      </w:r>
      <w:r w:rsidRPr="00CA61A6">
        <w:t xml:space="preserve">sobre </w:t>
      </w:r>
      <w:r w:rsidR="00B26079" w:rsidRPr="00CA61A6">
        <w:t>"</w:t>
      </w:r>
      <w:r w:rsidRPr="00CA61A6">
        <w:t>El coche totalmente conectado a la red</w:t>
      </w:r>
      <w:r w:rsidR="00B26079" w:rsidRPr="00CA61A6">
        <w:t>"</w:t>
      </w:r>
      <w:r w:rsidR="005A413E" w:rsidRPr="00CA61A6">
        <w:t xml:space="preserve"> que tuvieron lugar</w:t>
      </w:r>
      <w:r w:rsidRPr="00CA61A6">
        <w:rPr>
          <w:szCs w:val="24"/>
          <w:lang w:eastAsia="ja-JP"/>
        </w:rPr>
        <w:t xml:space="preserve"> </w:t>
      </w:r>
      <w:r w:rsidR="00A11D5B" w:rsidRPr="00CA61A6">
        <w:rPr>
          <w:szCs w:val="24"/>
          <w:lang w:eastAsia="ja-JP"/>
        </w:rPr>
        <w:t>durante</w:t>
      </w:r>
      <w:r w:rsidRPr="00CA61A6">
        <w:rPr>
          <w:szCs w:val="24"/>
          <w:lang w:eastAsia="ja-JP"/>
        </w:rPr>
        <w:t xml:space="preserve"> el Salón Internacional del Automóvil de Ginebra hasta el año</w:t>
      </w:r>
      <w:r w:rsidR="00A11D5B" w:rsidRPr="00CA61A6">
        <w:rPr>
          <w:szCs w:val="24"/>
          <w:lang w:eastAsia="ja-JP"/>
        </w:rPr>
        <w:t xml:space="preserve"> 2013. La edición de 2013</w:t>
      </w:r>
      <w:r w:rsidR="005A413E" w:rsidRPr="00CA61A6">
        <w:rPr>
          <w:szCs w:val="24"/>
          <w:lang w:eastAsia="ja-JP"/>
        </w:rPr>
        <w:t xml:space="preserve"> se celebró</w:t>
      </w:r>
      <w:r w:rsidR="00A11D5B" w:rsidRPr="00CA61A6">
        <w:rPr>
          <w:szCs w:val="24"/>
          <w:lang w:eastAsia="ja-JP"/>
        </w:rPr>
        <w:t xml:space="preserve"> el 6 de marzo </w:t>
      </w:r>
      <w:r w:rsidR="005A413E" w:rsidRPr="00CA61A6">
        <w:rPr>
          <w:szCs w:val="24"/>
          <w:lang w:eastAsia="ja-JP"/>
        </w:rPr>
        <w:t>bajo los auspicios de</w:t>
      </w:r>
      <w:r w:rsidR="00A11D5B" w:rsidRPr="00CA61A6">
        <w:rPr>
          <w:szCs w:val="24"/>
          <w:lang w:eastAsia="ja-JP"/>
        </w:rPr>
        <w:t xml:space="preserve"> la ISO (</w:t>
      </w:r>
      <w:hyperlink r:id="rId73" w:history="1">
        <w:r w:rsidRPr="00CA61A6">
          <w:rPr>
            <w:rStyle w:val="Hyperlink"/>
            <w:szCs w:val="24"/>
            <w:lang w:eastAsia="ja-JP"/>
          </w:rPr>
          <w:t>http://www.worldstandardscooperation.org/fnc2013.html</w:t>
        </w:r>
      </w:hyperlink>
      <w:r w:rsidR="00A11D5B" w:rsidRPr="00CA61A6">
        <w:rPr>
          <w:szCs w:val="24"/>
          <w:lang w:eastAsia="ja-JP"/>
        </w:rPr>
        <w:t xml:space="preserve">). A partir de </w:t>
      </w:r>
      <w:r w:rsidRPr="00CA61A6">
        <w:rPr>
          <w:szCs w:val="24"/>
          <w:lang w:eastAsia="ja-JP"/>
        </w:rPr>
        <w:t>ese año</w:t>
      </w:r>
      <w:r w:rsidR="00A11D5B" w:rsidRPr="00CA61A6">
        <w:rPr>
          <w:szCs w:val="24"/>
          <w:lang w:eastAsia="ja-JP"/>
        </w:rPr>
        <w:t xml:space="preserve">, la ISO y la </w:t>
      </w:r>
      <w:r w:rsidRPr="00CA61A6">
        <w:rPr>
          <w:szCs w:val="24"/>
          <w:lang w:eastAsia="ja-JP"/>
        </w:rPr>
        <w:t>CEI</w:t>
      </w:r>
      <w:r w:rsidR="00A11D5B" w:rsidRPr="00CA61A6">
        <w:rPr>
          <w:szCs w:val="24"/>
          <w:lang w:eastAsia="ja-JP"/>
        </w:rPr>
        <w:t xml:space="preserve"> </w:t>
      </w:r>
      <w:r w:rsidRPr="00CA61A6">
        <w:rPr>
          <w:szCs w:val="24"/>
          <w:lang w:eastAsia="ja-JP"/>
        </w:rPr>
        <w:t xml:space="preserve">dejaron de ejercer de </w:t>
      </w:r>
      <w:r w:rsidR="00A11D5B" w:rsidRPr="00CA61A6">
        <w:rPr>
          <w:szCs w:val="24"/>
          <w:lang w:eastAsia="ja-JP"/>
        </w:rPr>
        <w:t>co</w:t>
      </w:r>
      <w:r w:rsidRPr="00CA61A6">
        <w:rPr>
          <w:szCs w:val="24"/>
          <w:lang w:eastAsia="ja-JP"/>
        </w:rPr>
        <w:t>organizadora</w:t>
      </w:r>
      <w:r w:rsidR="00A11D5B" w:rsidRPr="00CA61A6">
        <w:rPr>
          <w:szCs w:val="24"/>
          <w:lang w:eastAsia="ja-JP"/>
        </w:rPr>
        <w:t>s de</w:t>
      </w:r>
      <w:r w:rsidRPr="00CA61A6">
        <w:rPr>
          <w:szCs w:val="24"/>
          <w:lang w:eastAsia="ja-JP"/>
        </w:rPr>
        <w:t xml:space="preserve"> dicho </w:t>
      </w:r>
      <w:r w:rsidR="00A518A6" w:rsidRPr="00CA61A6">
        <w:rPr>
          <w:szCs w:val="24"/>
          <w:lang w:eastAsia="ja-JP"/>
        </w:rPr>
        <w:t>taller</w:t>
      </w:r>
      <w:r w:rsidR="00A11D5B" w:rsidRPr="00CA61A6">
        <w:rPr>
          <w:szCs w:val="24"/>
          <w:lang w:eastAsia="ja-JP"/>
        </w:rPr>
        <w:t>.</w:t>
      </w:r>
      <w:r w:rsidR="00DF4F6A" w:rsidRPr="00CA61A6">
        <w:rPr>
          <w:szCs w:val="24"/>
          <w:lang w:eastAsia="ja-JP"/>
        </w:rPr>
        <w:t xml:space="preserve"> </w:t>
      </w:r>
      <w:r w:rsidR="003F3D6B" w:rsidRPr="00CA61A6">
        <w:rPr>
          <w:szCs w:val="24"/>
          <w:lang w:eastAsia="ja-JP"/>
        </w:rPr>
        <w:t>En</w:t>
      </w:r>
      <w:r w:rsidR="00DF4F6A" w:rsidRPr="00CA61A6">
        <w:rPr>
          <w:szCs w:val="24"/>
          <w:lang w:eastAsia="ja-JP"/>
        </w:rPr>
        <w:t xml:space="preserve"> 2014, </w:t>
      </w:r>
      <w:r w:rsidR="0065288F" w:rsidRPr="00CA61A6">
        <w:rPr>
          <w:szCs w:val="24"/>
          <w:lang w:eastAsia="ja-JP"/>
        </w:rPr>
        <w:t>la UIT organizó el</w:t>
      </w:r>
      <w:r w:rsidR="00DF4F6A" w:rsidRPr="00CA61A6">
        <w:rPr>
          <w:szCs w:val="24"/>
          <w:lang w:eastAsia="ja-JP"/>
        </w:rPr>
        <w:t xml:space="preserve"> </w:t>
      </w:r>
      <w:r w:rsidR="000817A3" w:rsidRPr="00CA61A6">
        <w:rPr>
          <w:szCs w:val="24"/>
          <w:lang w:eastAsia="ja-JP"/>
        </w:rPr>
        <w:t xml:space="preserve">Simposio </w:t>
      </w:r>
      <w:r w:rsidRPr="00CA61A6">
        <w:rPr>
          <w:szCs w:val="24"/>
          <w:lang w:eastAsia="ja-JP"/>
        </w:rPr>
        <w:t xml:space="preserve">sobre </w:t>
      </w:r>
      <w:r w:rsidR="00465057" w:rsidRPr="00CA61A6">
        <w:rPr>
          <w:szCs w:val="24"/>
          <w:lang w:eastAsia="ja-JP"/>
        </w:rPr>
        <w:t>"El automóvil conectado del futuro"</w:t>
      </w:r>
      <w:r w:rsidR="00DF4F6A" w:rsidRPr="00CA61A6">
        <w:rPr>
          <w:szCs w:val="24"/>
          <w:lang w:eastAsia="ja-JP"/>
        </w:rPr>
        <w:t xml:space="preserve"> </w:t>
      </w:r>
      <w:r w:rsidR="0053168D" w:rsidRPr="00CA61A6">
        <w:rPr>
          <w:szCs w:val="24"/>
          <w:lang w:eastAsia="ja-JP"/>
        </w:rPr>
        <w:t>durante el</w:t>
      </w:r>
      <w:r w:rsidR="00DF4F6A" w:rsidRPr="00CA61A6">
        <w:rPr>
          <w:szCs w:val="24"/>
          <w:lang w:eastAsia="ja-JP"/>
        </w:rPr>
        <w:t xml:space="preserve"> </w:t>
      </w:r>
      <w:r w:rsidR="00F4293F" w:rsidRPr="00CA61A6">
        <w:rPr>
          <w:szCs w:val="24"/>
          <w:lang w:eastAsia="ja-JP"/>
        </w:rPr>
        <w:t xml:space="preserve">Salón Internacional del Automóvil de </w:t>
      </w:r>
      <w:r w:rsidR="00F4293F" w:rsidRPr="00CA61A6">
        <w:rPr>
          <w:lang w:eastAsia="ja-JP"/>
        </w:rPr>
        <w:t>Ginebra</w:t>
      </w:r>
      <w:r w:rsidR="00DF4F6A" w:rsidRPr="00CA61A6">
        <w:t>.</w:t>
      </w:r>
    </w:p>
    <w:p w:rsidR="005E4753" w:rsidRPr="00CA61A6" w:rsidRDefault="004405D8" w:rsidP="007B3478">
      <w:pPr>
        <w:rPr>
          <w:szCs w:val="24"/>
          <w:lang w:eastAsia="ja-JP"/>
        </w:rPr>
      </w:pPr>
      <w:r w:rsidRPr="00CA61A6">
        <w:rPr>
          <w:szCs w:val="24"/>
          <w:lang w:eastAsia="ja-JP"/>
        </w:rPr>
        <w:t xml:space="preserve">El </w:t>
      </w:r>
      <w:r w:rsidRPr="00CA61A6">
        <w:t>Vicedirector</w:t>
      </w:r>
      <w:r w:rsidRPr="00CA61A6">
        <w:rPr>
          <w:szCs w:val="24"/>
          <w:lang w:eastAsia="ja-JP"/>
        </w:rPr>
        <w:t xml:space="preserve"> de la </w:t>
      </w:r>
      <w:r w:rsidR="00A11D5B" w:rsidRPr="00CA61A6">
        <w:rPr>
          <w:szCs w:val="24"/>
          <w:lang w:eastAsia="ja-JP"/>
        </w:rPr>
        <w:t>TSB participó en la</w:t>
      </w:r>
      <w:r w:rsidR="005E4753" w:rsidRPr="00CA61A6">
        <w:rPr>
          <w:szCs w:val="24"/>
          <w:lang w:eastAsia="ja-JP"/>
        </w:rPr>
        <w:t xml:space="preserve">s reuniones celebradas por el </w:t>
      </w:r>
      <w:r w:rsidR="003928B6" w:rsidRPr="00CA61A6">
        <w:rPr>
          <w:szCs w:val="24"/>
          <w:lang w:eastAsia="ja-JP"/>
        </w:rPr>
        <w:t xml:space="preserve">Consejo </w:t>
      </w:r>
      <w:r w:rsidR="005E4753" w:rsidRPr="00CA61A6">
        <w:rPr>
          <w:szCs w:val="24"/>
          <w:lang w:eastAsia="ja-JP"/>
        </w:rPr>
        <w:t xml:space="preserve">de administración </w:t>
      </w:r>
      <w:r w:rsidR="005A413E" w:rsidRPr="00CA61A6">
        <w:rPr>
          <w:szCs w:val="24"/>
          <w:lang w:eastAsia="ja-JP"/>
        </w:rPr>
        <w:t xml:space="preserve">de la </w:t>
      </w:r>
      <w:r w:rsidR="005E4753" w:rsidRPr="00CA61A6">
        <w:rPr>
          <w:szCs w:val="24"/>
          <w:lang w:eastAsia="ja-JP"/>
        </w:rPr>
        <w:t xml:space="preserve">normalización de la CEI </w:t>
      </w:r>
      <w:r w:rsidR="00A11D5B" w:rsidRPr="00CA61A6">
        <w:rPr>
          <w:szCs w:val="24"/>
          <w:lang w:eastAsia="ja-JP"/>
        </w:rPr>
        <w:t>en febrero de 2014</w:t>
      </w:r>
      <w:r w:rsidR="005E4753" w:rsidRPr="00CA61A6">
        <w:rPr>
          <w:szCs w:val="24"/>
          <w:lang w:eastAsia="ja-JP"/>
        </w:rPr>
        <w:t>,</w:t>
      </w:r>
      <w:r w:rsidR="00A11D5B" w:rsidRPr="00CA61A6">
        <w:rPr>
          <w:szCs w:val="24"/>
          <w:lang w:eastAsia="ja-JP"/>
        </w:rPr>
        <w:t xml:space="preserve"> y </w:t>
      </w:r>
      <w:r w:rsidR="005E4753" w:rsidRPr="00CA61A6">
        <w:rPr>
          <w:szCs w:val="24"/>
          <w:lang w:eastAsia="ja-JP"/>
        </w:rPr>
        <w:t xml:space="preserve">por el </w:t>
      </w:r>
      <w:r w:rsidR="004C504D" w:rsidRPr="00CA61A6">
        <w:rPr>
          <w:szCs w:val="24"/>
          <w:lang w:eastAsia="ja-JP"/>
        </w:rPr>
        <w:t xml:space="preserve">Consejo </w:t>
      </w:r>
      <w:r w:rsidR="005E4753" w:rsidRPr="00CA61A6">
        <w:rPr>
          <w:szCs w:val="24"/>
          <w:lang w:eastAsia="ja-JP"/>
        </w:rPr>
        <w:t xml:space="preserve">de administración técnica de la </w:t>
      </w:r>
      <w:r w:rsidR="00A11D5B" w:rsidRPr="00CA61A6">
        <w:rPr>
          <w:szCs w:val="24"/>
          <w:lang w:eastAsia="ja-JP"/>
        </w:rPr>
        <w:t>ISO en junio de 2014.</w:t>
      </w:r>
      <w:bookmarkStart w:id="27" w:name="Item07_02"/>
    </w:p>
    <w:p w:rsidR="00743CD3" w:rsidRPr="00CA61A6" w:rsidRDefault="00743CD3" w:rsidP="00000381">
      <w:pPr>
        <w:keepNext/>
        <w:keepLines/>
        <w:rPr>
          <w:b/>
          <w:bCs/>
        </w:rPr>
      </w:pPr>
      <w:r w:rsidRPr="00CA61A6">
        <w:rPr>
          <w:b/>
          <w:bCs/>
        </w:rPr>
        <w:lastRenderedPageBreak/>
        <w:t>Acción 07-02</w:t>
      </w:r>
      <w:bookmarkEnd w:id="27"/>
      <w:r w:rsidRPr="00CA61A6">
        <w:rPr>
          <w:b/>
          <w:bCs/>
        </w:rPr>
        <w:t>: GANT</w:t>
      </w:r>
      <w:r w:rsidR="005E4753" w:rsidRPr="00CA61A6">
        <w:rPr>
          <w:b/>
          <w:bCs/>
        </w:rPr>
        <w:t xml:space="preserve"> y CE 17</w:t>
      </w:r>
    </w:p>
    <w:p w:rsidR="005E4753" w:rsidRPr="00CA61A6" w:rsidRDefault="005E4753" w:rsidP="00000381">
      <w:pPr>
        <w:keepNext/>
        <w:keepLines/>
        <w:rPr>
          <w:lang w:eastAsia="ja-JP"/>
        </w:rPr>
      </w:pPr>
      <w:r w:rsidRPr="00CA61A6">
        <w:rPr>
          <w:lang w:eastAsia="ja-JP"/>
        </w:rPr>
        <w:t>La CE 17 sigue colaborando con diversos comités técnicos de la ISO y la CEI, así como</w:t>
      </w:r>
      <w:r w:rsidR="008A1C2D" w:rsidRPr="00CA61A6">
        <w:rPr>
          <w:lang w:eastAsia="ja-JP"/>
        </w:rPr>
        <w:t xml:space="preserve"> con</w:t>
      </w:r>
      <w:r w:rsidRPr="00CA61A6">
        <w:rPr>
          <w:lang w:eastAsia="ja-JP"/>
        </w:rPr>
        <w:t xml:space="preserve"> los </w:t>
      </w:r>
      <w:r w:rsidR="008A1C2D" w:rsidRPr="00CA61A6">
        <w:rPr>
          <w:lang w:eastAsia="ja-JP"/>
        </w:rPr>
        <w:t>sub</w:t>
      </w:r>
      <w:r w:rsidRPr="00CA61A6">
        <w:rPr>
          <w:lang w:eastAsia="ja-JP"/>
        </w:rPr>
        <w:t xml:space="preserve">comités </w:t>
      </w:r>
      <w:r w:rsidR="003E3348" w:rsidRPr="00CA61A6">
        <w:rPr>
          <w:lang w:eastAsia="ja-JP"/>
        </w:rPr>
        <w:t xml:space="preserve">del </w:t>
      </w:r>
      <w:r w:rsidRPr="00CA61A6">
        <w:rPr>
          <w:lang w:eastAsia="ja-JP"/>
        </w:rPr>
        <w:t xml:space="preserve">JTC 1 de la ISO/CEI, en temas de interés </w:t>
      </w:r>
      <w:r w:rsidR="008A1C2D" w:rsidRPr="00CA61A6">
        <w:rPr>
          <w:lang w:eastAsia="ja-JP"/>
        </w:rPr>
        <w:t>común.</w:t>
      </w:r>
    </w:p>
    <w:p w:rsidR="00A82A7E" w:rsidRPr="00CA61A6" w:rsidRDefault="005E4753" w:rsidP="007B3478">
      <w:pPr>
        <w:rPr>
          <w:lang w:eastAsia="ja-JP"/>
        </w:rPr>
      </w:pPr>
      <w:r w:rsidRPr="00CA61A6">
        <w:rPr>
          <w:lang w:eastAsia="ja-JP"/>
        </w:rPr>
        <w:t>El Anexo A revisado a la Recomendaci</w:t>
      </w:r>
      <w:r w:rsidR="005416EC">
        <w:rPr>
          <w:lang w:eastAsia="ja-JP"/>
        </w:rPr>
        <w:t>ón A.23 fue aprobado</w:t>
      </w:r>
      <w:r w:rsidRPr="00CA61A6">
        <w:rPr>
          <w:lang w:eastAsia="ja-JP"/>
        </w:rPr>
        <w:t xml:space="preserve"> por el GANT en junio de 2014 y puesto en práctica por la CE 17. Dicha Comisión espera que sus trabajos relativos a las autoridades de registro sean de utilidad para el GANT a la hora de revisar el Anexo A.</w:t>
      </w:r>
    </w:p>
    <w:p w:rsidR="004D5322" w:rsidRPr="00CA61A6" w:rsidRDefault="004D5322" w:rsidP="007B3478">
      <w:pPr>
        <w:pStyle w:val="Headingb"/>
      </w:pPr>
      <w:bookmarkStart w:id="28" w:name="Item07_03"/>
      <w:r w:rsidRPr="00CA61A6">
        <w:t>Acción 07-03</w:t>
      </w:r>
      <w:bookmarkEnd w:id="28"/>
      <w:r w:rsidRPr="00CA61A6">
        <w:t>: TSB</w:t>
      </w:r>
    </w:p>
    <w:p w:rsidR="00394A70" w:rsidRPr="00CA61A6" w:rsidRDefault="00EA3032" w:rsidP="007B3478">
      <w:pPr>
        <w:rPr>
          <w:szCs w:val="24"/>
          <w:lang w:eastAsia="ja-JP"/>
        </w:rPr>
      </w:pPr>
      <w:r w:rsidRPr="00CA61A6">
        <w:rPr>
          <w:szCs w:val="24"/>
          <w:lang w:eastAsia="ja-JP"/>
        </w:rPr>
        <w:t xml:space="preserve">La tan esperada norma de </w:t>
      </w:r>
      <w:r w:rsidR="000848AF" w:rsidRPr="00CA61A6">
        <w:rPr>
          <w:szCs w:val="24"/>
          <w:lang w:eastAsia="ja-JP"/>
        </w:rPr>
        <w:t>codificación</w:t>
      </w:r>
      <w:r w:rsidRPr="00CA61A6">
        <w:rPr>
          <w:szCs w:val="24"/>
          <w:lang w:eastAsia="ja-JP"/>
        </w:rPr>
        <w:t>,</w:t>
      </w:r>
      <w:r w:rsidR="000848AF" w:rsidRPr="00CA61A6">
        <w:rPr>
          <w:szCs w:val="24"/>
          <w:lang w:eastAsia="ja-JP"/>
        </w:rPr>
        <w:t xml:space="preserve"> </w:t>
      </w:r>
      <w:r w:rsidRPr="00CA61A6">
        <w:rPr>
          <w:szCs w:val="24"/>
          <w:lang w:eastAsia="ja-JP"/>
        </w:rPr>
        <w:t xml:space="preserve">que sucede a la </w:t>
      </w:r>
      <w:r w:rsidR="000848AF" w:rsidRPr="00CA61A6">
        <w:rPr>
          <w:szCs w:val="24"/>
          <w:lang w:eastAsia="ja-JP"/>
        </w:rPr>
        <w:t>galardonad</w:t>
      </w:r>
      <w:r w:rsidRPr="00CA61A6">
        <w:rPr>
          <w:szCs w:val="24"/>
          <w:lang w:eastAsia="ja-JP"/>
        </w:rPr>
        <w:t>a Recomendación UIT</w:t>
      </w:r>
      <w:r w:rsidR="00373D9E">
        <w:rPr>
          <w:szCs w:val="24"/>
          <w:lang w:eastAsia="ja-JP"/>
        </w:rPr>
        <w:noBreakHyphen/>
        <w:t>T </w:t>
      </w:r>
      <w:r w:rsidR="000848AF" w:rsidRPr="00CA61A6">
        <w:rPr>
          <w:szCs w:val="24"/>
          <w:lang w:eastAsia="ja-JP"/>
        </w:rPr>
        <w:t>H.264</w:t>
      </w:r>
      <w:r w:rsidRPr="00CA61A6">
        <w:rPr>
          <w:szCs w:val="24"/>
          <w:lang w:eastAsia="ja-JP"/>
        </w:rPr>
        <w:t>,</w:t>
      </w:r>
      <w:r w:rsidR="000848AF" w:rsidRPr="00CA61A6">
        <w:rPr>
          <w:szCs w:val="24"/>
          <w:lang w:eastAsia="ja-JP"/>
        </w:rPr>
        <w:t xml:space="preserve"> </w:t>
      </w:r>
      <w:r w:rsidRPr="00CA61A6">
        <w:rPr>
          <w:szCs w:val="24"/>
          <w:lang w:eastAsia="ja-JP"/>
        </w:rPr>
        <w:t xml:space="preserve">fue objeto de consentimiento </w:t>
      </w:r>
      <w:r w:rsidR="000848AF" w:rsidRPr="00CA61A6">
        <w:rPr>
          <w:szCs w:val="24"/>
          <w:lang w:eastAsia="ja-JP"/>
        </w:rPr>
        <w:t>en una reunión de</w:t>
      </w:r>
      <w:r w:rsidR="008A1C2D" w:rsidRPr="00CA61A6">
        <w:rPr>
          <w:szCs w:val="24"/>
          <w:lang w:eastAsia="ja-JP"/>
        </w:rPr>
        <w:t xml:space="preserve"> </w:t>
      </w:r>
      <w:r w:rsidR="000848AF" w:rsidRPr="00CA61A6">
        <w:rPr>
          <w:szCs w:val="24"/>
          <w:lang w:eastAsia="ja-JP"/>
        </w:rPr>
        <w:t>l</w:t>
      </w:r>
      <w:r w:rsidR="008A1C2D" w:rsidRPr="00CA61A6">
        <w:rPr>
          <w:szCs w:val="24"/>
          <w:lang w:eastAsia="ja-JP"/>
        </w:rPr>
        <w:t>a Comisión</w:t>
      </w:r>
      <w:r w:rsidR="000848AF" w:rsidRPr="00CA61A6">
        <w:rPr>
          <w:szCs w:val="24"/>
          <w:lang w:eastAsia="ja-JP"/>
        </w:rPr>
        <w:t xml:space="preserve"> de Estudio 16 </w:t>
      </w:r>
      <w:r w:rsidR="008A1C2D" w:rsidRPr="00CA61A6">
        <w:rPr>
          <w:szCs w:val="24"/>
          <w:lang w:eastAsia="ja-JP"/>
        </w:rPr>
        <w:t>como</w:t>
      </w:r>
      <w:r w:rsidR="000848AF" w:rsidRPr="00CA61A6">
        <w:rPr>
          <w:szCs w:val="24"/>
          <w:lang w:eastAsia="ja-JP"/>
        </w:rPr>
        <w:t xml:space="preserve"> Recomendación </w:t>
      </w:r>
      <w:r w:rsidR="00373D9E">
        <w:rPr>
          <w:szCs w:val="24"/>
          <w:lang w:eastAsia="ja-JP"/>
        </w:rPr>
        <w:t>UIT</w:t>
      </w:r>
      <w:r w:rsidR="00373D9E">
        <w:rPr>
          <w:szCs w:val="24"/>
          <w:lang w:eastAsia="ja-JP"/>
        </w:rPr>
        <w:noBreakHyphen/>
        <w:t>T </w:t>
      </w:r>
      <w:r w:rsidR="000848AF" w:rsidRPr="00CA61A6">
        <w:rPr>
          <w:szCs w:val="24"/>
          <w:lang w:eastAsia="ja-JP"/>
        </w:rPr>
        <w:t>H.265 o</w:t>
      </w:r>
      <w:r w:rsidRPr="00CA61A6">
        <w:rPr>
          <w:szCs w:val="24"/>
          <w:lang w:eastAsia="ja-JP"/>
        </w:rPr>
        <w:t xml:space="preserve"> norma</w:t>
      </w:r>
      <w:r w:rsidR="00E512C5">
        <w:rPr>
          <w:szCs w:val="24"/>
          <w:lang w:eastAsia="ja-JP"/>
        </w:rPr>
        <w:t xml:space="preserve"> ISO/CEI</w:t>
      </w:r>
      <w:r w:rsidR="00373D9E">
        <w:rPr>
          <w:szCs w:val="24"/>
          <w:lang w:eastAsia="ja-JP"/>
        </w:rPr>
        <w:t xml:space="preserve"> 23008</w:t>
      </w:r>
      <w:r w:rsidR="00373D9E">
        <w:rPr>
          <w:szCs w:val="24"/>
          <w:lang w:eastAsia="ja-JP"/>
        </w:rPr>
        <w:noBreakHyphen/>
      </w:r>
      <w:r w:rsidR="000848AF" w:rsidRPr="00CA61A6">
        <w:rPr>
          <w:szCs w:val="24"/>
          <w:lang w:eastAsia="ja-JP"/>
        </w:rPr>
        <w:t xml:space="preserve">2. </w:t>
      </w:r>
      <w:r w:rsidR="003E3348" w:rsidRPr="00CA61A6">
        <w:rPr>
          <w:szCs w:val="24"/>
          <w:lang w:eastAsia="ja-JP"/>
        </w:rPr>
        <w:t xml:space="preserve">Dicha </w:t>
      </w:r>
      <w:r w:rsidR="005937AC" w:rsidRPr="00CA61A6">
        <w:rPr>
          <w:szCs w:val="24"/>
          <w:lang w:eastAsia="ja-JP"/>
        </w:rPr>
        <w:t>norma es fruto de la colaboración entre el Grupo de Expertos en Codificación de Vídeo (VCEG) de la UIT y el Grupo de Expertos de Imágenes en Movimiento (MPEG) de la ISO/CEI</w:t>
      </w:r>
      <w:r w:rsidR="007B68A0" w:rsidRPr="00CA61A6">
        <w:rPr>
          <w:szCs w:val="24"/>
          <w:lang w:eastAsia="ja-JP"/>
        </w:rPr>
        <w:t>.</w:t>
      </w:r>
    </w:p>
    <w:p w:rsidR="00394A70" w:rsidRPr="00CA61A6" w:rsidRDefault="003E3348" w:rsidP="000F68A4">
      <w:pPr>
        <w:rPr>
          <w:szCs w:val="24"/>
          <w:highlight w:val="lightGray"/>
          <w:lang w:eastAsia="ja-JP"/>
        </w:rPr>
      </w:pPr>
      <w:r w:rsidRPr="00CA61A6">
        <w:rPr>
          <w:szCs w:val="24"/>
          <w:lang w:eastAsia="ja-JP"/>
        </w:rPr>
        <w:t>La CE</w:t>
      </w:r>
      <w:r w:rsidR="000F68A4">
        <w:rPr>
          <w:szCs w:val="24"/>
          <w:lang w:eastAsia="ja-JP"/>
        </w:rPr>
        <w:t> </w:t>
      </w:r>
      <w:r w:rsidR="000848AF" w:rsidRPr="00CA61A6">
        <w:rPr>
          <w:szCs w:val="24"/>
          <w:lang w:eastAsia="ja-JP"/>
        </w:rPr>
        <w:t xml:space="preserve">17 </w:t>
      </w:r>
      <w:r w:rsidRPr="00CA61A6">
        <w:rPr>
          <w:lang w:eastAsia="ja-JP"/>
        </w:rPr>
        <w:t>sigue colaborando con diversos comités técnicos de la ISO y la CEI</w:t>
      </w:r>
      <w:r w:rsidR="008A1C2D" w:rsidRPr="00CA61A6">
        <w:rPr>
          <w:lang w:eastAsia="ja-JP"/>
        </w:rPr>
        <w:t xml:space="preserve">, así </w:t>
      </w:r>
      <w:r w:rsidR="000F68A4">
        <w:rPr>
          <w:lang w:eastAsia="ja-JP"/>
        </w:rPr>
        <w:t>como con los subcomités del JTC </w:t>
      </w:r>
      <w:r w:rsidR="008A1C2D" w:rsidRPr="00CA61A6">
        <w:rPr>
          <w:lang w:eastAsia="ja-JP"/>
        </w:rPr>
        <w:t>1 de la ISO/CEI, en temas de interés común.</w:t>
      </w:r>
    </w:p>
    <w:p w:rsidR="000848AF" w:rsidRPr="00CA61A6" w:rsidRDefault="003E3348" w:rsidP="0071364A">
      <w:pPr>
        <w:spacing w:before="240"/>
        <w:rPr>
          <w:szCs w:val="24"/>
          <w:lang w:eastAsia="ja-JP"/>
        </w:rPr>
      </w:pPr>
      <w:r w:rsidRPr="00CA61A6">
        <w:rPr>
          <w:szCs w:val="24"/>
          <w:lang w:eastAsia="ja-JP"/>
        </w:rPr>
        <w:t>Las correspondencias existente</w:t>
      </w:r>
      <w:r w:rsidR="0071364A">
        <w:rPr>
          <w:szCs w:val="24"/>
          <w:lang w:eastAsia="ja-JP"/>
        </w:rPr>
        <w:t>s entre las Cuestiones de la CE </w:t>
      </w:r>
      <w:r w:rsidR="000848AF" w:rsidRPr="00CA61A6">
        <w:rPr>
          <w:szCs w:val="24"/>
          <w:lang w:eastAsia="ja-JP"/>
        </w:rPr>
        <w:t xml:space="preserve">17 </w:t>
      </w:r>
      <w:r w:rsidRPr="00CA61A6">
        <w:rPr>
          <w:szCs w:val="24"/>
          <w:lang w:eastAsia="ja-JP"/>
        </w:rPr>
        <w:t>y los</w:t>
      </w:r>
      <w:r w:rsidR="000848AF" w:rsidRPr="00CA61A6">
        <w:rPr>
          <w:szCs w:val="24"/>
          <w:lang w:eastAsia="ja-JP"/>
        </w:rPr>
        <w:t xml:space="preserve"> </w:t>
      </w:r>
      <w:r w:rsidRPr="00CA61A6">
        <w:rPr>
          <w:lang w:eastAsia="ja-JP"/>
        </w:rPr>
        <w:t>comités técnicos</w:t>
      </w:r>
      <w:r w:rsidRPr="00CA61A6">
        <w:rPr>
          <w:szCs w:val="24"/>
          <w:lang w:eastAsia="ja-JP"/>
        </w:rPr>
        <w:t xml:space="preserve"> o lo</w:t>
      </w:r>
      <w:r w:rsidR="002D6129">
        <w:rPr>
          <w:szCs w:val="24"/>
          <w:lang w:eastAsia="ja-JP"/>
        </w:rPr>
        <w:t xml:space="preserve">s subcomités de la CEI, </w:t>
      </w:r>
      <w:r w:rsidR="0007706F">
        <w:rPr>
          <w:szCs w:val="24"/>
          <w:lang w:eastAsia="ja-JP"/>
        </w:rPr>
        <w:t>la ISO o</w:t>
      </w:r>
      <w:r w:rsidR="00C073AC" w:rsidRPr="00CA61A6">
        <w:rPr>
          <w:szCs w:val="24"/>
          <w:lang w:eastAsia="ja-JP"/>
        </w:rPr>
        <w:t xml:space="preserve"> el</w:t>
      </w:r>
      <w:r w:rsidRPr="00CA61A6">
        <w:rPr>
          <w:szCs w:val="24"/>
          <w:lang w:eastAsia="ja-JP"/>
        </w:rPr>
        <w:t xml:space="preserve"> </w:t>
      </w:r>
      <w:r w:rsidR="000848AF" w:rsidRPr="00CA61A6">
        <w:rPr>
          <w:szCs w:val="24"/>
          <w:lang w:eastAsia="ja-JP"/>
        </w:rPr>
        <w:t>JTC</w:t>
      </w:r>
      <w:r w:rsidR="0071364A">
        <w:rPr>
          <w:szCs w:val="24"/>
          <w:lang w:eastAsia="ja-JP"/>
        </w:rPr>
        <w:t> </w:t>
      </w:r>
      <w:r w:rsidR="000848AF" w:rsidRPr="00CA61A6">
        <w:rPr>
          <w:szCs w:val="24"/>
          <w:lang w:eastAsia="ja-JP"/>
        </w:rPr>
        <w:t xml:space="preserve">1 </w:t>
      </w:r>
      <w:r w:rsidRPr="00CA61A6">
        <w:rPr>
          <w:szCs w:val="24"/>
          <w:lang w:eastAsia="ja-JP"/>
        </w:rPr>
        <w:t xml:space="preserve">de la ISO/CEI, </w:t>
      </w:r>
      <w:r w:rsidR="000848AF" w:rsidRPr="00CA61A6">
        <w:rPr>
          <w:szCs w:val="24"/>
          <w:lang w:eastAsia="ja-JP"/>
        </w:rPr>
        <w:t>se actualiza</w:t>
      </w:r>
      <w:r w:rsidR="00C073AC" w:rsidRPr="00CA61A6">
        <w:rPr>
          <w:szCs w:val="24"/>
          <w:lang w:eastAsia="ja-JP"/>
        </w:rPr>
        <w:t>n</w:t>
      </w:r>
      <w:r w:rsidR="000848AF" w:rsidRPr="00CA61A6">
        <w:rPr>
          <w:szCs w:val="24"/>
          <w:lang w:eastAsia="ja-JP"/>
        </w:rPr>
        <w:t xml:space="preserve"> en cada reunión </w:t>
      </w:r>
      <w:r w:rsidR="0071364A">
        <w:rPr>
          <w:szCs w:val="24"/>
          <w:lang w:eastAsia="ja-JP"/>
        </w:rPr>
        <w:t>de la CE </w:t>
      </w:r>
      <w:r w:rsidR="000848AF" w:rsidRPr="00CA61A6">
        <w:rPr>
          <w:szCs w:val="24"/>
          <w:lang w:eastAsia="ja-JP"/>
        </w:rPr>
        <w:t xml:space="preserve">17 </w:t>
      </w:r>
      <w:r w:rsidR="008A1C2D" w:rsidRPr="00CA61A6">
        <w:rPr>
          <w:szCs w:val="24"/>
          <w:lang w:eastAsia="ja-JP"/>
        </w:rPr>
        <w:t>(v</w:t>
      </w:r>
      <w:r w:rsidR="00C073AC" w:rsidRPr="00CA61A6">
        <w:rPr>
          <w:szCs w:val="24"/>
          <w:lang w:eastAsia="ja-JP"/>
        </w:rPr>
        <w:t>éase</w:t>
      </w:r>
      <w:r w:rsidR="000848AF" w:rsidRPr="00CA61A6">
        <w:rPr>
          <w:szCs w:val="24"/>
          <w:lang w:eastAsia="ja-JP"/>
        </w:rPr>
        <w:t xml:space="preserve"> </w:t>
      </w:r>
      <w:hyperlink r:id="rId74" w:history="1">
        <w:r w:rsidRPr="00CA61A6">
          <w:rPr>
            <w:rStyle w:val="Hyperlink"/>
            <w:szCs w:val="24"/>
            <w:lang w:eastAsia="ja-JP"/>
          </w:rPr>
          <w:t>http://itu.int/ITU-T/studygroups/com17/refdocs/relationships.html</w:t>
        </w:r>
      </w:hyperlink>
      <w:r w:rsidR="008A1C2D" w:rsidRPr="00CA61A6">
        <w:rPr>
          <w:szCs w:val="24"/>
          <w:lang w:eastAsia="ja-JP"/>
        </w:rPr>
        <w:t>).</w:t>
      </w:r>
    </w:p>
    <w:p w:rsidR="00394A70" w:rsidRPr="00CA61A6" w:rsidRDefault="00C073AC" w:rsidP="007B3478">
      <w:pPr>
        <w:spacing w:before="240"/>
        <w:rPr>
          <w:szCs w:val="24"/>
          <w:lang w:eastAsia="ja-JP"/>
        </w:rPr>
      </w:pPr>
      <w:r w:rsidRPr="00CA61A6">
        <w:rPr>
          <w:szCs w:val="24"/>
          <w:lang w:eastAsia="ja-JP"/>
        </w:rPr>
        <w:t xml:space="preserve">La CE </w:t>
      </w:r>
      <w:r w:rsidR="000848AF" w:rsidRPr="00CA61A6">
        <w:rPr>
          <w:szCs w:val="24"/>
          <w:lang w:eastAsia="ja-JP"/>
        </w:rPr>
        <w:t>17 examinó las relaciones de</w:t>
      </w:r>
      <w:r w:rsidRPr="00CA61A6">
        <w:rPr>
          <w:szCs w:val="24"/>
          <w:lang w:eastAsia="ja-JP"/>
        </w:rPr>
        <w:t xml:space="preserve"> coordinación establecidas entre los </w:t>
      </w:r>
      <w:r w:rsidRPr="00CA61A6">
        <w:rPr>
          <w:lang w:eastAsia="ja-JP"/>
        </w:rPr>
        <w:t>comités técnicos,</w:t>
      </w:r>
      <w:r w:rsidRPr="00CA61A6">
        <w:rPr>
          <w:szCs w:val="24"/>
          <w:lang w:eastAsia="ja-JP"/>
        </w:rPr>
        <w:t xml:space="preserve"> los subcomités y los subcomités del </w:t>
      </w:r>
      <w:r w:rsidR="000848AF" w:rsidRPr="00CA61A6">
        <w:rPr>
          <w:szCs w:val="24"/>
          <w:lang w:eastAsia="ja-JP"/>
        </w:rPr>
        <w:t>JTC 1</w:t>
      </w:r>
      <w:r w:rsidRPr="00CA61A6">
        <w:rPr>
          <w:szCs w:val="24"/>
          <w:lang w:eastAsia="ja-JP"/>
        </w:rPr>
        <w:t xml:space="preserve"> de la ISO</w:t>
      </w:r>
      <w:r w:rsidR="00DD4A0E">
        <w:rPr>
          <w:szCs w:val="24"/>
          <w:lang w:eastAsia="ja-JP"/>
        </w:rPr>
        <w:t xml:space="preserve"> y el</w:t>
      </w:r>
      <w:r w:rsidR="000848AF" w:rsidRPr="00CA61A6">
        <w:rPr>
          <w:szCs w:val="24"/>
          <w:lang w:eastAsia="ja-JP"/>
        </w:rPr>
        <w:t xml:space="preserve"> UIT-T. Actual</w:t>
      </w:r>
      <w:r w:rsidR="00A167FF" w:rsidRPr="00CA61A6">
        <w:rPr>
          <w:szCs w:val="24"/>
          <w:lang w:eastAsia="ja-JP"/>
        </w:rPr>
        <w:t xml:space="preserve">mente, </w:t>
      </w:r>
      <w:r w:rsidR="00A167FF" w:rsidRPr="00CA61A6">
        <w:t>el Plan de Normalización de Seguridad de las TIC</w:t>
      </w:r>
      <w:r w:rsidR="00A167FF" w:rsidRPr="00CA61A6">
        <w:rPr>
          <w:szCs w:val="24"/>
          <w:lang w:eastAsia="ja-JP"/>
        </w:rPr>
        <w:t xml:space="preserve"> se halla en proceso de actualización, </w:t>
      </w:r>
      <w:r w:rsidR="008A1C2D" w:rsidRPr="00CA61A6">
        <w:rPr>
          <w:szCs w:val="24"/>
          <w:lang w:eastAsia="ja-JP"/>
        </w:rPr>
        <w:t>a fin</w:t>
      </w:r>
      <w:r w:rsidR="00A167FF" w:rsidRPr="00CA61A6">
        <w:rPr>
          <w:szCs w:val="24"/>
          <w:lang w:eastAsia="ja-JP"/>
        </w:rPr>
        <w:t xml:space="preserve"> de </w:t>
      </w:r>
      <w:r w:rsidR="000848AF" w:rsidRPr="00CA61A6">
        <w:rPr>
          <w:szCs w:val="24"/>
          <w:lang w:eastAsia="ja-JP"/>
        </w:rPr>
        <w:t>incluir información sobre las nuevas normas de</w:t>
      </w:r>
      <w:r w:rsidR="00A167FF" w:rsidRPr="00CA61A6">
        <w:rPr>
          <w:szCs w:val="24"/>
          <w:lang w:eastAsia="ja-JP"/>
        </w:rPr>
        <w:t>l</w:t>
      </w:r>
      <w:r w:rsidR="000848AF" w:rsidRPr="00CA61A6">
        <w:rPr>
          <w:szCs w:val="24"/>
          <w:lang w:eastAsia="ja-JP"/>
        </w:rPr>
        <w:t xml:space="preserve"> UIT-T,</w:t>
      </w:r>
      <w:r w:rsidR="00A167FF" w:rsidRPr="00CA61A6">
        <w:rPr>
          <w:szCs w:val="24"/>
          <w:lang w:eastAsia="ja-JP"/>
        </w:rPr>
        <w:t xml:space="preserve"> la</w:t>
      </w:r>
      <w:r w:rsidR="000848AF" w:rsidRPr="00CA61A6">
        <w:rPr>
          <w:szCs w:val="24"/>
          <w:lang w:eastAsia="ja-JP"/>
        </w:rPr>
        <w:t xml:space="preserve"> ISO </w:t>
      </w:r>
      <w:r w:rsidR="00A167FF" w:rsidRPr="00CA61A6">
        <w:rPr>
          <w:szCs w:val="24"/>
          <w:lang w:eastAsia="ja-JP"/>
        </w:rPr>
        <w:t>y la CEI</w:t>
      </w:r>
      <w:r w:rsidR="000848AF" w:rsidRPr="00CA61A6">
        <w:rPr>
          <w:szCs w:val="24"/>
          <w:lang w:eastAsia="ja-JP"/>
        </w:rPr>
        <w:t xml:space="preserve">. Una coordinación similar se </w:t>
      </w:r>
      <w:r w:rsidR="00A167FF" w:rsidRPr="00CA61A6">
        <w:rPr>
          <w:szCs w:val="24"/>
          <w:lang w:eastAsia="ja-JP"/>
        </w:rPr>
        <w:t>está llevando a cabo con respecto a la normalización de las ciberempresas</w:t>
      </w:r>
      <w:r w:rsidR="000848AF" w:rsidRPr="00CA61A6">
        <w:rPr>
          <w:szCs w:val="24"/>
          <w:lang w:eastAsia="ja-JP"/>
        </w:rPr>
        <w:t xml:space="preserve">. </w:t>
      </w:r>
      <w:r w:rsidR="00A167FF" w:rsidRPr="00CA61A6">
        <w:rPr>
          <w:szCs w:val="24"/>
          <w:lang w:eastAsia="ja-JP"/>
        </w:rPr>
        <w:t xml:space="preserve">La CE </w:t>
      </w:r>
      <w:r w:rsidR="000848AF" w:rsidRPr="00CA61A6">
        <w:rPr>
          <w:szCs w:val="24"/>
          <w:lang w:eastAsia="ja-JP"/>
        </w:rPr>
        <w:t>17 envió un</w:t>
      </w:r>
      <w:r w:rsidR="00A167FF" w:rsidRPr="00CA61A6">
        <w:rPr>
          <w:szCs w:val="24"/>
          <w:lang w:eastAsia="ja-JP"/>
        </w:rPr>
        <w:t xml:space="preserve">a </w:t>
      </w:r>
      <w:r w:rsidR="00516CA1" w:rsidRPr="00CA61A6">
        <w:rPr>
          <w:szCs w:val="24"/>
          <w:lang w:eastAsia="ja-JP"/>
        </w:rPr>
        <w:t xml:space="preserve">Declaración </w:t>
      </w:r>
      <w:r w:rsidR="00A167FF" w:rsidRPr="00CA61A6">
        <w:rPr>
          <w:szCs w:val="24"/>
          <w:lang w:eastAsia="ja-JP"/>
        </w:rPr>
        <w:t xml:space="preserve">de </w:t>
      </w:r>
      <w:r w:rsidR="00516CA1" w:rsidRPr="00CA61A6">
        <w:rPr>
          <w:szCs w:val="24"/>
          <w:lang w:eastAsia="ja-JP"/>
        </w:rPr>
        <w:t xml:space="preserve">Coordinación </w:t>
      </w:r>
      <w:r w:rsidR="00A167FF" w:rsidRPr="00CA61A6">
        <w:rPr>
          <w:szCs w:val="24"/>
          <w:lang w:eastAsia="ja-JP"/>
        </w:rPr>
        <w:t xml:space="preserve">al nuevo </w:t>
      </w:r>
      <w:r w:rsidR="004D78E0">
        <w:rPr>
          <w:szCs w:val="24"/>
          <w:lang w:eastAsia="ja-JP"/>
        </w:rPr>
        <w:t>TC </w:t>
      </w:r>
      <w:r w:rsidR="000848AF" w:rsidRPr="00CA61A6">
        <w:rPr>
          <w:szCs w:val="24"/>
          <w:lang w:eastAsia="ja-JP"/>
        </w:rPr>
        <w:t>292</w:t>
      </w:r>
      <w:r w:rsidR="00A167FF" w:rsidRPr="00CA61A6">
        <w:rPr>
          <w:szCs w:val="24"/>
          <w:lang w:eastAsia="ja-JP"/>
        </w:rPr>
        <w:t xml:space="preserve"> de la ISO sobre s</w:t>
      </w:r>
      <w:r w:rsidR="000848AF" w:rsidRPr="00CA61A6">
        <w:rPr>
          <w:szCs w:val="24"/>
          <w:lang w:eastAsia="ja-JP"/>
        </w:rPr>
        <w:t xml:space="preserve">eguridad, </w:t>
      </w:r>
      <w:r w:rsidR="008A1C2D" w:rsidRPr="00CA61A6">
        <w:rPr>
          <w:szCs w:val="24"/>
          <w:lang w:eastAsia="ja-JP"/>
        </w:rPr>
        <w:t>sin embargo,</w:t>
      </w:r>
      <w:r w:rsidR="00A167FF" w:rsidRPr="00CA61A6">
        <w:rPr>
          <w:szCs w:val="24"/>
          <w:lang w:eastAsia="ja-JP"/>
        </w:rPr>
        <w:t xml:space="preserve"> aún</w:t>
      </w:r>
      <w:r w:rsidR="000848AF" w:rsidRPr="00CA61A6">
        <w:rPr>
          <w:szCs w:val="24"/>
          <w:lang w:eastAsia="ja-JP"/>
        </w:rPr>
        <w:t xml:space="preserve"> no ha recibido respuesta.</w:t>
      </w:r>
    </w:p>
    <w:p w:rsidR="00713B9A" w:rsidRPr="00CA61A6" w:rsidRDefault="00713B9A" w:rsidP="007B3478">
      <w:pPr>
        <w:pStyle w:val="Headingb"/>
      </w:pPr>
      <w:bookmarkStart w:id="29" w:name="Item07_04"/>
      <w:r w:rsidRPr="00CA61A6">
        <w:t>Acción 07-0</w:t>
      </w:r>
      <w:r w:rsidR="004A7882" w:rsidRPr="00CA61A6">
        <w:t>4</w:t>
      </w:r>
      <w:r w:rsidRPr="00CA61A6">
        <w:t>: TSB</w:t>
      </w:r>
    </w:p>
    <w:bookmarkEnd w:id="29"/>
    <w:p w:rsidR="00441B9F" w:rsidRPr="00CA61A6" w:rsidRDefault="00E876E6" w:rsidP="007B3478">
      <w:pPr>
        <w:rPr>
          <w:szCs w:val="24"/>
          <w:lang w:eastAsia="ja-JP"/>
        </w:rPr>
      </w:pPr>
      <w:r w:rsidRPr="00CA61A6">
        <w:rPr>
          <w:szCs w:val="24"/>
          <w:lang w:eastAsia="ja-JP"/>
        </w:rPr>
        <w:t>B</w:t>
      </w:r>
      <w:r w:rsidR="00B770C9" w:rsidRPr="00CA61A6">
        <w:rPr>
          <w:szCs w:val="24"/>
          <w:lang w:eastAsia="ja-JP"/>
        </w:rPr>
        <w:t>ajo los auspicios de la CEI</w:t>
      </w:r>
      <w:r w:rsidR="00441B9F" w:rsidRPr="00CA61A6">
        <w:rPr>
          <w:szCs w:val="24"/>
          <w:lang w:eastAsia="ja-JP"/>
        </w:rPr>
        <w:t xml:space="preserve">, </w:t>
      </w:r>
      <w:r w:rsidRPr="00CA61A6">
        <w:rPr>
          <w:szCs w:val="24"/>
          <w:lang w:eastAsia="ja-JP"/>
        </w:rPr>
        <w:t>la WSC organizó</w:t>
      </w:r>
      <w:r w:rsidR="008B52C2" w:rsidRPr="00CA61A6">
        <w:rPr>
          <w:szCs w:val="24"/>
          <w:lang w:eastAsia="ja-JP"/>
        </w:rPr>
        <w:t xml:space="preserve"> </w:t>
      </w:r>
      <w:r w:rsidR="00894B4D" w:rsidRPr="00CA61A6">
        <w:rPr>
          <w:szCs w:val="24"/>
          <w:lang w:eastAsia="ja-JP"/>
        </w:rPr>
        <w:t xml:space="preserve">un </w:t>
      </w:r>
      <w:r w:rsidR="00A518A6" w:rsidRPr="00CA61A6">
        <w:rPr>
          <w:szCs w:val="24"/>
          <w:lang w:eastAsia="ja-JP"/>
        </w:rPr>
        <w:t xml:space="preserve">taller </w:t>
      </w:r>
      <w:r w:rsidR="00894B4D" w:rsidRPr="00CA61A6">
        <w:rPr>
          <w:szCs w:val="24"/>
          <w:lang w:eastAsia="ja-JP"/>
        </w:rPr>
        <w:t>sobre evaluación de la conformidad los días 1 y 2 de diciembre de 2015,</w:t>
      </w:r>
      <w:r w:rsidR="008B52C2" w:rsidRPr="00CA61A6">
        <w:rPr>
          <w:szCs w:val="24"/>
          <w:lang w:eastAsia="ja-JP"/>
        </w:rPr>
        <w:t xml:space="preserve"> </w:t>
      </w:r>
      <w:r w:rsidRPr="00CA61A6">
        <w:rPr>
          <w:szCs w:val="24"/>
          <w:lang w:eastAsia="ja-JP"/>
        </w:rPr>
        <w:t xml:space="preserve">que se celebró </w:t>
      </w:r>
      <w:r w:rsidR="008B52C2" w:rsidRPr="00CA61A6">
        <w:rPr>
          <w:szCs w:val="24"/>
          <w:lang w:eastAsia="ja-JP"/>
        </w:rPr>
        <w:t xml:space="preserve">en conjunción </w:t>
      </w:r>
      <w:r w:rsidR="00894B4D" w:rsidRPr="00CA61A6">
        <w:rPr>
          <w:szCs w:val="24"/>
          <w:lang w:eastAsia="ja-JP"/>
        </w:rPr>
        <w:t>con la</w:t>
      </w:r>
      <w:r w:rsidR="008B52C2" w:rsidRPr="00CA61A6">
        <w:rPr>
          <w:szCs w:val="24"/>
          <w:lang w:eastAsia="ja-JP"/>
        </w:rPr>
        <w:t>s</w:t>
      </w:r>
      <w:r w:rsidR="00894B4D" w:rsidRPr="00CA61A6">
        <w:rPr>
          <w:szCs w:val="24"/>
          <w:lang w:eastAsia="ja-JP"/>
        </w:rPr>
        <w:t xml:space="preserve"> reuni</w:t>
      </w:r>
      <w:r w:rsidR="008B52C2" w:rsidRPr="00CA61A6">
        <w:rPr>
          <w:szCs w:val="24"/>
          <w:lang w:eastAsia="ja-JP"/>
        </w:rPr>
        <w:t>ones</w:t>
      </w:r>
      <w:r w:rsidR="00894B4D" w:rsidRPr="00CA61A6">
        <w:rPr>
          <w:szCs w:val="24"/>
          <w:lang w:eastAsia="ja-JP"/>
        </w:rPr>
        <w:t xml:space="preserve"> </w:t>
      </w:r>
      <w:r w:rsidR="008B52C2" w:rsidRPr="00CA61A6">
        <w:rPr>
          <w:szCs w:val="24"/>
          <w:lang w:eastAsia="ja-JP"/>
        </w:rPr>
        <w:t>del G</w:t>
      </w:r>
      <w:r w:rsidRPr="00CA61A6">
        <w:rPr>
          <w:szCs w:val="24"/>
          <w:lang w:eastAsia="ja-JP"/>
        </w:rPr>
        <w:t xml:space="preserve">rupo de </w:t>
      </w:r>
      <w:r w:rsidR="008B52C2" w:rsidRPr="00CA61A6">
        <w:rPr>
          <w:szCs w:val="24"/>
          <w:lang w:eastAsia="ja-JP"/>
        </w:rPr>
        <w:t>T</w:t>
      </w:r>
      <w:r w:rsidRPr="00CA61A6">
        <w:rPr>
          <w:szCs w:val="24"/>
          <w:lang w:eastAsia="ja-JP"/>
        </w:rPr>
        <w:t>rabajo</w:t>
      </w:r>
      <w:r w:rsidR="00894B4D" w:rsidRPr="00CA61A6">
        <w:rPr>
          <w:szCs w:val="24"/>
          <w:lang w:eastAsia="ja-JP"/>
        </w:rPr>
        <w:t xml:space="preserve"> 6</w:t>
      </w:r>
      <w:r w:rsidR="008B52C2" w:rsidRPr="00CA61A6">
        <w:rPr>
          <w:szCs w:val="24"/>
          <w:lang w:eastAsia="ja-JP"/>
        </w:rPr>
        <w:t xml:space="preserve"> de la </w:t>
      </w:r>
      <w:r w:rsidR="008B52C2" w:rsidRPr="00CA61A6">
        <w:rPr>
          <w:rStyle w:val="admitted"/>
        </w:rPr>
        <w:t>Comisión Económica de las Naciones Unidas para Europa</w:t>
      </w:r>
      <w:r w:rsidR="008A3F1A" w:rsidRPr="00CA61A6">
        <w:rPr>
          <w:szCs w:val="24"/>
          <w:lang w:eastAsia="ja-JP"/>
        </w:rPr>
        <w:t xml:space="preserve"> </w:t>
      </w:r>
      <w:r w:rsidR="00F82C75">
        <w:rPr>
          <w:szCs w:val="24"/>
          <w:lang w:eastAsia="ja-JP"/>
        </w:rPr>
        <w:t>y la Comisión de Estudio 11 del </w:t>
      </w:r>
      <w:r w:rsidR="008B52C2" w:rsidRPr="00CA61A6">
        <w:rPr>
          <w:szCs w:val="24"/>
          <w:lang w:eastAsia="ja-JP"/>
        </w:rPr>
        <w:t>UIT</w:t>
      </w:r>
      <w:r w:rsidR="00353242">
        <w:rPr>
          <w:szCs w:val="24"/>
          <w:lang w:eastAsia="ja-JP"/>
        </w:rPr>
        <w:noBreakHyphen/>
      </w:r>
      <w:r w:rsidR="00441B9F" w:rsidRPr="00CA61A6">
        <w:rPr>
          <w:szCs w:val="24"/>
          <w:lang w:eastAsia="ja-JP"/>
        </w:rPr>
        <w:t>T</w:t>
      </w:r>
      <w:r w:rsidR="008B52C2" w:rsidRPr="00CA61A6">
        <w:rPr>
          <w:szCs w:val="24"/>
          <w:lang w:eastAsia="ja-JP"/>
        </w:rPr>
        <w:t>.</w:t>
      </w:r>
    </w:p>
    <w:p w:rsidR="00441B9F" w:rsidRPr="00CA61A6" w:rsidRDefault="008B52C2" w:rsidP="007B3478">
      <w:pPr>
        <w:rPr>
          <w:szCs w:val="24"/>
          <w:lang w:eastAsia="ja-JP"/>
        </w:rPr>
      </w:pPr>
      <w:r w:rsidRPr="00CA61A6">
        <w:rPr>
          <w:lang w:eastAsia="ja-JP"/>
        </w:rPr>
        <w:t>Se realiz</w:t>
      </w:r>
      <w:r w:rsidR="00E876E6" w:rsidRPr="00CA61A6">
        <w:rPr>
          <w:lang w:eastAsia="ja-JP"/>
        </w:rPr>
        <w:t>aron sendas</w:t>
      </w:r>
      <w:r w:rsidRPr="00CA61A6">
        <w:rPr>
          <w:lang w:eastAsia="ja-JP"/>
        </w:rPr>
        <w:t xml:space="preserve"> presentaci</w:t>
      </w:r>
      <w:r w:rsidR="00E876E6" w:rsidRPr="00CA61A6">
        <w:rPr>
          <w:lang w:eastAsia="ja-JP"/>
        </w:rPr>
        <w:t>ones</w:t>
      </w:r>
      <w:r w:rsidRPr="00CA61A6">
        <w:rPr>
          <w:lang w:eastAsia="ja-JP"/>
        </w:rPr>
        <w:t xml:space="preserve"> sobre </w:t>
      </w:r>
      <w:r w:rsidR="00D20C67" w:rsidRPr="00CA61A6">
        <w:t>el esquema de evaluación de la conformidad</w:t>
      </w:r>
      <w:r w:rsidR="00E876E6" w:rsidRPr="00CA61A6">
        <w:t xml:space="preserve"> del IECEE</w:t>
      </w:r>
      <w:r w:rsidRPr="00CA61A6">
        <w:rPr>
          <w:lang w:eastAsia="ja-JP"/>
        </w:rPr>
        <w:t xml:space="preserve"> </w:t>
      </w:r>
      <w:r w:rsidR="00D20C67" w:rsidRPr="00CA61A6">
        <w:rPr>
          <w:lang w:eastAsia="ja-JP"/>
        </w:rPr>
        <w:t>a las Comisiones de Estudio 11 y 13 del</w:t>
      </w:r>
      <w:r w:rsidRPr="00CA61A6">
        <w:rPr>
          <w:lang w:eastAsia="ja-JP"/>
        </w:rPr>
        <w:t xml:space="preserve"> UIT-T</w:t>
      </w:r>
      <w:r w:rsidR="00E876E6" w:rsidRPr="00CA61A6">
        <w:rPr>
          <w:lang w:eastAsia="ja-JP"/>
        </w:rPr>
        <w:t xml:space="preserve"> el 26 de febrero de 2013</w:t>
      </w:r>
      <w:r w:rsidR="00D20C67" w:rsidRPr="00CA61A6">
        <w:rPr>
          <w:lang w:eastAsia="ja-JP"/>
        </w:rPr>
        <w:t xml:space="preserve">, </w:t>
      </w:r>
      <w:r w:rsidRPr="00CA61A6">
        <w:rPr>
          <w:lang w:eastAsia="ja-JP"/>
        </w:rPr>
        <w:t xml:space="preserve">y </w:t>
      </w:r>
      <w:r w:rsidR="00E876E6" w:rsidRPr="00CA61A6">
        <w:rPr>
          <w:lang w:eastAsia="ja-JP"/>
        </w:rPr>
        <w:t xml:space="preserve">al GANT </w:t>
      </w:r>
      <w:r w:rsidRPr="00CA61A6">
        <w:rPr>
          <w:lang w:eastAsia="ja-JP"/>
        </w:rPr>
        <w:t xml:space="preserve">en </w:t>
      </w:r>
      <w:r w:rsidR="00D20C67" w:rsidRPr="00CA61A6">
        <w:rPr>
          <w:lang w:eastAsia="ja-JP"/>
        </w:rPr>
        <w:t>julio de 2013</w:t>
      </w:r>
      <w:r w:rsidRPr="00CA61A6">
        <w:rPr>
          <w:lang w:eastAsia="ja-JP"/>
        </w:rPr>
        <w:t xml:space="preserve">. </w:t>
      </w:r>
      <w:r w:rsidR="0073215F" w:rsidRPr="00CA61A6">
        <w:rPr>
          <w:szCs w:val="24"/>
          <w:lang w:eastAsia="ja-JP"/>
        </w:rPr>
        <w:t xml:space="preserve">El Director de la TSB y el Secretario General de la CEI deliberaron acerca de posibles soluciones mutuamente beneficiosas para la ejecución del </w:t>
      </w:r>
      <w:r w:rsidR="00B73CB3">
        <w:rPr>
          <w:szCs w:val="24"/>
          <w:lang w:eastAsia="ja-JP"/>
        </w:rPr>
        <w:t>Pilar </w:t>
      </w:r>
      <w:r w:rsidR="0073215F" w:rsidRPr="00CA61A6">
        <w:rPr>
          <w:szCs w:val="24"/>
          <w:lang w:eastAsia="ja-JP"/>
        </w:rPr>
        <w:t>1 del Programa de C+I de la UIT mediante los planes de la CEI</w:t>
      </w:r>
      <w:r w:rsidR="00441B9F" w:rsidRPr="00CA61A6">
        <w:rPr>
          <w:szCs w:val="24"/>
          <w:lang w:eastAsia="ja-JP"/>
        </w:rPr>
        <w:t xml:space="preserve">. </w:t>
      </w:r>
      <w:r w:rsidR="00D20C67" w:rsidRPr="00CA61A6">
        <w:rPr>
          <w:szCs w:val="24"/>
          <w:lang w:eastAsia="ja-JP"/>
        </w:rPr>
        <w:t>En su reunión, la CE 11 del UI</w:t>
      </w:r>
      <w:r w:rsidR="00E876E6" w:rsidRPr="00CA61A6">
        <w:rPr>
          <w:szCs w:val="24"/>
          <w:lang w:eastAsia="ja-JP"/>
        </w:rPr>
        <w:t>T</w:t>
      </w:r>
      <w:r w:rsidR="00CD5F1B">
        <w:rPr>
          <w:szCs w:val="24"/>
          <w:lang w:eastAsia="ja-JP"/>
        </w:rPr>
        <w:noBreakHyphen/>
      </w:r>
      <w:r w:rsidR="00D20C67" w:rsidRPr="00CA61A6">
        <w:rPr>
          <w:szCs w:val="24"/>
          <w:lang w:eastAsia="ja-JP"/>
        </w:rPr>
        <w:t>T alentó al Director de la TSB a que explorase la posibilidad de cooperar con el IECEE e informase al GANT al respecto</w:t>
      </w:r>
      <w:r w:rsidR="008D1DBD">
        <w:rPr>
          <w:szCs w:val="24"/>
          <w:lang w:eastAsia="ja-JP"/>
        </w:rPr>
        <w:t>.</w:t>
      </w:r>
    </w:p>
    <w:p w:rsidR="00441B9F" w:rsidRPr="00CA61A6" w:rsidRDefault="004D128B" w:rsidP="007B3478">
      <w:pPr>
        <w:rPr>
          <w:szCs w:val="24"/>
          <w:lang w:eastAsia="ja-JP"/>
        </w:rPr>
      </w:pPr>
      <w:r>
        <w:rPr>
          <w:szCs w:val="24"/>
          <w:lang w:eastAsia="ja-JP"/>
        </w:rPr>
        <w:t>La CE 11 del UIT</w:t>
      </w:r>
      <w:r>
        <w:rPr>
          <w:szCs w:val="24"/>
          <w:lang w:eastAsia="ja-JP"/>
        </w:rPr>
        <w:noBreakHyphen/>
      </w:r>
      <w:r w:rsidR="00D20C67" w:rsidRPr="00CA61A6">
        <w:rPr>
          <w:szCs w:val="24"/>
          <w:lang w:eastAsia="ja-JP"/>
        </w:rPr>
        <w:t xml:space="preserve">T propuso que el procedimiento </w:t>
      </w:r>
      <w:r w:rsidR="00E86EAE" w:rsidRPr="00CA61A6">
        <w:rPr>
          <w:szCs w:val="24"/>
          <w:lang w:eastAsia="ja-JP"/>
        </w:rPr>
        <w:t xml:space="preserve">de la UIT </w:t>
      </w:r>
      <w:r w:rsidR="00D20C67" w:rsidRPr="00CA61A6">
        <w:rPr>
          <w:szCs w:val="24"/>
          <w:lang w:eastAsia="ja-JP"/>
        </w:rPr>
        <w:t xml:space="preserve">para el reconocimiento de los laboratorios de pruebas competentes para realizar pruebas en relación </w:t>
      </w:r>
      <w:r>
        <w:rPr>
          <w:szCs w:val="24"/>
          <w:lang w:eastAsia="ja-JP"/>
        </w:rPr>
        <w:t>con las Recomendaciones del UIT</w:t>
      </w:r>
      <w:r>
        <w:rPr>
          <w:szCs w:val="24"/>
          <w:lang w:eastAsia="ja-JP"/>
        </w:rPr>
        <w:noBreakHyphen/>
      </w:r>
      <w:r w:rsidR="00D20C67" w:rsidRPr="00CA61A6">
        <w:rPr>
          <w:szCs w:val="24"/>
          <w:lang w:eastAsia="ja-JP"/>
        </w:rPr>
        <w:t xml:space="preserve">T se aplicara en las siguientes dos </w:t>
      </w:r>
      <w:r w:rsidR="00E86EAE" w:rsidRPr="00CA61A6">
        <w:rPr>
          <w:szCs w:val="24"/>
          <w:lang w:eastAsia="ja-JP"/>
        </w:rPr>
        <w:t>etapas</w:t>
      </w:r>
      <w:r w:rsidR="00D20C67" w:rsidRPr="00CA61A6">
        <w:rPr>
          <w:szCs w:val="24"/>
          <w:lang w:eastAsia="ja-JP"/>
        </w:rPr>
        <w:t>:</w:t>
      </w:r>
    </w:p>
    <w:p w:rsidR="00441B9F" w:rsidRPr="00CA61A6" w:rsidRDefault="0054122D" w:rsidP="007B3478">
      <w:pPr>
        <w:pStyle w:val="enumlev1"/>
        <w:rPr>
          <w:lang w:eastAsia="ja-JP"/>
        </w:rPr>
      </w:pPr>
      <w:r w:rsidRPr="00CA61A6">
        <w:rPr>
          <w:lang w:eastAsia="ja-JP"/>
        </w:rPr>
        <w:t>–</w:t>
      </w:r>
      <w:r w:rsidRPr="00CA61A6">
        <w:rPr>
          <w:lang w:eastAsia="ja-JP"/>
        </w:rPr>
        <w:tab/>
      </w:r>
      <w:r w:rsidR="00477331" w:rsidRPr="00CA61A6">
        <w:rPr>
          <w:lang w:eastAsia="ja-JP"/>
        </w:rPr>
        <w:t>1ª etapa: trabajar en asociación con los programas de evaluación de la conformidad voluntaria en vigor para fomentar la evaluación de la conformidad teniendo en cuenta las normas de la UIT y facilitar expertos técnicos de la Unión para que lleven a cabo en parte la evaluación de los laboratorios de pruebas respecto de las normas de la UIT;</w:t>
      </w:r>
      <w:r w:rsidR="00E86EAE" w:rsidRPr="00CA61A6">
        <w:rPr>
          <w:lang w:eastAsia="ja-JP"/>
        </w:rPr>
        <w:t xml:space="preserve"> y</w:t>
      </w:r>
    </w:p>
    <w:p w:rsidR="00441B9F" w:rsidRPr="00CA61A6" w:rsidRDefault="0054122D" w:rsidP="00AD607F">
      <w:pPr>
        <w:pStyle w:val="enumlev1"/>
        <w:keepNext/>
        <w:keepLines/>
        <w:rPr>
          <w:lang w:eastAsia="ja-JP"/>
        </w:rPr>
      </w:pPr>
      <w:r w:rsidRPr="00CA61A6">
        <w:rPr>
          <w:lang w:eastAsia="ja-JP"/>
        </w:rPr>
        <w:lastRenderedPageBreak/>
        <w:t>–</w:t>
      </w:r>
      <w:r w:rsidRPr="00CA61A6">
        <w:rPr>
          <w:lang w:eastAsia="ja-JP"/>
        </w:rPr>
        <w:tab/>
      </w:r>
      <w:r w:rsidR="005E0686" w:rsidRPr="00CA61A6">
        <w:rPr>
          <w:lang w:eastAsia="ja-JP"/>
        </w:rPr>
        <w:t>2ª etapa: sobre la base de la respuesta del mercado a la evaluación de la conformidad teniendo en cuenta las normas de la UIT mencionadas en la 1ª etapa y la experiencia adquirida por la UIT gracias a la colaboración con los programas indicados en la 1ª etapa, considerar la posibilidad de establecer un procedimiento de reconocimiento de laboratorios de prueba propio de la UIT</w:t>
      </w:r>
      <w:r w:rsidR="00441B9F" w:rsidRPr="00CA61A6">
        <w:rPr>
          <w:lang w:eastAsia="ja-JP"/>
        </w:rPr>
        <w:t>.</w:t>
      </w:r>
    </w:p>
    <w:p w:rsidR="00E86EAE" w:rsidRPr="00CA61A6" w:rsidRDefault="00E86EAE" w:rsidP="00563092">
      <w:pPr>
        <w:rPr>
          <w:szCs w:val="24"/>
          <w:lang w:eastAsia="ja-JP"/>
        </w:rPr>
      </w:pPr>
      <w:r w:rsidRPr="00CA61A6">
        <w:t xml:space="preserve">A raíz de esta propuesta, la TSB de la UIT está discutiendo con la Secretaría de la CEI la posibilidad de efectuar una prueba voluntaria de evaluación de la conformidad de </w:t>
      </w:r>
      <w:r w:rsidR="00204C1D" w:rsidRPr="00CA61A6">
        <w:t>un</w:t>
      </w:r>
      <w:r w:rsidRPr="00CA61A6">
        <w:t xml:space="preserve">a tercera parte respecto de las correspondientes Recomendaciones del UIT-T (véase </w:t>
      </w:r>
      <w:r w:rsidR="00CF6832">
        <w:t>la</w:t>
      </w:r>
      <w:r w:rsidRPr="00CA61A6">
        <w:t xml:space="preserve"> </w:t>
      </w:r>
      <w:hyperlink r:id="rId75" w:history="1">
        <w:r w:rsidR="00563092">
          <w:rPr>
            <w:rStyle w:val="Hyperlink"/>
          </w:rPr>
          <w:t>Contri</w:t>
        </w:r>
        <w:r w:rsidR="00C06D4D">
          <w:rPr>
            <w:rStyle w:val="Hyperlink"/>
          </w:rPr>
          <w:t>bución</w:t>
        </w:r>
        <w:r w:rsidRPr="00CA61A6">
          <w:rPr>
            <w:rStyle w:val="Hyperlink"/>
          </w:rPr>
          <w:t xml:space="preserve"> 63</w:t>
        </w:r>
      </w:hyperlink>
      <w:r w:rsidR="00C06D4D">
        <w:t xml:space="preserve"> de la PP</w:t>
      </w:r>
      <w:r w:rsidR="00C06D4D">
        <w:noBreakHyphen/>
      </w:r>
      <w:r w:rsidRPr="00CA61A6">
        <w:t>14).</w:t>
      </w:r>
    </w:p>
    <w:bookmarkStart w:id="30" w:name="_Toc335979772"/>
    <w:bookmarkStart w:id="31" w:name="_Toc338837106"/>
    <w:bookmarkStart w:id="32" w:name="_Toc340066378"/>
    <w:p w:rsidR="004F0B8B" w:rsidRPr="00CA61A6" w:rsidRDefault="004F0B8B" w:rsidP="004F0B8B">
      <w:r w:rsidRPr="00CA61A6">
        <w:fldChar w:fldCharType="begin"/>
      </w:r>
      <w:r w:rsidRPr="00CA61A6">
        <w:instrText xml:space="preserve"> HYPERLINK \l "Top" </w:instrText>
      </w:r>
      <w:r w:rsidRPr="00CA61A6">
        <w:fldChar w:fldCharType="separate"/>
      </w:r>
      <w:r w:rsidRPr="00CA61A6">
        <w:rPr>
          <w:rStyle w:val="Hyperlink"/>
        </w:rPr>
        <w:t>» Arriba</w:t>
      </w:r>
      <w:r w:rsidRPr="00CA61A6">
        <w:rPr>
          <w:rStyle w:val="Hyperlink"/>
        </w:rPr>
        <w:fldChar w:fldCharType="end"/>
      </w:r>
    </w:p>
    <w:p w:rsidR="00461620" w:rsidRPr="00CA61A6" w:rsidRDefault="00461620" w:rsidP="007B3478">
      <w:pPr>
        <w:pStyle w:val="Heading1"/>
      </w:pPr>
      <w:bookmarkStart w:id="33" w:name="_4_Resolución_11"/>
      <w:bookmarkStart w:id="34" w:name="_Toc463335755"/>
      <w:bookmarkEnd w:id="33"/>
      <w:r w:rsidRPr="00CA61A6">
        <w:t>4</w:t>
      </w:r>
      <w:r w:rsidRPr="00CA61A6">
        <w:tab/>
        <w:t xml:space="preserve">Resolución 11 – </w:t>
      </w:r>
      <w:bookmarkEnd w:id="30"/>
      <w:bookmarkEnd w:id="31"/>
      <w:bookmarkEnd w:id="32"/>
      <w:r w:rsidR="00E86EAE" w:rsidRPr="00CA61A6">
        <w:t>Colaboración con el Consejo de Operaciones Postales de la Unión Postal Universal sobre el estudio de servicios que interesan a la vez a los sectores postal y de telecomunicaciones</w:t>
      </w:r>
      <w:bookmarkEnd w:id="34"/>
    </w:p>
    <w:p w:rsidR="00461620" w:rsidRPr="00CA61A6" w:rsidRDefault="00461620" w:rsidP="007B3478">
      <w:pPr>
        <w:pStyle w:val="Headingb"/>
      </w:pPr>
      <w:r w:rsidRPr="00CA61A6">
        <w:t>Resolución 11</w:t>
      </w:r>
    </w:p>
    <w:p w:rsidR="00F14BB3" w:rsidRPr="00CA61A6" w:rsidRDefault="00F14BB3" w:rsidP="007B3478">
      <w:pPr>
        <w:pStyle w:val="Call"/>
      </w:pPr>
      <w:r w:rsidRPr="00CA61A6">
        <w:t>resuelve</w:t>
      </w:r>
    </w:p>
    <w:p w:rsidR="00F14BB3" w:rsidRPr="00CA61A6" w:rsidRDefault="00F14BB3" w:rsidP="007B3478">
      <w:r w:rsidRPr="00CA61A6">
        <w:t>que las Comisiones de Estudio del UIT</w:t>
      </w:r>
      <w:r w:rsidRPr="00CA61A6">
        <w:noBreakHyphen/>
        <w:t>T pertinentes continúen colaborando con los Comités del Consejo de Operaciones Postales (COP) en la medida de lo necesario, de forma recíproca y con un mínimo de formalidades, especialmente mediante la investigación de temas de interés común tales como la calidad de servicio, los servicios electrónicos o la seguridad de los pagos móviles,</w:t>
      </w:r>
    </w:p>
    <w:p w:rsidR="00F14BB3" w:rsidRPr="00CA61A6" w:rsidRDefault="00F14BB3" w:rsidP="007B3478">
      <w:pPr>
        <w:pStyle w:val="Call"/>
      </w:pPr>
      <w:r w:rsidRPr="00CA61A6">
        <w:t>encarga al Director de la Oficina de Normalización de las Telecomunicaciones</w:t>
      </w:r>
    </w:p>
    <w:p w:rsidR="00F14BB3" w:rsidRPr="00CA61A6" w:rsidRDefault="00F14BB3" w:rsidP="007B3478">
      <w:pPr>
        <w:spacing w:after="120"/>
      </w:pPr>
      <w:r w:rsidRPr="00CA61A6">
        <w:t>que aliente y apoye esta colaboración entre ambos órganos.</w:t>
      </w:r>
    </w:p>
    <w:tbl>
      <w:tblPr>
        <w:tblW w:w="9832" w:type="dxa"/>
        <w:tblInd w:w="-13" w:type="dxa"/>
        <w:tblBorders>
          <w:top w:val="single" w:sz="4" w:space="0" w:color="auto"/>
          <w:left w:val="single" w:sz="4" w:space="0" w:color="auto"/>
          <w:bottom w:val="single" w:sz="4" w:space="0" w:color="auto"/>
          <w:right w:val="single" w:sz="4" w:space="0" w:color="auto"/>
          <w:insideH w:val="double" w:sz="6" w:space="0" w:color="auto"/>
          <w:insideV w:val="single" w:sz="4" w:space="0" w:color="auto"/>
        </w:tblBorders>
        <w:shd w:val="clear" w:color="auto" w:fill="FFFFFF" w:themeFill="background1"/>
        <w:tblLook w:val="04A0" w:firstRow="1" w:lastRow="0" w:firstColumn="1" w:lastColumn="0" w:noHBand="0" w:noVBand="1"/>
      </w:tblPr>
      <w:tblGrid>
        <w:gridCol w:w="916"/>
        <w:gridCol w:w="4605"/>
        <w:gridCol w:w="1710"/>
        <w:gridCol w:w="1279"/>
        <w:gridCol w:w="1322"/>
      </w:tblGrid>
      <w:tr w:rsidR="009210E8" w:rsidRPr="00CA61A6" w:rsidTr="001D0D96">
        <w:trPr>
          <w:trHeight w:val="647"/>
          <w:tblHeader/>
        </w:trPr>
        <w:tc>
          <w:tcPr>
            <w:tcW w:w="916" w:type="dxa"/>
            <w:shd w:val="clear" w:color="auto" w:fill="FFFFFF" w:themeFill="background1"/>
            <w:vAlign w:val="center"/>
          </w:tcPr>
          <w:p w:rsidR="009210E8" w:rsidRPr="00CA61A6" w:rsidRDefault="009210E8" w:rsidP="007B3478">
            <w:pPr>
              <w:pStyle w:val="Tablehead"/>
            </w:pPr>
            <w:r w:rsidRPr="00CA61A6">
              <w:t>Número</w:t>
            </w:r>
          </w:p>
        </w:tc>
        <w:tc>
          <w:tcPr>
            <w:tcW w:w="4605" w:type="dxa"/>
            <w:shd w:val="clear" w:color="auto" w:fill="FFFFFF" w:themeFill="background1"/>
            <w:vAlign w:val="center"/>
            <w:hideMark/>
          </w:tcPr>
          <w:p w:rsidR="009210E8" w:rsidRPr="00CA61A6" w:rsidRDefault="009210E8" w:rsidP="007B3478">
            <w:pPr>
              <w:pStyle w:val="Tablehead"/>
            </w:pPr>
            <w:r w:rsidRPr="00CA61A6">
              <w:t>Acción</w:t>
            </w:r>
          </w:p>
        </w:tc>
        <w:tc>
          <w:tcPr>
            <w:tcW w:w="1710" w:type="dxa"/>
            <w:shd w:val="clear" w:color="auto" w:fill="FFFFFF" w:themeFill="background1"/>
            <w:vAlign w:val="center"/>
            <w:hideMark/>
          </w:tcPr>
          <w:p w:rsidR="009210E8" w:rsidRPr="00CA61A6" w:rsidRDefault="009210E8" w:rsidP="007B3478">
            <w:pPr>
              <w:pStyle w:val="Tablehead"/>
            </w:pPr>
            <w:r w:rsidRPr="00CA61A6">
              <w:t>Fecha objetivo</w:t>
            </w:r>
          </w:p>
        </w:tc>
        <w:tc>
          <w:tcPr>
            <w:tcW w:w="1279" w:type="dxa"/>
            <w:shd w:val="clear" w:color="auto" w:fill="FFFFFF" w:themeFill="background1"/>
            <w:vAlign w:val="center"/>
          </w:tcPr>
          <w:p w:rsidR="009210E8" w:rsidRPr="00CA61A6" w:rsidRDefault="009210E8" w:rsidP="007B3478">
            <w:pPr>
              <w:pStyle w:val="Tablehead"/>
            </w:pPr>
            <w:r w:rsidRPr="00CA61A6">
              <w:t>Objetivos periódicos cumplidos</w:t>
            </w:r>
          </w:p>
        </w:tc>
        <w:tc>
          <w:tcPr>
            <w:tcW w:w="1322" w:type="dxa"/>
            <w:shd w:val="clear" w:color="auto" w:fill="FFFFFF" w:themeFill="background1"/>
            <w:vAlign w:val="center"/>
          </w:tcPr>
          <w:p w:rsidR="009210E8" w:rsidRPr="00CA61A6" w:rsidRDefault="009210E8" w:rsidP="007B3478">
            <w:pPr>
              <w:pStyle w:val="Tablehead"/>
            </w:pPr>
            <w:r w:rsidRPr="00CA61A6">
              <w:t>Completada</w:t>
            </w:r>
          </w:p>
        </w:tc>
      </w:tr>
      <w:tr w:rsidR="009210E8" w:rsidRPr="00CA61A6" w:rsidTr="000F0778">
        <w:trPr>
          <w:trHeight w:val="620"/>
        </w:trPr>
        <w:tc>
          <w:tcPr>
            <w:tcW w:w="916" w:type="dxa"/>
            <w:shd w:val="clear" w:color="auto" w:fill="FFFFFF" w:themeFill="background1"/>
            <w:vAlign w:val="center"/>
          </w:tcPr>
          <w:p w:rsidR="009210E8" w:rsidRPr="00CA61A6" w:rsidRDefault="00110CAD" w:rsidP="007B3478">
            <w:pPr>
              <w:pStyle w:val="Tabletext"/>
              <w:jc w:val="center"/>
            </w:pPr>
            <w:hyperlink w:anchor="Item11_01" w:history="1">
              <w:r w:rsidR="009210E8" w:rsidRPr="00CA61A6">
                <w:rPr>
                  <w:rStyle w:val="Hyperlink"/>
                </w:rPr>
                <w:t>11-01</w:t>
              </w:r>
            </w:hyperlink>
          </w:p>
        </w:tc>
        <w:tc>
          <w:tcPr>
            <w:tcW w:w="4605" w:type="dxa"/>
            <w:shd w:val="clear" w:color="auto" w:fill="FFFFFF" w:themeFill="background1"/>
            <w:vAlign w:val="center"/>
            <w:hideMark/>
          </w:tcPr>
          <w:p w:rsidR="009210E8" w:rsidRPr="00CA61A6" w:rsidRDefault="00AC3B4D" w:rsidP="007B3478">
            <w:pPr>
              <w:pStyle w:val="Tabletext"/>
            </w:pPr>
            <w:r w:rsidRPr="00CA61A6">
              <w:t>Las Comisiones de Estudio del UIT-T colaborarán con el COP en temas de interés común</w:t>
            </w:r>
          </w:p>
        </w:tc>
        <w:tc>
          <w:tcPr>
            <w:tcW w:w="1710" w:type="dxa"/>
            <w:shd w:val="clear" w:color="auto" w:fill="FFFFFF" w:themeFill="background1"/>
            <w:vAlign w:val="center"/>
            <w:hideMark/>
          </w:tcPr>
          <w:p w:rsidR="009210E8" w:rsidRPr="00CA61A6" w:rsidRDefault="00DF3EBA" w:rsidP="007B3478">
            <w:pPr>
              <w:pStyle w:val="Tabletext"/>
              <w:jc w:val="center"/>
              <w:rPr>
                <w:szCs w:val="24"/>
              </w:rPr>
            </w:pPr>
            <w:r w:rsidRPr="00CA61A6">
              <w:rPr>
                <w:szCs w:val="24"/>
              </w:rPr>
              <w:t>En curso</w:t>
            </w:r>
          </w:p>
        </w:tc>
        <w:tc>
          <w:tcPr>
            <w:tcW w:w="1279" w:type="dxa"/>
            <w:shd w:val="clear" w:color="auto" w:fill="FFFFFF" w:themeFill="background1"/>
            <w:vAlign w:val="center"/>
          </w:tcPr>
          <w:p w:rsidR="009210E8" w:rsidRPr="00CA61A6" w:rsidRDefault="00AF4D49" w:rsidP="007B3478">
            <w:pPr>
              <w:pStyle w:val="Tabletext"/>
              <w:jc w:val="center"/>
              <w:rPr>
                <w:szCs w:val="24"/>
              </w:rPr>
            </w:pPr>
            <w:r w:rsidRPr="00CA61A6">
              <w:sym w:font="Wingdings" w:char="F0FC"/>
            </w:r>
          </w:p>
        </w:tc>
        <w:tc>
          <w:tcPr>
            <w:tcW w:w="1322" w:type="dxa"/>
            <w:shd w:val="clear" w:color="auto" w:fill="FFFFFF" w:themeFill="background1"/>
            <w:vAlign w:val="center"/>
          </w:tcPr>
          <w:p w:rsidR="009210E8" w:rsidRPr="00C22AE9" w:rsidRDefault="009210E8" w:rsidP="00C22AE9">
            <w:pPr>
              <w:pStyle w:val="Tabletext"/>
              <w:jc w:val="center"/>
              <w:rPr>
                <w:szCs w:val="24"/>
              </w:rPr>
            </w:pPr>
          </w:p>
        </w:tc>
      </w:tr>
    </w:tbl>
    <w:p w:rsidR="0041402F" w:rsidRPr="00CA61A6" w:rsidRDefault="0041402F" w:rsidP="007B3478">
      <w:pPr>
        <w:pStyle w:val="Headingb"/>
      </w:pPr>
      <w:bookmarkStart w:id="35" w:name="Item11_01"/>
      <w:r w:rsidRPr="00CA61A6">
        <w:t xml:space="preserve">Acción 11-01: </w:t>
      </w:r>
      <w:r w:rsidR="00147738" w:rsidRPr="00CA61A6">
        <w:t>CE</w:t>
      </w:r>
    </w:p>
    <w:bookmarkEnd w:id="35"/>
    <w:p w:rsidR="00037B0C" w:rsidRPr="00CA61A6" w:rsidRDefault="00AC3B4D" w:rsidP="007B3478">
      <w:pPr>
        <w:rPr>
          <w:szCs w:val="24"/>
          <w:lang w:eastAsia="ja-JP"/>
        </w:rPr>
      </w:pPr>
      <w:r w:rsidRPr="00CA61A6">
        <w:rPr>
          <w:lang w:eastAsia="ja-JP"/>
        </w:rPr>
        <w:t>La TSB realizó una presentación en el marco</w:t>
      </w:r>
      <w:r w:rsidR="00117BB5">
        <w:rPr>
          <w:lang w:eastAsia="ja-JP"/>
        </w:rPr>
        <w:t xml:space="preserve"> del "For</w:t>
      </w:r>
      <w:r w:rsidRPr="00CA61A6">
        <w:rPr>
          <w:lang w:eastAsia="ja-JP"/>
        </w:rPr>
        <w:t>o Mundial</w:t>
      </w:r>
      <w:r w:rsidR="008B15A4" w:rsidRPr="00CA61A6">
        <w:rPr>
          <w:lang w:eastAsia="ja-JP"/>
        </w:rPr>
        <w:t xml:space="preserve"> de la UPU</w:t>
      </w:r>
      <w:r w:rsidRPr="00CA61A6">
        <w:rPr>
          <w:lang w:eastAsia="ja-JP"/>
        </w:rPr>
        <w:t xml:space="preserve"> sobre la Inclusión</w:t>
      </w:r>
      <w:r w:rsidR="008B15A4" w:rsidRPr="00CA61A6">
        <w:rPr>
          <w:lang w:eastAsia="ja-JP"/>
        </w:rPr>
        <w:t xml:space="preserve"> </w:t>
      </w:r>
      <w:r w:rsidRPr="00CA61A6">
        <w:rPr>
          <w:lang w:eastAsia="ja-JP"/>
        </w:rPr>
        <w:t>Financiera</w:t>
      </w:r>
      <w:r w:rsidR="00117BB5">
        <w:rPr>
          <w:lang w:eastAsia="ja-JP"/>
        </w:rPr>
        <w:t>"</w:t>
      </w:r>
      <w:r w:rsidRPr="00CA61A6">
        <w:rPr>
          <w:lang w:eastAsia="ja-JP"/>
        </w:rPr>
        <w:t xml:space="preserve">, que se celebró los días 24 y 25 de octubre de 2013. </w:t>
      </w:r>
      <w:r w:rsidR="008B15A4" w:rsidRPr="00CA61A6">
        <w:rPr>
          <w:lang w:eastAsia="ja-JP"/>
        </w:rPr>
        <w:t>Esta</w:t>
      </w:r>
      <w:r w:rsidRPr="00CA61A6">
        <w:rPr>
          <w:lang w:eastAsia="ja-JP"/>
        </w:rPr>
        <w:t xml:space="preserve"> presentació</w:t>
      </w:r>
      <w:r w:rsidR="008B15A4" w:rsidRPr="00CA61A6">
        <w:rPr>
          <w:lang w:eastAsia="ja-JP"/>
        </w:rPr>
        <w:t>n facilitó la celebración de</w:t>
      </w:r>
      <w:r w:rsidRPr="00CA61A6">
        <w:rPr>
          <w:lang w:eastAsia="ja-JP"/>
        </w:rPr>
        <w:t xml:space="preserve"> un mini </w:t>
      </w:r>
      <w:r w:rsidR="00A518A6" w:rsidRPr="00CA61A6">
        <w:rPr>
          <w:lang w:eastAsia="ja-JP"/>
        </w:rPr>
        <w:t xml:space="preserve">taller </w:t>
      </w:r>
      <w:r w:rsidRPr="00CA61A6">
        <w:rPr>
          <w:lang w:eastAsia="ja-JP"/>
        </w:rPr>
        <w:t xml:space="preserve">con la UPU durante la reunión de la CE 17 del UIT-T en enero de 2014. En dicho </w:t>
      </w:r>
      <w:r w:rsidR="00A518A6" w:rsidRPr="00CA61A6">
        <w:rPr>
          <w:lang w:eastAsia="ja-JP"/>
        </w:rPr>
        <w:t xml:space="preserve">taller </w:t>
      </w:r>
      <w:r w:rsidRPr="00CA61A6">
        <w:rPr>
          <w:lang w:eastAsia="ja-JP"/>
        </w:rPr>
        <w:t xml:space="preserve">se exploraron posibilidades de cooperación en áreas de interés común. El mini </w:t>
      </w:r>
      <w:r w:rsidR="00A518A6" w:rsidRPr="00CA61A6">
        <w:rPr>
          <w:lang w:eastAsia="ja-JP"/>
        </w:rPr>
        <w:t xml:space="preserve">taller </w:t>
      </w:r>
      <w:r w:rsidR="008B15A4" w:rsidRPr="00CA61A6">
        <w:rPr>
          <w:lang w:eastAsia="ja-JP"/>
        </w:rPr>
        <w:t>favoreció</w:t>
      </w:r>
      <w:r w:rsidRPr="00CA61A6">
        <w:rPr>
          <w:lang w:eastAsia="ja-JP"/>
        </w:rPr>
        <w:t xml:space="preserve"> la comprensión mutua de los intereses y </w:t>
      </w:r>
      <w:r w:rsidR="008B15A4" w:rsidRPr="00CA61A6">
        <w:rPr>
          <w:lang w:eastAsia="ja-JP"/>
        </w:rPr>
        <w:t xml:space="preserve">permitió identificar </w:t>
      </w:r>
      <w:r w:rsidRPr="00CA61A6">
        <w:rPr>
          <w:lang w:eastAsia="ja-JP"/>
        </w:rPr>
        <w:t>un par de puntos</w:t>
      </w:r>
      <w:r w:rsidR="008B15A4" w:rsidRPr="00CA61A6">
        <w:rPr>
          <w:lang w:eastAsia="ja-JP"/>
        </w:rPr>
        <w:t xml:space="preserve"> comunes</w:t>
      </w:r>
      <w:r w:rsidRPr="00CA61A6">
        <w:rPr>
          <w:lang w:eastAsia="ja-JP"/>
        </w:rPr>
        <w:t xml:space="preserve"> para futuras col</w:t>
      </w:r>
      <w:r w:rsidR="00617E68">
        <w:rPr>
          <w:lang w:eastAsia="ja-JP"/>
        </w:rPr>
        <w:t>aboraciones. En concreto, la CE </w:t>
      </w:r>
      <w:r w:rsidRPr="00CA61A6">
        <w:rPr>
          <w:lang w:eastAsia="ja-JP"/>
        </w:rPr>
        <w:t xml:space="preserve">17 colabora con la UPU en temas relacionados con </w:t>
      </w:r>
      <w:r w:rsidR="00617E68">
        <w:rPr>
          <w:lang w:eastAsia="ja-JP"/>
        </w:rPr>
        <w:t>la gestión de la identidad (C10</w:t>
      </w:r>
      <w:r w:rsidRPr="00CA61A6">
        <w:rPr>
          <w:lang w:eastAsia="ja-JP"/>
        </w:rPr>
        <w:t>/17) y la seguridad del correo electrónico (C11/17).</w:t>
      </w:r>
    </w:p>
    <w:bookmarkStart w:id="36" w:name="_Toc335979774"/>
    <w:bookmarkStart w:id="37" w:name="_Toc338837108"/>
    <w:bookmarkStart w:id="38" w:name="_Toc340066380"/>
    <w:p w:rsidR="00D53C9A" w:rsidRPr="00CA61A6" w:rsidRDefault="00D53C9A" w:rsidP="00D53C9A">
      <w:r w:rsidRPr="00CA61A6">
        <w:fldChar w:fldCharType="begin"/>
      </w:r>
      <w:r w:rsidRPr="00CA61A6">
        <w:instrText xml:space="preserve"> HYPERLINK \l "Top" </w:instrText>
      </w:r>
      <w:r w:rsidRPr="00CA61A6">
        <w:fldChar w:fldCharType="separate"/>
      </w:r>
      <w:r w:rsidRPr="00CA61A6">
        <w:rPr>
          <w:rStyle w:val="Hyperlink"/>
        </w:rPr>
        <w:t>» Arriba</w:t>
      </w:r>
      <w:r w:rsidRPr="00CA61A6">
        <w:rPr>
          <w:rStyle w:val="Hyperlink"/>
        </w:rPr>
        <w:fldChar w:fldCharType="end"/>
      </w:r>
    </w:p>
    <w:p w:rsidR="00661CB5" w:rsidRPr="00CA61A6" w:rsidRDefault="00661CB5" w:rsidP="007B3478">
      <w:pPr>
        <w:pStyle w:val="Heading1"/>
      </w:pPr>
      <w:bookmarkStart w:id="39" w:name="_5_Resolución_18"/>
      <w:bookmarkStart w:id="40" w:name="_Toc463335756"/>
      <w:bookmarkEnd w:id="39"/>
      <w:r w:rsidRPr="00CA61A6">
        <w:lastRenderedPageBreak/>
        <w:t>5</w:t>
      </w:r>
      <w:r w:rsidRPr="00CA61A6">
        <w:tab/>
        <w:t xml:space="preserve">Resolución 18 – </w:t>
      </w:r>
      <w:bookmarkEnd w:id="36"/>
      <w:bookmarkEnd w:id="37"/>
      <w:bookmarkEnd w:id="38"/>
      <w:r w:rsidR="00AC3B4D" w:rsidRPr="00CA61A6">
        <w:t>Principios y procedimientos para la asignación de trabajos y la coordinación entre el Sector de R</w:t>
      </w:r>
      <w:r w:rsidR="00515646">
        <w:t>adiocomunicaciones de </w:t>
      </w:r>
      <w:r w:rsidR="00AC3B4D" w:rsidRPr="00CA61A6">
        <w:t xml:space="preserve">la UIT y el Sector de Normalización </w:t>
      </w:r>
      <w:r w:rsidR="00515646">
        <w:t>de las Telecomunicaciones de la </w:t>
      </w:r>
      <w:r w:rsidR="00AC3B4D" w:rsidRPr="00CA61A6">
        <w:t>UIT</w:t>
      </w:r>
      <w:bookmarkEnd w:id="40"/>
    </w:p>
    <w:p w:rsidR="00661CB5" w:rsidRPr="00CA61A6" w:rsidRDefault="00661CB5" w:rsidP="007B3478">
      <w:pPr>
        <w:pStyle w:val="Headingb"/>
      </w:pPr>
      <w:r w:rsidRPr="00CA61A6">
        <w:t>Resolución 18</w:t>
      </w:r>
    </w:p>
    <w:p w:rsidR="00B242F0" w:rsidRPr="00CA61A6" w:rsidRDefault="00B242F0" w:rsidP="007B3478">
      <w:pPr>
        <w:pStyle w:val="Call"/>
      </w:pPr>
      <w:r w:rsidRPr="00CA61A6">
        <w:t>resuelve</w:t>
      </w:r>
    </w:p>
    <w:p w:rsidR="00B242F0" w:rsidRPr="00CA61A6" w:rsidRDefault="00B242F0" w:rsidP="007B3478">
      <w:r w:rsidRPr="00CA61A6">
        <w:t>1</w:t>
      </w:r>
      <w:r w:rsidRPr="00CA61A6">
        <w:tab/>
        <w:t>que el GANT y el GAR, mediante las reuniones conjuntas necesarias, prosigan el examen de las actividades nuevas y existentes y de la distribución entre el UIT</w:t>
      </w:r>
      <w:r w:rsidRPr="00CA61A6">
        <w:noBreakHyphen/>
        <w:t>T y el UIT</w:t>
      </w:r>
      <w:r w:rsidRPr="00CA61A6">
        <w:noBreakHyphen/>
        <w:t>R, con vistas a su aprobación de conformidad con los procedimientos estipulados para la aprobación de las Cuestiones nuevas o revisadas;</w:t>
      </w:r>
    </w:p>
    <w:p w:rsidR="00B242F0" w:rsidRPr="00CA61A6" w:rsidRDefault="00B242F0" w:rsidP="007B3478">
      <w:pPr>
        <w:spacing w:before="80"/>
        <w:ind w:left="794" w:hanging="794"/>
      </w:pPr>
      <w:r w:rsidRPr="00CA61A6">
        <w:t>2</w:t>
      </w:r>
      <w:r w:rsidRPr="00CA61A6">
        <w:tab/>
        <w:t>que de identificarse en ambos Sectores responsabilidades considerables en un tema determinado:</w:t>
      </w:r>
    </w:p>
    <w:p w:rsidR="00B242F0" w:rsidRPr="00CA61A6" w:rsidRDefault="00B242F0" w:rsidP="007B3478">
      <w:pPr>
        <w:pStyle w:val="enumlev1"/>
      </w:pPr>
      <w:r w:rsidRPr="00CA61A6">
        <w:t>i)</w:t>
      </w:r>
      <w:r w:rsidRPr="00CA61A6">
        <w:tab/>
        <w:t>se aplique el procedimiento del anexo A a la presente Resolución, o</w:t>
      </w:r>
    </w:p>
    <w:p w:rsidR="00B242F0" w:rsidRPr="00CA61A6" w:rsidRDefault="00B242F0" w:rsidP="007B3478">
      <w:pPr>
        <w:pStyle w:val="enumlev1"/>
      </w:pPr>
      <w:r w:rsidRPr="00CA61A6">
        <w:t>ii)</w:t>
      </w:r>
      <w:r w:rsidRPr="00CA61A6">
        <w:tab/>
        <w:t>se establezca un Grupo Mixto, o</w:t>
      </w:r>
    </w:p>
    <w:p w:rsidR="00B242F0" w:rsidRPr="00CA61A6" w:rsidRDefault="00B242F0" w:rsidP="007B3478">
      <w:pPr>
        <w:pStyle w:val="enumlev1"/>
        <w:spacing w:after="120"/>
      </w:pPr>
      <w:r w:rsidRPr="00CA61A6">
        <w:t>iii)</w:t>
      </w:r>
      <w:r w:rsidRPr="00CA61A6">
        <w:tab/>
        <w:t>se estudie el tema en las Comisiones de Estudio pertinentes de ambos Sectores con la coordinación adecuada (véanse los Anexos B y C a la presente Resolución).</w:t>
      </w:r>
    </w:p>
    <w:tbl>
      <w:tblPr>
        <w:tblW w:w="9832"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4533"/>
        <w:gridCol w:w="1897"/>
        <w:gridCol w:w="1166"/>
        <w:gridCol w:w="1320"/>
      </w:tblGrid>
      <w:tr w:rsidR="002E4D4E" w:rsidRPr="00CA61A6" w:rsidTr="00227216">
        <w:trPr>
          <w:trHeight w:val="647"/>
          <w:tblHeader/>
        </w:trPr>
        <w:tc>
          <w:tcPr>
            <w:tcW w:w="916" w:type="dxa"/>
            <w:tcBorders>
              <w:bottom w:val="double" w:sz="6" w:space="0" w:color="auto"/>
            </w:tcBorders>
            <w:vAlign w:val="center"/>
          </w:tcPr>
          <w:p w:rsidR="002E4D4E" w:rsidRPr="00CA61A6" w:rsidRDefault="002E4D4E" w:rsidP="007B3478">
            <w:pPr>
              <w:pStyle w:val="Tablehead"/>
            </w:pPr>
            <w:r w:rsidRPr="00CA61A6">
              <w:t>Número</w:t>
            </w:r>
          </w:p>
        </w:tc>
        <w:tc>
          <w:tcPr>
            <w:tcW w:w="4533" w:type="dxa"/>
            <w:tcBorders>
              <w:bottom w:val="double" w:sz="6" w:space="0" w:color="auto"/>
            </w:tcBorders>
            <w:shd w:val="clear" w:color="auto" w:fill="auto"/>
            <w:vAlign w:val="center"/>
            <w:hideMark/>
          </w:tcPr>
          <w:p w:rsidR="002E4D4E" w:rsidRPr="00CA61A6" w:rsidRDefault="002E4D4E" w:rsidP="007B3478">
            <w:pPr>
              <w:pStyle w:val="Tablehead"/>
            </w:pPr>
            <w:r w:rsidRPr="00CA61A6">
              <w:t>Acción</w:t>
            </w:r>
          </w:p>
        </w:tc>
        <w:tc>
          <w:tcPr>
            <w:tcW w:w="1897" w:type="dxa"/>
            <w:tcBorders>
              <w:bottom w:val="double" w:sz="6" w:space="0" w:color="auto"/>
            </w:tcBorders>
            <w:shd w:val="clear" w:color="auto" w:fill="auto"/>
            <w:vAlign w:val="center"/>
            <w:hideMark/>
          </w:tcPr>
          <w:p w:rsidR="002E4D4E" w:rsidRPr="00CA61A6" w:rsidRDefault="002E4D4E" w:rsidP="007B3478">
            <w:pPr>
              <w:pStyle w:val="Tablehead"/>
            </w:pPr>
            <w:r w:rsidRPr="00CA61A6">
              <w:t>Fecha objetivo</w:t>
            </w:r>
          </w:p>
        </w:tc>
        <w:tc>
          <w:tcPr>
            <w:tcW w:w="1166" w:type="dxa"/>
            <w:tcBorders>
              <w:bottom w:val="double" w:sz="6" w:space="0" w:color="auto"/>
            </w:tcBorders>
            <w:vAlign w:val="center"/>
          </w:tcPr>
          <w:p w:rsidR="002E4D4E" w:rsidRPr="00CA61A6" w:rsidRDefault="002E4D4E" w:rsidP="007B3478">
            <w:pPr>
              <w:pStyle w:val="Tablehead"/>
            </w:pPr>
            <w:r w:rsidRPr="00CA61A6">
              <w:t>Objetivos periódicos cumplidos</w:t>
            </w:r>
          </w:p>
        </w:tc>
        <w:tc>
          <w:tcPr>
            <w:tcW w:w="1320" w:type="dxa"/>
            <w:tcBorders>
              <w:bottom w:val="double" w:sz="6" w:space="0" w:color="auto"/>
            </w:tcBorders>
            <w:vAlign w:val="center"/>
          </w:tcPr>
          <w:p w:rsidR="002E4D4E" w:rsidRPr="00CA61A6" w:rsidRDefault="002E4D4E" w:rsidP="007B3478">
            <w:pPr>
              <w:pStyle w:val="Tablehead"/>
            </w:pPr>
            <w:r w:rsidRPr="00CA61A6">
              <w:t>Completada</w:t>
            </w:r>
          </w:p>
        </w:tc>
      </w:tr>
      <w:tr w:rsidR="002E4D4E" w:rsidRPr="00CA61A6" w:rsidTr="005F7C08">
        <w:trPr>
          <w:trHeight w:val="530"/>
        </w:trPr>
        <w:tc>
          <w:tcPr>
            <w:tcW w:w="916" w:type="dxa"/>
            <w:tcBorders>
              <w:top w:val="double" w:sz="6" w:space="0" w:color="auto"/>
            </w:tcBorders>
            <w:vAlign w:val="center"/>
          </w:tcPr>
          <w:p w:rsidR="002E4D4E" w:rsidRPr="00CA61A6" w:rsidRDefault="00110CAD" w:rsidP="0015291F">
            <w:pPr>
              <w:pStyle w:val="Tabletext"/>
              <w:jc w:val="center"/>
            </w:pPr>
            <w:hyperlink w:anchor="Item18_01" w:history="1">
              <w:r w:rsidR="002E4D4E" w:rsidRPr="00CA61A6">
                <w:rPr>
                  <w:rStyle w:val="Hyperlink"/>
                </w:rPr>
                <w:t>18-01</w:t>
              </w:r>
            </w:hyperlink>
          </w:p>
        </w:tc>
        <w:tc>
          <w:tcPr>
            <w:tcW w:w="4533" w:type="dxa"/>
            <w:tcBorders>
              <w:top w:val="double" w:sz="6" w:space="0" w:color="auto"/>
            </w:tcBorders>
            <w:shd w:val="clear" w:color="auto" w:fill="auto"/>
            <w:vAlign w:val="center"/>
          </w:tcPr>
          <w:p w:rsidR="002E4D4E" w:rsidRPr="00CA61A6" w:rsidRDefault="002E4D4E" w:rsidP="007B3478">
            <w:pPr>
              <w:pStyle w:val="Tabletext"/>
            </w:pPr>
            <w:r w:rsidRPr="00CA61A6">
              <w:t>El GANT seguirá examinando los trabajos, su distribución y la posible coordinación entre el UIT-T y el UIT-R</w:t>
            </w:r>
          </w:p>
        </w:tc>
        <w:tc>
          <w:tcPr>
            <w:tcW w:w="1897" w:type="dxa"/>
            <w:tcBorders>
              <w:top w:val="double" w:sz="6" w:space="0" w:color="auto"/>
            </w:tcBorders>
            <w:shd w:val="clear" w:color="auto" w:fill="auto"/>
            <w:vAlign w:val="center"/>
          </w:tcPr>
          <w:p w:rsidR="002E4D4E" w:rsidRPr="00CA61A6" w:rsidRDefault="002E4D4E" w:rsidP="007B3478">
            <w:pPr>
              <w:pStyle w:val="Tabletext"/>
              <w:jc w:val="center"/>
            </w:pPr>
            <w:r w:rsidRPr="00CA61A6">
              <w:t>En curso</w:t>
            </w:r>
          </w:p>
        </w:tc>
        <w:tc>
          <w:tcPr>
            <w:tcW w:w="1166" w:type="dxa"/>
            <w:tcBorders>
              <w:top w:val="double" w:sz="6" w:space="0" w:color="auto"/>
            </w:tcBorders>
            <w:vAlign w:val="center"/>
          </w:tcPr>
          <w:p w:rsidR="002E4D4E" w:rsidRPr="00CA61A6" w:rsidRDefault="00AF4D49" w:rsidP="007B3478">
            <w:pPr>
              <w:pStyle w:val="Tabletext"/>
              <w:jc w:val="center"/>
            </w:pPr>
            <w:r w:rsidRPr="00CA61A6">
              <w:sym w:font="Wingdings" w:char="F0FC"/>
            </w:r>
          </w:p>
        </w:tc>
        <w:tc>
          <w:tcPr>
            <w:tcW w:w="1320" w:type="dxa"/>
            <w:tcBorders>
              <w:top w:val="double" w:sz="6" w:space="0" w:color="auto"/>
            </w:tcBorders>
            <w:vAlign w:val="center"/>
          </w:tcPr>
          <w:p w:rsidR="002E4D4E" w:rsidRPr="00CA61A6" w:rsidRDefault="002E4D4E" w:rsidP="007B3478">
            <w:pPr>
              <w:pStyle w:val="Tabletext"/>
              <w:jc w:val="center"/>
            </w:pPr>
          </w:p>
        </w:tc>
      </w:tr>
    </w:tbl>
    <w:p w:rsidR="00227216" w:rsidRPr="00CA61A6" w:rsidRDefault="00227216" w:rsidP="007B3478">
      <w:pPr>
        <w:pStyle w:val="Headingb"/>
      </w:pPr>
      <w:bookmarkStart w:id="41" w:name="Item18_01"/>
      <w:r w:rsidRPr="00CA61A6">
        <w:t>Acción 18-01: GANT</w:t>
      </w:r>
    </w:p>
    <w:bookmarkEnd w:id="41"/>
    <w:p w:rsidR="00F06046" w:rsidRPr="00CA61A6" w:rsidRDefault="00F06046" w:rsidP="007B3478">
      <w:pPr>
        <w:rPr>
          <w:szCs w:val="24"/>
          <w:lang w:eastAsia="ja-JP"/>
        </w:rPr>
      </w:pPr>
      <w:r w:rsidRPr="00CA61A6">
        <w:rPr>
          <w:szCs w:val="24"/>
          <w:lang w:eastAsia="ja-JP"/>
        </w:rPr>
        <w:t xml:space="preserve">La colaboración con el UIT-R es un punto </w:t>
      </w:r>
      <w:r w:rsidR="003D2115" w:rsidRPr="00CA61A6">
        <w:rPr>
          <w:szCs w:val="24"/>
          <w:lang w:eastAsia="ja-JP"/>
        </w:rPr>
        <w:t>que figura sistemáticamente en el orden de las reuniones del</w:t>
      </w:r>
      <w:r w:rsidRPr="00CA61A6">
        <w:rPr>
          <w:szCs w:val="24"/>
          <w:lang w:eastAsia="ja-JP"/>
        </w:rPr>
        <w:t xml:space="preserve"> GANT y </w:t>
      </w:r>
      <w:r w:rsidR="003D2115" w:rsidRPr="00CA61A6">
        <w:rPr>
          <w:szCs w:val="24"/>
          <w:lang w:eastAsia="ja-JP"/>
        </w:rPr>
        <w:t>se</w:t>
      </w:r>
      <w:r w:rsidR="0068704A" w:rsidRPr="00CA61A6">
        <w:rPr>
          <w:szCs w:val="24"/>
          <w:lang w:eastAsia="ja-JP"/>
        </w:rPr>
        <w:t xml:space="preserve"> somete a revisiones periódicas</w:t>
      </w:r>
      <w:r w:rsidR="003D2115" w:rsidRPr="00CA61A6">
        <w:rPr>
          <w:szCs w:val="24"/>
          <w:lang w:eastAsia="ja-JP"/>
        </w:rPr>
        <w:t xml:space="preserve"> con arreglo a</w:t>
      </w:r>
      <w:r w:rsidRPr="00CA61A6">
        <w:rPr>
          <w:szCs w:val="24"/>
          <w:lang w:eastAsia="ja-JP"/>
        </w:rPr>
        <w:t xml:space="preserve"> la información recibida.</w:t>
      </w:r>
    </w:p>
    <w:p w:rsidR="00F06046" w:rsidRPr="00CA61A6" w:rsidRDefault="003D2115" w:rsidP="007B3478">
      <w:pPr>
        <w:rPr>
          <w:szCs w:val="24"/>
          <w:lang w:eastAsia="ja-JP"/>
        </w:rPr>
      </w:pPr>
      <w:r w:rsidRPr="00CA61A6">
        <w:rPr>
          <w:szCs w:val="24"/>
          <w:lang w:eastAsia="ja-JP"/>
        </w:rPr>
        <w:t>Se crearon t</w:t>
      </w:r>
      <w:r w:rsidR="00F06046" w:rsidRPr="00CA61A6">
        <w:rPr>
          <w:szCs w:val="24"/>
          <w:lang w:eastAsia="ja-JP"/>
        </w:rPr>
        <w:t xml:space="preserve">res </w:t>
      </w:r>
      <w:r w:rsidRPr="00CA61A6">
        <w:t xml:space="preserve">Grupos de Relator </w:t>
      </w:r>
      <w:r w:rsidR="0068704A" w:rsidRPr="00CA61A6">
        <w:t>I</w:t>
      </w:r>
      <w:r w:rsidRPr="00CA61A6">
        <w:t>ntersectoriales (GRI), con objeto de que examinasen diversos</w:t>
      </w:r>
      <w:r w:rsidR="00F06046" w:rsidRPr="00CA61A6">
        <w:rPr>
          <w:szCs w:val="24"/>
          <w:lang w:eastAsia="ja-JP"/>
        </w:rPr>
        <w:t xml:space="preserve"> temas de interés para </w:t>
      </w:r>
      <w:r w:rsidRPr="00CA61A6">
        <w:rPr>
          <w:szCs w:val="24"/>
          <w:lang w:eastAsia="ja-JP"/>
        </w:rPr>
        <w:t>varias Comisiones de Estudio del</w:t>
      </w:r>
      <w:r w:rsidR="00F06046" w:rsidRPr="00CA61A6">
        <w:rPr>
          <w:szCs w:val="24"/>
          <w:lang w:eastAsia="ja-JP"/>
        </w:rPr>
        <w:t xml:space="preserve"> UIT-T y el UIT-R:</w:t>
      </w:r>
    </w:p>
    <w:p w:rsidR="00335F26" w:rsidRPr="00CA61A6" w:rsidRDefault="00D3625F" w:rsidP="00E97661">
      <w:pPr>
        <w:pStyle w:val="enumlev1"/>
        <w:tabs>
          <w:tab w:val="clear" w:pos="2608"/>
          <w:tab w:val="left" w:pos="2410"/>
        </w:tabs>
        <w:rPr>
          <w:lang w:eastAsia="ja-JP"/>
        </w:rPr>
      </w:pPr>
      <w:r w:rsidRPr="00CA61A6">
        <w:rPr>
          <w:lang w:eastAsia="ja-JP"/>
        </w:rPr>
        <w:t>–</w:t>
      </w:r>
      <w:r w:rsidRPr="00CA61A6">
        <w:rPr>
          <w:lang w:eastAsia="ja-JP"/>
        </w:rPr>
        <w:tab/>
      </w:r>
      <w:hyperlink r:id="rId76" w:history="1">
        <w:r w:rsidR="00335F26" w:rsidRPr="00CA61A6">
          <w:rPr>
            <w:color w:val="0000FF"/>
            <w:u w:val="single"/>
            <w:lang w:eastAsia="ja-JP"/>
          </w:rPr>
          <w:t>IRG-AVA</w:t>
        </w:r>
      </w:hyperlink>
      <w:r w:rsidR="00443418" w:rsidRPr="00CA61A6">
        <w:rPr>
          <w:lang w:eastAsia="ja-JP"/>
        </w:rPr>
        <w:t>:</w:t>
      </w:r>
      <w:r w:rsidR="00443418" w:rsidRPr="00CA61A6">
        <w:rPr>
          <w:lang w:eastAsia="ja-JP"/>
        </w:rPr>
        <w:tab/>
      </w:r>
      <w:r w:rsidR="00335F26" w:rsidRPr="00CA61A6">
        <w:rPr>
          <w:lang w:eastAsia="ja-JP"/>
        </w:rPr>
        <w:t>Grupo de Relator Intersectorial sobre Accesibilidad de los Medios Audiovisuales</w:t>
      </w:r>
      <w:r w:rsidR="003D2115" w:rsidRPr="00CA61A6">
        <w:rPr>
          <w:lang w:eastAsia="ja-JP"/>
        </w:rPr>
        <w:t xml:space="preserve">, constituido por la CE </w:t>
      </w:r>
      <w:r w:rsidR="00335F26" w:rsidRPr="00CA61A6">
        <w:rPr>
          <w:lang w:eastAsia="ja-JP"/>
        </w:rPr>
        <w:t>9</w:t>
      </w:r>
      <w:r w:rsidR="003D2115" w:rsidRPr="00CA61A6">
        <w:rPr>
          <w:lang w:eastAsia="ja-JP"/>
        </w:rPr>
        <w:t xml:space="preserve"> del UIT-T</w:t>
      </w:r>
      <w:r w:rsidR="00335F26" w:rsidRPr="00CA61A6">
        <w:rPr>
          <w:lang w:eastAsia="ja-JP"/>
        </w:rPr>
        <w:t xml:space="preserve">, </w:t>
      </w:r>
      <w:r w:rsidR="003D2115" w:rsidRPr="00CA61A6">
        <w:rPr>
          <w:lang w:eastAsia="ja-JP"/>
        </w:rPr>
        <w:t xml:space="preserve">la CE </w:t>
      </w:r>
      <w:r w:rsidR="00335F26" w:rsidRPr="00CA61A6">
        <w:rPr>
          <w:lang w:eastAsia="ja-JP"/>
        </w:rPr>
        <w:t>16</w:t>
      </w:r>
      <w:r w:rsidR="003D2115" w:rsidRPr="00CA61A6">
        <w:rPr>
          <w:lang w:eastAsia="ja-JP"/>
        </w:rPr>
        <w:t xml:space="preserve"> del UIT-T</w:t>
      </w:r>
      <w:r w:rsidR="00335F26" w:rsidRPr="00CA61A6">
        <w:rPr>
          <w:lang w:eastAsia="ja-JP"/>
        </w:rPr>
        <w:t xml:space="preserve"> </w:t>
      </w:r>
      <w:r w:rsidR="003D2115" w:rsidRPr="00CA61A6">
        <w:rPr>
          <w:lang w:eastAsia="ja-JP"/>
        </w:rPr>
        <w:t xml:space="preserve">y la CE </w:t>
      </w:r>
      <w:r w:rsidR="00335F26" w:rsidRPr="00CA61A6">
        <w:rPr>
          <w:lang w:eastAsia="ja-JP"/>
        </w:rPr>
        <w:t>6</w:t>
      </w:r>
      <w:r w:rsidR="00290A38">
        <w:rPr>
          <w:lang w:eastAsia="ja-JP"/>
        </w:rPr>
        <w:t xml:space="preserve"> del </w:t>
      </w:r>
      <w:r w:rsidR="003D2115" w:rsidRPr="00CA61A6">
        <w:rPr>
          <w:lang w:eastAsia="ja-JP"/>
        </w:rPr>
        <w:t>UIT-R</w:t>
      </w:r>
      <w:r w:rsidR="00B17F92" w:rsidRPr="00CA61A6">
        <w:rPr>
          <w:lang w:eastAsia="ja-JP"/>
        </w:rPr>
        <w:t>.</w:t>
      </w:r>
    </w:p>
    <w:p w:rsidR="00335F26" w:rsidRPr="00CA61A6" w:rsidRDefault="00D3625F" w:rsidP="00E97661">
      <w:pPr>
        <w:pStyle w:val="enumlev1"/>
        <w:tabs>
          <w:tab w:val="clear" w:pos="2608"/>
          <w:tab w:val="left" w:pos="2410"/>
        </w:tabs>
        <w:rPr>
          <w:lang w:eastAsia="ja-JP"/>
        </w:rPr>
      </w:pPr>
      <w:r w:rsidRPr="00CA61A6">
        <w:rPr>
          <w:lang w:eastAsia="ja-JP"/>
        </w:rPr>
        <w:t>–</w:t>
      </w:r>
      <w:r w:rsidRPr="00CA61A6">
        <w:rPr>
          <w:lang w:eastAsia="ja-JP"/>
        </w:rPr>
        <w:tab/>
      </w:r>
      <w:hyperlink r:id="rId77" w:history="1">
        <w:r w:rsidR="00335F26" w:rsidRPr="00CA61A6">
          <w:rPr>
            <w:color w:val="0000FF"/>
            <w:szCs w:val="24"/>
            <w:u w:val="single"/>
            <w:lang w:eastAsia="ja-JP"/>
          </w:rPr>
          <w:t>IRG-AVQA</w:t>
        </w:r>
      </w:hyperlink>
      <w:r w:rsidR="00133F7B" w:rsidRPr="00CA61A6">
        <w:rPr>
          <w:szCs w:val="24"/>
          <w:lang w:eastAsia="ja-JP"/>
        </w:rPr>
        <w:t>:</w:t>
      </w:r>
      <w:r w:rsidR="00133F7B" w:rsidRPr="00CA61A6">
        <w:rPr>
          <w:szCs w:val="24"/>
          <w:lang w:eastAsia="ja-JP"/>
        </w:rPr>
        <w:tab/>
      </w:r>
      <w:r w:rsidR="00C9164B" w:rsidRPr="00CA61A6">
        <w:rPr>
          <w:szCs w:val="24"/>
          <w:lang w:eastAsia="ja-JP"/>
        </w:rPr>
        <w:t>Grupo de Relator Intersectorial sobre</w:t>
      </w:r>
      <w:r w:rsidR="003D2115" w:rsidRPr="00CA61A6">
        <w:rPr>
          <w:szCs w:val="24"/>
          <w:lang w:eastAsia="ja-JP"/>
        </w:rPr>
        <w:t xml:space="preserve"> E</w:t>
      </w:r>
      <w:r w:rsidR="00C9164B" w:rsidRPr="00CA61A6">
        <w:rPr>
          <w:szCs w:val="24"/>
          <w:lang w:eastAsia="ja-JP"/>
        </w:rPr>
        <w:t>valuación de la</w:t>
      </w:r>
      <w:r w:rsidR="003D2115" w:rsidRPr="00CA61A6">
        <w:rPr>
          <w:szCs w:val="24"/>
          <w:lang w:eastAsia="ja-JP"/>
        </w:rPr>
        <w:t xml:space="preserve"> C</w:t>
      </w:r>
      <w:r w:rsidR="00C9164B" w:rsidRPr="00CA61A6">
        <w:rPr>
          <w:szCs w:val="24"/>
          <w:lang w:eastAsia="ja-JP"/>
        </w:rPr>
        <w:t xml:space="preserve">alidad </w:t>
      </w:r>
      <w:r w:rsidR="003D2115" w:rsidRPr="00CA61A6">
        <w:rPr>
          <w:szCs w:val="24"/>
          <w:lang w:eastAsia="ja-JP"/>
        </w:rPr>
        <w:t>A</w:t>
      </w:r>
      <w:r w:rsidR="00C9164B" w:rsidRPr="00CA61A6">
        <w:rPr>
          <w:szCs w:val="24"/>
          <w:lang w:eastAsia="ja-JP"/>
        </w:rPr>
        <w:t>udiovisual</w:t>
      </w:r>
      <w:r w:rsidR="003D2115" w:rsidRPr="00CA61A6">
        <w:rPr>
          <w:lang w:eastAsia="ja-JP"/>
        </w:rPr>
        <w:t>, constituido por la CE 9 del UIT-T, la CE</w:t>
      </w:r>
      <w:r w:rsidR="003D2115" w:rsidRPr="00CA61A6">
        <w:rPr>
          <w:szCs w:val="24"/>
          <w:lang w:eastAsia="ja-JP"/>
        </w:rPr>
        <w:t xml:space="preserve"> </w:t>
      </w:r>
      <w:r w:rsidR="006C1ECC" w:rsidRPr="00CA61A6">
        <w:rPr>
          <w:szCs w:val="24"/>
          <w:lang w:eastAsia="ja-JP"/>
        </w:rPr>
        <w:t xml:space="preserve">12 </w:t>
      </w:r>
      <w:r w:rsidR="003D2115" w:rsidRPr="00CA61A6">
        <w:rPr>
          <w:szCs w:val="24"/>
          <w:lang w:eastAsia="ja-JP"/>
        </w:rPr>
        <w:t xml:space="preserve">del UIT-T </w:t>
      </w:r>
      <w:r w:rsidR="00290A38">
        <w:rPr>
          <w:lang w:eastAsia="ja-JP"/>
        </w:rPr>
        <w:t>y la CE 6 del </w:t>
      </w:r>
      <w:r w:rsidR="00B17F92" w:rsidRPr="00CA61A6">
        <w:rPr>
          <w:lang w:eastAsia="ja-JP"/>
        </w:rPr>
        <w:t>UIT</w:t>
      </w:r>
      <w:r w:rsidR="00B17F92" w:rsidRPr="00CA61A6">
        <w:rPr>
          <w:lang w:eastAsia="ja-JP"/>
        </w:rPr>
        <w:noBreakHyphen/>
      </w:r>
      <w:r w:rsidR="003D2115" w:rsidRPr="00CA61A6">
        <w:rPr>
          <w:lang w:eastAsia="ja-JP"/>
        </w:rPr>
        <w:t>R</w:t>
      </w:r>
      <w:r w:rsidR="00B17F92" w:rsidRPr="00CA61A6">
        <w:rPr>
          <w:lang w:eastAsia="ja-JP"/>
        </w:rPr>
        <w:t>.</w:t>
      </w:r>
    </w:p>
    <w:p w:rsidR="00335F26" w:rsidRPr="00CA61A6" w:rsidRDefault="00D3625F" w:rsidP="00E97661">
      <w:pPr>
        <w:pStyle w:val="enumlev1"/>
        <w:tabs>
          <w:tab w:val="clear" w:pos="2608"/>
          <w:tab w:val="left" w:pos="2410"/>
        </w:tabs>
        <w:rPr>
          <w:szCs w:val="24"/>
          <w:lang w:eastAsia="ja-JP"/>
        </w:rPr>
      </w:pPr>
      <w:r w:rsidRPr="00CA61A6">
        <w:rPr>
          <w:lang w:eastAsia="ja-JP"/>
        </w:rPr>
        <w:t>–</w:t>
      </w:r>
      <w:r w:rsidRPr="00CA61A6">
        <w:rPr>
          <w:lang w:eastAsia="ja-JP"/>
        </w:rPr>
        <w:tab/>
      </w:r>
      <w:hyperlink r:id="rId78" w:history="1">
        <w:r w:rsidR="00335F26" w:rsidRPr="00CA61A6">
          <w:rPr>
            <w:color w:val="0000FF"/>
            <w:szCs w:val="24"/>
            <w:u w:val="single"/>
            <w:lang w:eastAsia="ja-JP"/>
          </w:rPr>
          <w:t>IRG-IBB</w:t>
        </w:r>
      </w:hyperlink>
      <w:r w:rsidR="00133F7B" w:rsidRPr="00CA61A6">
        <w:rPr>
          <w:szCs w:val="24"/>
          <w:lang w:eastAsia="ja-JP"/>
        </w:rPr>
        <w:t>:</w:t>
      </w:r>
      <w:r w:rsidR="00133F7B" w:rsidRPr="00CA61A6">
        <w:rPr>
          <w:szCs w:val="24"/>
          <w:lang w:eastAsia="ja-JP"/>
        </w:rPr>
        <w:tab/>
      </w:r>
      <w:r w:rsidR="00D6330C" w:rsidRPr="00CA61A6">
        <w:rPr>
          <w:szCs w:val="24"/>
          <w:lang w:eastAsia="ja-JP"/>
        </w:rPr>
        <w:t>Grupo de Relator Intersectorial sobre Sistemas de Radiodifusión y Banda Ancha Integradas</w:t>
      </w:r>
      <w:r w:rsidR="003D2115" w:rsidRPr="00CA61A6">
        <w:rPr>
          <w:lang w:eastAsia="ja-JP"/>
        </w:rPr>
        <w:t>, constituido por la CE 9 del</w:t>
      </w:r>
      <w:r w:rsidR="000A1B14" w:rsidRPr="00CA61A6">
        <w:rPr>
          <w:lang w:eastAsia="ja-JP"/>
        </w:rPr>
        <w:t xml:space="preserve"> </w:t>
      </w:r>
      <w:r w:rsidR="00290A38">
        <w:rPr>
          <w:lang w:eastAsia="ja-JP"/>
        </w:rPr>
        <w:t>UIT-T, la CE 16 del UIT-T y </w:t>
      </w:r>
      <w:r w:rsidR="000A1B14" w:rsidRPr="00CA61A6">
        <w:rPr>
          <w:lang w:eastAsia="ja-JP"/>
        </w:rPr>
        <w:t>el </w:t>
      </w:r>
      <w:r w:rsidR="003D2115" w:rsidRPr="00CA61A6">
        <w:rPr>
          <w:lang w:eastAsia="ja-JP"/>
        </w:rPr>
        <w:t>GT</w:t>
      </w:r>
      <w:r w:rsidR="00290A38">
        <w:rPr>
          <w:szCs w:val="24"/>
          <w:lang w:eastAsia="ja-JP"/>
        </w:rPr>
        <w:t> </w:t>
      </w:r>
      <w:r w:rsidR="00335F26" w:rsidRPr="00CA61A6">
        <w:rPr>
          <w:szCs w:val="24"/>
          <w:lang w:eastAsia="ja-JP"/>
        </w:rPr>
        <w:t>6B</w:t>
      </w:r>
      <w:r w:rsidR="003D2115" w:rsidRPr="00CA61A6">
        <w:rPr>
          <w:szCs w:val="24"/>
          <w:lang w:eastAsia="ja-JP"/>
        </w:rPr>
        <w:t xml:space="preserve"> del UIT-R</w:t>
      </w:r>
      <w:r w:rsidR="00B17F92" w:rsidRPr="00CA61A6">
        <w:rPr>
          <w:szCs w:val="24"/>
          <w:lang w:eastAsia="ja-JP"/>
        </w:rPr>
        <w:t>.</w:t>
      </w:r>
    </w:p>
    <w:bookmarkStart w:id="42" w:name="_Toc335979775"/>
    <w:bookmarkStart w:id="43" w:name="_Toc338837109"/>
    <w:bookmarkStart w:id="44" w:name="_Toc340066381"/>
    <w:p w:rsidR="00055EC8" w:rsidRPr="00CA61A6" w:rsidRDefault="00055EC8" w:rsidP="00055EC8">
      <w:r w:rsidRPr="00CA61A6">
        <w:fldChar w:fldCharType="begin"/>
      </w:r>
      <w:r w:rsidRPr="00CA61A6">
        <w:instrText xml:space="preserve"> HYPERLINK \l "Top" </w:instrText>
      </w:r>
      <w:r w:rsidRPr="00CA61A6">
        <w:fldChar w:fldCharType="separate"/>
      </w:r>
      <w:r w:rsidRPr="00CA61A6">
        <w:rPr>
          <w:rStyle w:val="Hyperlink"/>
        </w:rPr>
        <w:t>» Arriba</w:t>
      </w:r>
      <w:r w:rsidRPr="00CA61A6">
        <w:rPr>
          <w:rStyle w:val="Hyperlink"/>
        </w:rPr>
        <w:fldChar w:fldCharType="end"/>
      </w:r>
    </w:p>
    <w:p w:rsidR="001C4071" w:rsidRPr="00CA61A6" w:rsidRDefault="003A752A" w:rsidP="00DC4322">
      <w:pPr>
        <w:pStyle w:val="Heading1"/>
      </w:pPr>
      <w:bookmarkStart w:id="45" w:name="_6_Resolución_20"/>
      <w:bookmarkStart w:id="46" w:name="_Toc463335757"/>
      <w:bookmarkEnd w:id="45"/>
      <w:r w:rsidRPr="00CA61A6">
        <w:lastRenderedPageBreak/>
        <w:t>6</w:t>
      </w:r>
      <w:r w:rsidR="001C4071" w:rsidRPr="00CA61A6">
        <w:tab/>
        <w:t xml:space="preserve">Resolución 20 </w:t>
      </w:r>
      <w:r w:rsidR="00DC4322" w:rsidRPr="00CA61A6">
        <w:t>–</w:t>
      </w:r>
      <w:r w:rsidR="001C4071" w:rsidRPr="00CA61A6">
        <w:t xml:space="preserve"> Procedimientos para la atribución y gestión de los recursos de numeración, denominación, direccionamiento e identificación internacionales de telecomunicaciones</w:t>
      </w:r>
      <w:bookmarkEnd w:id="42"/>
      <w:bookmarkEnd w:id="43"/>
      <w:bookmarkEnd w:id="44"/>
      <w:bookmarkEnd w:id="46"/>
    </w:p>
    <w:p w:rsidR="001C4071" w:rsidRPr="00CA61A6" w:rsidRDefault="001C4071" w:rsidP="007B3478">
      <w:pPr>
        <w:pStyle w:val="Headingb"/>
      </w:pPr>
      <w:r w:rsidRPr="00CA61A6">
        <w:t>Resolución 20</w:t>
      </w:r>
    </w:p>
    <w:p w:rsidR="002F79E3" w:rsidRPr="00CA61A6" w:rsidRDefault="002F79E3" w:rsidP="007B3478">
      <w:pPr>
        <w:pStyle w:val="Call"/>
      </w:pPr>
      <w:r w:rsidRPr="00CA61A6">
        <w:t>resuelve encargar</w:t>
      </w:r>
    </w:p>
    <w:p w:rsidR="002F79E3" w:rsidRPr="00CA61A6" w:rsidRDefault="002F79E3" w:rsidP="007B3478">
      <w:r w:rsidRPr="00CA61A6">
        <w:t>1</w:t>
      </w:r>
      <w:r w:rsidRPr="00CA61A6">
        <w:rPr>
          <w:b/>
          <w:bCs/>
        </w:rPr>
        <w:tab/>
      </w:r>
      <w:r w:rsidRPr="00CA61A6">
        <w:t>al Director de la TSB que, antes de asignar, reasignar y/o recuperar los recursos NDDI internacionales, consulte:</w:t>
      </w:r>
    </w:p>
    <w:p w:rsidR="002F79E3" w:rsidRPr="00CA61A6" w:rsidRDefault="002F79E3" w:rsidP="007B3478">
      <w:pPr>
        <w:pStyle w:val="enumlev1"/>
      </w:pPr>
      <w:r w:rsidRPr="00CA61A6">
        <w:t>i)</w:t>
      </w:r>
      <w:r w:rsidRPr="00CA61A6">
        <w:tab/>
        <w:t>al Presidente de la Comisión de Estudio 2, en cooperación con los Presidentes de las demás Comisiones de Estudio pertinentes, o si es necesario al representante delegado por el Presidente; y</w:t>
      </w:r>
    </w:p>
    <w:p w:rsidR="002F79E3" w:rsidRPr="00CA61A6" w:rsidRDefault="002F79E3" w:rsidP="007B3478">
      <w:pPr>
        <w:pStyle w:val="enumlev1"/>
      </w:pPr>
      <w:r w:rsidRPr="00CA61A6">
        <w:t>ii)</w:t>
      </w:r>
      <w:r w:rsidRPr="00CA61A6">
        <w:tab/>
        <w:t>a la Administración o Administraciones pertinentes; y/o</w:t>
      </w:r>
    </w:p>
    <w:p w:rsidR="002F79E3" w:rsidRPr="00CA61A6" w:rsidRDefault="002F79E3" w:rsidP="007B3478">
      <w:pPr>
        <w:pStyle w:val="enumlev1"/>
      </w:pPr>
      <w:r w:rsidRPr="00CA61A6">
        <w:t>iii)</w:t>
      </w:r>
      <w:r w:rsidRPr="00CA61A6">
        <w:tab/>
        <w:t>al solicitante/beneficiario autorizado, cuando sea necesario establecer una comunicación directa con la TSB para establecer las responsabilidades.</w:t>
      </w:r>
    </w:p>
    <w:p w:rsidR="002F79E3" w:rsidRPr="00CA61A6" w:rsidRDefault="002F79E3" w:rsidP="007B3478">
      <w:r w:rsidRPr="00CA61A6">
        <w:t>En sus deliberaciones y consultas, el Director tendrá en cuenta los principios generales de atribución de recursos NDDI, así como las disposiciones pertinentes de las Recomendaciones de las series UIT</w:t>
      </w:r>
      <w:r w:rsidRPr="00CA61A6">
        <w:noBreakHyphen/>
        <w:t>T E,</w:t>
      </w:r>
      <w:r w:rsidR="000F3950" w:rsidRPr="00CA61A6">
        <w:t xml:space="preserve"> UIT</w:t>
      </w:r>
      <w:r w:rsidR="000F3950" w:rsidRPr="00CA61A6">
        <w:noBreakHyphen/>
        <w:t>T F, UIT</w:t>
      </w:r>
      <w:r w:rsidR="000F3950" w:rsidRPr="00CA61A6">
        <w:noBreakHyphen/>
        <w:t>T Q y UIT</w:t>
      </w:r>
      <w:r w:rsidR="000F3950" w:rsidRPr="00CA61A6">
        <w:noBreakHyphen/>
        <w:t xml:space="preserve">T X, y </w:t>
      </w:r>
      <w:r w:rsidRPr="00CA61A6">
        <w:t>las que se adopten posteriormente;</w:t>
      </w:r>
    </w:p>
    <w:p w:rsidR="002F79E3" w:rsidRPr="00CA61A6" w:rsidRDefault="002F79E3" w:rsidP="007B3478">
      <w:r w:rsidRPr="00CA61A6">
        <w:t>2</w:t>
      </w:r>
      <w:r w:rsidRPr="00CA61A6">
        <w:tab/>
        <w:t>a la Comisión de Estudio 2, en cooperación con los Presidentes de las demás Comisiones de Estudio pertinentes, que aporte al Director de la TSB:</w:t>
      </w:r>
    </w:p>
    <w:p w:rsidR="002F79E3" w:rsidRPr="00CA61A6" w:rsidRDefault="002F79E3" w:rsidP="007B3478">
      <w:pPr>
        <w:pStyle w:val="enumlev1"/>
      </w:pPr>
      <w:r w:rsidRPr="00CA61A6">
        <w:t>i)</w:t>
      </w:r>
      <w:r w:rsidRPr="00CA61A6">
        <w:tab/>
        <w:t>asesoría sobre aspectos técnicos, funcionales y de explotación para la asignación, reasignación y/o recuperación de los recursos NDDI internacionales de acuerdo con las Recomendaciones correspondientes, teniendo en cuenta los resultados de los estudios en curso;</w:t>
      </w:r>
    </w:p>
    <w:p w:rsidR="002F79E3" w:rsidRPr="00CA61A6" w:rsidRDefault="002F79E3" w:rsidP="007B3478">
      <w:pPr>
        <w:pStyle w:val="enumlev1"/>
      </w:pPr>
      <w:r w:rsidRPr="00CA61A6">
        <w:t>ii)</w:t>
      </w:r>
      <w:r w:rsidRPr="00CA61A6">
        <w:tab/>
        <w:t>información y orientaciones cuando se formulen reclamaciones acerca de la utilización improcedente de los recursos NDDI de telecomunicaciones internacionales;</w:t>
      </w:r>
    </w:p>
    <w:p w:rsidR="002F79E3" w:rsidRPr="00CA61A6" w:rsidRDefault="002F79E3" w:rsidP="007B3478">
      <w:r w:rsidRPr="00CA61A6">
        <w:t>3</w:t>
      </w:r>
      <w:r w:rsidRPr="00CA61A6">
        <w:tab/>
        <w:t>al Director de la TSB, en estrecha colaboración con la Comisión de Estudio 2 y cualesquiera otras Comisiones de Estudio pertinentes, que siga de cerca la utilización improcedente de todo recurso NDDI, y que informe convenientemente al Consejo de la UIT;</w:t>
      </w:r>
    </w:p>
    <w:p w:rsidR="002F79E3" w:rsidRPr="00CA61A6" w:rsidRDefault="002F79E3" w:rsidP="007B3478">
      <w:r w:rsidRPr="00CA61A6">
        <w:t>4</w:t>
      </w:r>
      <w:r w:rsidRPr="00CA61A6">
        <w:tab/>
        <w:t xml:space="preserve">al Director de la TSB que adopte las medidas y acciones apropiadas cuando la Comisión de Estudio 2, en cooperación con las demás Comisiones de Estudio pertinentes, haya dado su información y asesoramiento y sus orientaciones, en virtud de los </w:t>
      </w:r>
      <w:r w:rsidRPr="00CA61A6">
        <w:rPr>
          <w:i/>
          <w:iCs/>
        </w:rPr>
        <w:t>encarga</w:t>
      </w:r>
      <w:r w:rsidRPr="00CA61A6">
        <w:t> 2 y 3;</w:t>
      </w:r>
    </w:p>
    <w:p w:rsidR="00335F26" w:rsidRDefault="002F79E3" w:rsidP="007B3478">
      <w:pPr>
        <w:spacing w:after="120"/>
      </w:pPr>
      <w:r w:rsidRPr="00CA61A6">
        <w:t>5</w:t>
      </w:r>
      <w:r w:rsidRPr="00CA61A6">
        <w:tab/>
        <w:t>a la Comisión de Estudio 2 que examine urgentemente las medidas necesarias para velar plenamente por la soberanía de</w:t>
      </w:r>
      <w:r w:rsidRPr="00CA61A6">
        <w:rPr>
          <w:i/>
          <w:iCs/>
        </w:rPr>
        <w:t xml:space="preserve"> </w:t>
      </w:r>
      <w:r w:rsidRPr="00CA61A6">
        <w:t>los Estados Miembros de la UIT con respecto a los planes NDDI de los indicativos de país, tal como se consagra en la Recomendación UIT-T E.164 y otras Recomendaciones y procedimientos pertinentes, incluida la ENUM. Dichas medidas incluirán las formas y medios para tratar y contrarrestar toda utilización improcedente de cualesquiera de los recursos NDDI y de los tonos y señales de progresión de la llamada, mediante el desarrollo adecuado de una propuesta de Resolución y/o la elaboración y adopción de una Recomendación encaminadas a este fin.</w:t>
      </w:r>
    </w:p>
    <w:p w:rsidR="00424419" w:rsidRPr="00CA61A6" w:rsidRDefault="00424419" w:rsidP="007B3478">
      <w:pPr>
        <w:spacing w:after="120"/>
      </w:pPr>
    </w:p>
    <w:tbl>
      <w:tblPr>
        <w:tblW w:w="9832"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5077"/>
        <w:gridCol w:w="1344"/>
        <w:gridCol w:w="1234"/>
        <w:gridCol w:w="1261"/>
      </w:tblGrid>
      <w:tr w:rsidR="00B74422" w:rsidRPr="00CA61A6" w:rsidTr="00BC77E2">
        <w:trPr>
          <w:trHeight w:val="647"/>
          <w:tblHeader/>
        </w:trPr>
        <w:tc>
          <w:tcPr>
            <w:tcW w:w="916" w:type="dxa"/>
            <w:tcBorders>
              <w:bottom w:val="double" w:sz="6" w:space="0" w:color="auto"/>
            </w:tcBorders>
            <w:vAlign w:val="center"/>
          </w:tcPr>
          <w:p w:rsidR="00B74422" w:rsidRPr="00CA61A6" w:rsidRDefault="00B74422" w:rsidP="007B3478">
            <w:pPr>
              <w:pStyle w:val="Tablehead"/>
            </w:pPr>
            <w:r w:rsidRPr="00CA61A6">
              <w:lastRenderedPageBreak/>
              <w:t>Número</w:t>
            </w:r>
          </w:p>
        </w:tc>
        <w:tc>
          <w:tcPr>
            <w:tcW w:w="5077" w:type="dxa"/>
            <w:tcBorders>
              <w:bottom w:val="double" w:sz="6" w:space="0" w:color="auto"/>
            </w:tcBorders>
            <w:shd w:val="clear" w:color="auto" w:fill="auto"/>
            <w:vAlign w:val="center"/>
            <w:hideMark/>
          </w:tcPr>
          <w:p w:rsidR="00B74422" w:rsidRPr="00CA61A6" w:rsidRDefault="00B74422" w:rsidP="007B3478">
            <w:pPr>
              <w:pStyle w:val="Tablehead"/>
            </w:pPr>
            <w:r w:rsidRPr="00CA61A6">
              <w:t>Acción</w:t>
            </w:r>
          </w:p>
        </w:tc>
        <w:tc>
          <w:tcPr>
            <w:tcW w:w="1344" w:type="dxa"/>
            <w:tcBorders>
              <w:bottom w:val="double" w:sz="6" w:space="0" w:color="auto"/>
            </w:tcBorders>
            <w:shd w:val="clear" w:color="auto" w:fill="auto"/>
            <w:vAlign w:val="center"/>
            <w:hideMark/>
          </w:tcPr>
          <w:p w:rsidR="00B74422" w:rsidRPr="00CA61A6" w:rsidRDefault="00B74422" w:rsidP="007B3478">
            <w:pPr>
              <w:pStyle w:val="Tablehead"/>
            </w:pPr>
            <w:r w:rsidRPr="00CA61A6">
              <w:t>Fecha objetivo</w:t>
            </w:r>
          </w:p>
        </w:tc>
        <w:tc>
          <w:tcPr>
            <w:tcW w:w="1234" w:type="dxa"/>
            <w:tcBorders>
              <w:bottom w:val="double" w:sz="6" w:space="0" w:color="auto"/>
            </w:tcBorders>
            <w:vAlign w:val="center"/>
          </w:tcPr>
          <w:p w:rsidR="00B74422" w:rsidRPr="00CA61A6" w:rsidRDefault="00B74422" w:rsidP="007B3478">
            <w:pPr>
              <w:pStyle w:val="Tablehead"/>
            </w:pPr>
            <w:r w:rsidRPr="00CA61A6">
              <w:t>Objetivos periódicos cumplidos</w:t>
            </w:r>
          </w:p>
        </w:tc>
        <w:tc>
          <w:tcPr>
            <w:tcW w:w="1261" w:type="dxa"/>
            <w:tcBorders>
              <w:bottom w:val="double" w:sz="6" w:space="0" w:color="auto"/>
            </w:tcBorders>
            <w:vAlign w:val="center"/>
          </w:tcPr>
          <w:p w:rsidR="00B74422" w:rsidRPr="00CA61A6" w:rsidRDefault="00B74422" w:rsidP="007B3478">
            <w:pPr>
              <w:pStyle w:val="Tablehead"/>
            </w:pPr>
            <w:r w:rsidRPr="00CA61A6">
              <w:t>Completada</w:t>
            </w:r>
          </w:p>
        </w:tc>
      </w:tr>
      <w:tr w:rsidR="00B74422" w:rsidRPr="00CA61A6" w:rsidTr="005F7C08">
        <w:trPr>
          <w:trHeight w:val="620"/>
        </w:trPr>
        <w:tc>
          <w:tcPr>
            <w:tcW w:w="916" w:type="dxa"/>
            <w:tcBorders>
              <w:top w:val="double" w:sz="6" w:space="0" w:color="auto"/>
            </w:tcBorders>
            <w:vAlign w:val="center"/>
          </w:tcPr>
          <w:p w:rsidR="00B74422" w:rsidRPr="00CA61A6" w:rsidRDefault="00110CAD" w:rsidP="007B3478">
            <w:pPr>
              <w:pStyle w:val="Tabletext"/>
              <w:jc w:val="center"/>
            </w:pPr>
            <w:hyperlink w:anchor="Item20_01" w:history="1">
              <w:r w:rsidR="00B74422" w:rsidRPr="00CA61A6">
                <w:rPr>
                  <w:rStyle w:val="Hyperlink"/>
                </w:rPr>
                <w:t>20-01</w:t>
              </w:r>
            </w:hyperlink>
          </w:p>
        </w:tc>
        <w:tc>
          <w:tcPr>
            <w:tcW w:w="5077" w:type="dxa"/>
            <w:tcBorders>
              <w:top w:val="double" w:sz="6" w:space="0" w:color="auto"/>
            </w:tcBorders>
            <w:shd w:val="clear" w:color="auto" w:fill="auto"/>
            <w:vAlign w:val="center"/>
            <w:hideMark/>
          </w:tcPr>
          <w:p w:rsidR="00B74422" w:rsidRPr="00CA61A6" w:rsidRDefault="00B74422" w:rsidP="007B3478">
            <w:pPr>
              <w:pStyle w:val="Tabletext"/>
            </w:pPr>
            <w:r w:rsidRPr="00CA61A6">
              <w:t>El Director utilizará los procedimientos descritos en las Recomendaciones pertinentes cuando reciba nuevas peticiones de recursos de numeración, direccionamiento e identificación</w:t>
            </w:r>
          </w:p>
        </w:tc>
        <w:tc>
          <w:tcPr>
            <w:tcW w:w="1344" w:type="dxa"/>
            <w:tcBorders>
              <w:top w:val="double" w:sz="6" w:space="0" w:color="auto"/>
            </w:tcBorders>
            <w:shd w:val="clear" w:color="auto" w:fill="auto"/>
            <w:vAlign w:val="center"/>
            <w:hideMark/>
          </w:tcPr>
          <w:p w:rsidR="00B74422" w:rsidRPr="00CA61A6" w:rsidRDefault="00B74422" w:rsidP="007B3478">
            <w:pPr>
              <w:pStyle w:val="Tabletext"/>
              <w:jc w:val="center"/>
            </w:pPr>
            <w:r w:rsidRPr="00CA61A6">
              <w:t>En curso</w:t>
            </w:r>
          </w:p>
        </w:tc>
        <w:tc>
          <w:tcPr>
            <w:tcW w:w="1234" w:type="dxa"/>
            <w:tcBorders>
              <w:top w:val="double" w:sz="6" w:space="0" w:color="auto"/>
            </w:tcBorders>
            <w:vAlign w:val="center"/>
          </w:tcPr>
          <w:p w:rsidR="00B74422" w:rsidRPr="00CA61A6" w:rsidRDefault="00AF4D49" w:rsidP="007B3478">
            <w:pPr>
              <w:pStyle w:val="Tabletext"/>
              <w:jc w:val="center"/>
            </w:pPr>
            <w:r w:rsidRPr="00CA61A6">
              <w:sym w:font="Wingdings" w:char="F0FC"/>
            </w:r>
          </w:p>
        </w:tc>
        <w:tc>
          <w:tcPr>
            <w:tcW w:w="1261" w:type="dxa"/>
            <w:tcBorders>
              <w:top w:val="double" w:sz="6" w:space="0" w:color="auto"/>
            </w:tcBorders>
            <w:vAlign w:val="center"/>
          </w:tcPr>
          <w:p w:rsidR="00B74422" w:rsidRPr="00CA61A6" w:rsidRDefault="00B74422" w:rsidP="007B3478">
            <w:pPr>
              <w:pStyle w:val="Tabletext"/>
              <w:jc w:val="center"/>
            </w:pPr>
          </w:p>
        </w:tc>
      </w:tr>
      <w:tr w:rsidR="00B74422" w:rsidRPr="00CA61A6" w:rsidTr="005F7C08">
        <w:trPr>
          <w:trHeight w:val="710"/>
        </w:trPr>
        <w:tc>
          <w:tcPr>
            <w:tcW w:w="916" w:type="dxa"/>
            <w:vAlign w:val="center"/>
          </w:tcPr>
          <w:p w:rsidR="00B74422" w:rsidRPr="00CA61A6" w:rsidRDefault="00110CAD" w:rsidP="007B3478">
            <w:pPr>
              <w:pStyle w:val="Tabletext"/>
              <w:jc w:val="center"/>
            </w:pPr>
            <w:hyperlink w:anchor="Item20_02" w:history="1">
              <w:r w:rsidR="00B74422" w:rsidRPr="00CA61A6">
                <w:rPr>
                  <w:rStyle w:val="Hyperlink"/>
                </w:rPr>
                <w:t>20-02</w:t>
              </w:r>
            </w:hyperlink>
          </w:p>
        </w:tc>
        <w:tc>
          <w:tcPr>
            <w:tcW w:w="5077" w:type="dxa"/>
            <w:shd w:val="clear" w:color="auto" w:fill="auto"/>
            <w:vAlign w:val="center"/>
            <w:hideMark/>
          </w:tcPr>
          <w:p w:rsidR="00B74422" w:rsidRPr="00CA61A6" w:rsidRDefault="00B74422" w:rsidP="007B3478">
            <w:pPr>
              <w:pStyle w:val="Tabletext"/>
            </w:pPr>
            <w:r w:rsidRPr="00CA61A6">
              <w:t>La CE 2 asesorará y guiará al Director en lo que respecta a la Resolución 20</w:t>
            </w:r>
          </w:p>
        </w:tc>
        <w:tc>
          <w:tcPr>
            <w:tcW w:w="1344" w:type="dxa"/>
            <w:shd w:val="clear" w:color="auto" w:fill="auto"/>
            <w:vAlign w:val="center"/>
            <w:hideMark/>
          </w:tcPr>
          <w:p w:rsidR="00B74422" w:rsidRPr="00CA61A6" w:rsidRDefault="00B74422" w:rsidP="007B3478">
            <w:pPr>
              <w:pStyle w:val="Tabletext"/>
              <w:jc w:val="center"/>
            </w:pPr>
            <w:r w:rsidRPr="00CA61A6">
              <w:t>En curso</w:t>
            </w:r>
          </w:p>
        </w:tc>
        <w:tc>
          <w:tcPr>
            <w:tcW w:w="1234" w:type="dxa"/>
            <w:vAlign w:val="center"/>
          </w:tcPr>
          <w:p w:rsidR="00B74422" w:rsidRPr="00CA61A6" w:rsidRDefault="00AF4D49" w:rsidP="007B3478">
            <w:pPr>
              <w:pStyle w:val="Tabletext"/>
              <w:jc w:val="center"/>
            </w:pPr>
            <w:r w:rsidRPr="00CA61A6">
              <w:sym w:font="Wingdings" w:char="F0FC"/>
            </w:r>
          </w:p>
        </w:tc>
        <w:tc>
          <w:tcPr>
            <w:tcW w:w="1261" w:type="dxa"/>
            <w:vAlign w:val="center"/>
          </w:tcPr>
          <w:p w:rsidR="00B74422" w:rsidRPr="00CA61A6" w:rsidRDefault="00B74422" w:rsidP="007B3478">
            <w:pPr>
              <w:pStyle w:val="Tabletext"/>
              <w:jc w:val="center"/>
            </w:pPr>
          </w:p>
        </w:tc>
      </w:tr>
      <w:tr w:rsidR="00B74422" w:rsidRPr="00CA61A6" w:rsidTr="005F7C08">
        <w:trPr>
          <w:trHeight w:val="530"/>
        </w:trPr>
        <w:tc>
          <w:tcPr>
            <w:tcW w:w="916" w:type="dxa"/>
            <w:vAlign w:val="center"/>
          </w:tcPr>
          <w:p w:rsidR="00B74422" w:rsidRPr="00CA61A6" w:rsidRDefault="00110CAD" w:rsidP="007B3478">
            <w:pPr>
              <w:pStyle w:val="Tabletext"/>
              <w:jc w:val="center"/>
            </w:pPr>
            <w:hyperlink w:anchor="Item20_03" w:history="1">
              <w:r w:rsidR="00B74422" w:rsidRPr="00CA61A6">
                <w:rPr>
                  <w:rStyle w:val="Hyperlink"/>
                </w:rPr>
                <w:t>20-03</w:t>
              </w:r>
            </w:hyperlink>
          </w:p>
        </w:tc>
        <w:tc>
          <w:tcPr>
            <w:tcW w:w="5077" w:type="dxa"/>
            <w:shd w:val="clear" w:color="auto" w:fill="auto"/>
            <w:vAlign w:val="center"/>
            <w:hideMark/>
          </w:tcPr>
          <w:p w:rsidR="00B74422" w:rsidRPr="00CA61A6" w:rsidRDefault="00B74422" w:rsidP="007B3478">
            <w:pPr>
              <w:pStyle w:val="Tabletext"/>
            </w:pPr>
            <w:r w:rsidRPr="00CA61A6">
              <w:t>El Director, en estrecha colaboración con la CE 2 y otras Comisiones de Estudio pertinentes, se ocupará del seguimiento de la utilización indebida de recursos e informará convenientemente al Consejo</w:t>
            </w:r>
          </w:p>
        </w:tc>
        <w:tc>
          <w:tcPr>
            <w:tcW w:w="1344" w:type="dxa"/>
            <w:shd w:val="clear" w:color="auto" w:fill="auto"/>
            <w:vAlign w:val="center"/>
            <w:hideMark/>
          </w:tcPr>
          <w:p w:rsidR="00B74422" w:rsidRPr="00CA61A6" w:rsidRDefault="00B74422" w:rsidP="007B3478">
            <w:pPr>
              <w:pStyle w:val="Tabletext"/>
              <w:jc w:val="center"/>
            </w:pPr>
            <w:r w:rsidRPr="00CA61A6">
              <w:t>En curso</w:t>
            </w:r>
          </w:p>
        </w:tc>
        <w:tc>
          <w:tcPr>
            <w:tcW w:w="1234" w:type="dxa"/>
            <w:vAlign w:val="center"/>
          </w:tcPr>
          <w:p w:rsidR="00B74422" w:rsidRPr="00CA61A6" w:rsidRDefault="00AF4D49" w:rsidP="007B3478">
            <w:pPr>
              <w:pStyle w:val="Tabletext"/>
              <w:jc w:val="center"/>
            </w:pPr>
            <w:r w:rsidRPr="00CA61A6">
              <w:sym w:font="Wingdings" w:char="F0FC"/>
            </w:r>
          </w:p>
        </w:tc>
        <w:tc>
          <w:tcPr>
            <w:tcW w:w="1261" w:type="dxa"/>
            <w:vAlign w:val="center"/>
          </w:tcPr>
          <w:p w:rsidR="00B74422" w:rsidRPr="00CA61A6" w:rsidRDefault="00B74422" w:rsidP="007B3478">
            <w:pPr>
              <w:pStyle w:val="Tabletext"/>
              <w:jc w:val="center"/>
            </w:pPr>
          </w:p>
        </w:tc>
      </w:tr>
      <w:tr w:rsidR="00B74422" w:rsidRPr="00CA61A6" w:rsidTr="005F7C08">
        <w:trPr>
          <w:trHeight w:val="530"/>
        </w:trPr>
        <w:tc>
          <w:tcPr>
            <w:tcW w:w="916" w:type="dxa"/>
            <w:vAlign w:val="center"/>
          </w:tcPr>
          <w:p w:rsidR="00B74422" w:rsidRPr="00CA61A6" w:rsidRDefault="00110CAD" w:rsidP="007B3478">
            <w:pPr>
              <w:pStyle w:val="Tabletext"/>
              <w:jc w:val="center"/>
            </w:pPr>
            <w:hyperlink w:anchor="Item20_04" w:history="1">
              <w:r w:rsidR="00B74422" w:rsidRPr="00CA61A6">
                <w:rPr>
                  <w:rStyle w:val="Hyperlink"/>
                </w:rPr>
                <w:t>20-04</w:t>
              </w:r>
            </w:hyperlink>
          </w:p>
        </w:tc>
        <w:tc>
          <w:tcPr>
            <w:tcW w:w="5077" w:type="dxa"/>
            <w:shd w:val="clear" w:color="auto" w:fill="auto"/>
            <w:vAlign w:val="center"/>
          </w:tcPr>
          <w:p w:rsidR="00B74422" w:rsidRPr="00CA61A6" w:rsidRDefault="00B74422" w:rsidP="007B3478">
            <w:pPr>
              <w:pStyle w:val="Tabletext"/>
            </w:pPr>
            <w:r w:rsidRPr="00CA61A6">
              <w:t xml:space="preserve">La CE 2 estudiará </w:t>
            </w:r>
            <w:r w:rsidR="004646B3" w:rsidRPr="00CA61A6">
              <w:t>las medidas necesarias para velar por la soberanía de</w:t>
            </w:r>
            <w:r w:rsidR="004646B3" w:rsidRPr="00CA61A6">
              <w:rPr>
                <w:i/>
                <w:iCs/>
              </w:rPr>
              <w:t xml:space="preserve"> </w:t>
            </w:r>
            <w:r w:rsidR="004646B3" w:rsidRPr="00CA61A6">
              <w:t>los Estados Miembros de la UIT con respecto a los planes NDDI de los indicativos de país,</w:t>
            </w:r>
            <w:r w:rsidR="008A2D99" w:rsidRPr="00CA61A6">
              <w:t xml:space="preserve"> incluida la ENUM</w:t>
            </w:r>
          </w:p>
        </w:tc>
        <w:tc>
          <w:tcPr>
            <w:tcW w:w="1344" w:type="dxa"/>
            <w:shd w:val="clear" w:color="auto" w:fill="auto"/>
            <w:vAlign w:val="center"/>
          </w:tcPr>
          <w:p w:rsidR="00B74422" w:rsidRPr="00CA61A6" w:rsidRDefault="00B74422" w:rsidP="007B3478">
            <w:pPr>
              <w:pStyle w:val="Tabletext"/>
              <w:jc w:val="center"/>
            </w:pPr>
            <w:r w:rsidRPr="00CA61A6">
              <w:t>En curso</w:t>
            </w:r>
          </w:p>
        </w:tc>
        <w:tc>
          <w:tcPr>
            <w:tcW w:w="1234" w:type="dxa"/>
            <w:vAlign w:val="center"/>
          </w:tcPr>
          <w:p w:rsidR="00B74422" w:rsidRPr="00CA61A6" w:rsidRDefault="00AF4D49" w:rsidP="007B3478">
            <w:pPr>
              <w:pStyle w:val="Tabletext"/>
              <w:jc w:val="center"/>
            </w:pPr>
            <w:r w:rsidRPr="00CA61A6">
              <w:sym w:font="Wingdings" w:char="F0FC"/>
            </w:r>
          </w:p>
        </w:tc>
        <w:tc>
          <w:tcPr>
            <w:tcW w:w="1261" w:type="dxa"/>
            <w:vAlign w:val="center"/>
          </w:tcPr>
          <w:p w:rsidR="00B74422" w:rsidRPr="00CA61A6" w:rsidRDefault="00B74422" w:rsidP="007B3478">
            <w:pPr>
              <w:pStyle w:val="Tabletext"/>
              <w:jc w:val="center"/>
            </w:pPr>
          </w:p>
        </w:tc>
      </w:tr>
    </w:tbl>
    <w:p w:rsidR="00BC77E2" w:rsidRPr="00CA61A6" w:rsidRDefault="00BC77E2" w:rsidP="007B3478">
      <w:pPr>
        <w:pStyle w:val="Headingb"/>
      </w:pPr>
      <w:bookmarkStart w:id="47" w:name="Item20_01"/>
      <w:r w:rsidRPr="00CA61A6">
        <w:t>Acción 20-01: TSB</w:t>
      </w:r>
    </w:p>
    <w:bookmarkEnd w:id="47"/>
    <w:p w:rsidR="008A2D99" w:rsidRPr="00CA61A6" w:rsidRDefault="008A2D99" w:rsidP="007B3478">
      <w:pPr>
        <w:rPr>
          <w:szCs w:val="24"/>
          <w:lang w:eastAsia="ja-JP"/>
        </w:rPr>
      </w:pPr>
      <w:r w:rsidRPr="00CA61A6">
        <w:rPr>
          <w:szCs w:val="24"/>
          <w:lang w:eastAsia="ja-JP"/>
        </w:rPr>
        <w:t>El Director ha realizado un seguimiento de las Recomendaciones pertinentes en el marco de las deliberaciones y consultas realizadas a fin de</w:t>
      </w:r>
      <w:r w:rsidRPr="00CA61A6">
        <w:t xml:space="preserve"> asignar, reasignar y/o recuperar recursos NDDI internacionales</w:t>
      </w:r>
      <w:r w:rsidRPr="00CA61A6">
        <w:rPr>
          <w:szCs w:val="24"/>
          <w:lang w:eastAsia="ja-JP"/>
        </w:rPr>
        <w:t>.</w:t>
      </w:r>
    </w:p>
    <w:p w:rsidR="00FC7C20" w:rsidRPr="00CA61A6" w:rsidRDefault="008A2D99" w:rsidP="00792D99">
      <w:pPr>
        <w:rPr>
          <w:lang w:eastAsia="ja-JP"/>
        </w:rPr>
      </w:pPr>
      <w:r w:rsidRPr="00CA61A6">
        <w:rPr>
          <w:lang w:eastAsia="ja-JP"/>
        </w:rPr>
        <w:t xml:space="preserve">Con objeto de llevar a cabo la función de administración y registro de los recursos de numeración internacional que incumbe al UIT-T con mayor eficacia y precisión, los sistemas de bases de datos relativos a muchos de los recursos de numeración internacional </w:t>
      </w:r>
      <w:r w:rsidR="00B62425" w:rsidRPr="00CA61A6">
        <w:rPr>
          <w:lang w:eastAsia="ja-JP"/>
        </w:rPr>
        <w:t>se han sometido a</w:t>
      </w:r>
      <w:r w:rsidRPr="00CA61A6">
        <w:rPr>
          <w:lang w:eastAsia="ja-JP"/>
        </w:rPr>
        <w:t xml:space="preserve"> una importante reforma, que también</w:t>
      </w:r>
      <w:r w:rsidR="00BA6AC1" w:rsidRPr="00CA61A6">
        <w:rPr>
          <w:lang w:eastAsia="ja-JP"/>
        </w:rPr>
        <w:t xml:space="preserve"> los dotará de </w:t>
      </w:r>
      <w:r w:rsidRPr="00CA61A6">
        <w:rPr>
          <w:lang w:eastAsia="ja-JP"/>
        </w:rPr>
        <w:t xml:space="preserve">una interfaz de usuario más intuitiva. </w:t>
      </w:r>
      <w:r w:rsidR="00BA6AC1" w:rsidRPr="00CA61A6">
        <w:rPr>
          <w:lang w:eastAsia="ja-JP"/>
        </w:rPr>
        <w:t>E</w:t>
      </w:r>
      <w:r w:rsidRPr="00CA61A6">
        <w:rPr>
          <w:lang w:eastAsia="ja-JP"/>
        </w:rPr>
        <w:t>n 2013,</w:t>
      </w:r>
      <w:r w:rsidR="00BA6AC1" w:rsidRPr="00CA61A6">
        <w:rPr>
          <w:lang w:eastAsia="ja-JP"/>
        </w:rPr>
        <w:t xml:space="preserve"> se completó</w:t>
      </w:r>
      <w:r w:rsidRPr="00CA61A6">
        <w:rPr>
          <w:lang w:eastAsia="ja-JP"/>
        </w:rPr>
        <w:t xml:space="preserve"> la revisión de la base de datos</w:t>
      </w:r>
      <w:r w:rsidR="00E0796D" w:rsidRPr="00CA61A6">
        <w:rPr>
          <w:lang w:eastAsia="ja-JP"/>
        </w:rPr>
        <w:t xml:space="preserve"> </w:t>
      </w:r>
      <w:r w:rsidR="00B62425" w:rsidRPr="00CA61A6">
        <w:t>de</w:t>
      </w:r>
      <w:r w:rsidR="00E0796D" w:rsidRPr="00CA61A6">
        <w:t xml:space="preserve"> números exclusivamente nacionales relacionados con los servicios de emergencia y otros servicios de valor social</w:t>
      </w:r>
      <w:r w:rsidR="00E0796D" w:rsidRPr="00CA61A6">
        <w:rPr>
          <w:lang w:eastAsia="ja-JP"/>
        </w:rPr>
        <w:t xml:space="preserve"> </w:t>
      </w:r>
      <w:r w:rsidRPr="00CA61A6">
        <w:rPr>
          <w:lang w:eastAsia="ja-JP"/>
        </w:rPr>
        <w:t xml:space="preserve">(UIT-T E.129) </w:t>
      </w:r>
      <w:r w:rsidR="00686CFB">
        <w:rPr>
          <w:lang w:eastAsia="ja-JP"/>
        </w:rPr>
        <w:t>–</w:t>
      </w:r>
      <w:r w:rsidRPr="00CA61A6">
        <w:rPr>
          <w:lang w:eastAsia="ja-JP"/>
        </w:rPr>
        <w:t xml:space="preserve"> </w:t>
      </w:r>
      <w:hyperlink r:id="rId79" w:history="1">
        <w:r w:rsidR="00792D99" w:rsidRPr="00FE6FDC">
          <w:rPr>
            <w:rStyle w:val="Hyperlink"/>
            <w:lang w:eastAsia="ja-JP"/>
          </w:rPr>
          <w:t>http://www.itu.int/net/itu-t/inrdb/e129_important_numbers.aspx</w:t>
        </w:r>
      </w:hyperlink>
      <w:r w:rsidRPr="00CA61A6">
        <w:rPr>
          <w:lang w:eastAsia="ja-JP"/>
        </w:rPr>
        <w:t xml:space="preserve">. Esta base de datos </w:t>
      </w:r>
      <w:r w:rsidR="00B62425" w:rsidRPr="00CA61A6">
        <w:rPr>
          <w:lang w:eastAsia="ja-JP"/>
        </w:rPr>
        <w:t>dimana de los diversos</w:t>
      </w:r>
      <w:r w:rsidRPr="00CA61A6">
        <w:rPr>
          <w:lang w:eastAsia="ja-JP"/>
        </w:rPr>
        <w:t xml:space="preserve"> elementos comunicados por los Estados </w:t>
      </w:r>
      <w:r w:rsidR="00E0796D" w:rsidRPr="00CA61A6">
        <w:rPr>
          <w:lang w:eastAsia="ja-JP"/>
        </w:rPr>
        <w:t>M</w:t>
      </w:r>
      <w:r w:rsidRPr="00CA61A6">
        <w:rPr>
          <w:lang w:eastAsia="ja-JP"/>
        </w:rPr>
        <w:t>iembros de acuerdo con el formato especificado en la Recomendación UIT-T E.129 (01/2013).</w:t>
      </w:r>
    </w:p>
    <w:p w:rsidR="00FC7C20" w:rsidRPr="00CA61A6" w:rsidRDefault="000A2E1F" w:rsidP="007B3478">
      <w:pPr>
        <w:rPr>
          <w:szCs w:val="24"/>
          <w:lang w:eastAsia="ja-JP"/>
        </w:rPr>
      </w:pPr>
      <w:r w:rsidRPr="00CA61A6">
        <w:rPr>
          <w:szCs w:val="24"/>
          <w:lang w:eastAsia="ja-JP"/>
        </w:rPr>
        <w:t>Desde septiembre y octubre de 2013 están operativas las bases de datos que contienen información sobre indicativos de país para el servicio móvil de radiocomunicación con concentración de enlaces terrenales (TMCC) (UIT-T E.218), números de identificación de expedidor (IIN) para tarjetas con cargo a cuenta para telecomunicaciones internacionales (UIT-T E.118), indicativos de país para ár</w:t>
      </w:r>
      <w:r w:rsidR="002C5C33">
        <w:rPr>
          <w:szCs w:val="24"/>
          <w:lang w:eastAsia="ja-JP"/>
        </w:rPr>
        <w:t>ea geográfica E.164,</w:t>
      </w:r>
      <w:r w:rsidRPr="00CA61A6">
        <w:rPr>
          <w:szCs w:val="24"/>
          <w:lang w:eastAsia="ja-JP"/>
        </w:rPr>
        <w:t xml:space="preserve"> indicativos de país compartidos internacionales </w:t>
      </w:r>
      <w:r w:rsidR="009A628E" w:rsidRPr="00CA61A6">
        <w:rPr>
          <w:szCs w:val="24"/>
          <w:lang w:eastAsia="ja-JP"/>
        </w:rPr>
        <w:t xml:space="preserve">UIT-T </w:t>
      </w:r>
      <w:r w:rsidRPr="00CA61A6">
        <w:rPr>
          <w:szCs w:val="24"/>
          <w:lang w:eastAsia="ja-JP"/>
        </w:rPr>
        <w:t>E.164 para el sistema mundial de comunicaciones móviles por satélite (GMSS), grupos de países, redes internacionales, pruebas de un nuevo servicio de correspondencia pública de telecomunicaciones internacionales propuesto y servicio de telecomunicaciones personales universales (UPT)</w:t>
      </w:r>
      <w:r w:rsidR="00FC7C20" w:rsidRPr="00CA61A6">
        <w:rPr>
          <w:szCs w:val="24"/>
          <w:lang w:eastAsia="ja-JP"/>
        </w:rPr>
        <w:t>.</w:t>
      </w:r>
    </w:p>
    <w:p w:rsidR="00FC7C20" w:rsidRPr="00CA61A6" w:rsidRDefault="00E3591E" w:rsidP="007B3478">
      <w:pPr>
        <w:rPr>
          <w:szCs w:val="24"/>
          <w:lang w:eastAsia="ja-JP"/>
        </w:rPr>
      </w:pPr>
      <w:bookmarkStart w:id="48" w:name="_Toc378940164"/>
      <w:r w:rsidRPr="00CA61A6">
        <w:rPr>
          <w:szCs w:val="24"/>
          <w:lang w:eastAsia="ja-JP"/>
        </w:rPr>
        <w:t>Los sistemas de bases de datos para los INR han</w:t>
      </w:r>
      <w:r w:rsidR="00E0796D" w:rsidRPr="00CA61A6">
        <w:rPr>
          <w:szCs w:val="24"/>
          <w:lang w:eastAsia="ja-JP"/>
        </w:rPr>
        <w:t xml:space="preserve"> sido </w:t>
      </w:r>
      <w:r w:rsidR="00E0796D" w:rsidRPr="00CA61A6">
        <w:rPr>
          <w:lang w:eastAsia="ja-JP"/>
        </w:rPr>
        <w:t>objeto de una importante reforma</w:t>
      </w:r>
      <w:r w:rsidRPr="00CA61A6">
        <w:rPr>
          <w:szCs w:val="24"/>
          <w:lang w:eastAsia="ja-JP"/>
        </w:rPr>
        <w:t>, inclu</w:t>
      </w:r>
      <w:r w:rsidR="00E0796D" w:rsidRPr="00CA61A6">
        <w:rPr>
          <w:szCs w:val="24"/>
          <w:lang w:eastAsia="ja-JP"/>
        </w:rPr>
        <w:t>id</w:t>
      </w:r>
      <w:r w:rsidRPr="00CA61A6">
        <w:rPr>
          <w:szCs w:val="24"/>
          <w:lang w:eastAsia="ja-JP"/>
        </w:rPr>
        <w:t>o el desarrollo de una nueva interfaz de usuario más intuitiva</w:t>
      </w:r>
      <w:r w:rsidR="00FC7C20" w:rsidRPr="00CA61A6">
        <w:rPr>
          <w:szCs w:val="24"/>
          <w:lang w:eastAsia="ja-JP"/>
        </w:rPr>
        <w:t>.</w:t>
      </w:r>
      <w:bookmarkEnd w:id="48"/>
    </w:p>
    <w:p w:rsidR="00AC5EEE" w:rsidRPr="00CA61A6" w:rsidRDefault="00AC5EEE" w:rsidP="007B3478">
      <w:pPr>
        <w:pStyle w:val="Headingb"/>
      </w:pPr>
      <w:bookmarkStart w:id="49" w:name="Item20_02"/>
      <w:r w:rsidRPr="00CA61A6">
        <w:t>Acción 20-02</w:t>
      </w:r>
      <w:bookmarkEnd w:id="49"/>
      <w:r w:rsidRPr="00CA61A6">
        <w:t xml:space="preserve">: </w:t>
      </w:r>
      <w:r w:rsidR="00F1724D" w:rsidRPr="00CA61A6">
        <w:t>CE</w:t>
      </w:r>
      <w:r w:rsidR="002F18BF" w:rsidRPr="00CA61A6">
        <w:t xml:space="preserve"> </w:t>
      </w:r>
      <w:r w:rsidRPr="00CA61A6">
        <w:t>2</w:t>
      </w:r>
    </w:p>
    <w:p w:rsidR="00F1724D" w:rsidRPr="00CA61A6" w:rsidRDefault="00E0796D" w:rsidP="000855BC">
      <w:pPr>
        <w:rPr>
          <w:szCs w:val="24"/>
          <w:lang w:eastAsia="ja-JP"/>
        </w:rPr>
      </w:pPr>
      <w:r w:rsidRPr="00CA61A6">
        <w:rPr>
          <w:szCs w:val="24"/>
          <w:lang w:eastAsia="ja-JP"/>
        </w:rPr>
        <w:t>En el Informe de las actividades de la UIT a la reunión del Consejo de 2013 (</w:t>
      </w:r>
      <w:hyperlink r:id="rId80" w:history="1">
        <w:r w:rsidRPr="00CA61A6">
          <w:rPr>
            <w:color w:val="0000FF"/>
            <w:szCs w:val="24"/>
            <w:u w:val="single"/>
            <w:lang w:eastAsia="ja-JP"/>
          </w:rPr>
          <w:t>C13/35</w:t>
        </w:r>
      </w:hyperlink>
      <w:r w:rsidRPr="00CA61A6">
        <w:rPr>
          <w:szCs w:val="24"/>
          <w:lang w:eastAsia="ja-JP"/>
        </w:rPr>
        <w:t xml:space="preserve">), el Director de la TSB </w:t>
      </w:r>
      <w:r w:rsidR="00B62425" w:rsidRPr="00CA61A6">
        <w:rPr>
          <w:szCs w:val="24"/>
          <w:lang w:eastAsia="ja-JP"/>
        </w:rPr>
        <w:t>anunció</w:t>
      </w:r>
      <w:r w:rsidRPr="00CA61A6">
        <w:rPr>
          <w:szCs w:val="24"/>
          <w:lang w:eastAsia="ja-JP"/>
        </w:rPr>
        <w:t xml:space="preserve"> que</w:t>
      </w:r>
      <w:r w:rsidR="00F1724D" w:rsidRPr="00CA61A6">
        <w:rPr>
          <w:szCs w:val="24"/>
          <w:lang w:eastAsia="ja-JP"/>
        </w:rPr>
        <w:t xml:space="preserve"> </w:t>
      </w:r>
      <w:r w:rsidR="00D01FE7" w:rsidRPr="00CA61A6">
        <w:rPr>
          <w:szCs w:val="24"/>
          <w:lang w:eastAsia="ja-JP"/>
        </w:rPr>
        <w:t xml:space="preserve">la </w:t>
      </w:r>
      <w:r w:rsidR="00683F2E" w:rsidRPr="00CA61A6">
        <w:rPr>
          <w:szCs w:val="24"/>
          <w:lang w:eastAsia="ja-JP"/>
        </w:rPr>
        <w:t>Comisión de Estudio 2 del UIT</w:t>
      </w:r>
      <w:r w:rsidR="00683F2E" w:rsidRPr="00CA61A6">
        <w:rPr>
          <w:szCs w:val="24"/>
          <w:lang w:eastAsia="ja-JP"/>
        </w:rPr>
        <w:noBreakHyphen/>
        <w:t xml:space="preserve">T </w:t>
      </w:r>
      <w:r w:rsidR="00B62425" w:rsidRPr="00CA61A6">
        <w:rPr>
          <w:szCs w:val="24"/>
          <w:lang w:eastAsia="ja-JP"/>
        </w:rPr>
        <w:t>había creado</w:t>
      </w:r>
      <w:r w:rsidR="00683F2E" w:rsidRPr="00CA61A6">
        <w:rPr>
          <w:szCs w:val="24"/>
          <w:lang w:eastAsia="ja-JP"/>
        </w:rPr>
        <w:t xml:space="preserve"> el Grupo de Coordinación en materia de numeración (NCT) </w:t>
      </w:r>
      <w:r w:rsidR="00B62425" w:rsidRPr="00CA61A6">
        <w:rPr>
          <w:szCs w:val="24"/>
          <w:lang w:eastAsia="ja-JP"/>
        </w:rPr>
        <w:t>de conformidad con</w:t>
      </w:r>
      <w:r w:rsidR="00683F2E" w:rsidRPr="00CA61A6">
        <w:rPr>
          <w:szCs w:val="24"/>
          <w:lang w:eastAsia="ja-JP"/>
        </w:rPr>
        <w:t xml:space="preserve"> la Resolución 20 de la AMNT (según se indica en el Apéndice I a la Recomendación E.164.1). Se acordó que el NCT asumiría las responsabilidades del Comité de Evaluación de la utilización indebida de números, que asesora al </w:t>
      </w:r>
      <w:r w:rsidR="00683F2E" w:rsidRPr="00CA61A6">
        <w:rPr>
          <w:szCs w:val="24"/>
          <w:lang w:eastAsia="ja-JP"/>
        </w:rPr>
        <w:lastRenderedPageBreak/>
        <w:t>Director de la TSB sobre las medidas que deben adoptarse en relación con</w:t>
      </w:r>
      <w:r w:rsidR="00B62425" w:rsidRPr="00CA61A6">
        <w:rPr>
          <w:szCs w:val="24"/>
          <w:lang w:eastAsia="ja-JP"/>
        </w:rPr>
        <w:t xml:space="preserve"> el uso </w:t>
      </w:r>
      <w:r w:rsidR="00683F2E" w:rsidRPr="00CA61A6">
        <w:rPr>
          <w:szCs w:val="24"/>
          <w:lang w:eastAsia="ja-JP"/>
        </w:rPr>
        <w:t>indebid</w:t>
      </w:r>
      <w:r w:rsidR="00B62425" w:rsidRPr="00CA61A6">
        <w:rPr>
          <w:szCs w:val="24"/>
          <w:lang w:eastAsia="ja-JP"/>
        </w:rPr>
        <w:t>o</w:t>
      </w:r>
      <w:r w:rsidR="00683F2E" w:rsidRPr="00CA61A6">
        <w:rPr>
          <w:szCs w:val="24"/>
          <w:lang w:eastAsia="ja-JP"/>
        </w:rPr>
        <w:t xml:space="preserve"> de </w:t>
      </w:r>
      <w:r w:rsidR="00B62425" w:rsidRPr="00CA61A6">
        <w:rPr>
          <w:szCs w:val="24"/>
          <w:lang w:eastAsia="ja-JP"/>
        </w:rPr>
        <w:t xml:space="preserve">los </w:t>
      </w:r>
      <w:r w:rsidR="00683F2E" w:rsidRPr="00CA61A6">
        <w:rPr>
          <w:szCs w:val="24"/>
          <w:lang w:eastAsia="ja-JP"/>
        </w:rPr>
        <w:t>recursos de numeración según la Recomendación</w:t>
      </w:r>
      <w:r w:rsidR="000855BC">
        <w:rPr>
          <w:szCs w:val="24"/>
          <w:lang w:eastAsia="ja-JP"/>
        </w:rPr>
        <w:t xml:space="preserve"> UIT</w:t>
      </w:r>
      <w:r w:rsidR="000855BC">
        <w:rPr>
          <w:szCs w:val="24"/>
          <w:lang w:eastAsia="ja-JP"/>
        </w:rPr>
        <w:noBreakHyphen/>
        <w:t xml:space="preserve">T </w:t>
      </w:r>
      <w:r w:rsidR="00683F2E" w:rsidRPr="00CA61A6">
        <w:rPr>
          <w:szCs w:val="24"/>
          <w:lang w:eastAsia="ja-JP"/>
        </w:rPr>
        <w:t>E.156</w:t>
      </w:r>
      <w:r w:rsidR="00D01FE7" w:rsidRPr="00CA61A6">
        <w:rPr>
          <w:szCs w:val="24"/>
          <w:lang w:eastAsia="ja-JP"/>
        </w:rPr>
        <w:t>.</w:t>
      </w:r>
    </w:p>
    <w:p w:rsidR="00F1724D" w:rsidRPr="00CA61A6" w:rsidRDefault="00E659EE" w:rsidP="007B3478">
      <w:pPr>
        <w:rPr>
          <w:lang w:eastAsia="ja-JP"/>
        </w:rPr>
      </w:pPr>
      <w:r w:rsidRPr="00CA61A6">
        <w:rPr>
          <w:szCs w:val="24"/>
          <w:lang w:eastAsia="ja-JP"/>
        </w:rPr>
        <w:t>En</w:t>
      </w:r>
      <w:r w:rsidR="0057728D" w:rsidRPr="00CA61A6">
        <w:rPr>
          <w:szCs w:val="24"/>
          <w:lang w:eastAsia="ja-JP"/>
        </w:rPr>
        <w:t xml:space="preserve"> su reunión del 22 al 31 de enero de 2013,</w:t>
      </w:r>
      <w:r w:rsidRPr="00CA61A6">
        <w:rPr>
          <w:szCs w:val="24"/>
          <w:lang w:eastAsia="ja-JP"/>
        </w:rPr>
        <w:t xml:space="preserve"> la CE 2 del UIT-T </w:t>
      </w:r>
      <w:r w:rsidR="0057728D" w:rsidRPr="00CA61A6">
        <w:rPr>
          <w:szCs w:val="24"/>
          <w:lang w:eastAsia="ja-JP"/>
        </w:rPr>
        <w:t>examinó</w:t>
      </w:r>
      <w:r w:rsidR="00B62425" w:rsidRPr="00CA61A6">
        <w:rPr>
          <w:szCs w:val="24"/>
          <w:lang w:eastAsia="ja-JP"/>
        </w:rPr>
        <w:t xml:space="preserve"> las</w:t>
      </w:r>
      <w:r w:rsidR="0057728D" w:rsidRPr="00CA61A6">
        <w:rPr>
          <w:szCs w:val="24"/>
          <w:lang w:eastAsia="ja-JP"/>
        </w:rPr>
        <w:t xml:space="preserve"> posibles aplicaciones nuevas</w:t>
      </w:r>
      <w:r w:rsidR="00B62425" w:rsidRPr="00CA61A6">
        <w:rPr>
          <w:szCs w:val="24"/>
          <w:lang w:eastAsia="ja-JP"/>
        </w:rPr>
        <w:t xml:space="preserve"> de los recursos E.212</w:t>
      </w:r>
      <w:r w:rsidR="0057728D" w:rsidRPr="00CA61A6">
        <w:rPr>
          <w:szCs w:val="24"/>
          <w:lang w:eastAsia="ja-JP"/>
        </w:rPr>
        <w:t xml:space="preserve"> y los riesgos </w:t>
      </w:r>
      <w:r w:rsidRPr="00CA61A6">
        <w:rPr>
          <w:szCs w:val="24"/>
          <w:lang w:eastAsia="ja-JP"/>
        </w:rPr>
        <w:t>de</w:t>
      </w:r>
      <w:r w:rsidR="00B62425" w:rsidRPr="00CA61A6">
        <w:rPr>
          <w:szCs w:val="24"/>
          <w:lang w:eastAsia="ja-JP"/>
        </w:rPr>
        <w:t xml:space="preserve"> su</w:t>
      </w:r>
      <w:r w:rsidRPr="00CA61A6">
        <w:rPr>
          <w:szCs w:val="24"/>
          <w:lang w:eastAsia="ja-JP"/>
        </w:rPr>
        <w:t xml:space="preserve"> agotamiento.</w:t>
      </w:r>
      <w:r w:rsidR="00FE2A2D" w:rsidRPr="00CA61A6">
        <w:rPr>
          <w:szCs w:val="24"/>
          <w:lang w:eastAsia="ja-JP"/>
        </w:rPr>
        <w:t xml:space="preserve"> Actualmente, se están evaluando las repercusiones de</w:t>
      </w:r>
      <w:r w:rsidRPr="00CA61A6">
        <w:rPr>
          <w:szCs w:val="24"/>
          <w:lang w:eastAsia="ja-JP"/>
        </w:rPr>
        <w:t xml:space="preserve"> la introducción de </w:t>
      </w:r>
      <w:r w:rsidR="00FE2A2D" w:rsidRPr="00CA61A6">
        <w:rPr>
          <w:szCs w:val="24"/>
          <w:lang w:eastAsia="ja-JP"/>
        </w:rPr>
        <w:t xml:space="preserve">MNC de 3 dígitos </w:t>
      </w:r>
      <w:r w:rsidRPr="00CA61A6">
        <w:rPr>
          <w:szCs w:val="24"/>
          <w:lang w:eastAsia="ja-JP"/>
        </w:rPr>
        <w:t>para</w:t>
      </w:r>
      <w:r w:rsidR="00FE2A2D" w:rsidRPr="00CA61A6">
        <w:rPr>
          <w:szCs w:val="24"/>
          <w:lang w:eastAsia="ja-JP"/>
        </w:rPr>
        <w:t xml:space="preserve"> los</w:t>
      </w:r>
      <w:r w:rsidRPr="00CA61A6">
        <w:rPr>
          <w:szCs w:val="24"/>
          <w:lang w:eastAsia="ja-JP"/>
        </w:rPr>
        <w:t xml:space="preserve"> recursos</w:t>
      </w:r>
      <w:r w:rsidR="00FE2A2D" w:rsidRPr="00CA61A6">
        <w:rPr>
          <w:szCs w:val="24"/>
          <w:lang w:eastAsia="ja-JP"/>
        </w:rPr>
        <w:t xml:space="preserve"> </w:t>
      </w:r>
      <w:r w:rsidRPr="00CA61A6">
        <w:rPr>
          <w:szCs w:val="24"/>
          <w:lang w:eastAsia="ja-JP"/>
        </w:rPr>
        <w:t xml:space="preserve">E.212. </w:t>
      </w:r>
      <w:r w:rsidR="00FE2A2D" w:rsidRPr="00CA61A6">
        <w:rPr>
          <w:szCs w:val="24"/>
          <w:lang w:eastAsia="ja-JP"/>
        </w:rPr>
        <w:t>La CE 2 recibió la r</w:t>
      </w:r>
      <w:r w:rsidRPr="00CA61A6">
        <w:rPr>
          <w:szCs w:val="24"/>
          <w:lang w:eastAsia="ja-JP"/>
        </w:rPr>
        <w:t>espuesta</w:t>
      </w:r>
      <w:r w:rsidR="00FE2A2D" w:rsidRPr="00CA61A6">
        <w:rPr>
          <w:szCs w:val="24"/>
          <w:lang w:eastAsia="ja-JP"/>
        </w:rPr>
        <w:t xml:space="preserve"> enviada</w:t>
      </w:r>
      <w:r w:rsidRPr="00CA61A6">
        <w:rPr>
          <w:szCs w:val="24"/>
          <w:lang w:eastAsia="ja-JP"/>
        </w:rPr>
        <w:t xml:space="preserve"> por GSMA en relación con </w:t>
      </w:r>
      <w:r w:rsidR="00FE2A2D" w:rsidRPr="00CA61A6">
        <w:rPr>
          <w:szCs w:val="24"/>
          <w:lang w:eastAsia="ja-JP"/>
        </w:rPr>
        <w:t>los MNC de 3 dígitos</w:t>
      </w:r>
      <w:r w:rsidRPr="00CA61A6">
        <w:rPr>
          <w:szCs w:val="24"/>
          <w:lang w:eastAsia="ja-JP"/>
        </w:rPr>
        <w:t xml:space="preserve"> y tomó nota de la</w:t>
      </w:r>
      <w:r w:rsidR="00FE2A2D" w:rsidRPr="00CA61A6">
        <w:rPr>
          <w:szCs w:val="24"/>
          <w:lang w:eastAsia="ja-JP"/>
        </w:rPr>
        <w:t xml:space="preserve"> misma en su</w:t>
      </w:r>
      <w:r w:rsidRPr="00CA61A6">
        <w:rPr>
          <w:szCs w:val="24"/>
          <w:lang w:eastAsia="ja-JP"/>
        </w:rPr>
        <w:t xml:space="preserve"> reunión </w:t>
      </w:r>
      <w:r w:rsidR="00FE2A2D" w:rsidRPr="00CA61A6">
        <w:rPr>
          <w:szCs w:val="24"/>
          <w:lang w:eastAsia="ja-JP"/>
        </w:rPr>
        <w:t>del</w:t>
      </w:r>
      <w:r w:rsidRPr="00CA61A6">
        <w:rPr>
          <w:szCs w:val="24"/>
          <w:lang w:eastAsia="ja-JP"/>
        </w:rPr>
        <w:t xml:space="preserve"> 17</w:t>
      </w:r>
      <w:r w:rsidR="00FE2A2D" w:rsidRPr="00CA61A6">
        <w:rPr>
          <w:szCs w:val="24"/>
          <w:lang w:eastAsia="ja-JP"/>
        </w:rPr>
        <w:t xml:space="preserve"> al </w:t>
      </w:r>
      <w:r w:rsidRPr="00CA61A6">
        <w:rPr>
          <w:szCs w:val="24"/>
          <w:lang w:eastAsia="ja-JP"/>
        </w:rPr>
        <w:t xml:space="preserve">26 de septiembre de 2013. </w:t>
      </w:r>
      <w:r w:rsidR="00A8158F" w:rsidRPr="00CA61A6">
        <w:rPr>
          <w:szCs w:val="24"/>
          <w:lang w:eastAsia="ja-JP"/>
        </w:rPr>
        <w:t xml:space="preserve">También </w:t>
      </w:r>
      <w:r w:rsidR="00A8158F" w:rsidRPr="00CA61A6">
        <w:t>se ha sometido a debate</w:t>
      </w:r>
      <w:r w:rsidR="00A8158F" w:rsidRPr="00CA61A6">
        <w:rPr>
          <w:szCs w:val="24"/>
          <w:lang w:eastAsia="ja-JP"/>
        </w:rPr>
        <w:t xml:space="preserve"> l</w:t>
      </w:r>
      <w:r w:rsidRPr="00CA61A6">
        <w:rPr>
          <w:szCs w:val="24"/>
          <w:lang w:eastAsia="ja-JP"/>
        </w:rPr>
        <w:t>a posibilidad de asignar un MCC mundial, ya sea para</w:t>
      </w:r>
      <w:r w:rsidR="00FE2A2D" w:rsidRPr="00CA61A6">
        <w:rPr>
          <w:szCs w:val="24"/>
          <w:lang w:eastAsia="ja-JP"/>
        </w:rPr>
        <w:t xml:space="preserve"> las</w:t>
      </w:r>
      <w:r w:rsidRPr="00CA61A6">
        <w:rPr>
          <w:szCs w:val="24"/>
          <w:lang w:eastAsia="ja-JP"/>
        </w:rPr>
        <w:t xml:space="preserve"> M2M o sólo para</w:t>
      </w:r>
      <w:r w:rsidR="00FE2A2D" w:rsidRPr="00CA61A6">
        <w:rPr>
          <w:szCs w:val="24"/>
          <w:lang w:eastAsia="ja-JP"/>
        </w:rPr>
        <w:t xml:space="preserve"> los </w:t>
      </w:r>
      <w:r w:rsidR="00FE2A2D" w:rsidRPr="00CA61A6">
        <w:t>sistemas automáticos de llamada</w:t>
      </w:r>
      <w:r w:rsidR="00A8158F" w:rsidRPr="00CA61A6">
        <w:t>s</w:t>
      </w:r>
      <w:r w:rsidR="00FE2A2D" w:rsidRPr="00CA61A6">
        <w:t xml:space="preserve"> de emergencia en vehículos</w:t>
      </w:r>
      <w:r w:rsidR="00FE2A2D" w:rsidRPr="00CA61A6">
        <w:rPr>
          <w:szCs w:val="24"/>
          <w:lang w:eastAsia="ja-JP"/>
        </w:rPr>
        <w:t xml:space="preserve">, </w:t>
      </w:r>
      <w:r w:rsidRPr="00CA61A6">
        <w:rPr>
          <w:szCs w:val="24"/>
          <w:lang w:eastAsia="ja-JP"/>
        </w:rPr>
        <w:t xml:space="preserve">o </w:t>
      </w:r>
      <w:r w:rsidR="00FE2A2D" w:rsidRPr="00CA61A6">
        <w:rPr>
          <w:szCs w:val="24"/>
          <w:lang w:eastAsia="ja-JP"/>
        </w:rPr>
        <w:t>de dotar al mecanismo de asignación de</w:t>
      </w:r>
      <w:r w:rsidRPr="00CA61A6">
        <w:rPr>
          <w:szCs w:val="24"/>
          <w:lang w:eastAsia="ja-JP"/>
        </w:rPr>
        <w:t xml:space="preserve"> MNC </w:t>
      </w:r>
      <w:r w:rsidR="00FE2A2D" w:rsidRPr="00CA61A6">
        <w:rPr>
          <w:szCs w:val="24"/>
          <w:lang w:eastAsia="ja-JP"/>
        </w:rPr>
        <w:t>de un</w:t>
      </w:r>
      <w:r w:rsidR="00A8158F" w:rsidRPr="00CA61A6">
        <w:rPr>
          <w:szCs w:val="24"/>
          <w:lang w:eastAsia="ja-JP"/>
        </w:rPr>
        <w:t>a</w:t>
      </w:r>
      <w:r w:rsidR="00FE2A2D" w:rsidRPr="00CA61A6">
        <w:rPr>
          <w:szCs w:val="24"/>
          <w:lang w:eastAsia="ja-JP"/>
        </w:rPr>
        <w:t xml:space="preserve"> mayor </w:t>
      </w:r>
      <w:r w:rsidRPr="00CA61A6">
        <w:rPr>
          <w:szCs w:val="24"/>
          <w:lang w:eastAsia="ja-JP"/>
        </w:rPr>
        <w:t>flexib</w:t>
      </w:r>
      <w:r w:rsidR="00FE2A2D" w:rsidRPr="00CA61A6">
        <w:rPr>
          <w:szCs w:val="24"/>
          <w:lang w:eastAsia="ja-JP"/>
        </w:rPr>
        <w:t>ilidad</w:t>
      </w:r>
      <w:r w:rsidRPr="00CA61A6">
        <w:rPr>
          <w:szCs w:val="24"/>
          <w:lang w:eastAsia="ja-JP"/>
        </w:rPr>
        <w:t xml:space="preserve"> para</w:t>
      </w:r>
      <w:r w:rsidR="00FE2A2D" w:rsidRPr="00CA61A6">
        <w:rPr>
          <w:szCs w:val="24"/>
          <w:lang w:eastAsia="ja-JP"/>
        </w:rPr>
        <w:t xml:space="preserve"> </w:t>
      </w:r>
      <w:r w:rsidR="00FE2A2D" w:rsidRPr="00CA61A6">
        <w:t>los MCC geográficos</w:t>
      </w:r>
      <w:r w:rsidRPr="00CA61A6">
        <w:rPr>
          <w:szCs w:val="24"/>
          <w:lang w:eastAsia="ja-JP"/>
        </w:rPr>
        <w:t>.</w:t>
      </w:r>
    </w:p>
    <w:p w:rsidR="00F1724D" w:rsidRPr="00CA61A6" w:rsidRDefault="00164341" w:rsidP="00164341">
      <w:pPr>
        <w:rPr>
          <w:rFonts w:asciiTheme="majorBidi" w:hAnsiTheme="majorBidi" w:cstheme="majorBidi"/>
          <w:color w:val="000000"/>
          <w:lang w:eastAsia="ja-JP"/>
        </w:rPr>
      </w:pPr>
      <w:r>
        <w:rPr>
          <w:lang w:eastAsia="ja-JP"/>
        </w:rPr>
        <w:t>La CE </w:t>
      </w:r>
      <w:r w:rsidR="00FE2A2D" w:rsidRPr="00CA61A6">
        <w:rPr>
          <w:lang w:eastAsia="ja-JP"/>
        </w:rPr>
        <w:t>2 del UIT</w:t>
      </w:r>
      <w:r>
        <w:rPr>
          <w:lang w:eastAsia="ja-JP"/>
        </w:rPr>
        <w:noBreakHyphen/>
      </w:r>
      <w:r w:rsidR="00FE2A2D" w:rsidRPr="00CA61A6">
        <w:rPr>
          <w:lang w:eastAsia="ja-JP"/>
        </w:rPr>
        <w:t xml:space="preserve">T está revisando la </w:t>
      </w:r>
      <w:r w:rsidR="00E659EE" w:rsidRPr="00CA61A6">
        <w:rPr>
          <w:lang w:eastAsia="ja-JP"/>
        </w:rPr>
        <w:t>Recomendación UIT</w:t>
      </w:r>
      <w:r>
        <w:rPr>
          <w:lang w:eastAsia="ja-JP"/>
        </w:rPr>
        <w:noBreakHyphen/>
      </w:r>
      <w:r w:rsidR="00E659EE" w:rsidRPr="00CA61A6">
        <w:rPr>
          <w:lang w:eastAsia="ja-JP"/>
        </w:rPr>
        <w:t>T E.212 y sus anexo</w:t>
      </w:r>
      <w:r w:rsidR="00FE2A2D" w:rsidRPr="00CA61A6">
        <w:rPr>
          <w:lang w:eastAsia="ja-JP"/>
        </w:rPr>
        <w:t>s</w:t>
      </w:r>
      <w:r w:rsidR="00E659EE" w:rsidRPr="00CA61A6">
        <w:rPr>
          <w:lang w:eastAsia="ja-JP"/>
        </w:rPr>
        <w:t>. Las revisiones de</w:t>
      </w:r>
      <w:r w:rsidR="00FE2A2D" w:rsidRPr="00CA61A6">
        <w:rPr>
          <w:lang w:eastAsia="ja-JP"/>
        </w:rPr>
        <w:t>l</w:t>
      </w:r>
      <w:r w:rsidR="00E659EE" w:rsidRPr="00CA61A6">
        <w:rPr>
          <w:lang w:eastAsia="ja-JP"/>
        </w:rPr>
        <w:t xml:space="preserve"> Anexo B proporcionarán</w:t>
      </w:r>
      <w:r w:rsidR="00FE2A2D" w:rsidRPr="00CA61A6">
        <w:rPr>
          <w:lang w:eastAsia="ja-JP"/>
        </w:rPr>
        <w:t xml:space="preserve"> a los reguladores nacionales</w:t>
      </w:r>
      <w:r w:rsidR="00E659EE" w:rsidRPr="00CA61A6">
        <w:rPr>
          <w:lang w:eastAsia="ja-JP"/>
        </w:rPr>
        <w:t xml:space="preserve"> directrices </w:t>
      </w:r>
      <w:r w:rsidR="00FE2A2D" w:rsidRPr="00CA61A6">
        <w:rPr>
          <w:lang w:eastAsia="ja-JP"/>
        </w:rPr>
        <w:t xml:space="preserve">y principios </w:t>
      </w:r>
      <w:r w:rsidR="00E659EE" w:rsidRPr="00CA61A6">
        <w:rPr>
          <w:lang w:eastAsia="ja-JP"/>
        </w:rPr>
        <w:t>más flexibles</w:t>
      </w:r>
      <w:r w:rsidR="00FE2A2D" w:rsidRPr="00CA61A6">
        <w:rPr>
          <w:lang w:eastAsia="ja-JP"/>
        </w:rPr>
        <w:t xml:space="preserve"> en lo tocante a </w:t>
      </w:r>
      <w:r w:rsidR="00E659EE" w:rsidRPr="00CA61A6">
        <w:rPr>
          <w:lang w:eastAsia="ja-JP"/>
        </w:rPr>
        <w:t xml:space="preserve">las asignaciones de </w:t>
      </w:r>
      <w:r w:rsidR="00E16092" w:rsidRPr="00CA61A6">
        <w:rPr>
          <w:rFonts w:asciiTheme="majorBidi" w:hAnsiTheme="majorBidi" w:cstheme="majorBidi"/>
          <w:color w:val="000000"/>
          <w:lang w:eastAsia="ja-JP"/>
        </w:rPr>
        <w:t>MNC</w:t>
      </w:r>
      <w:r w:rsidR="00E659EE" w:rsidRPr="00CA61A6">
        <w:rPr>
          <w:lang w:eastAsia="ja-JP"/>
        </w:rPr>
        <w:t xml:space="preserve"> en un </w:t>
      </w:r>
      <w:r w:rsidR="00E16092" w:rsidRPr="00CA61A6">
        <w:rPr>
          <w:lang w:eastAsia="ja-JP"/>
        </w:rPr>
        <w:t>entorno comercial</w:t>
      </w:r>
      <w:r w:rsidR="00E659EE" w:rsidRPr="00CA61A6">
        <w:rPr>
          <w:lang w:eastAsia="ja-JP"/>
        </w:rPr>
        <w:t xml:space="preserve"> competitivo</w:t>
      </w:r>
      <w:r w:rsidR="00E16092" w:rsidRPr="00CA61A6">
        <w:rPr>
          <w:lang w:eastAsia="ja-JP"/>
        </w:rPr>
        <w:t xml:space="preserve">, habida </w:t>
      </w:r>
      <w:r w:rsidR="00E659EE" w:rsidRPr="00CA61A6">
        <w:rPr>
          <w:lang w:eastAsia="ja-JP"/>
        </w:rPr>
        <w:t xml:space="preserve">cuenta </w:t>
      </w:r>
      <w:r w:rsidR="00E16092" w:rsidRPr="00CA61A6">
        <w:rPr>
          <w:lang w:eastAsia="ja-JP"/>
        </w:rPr>
        <w:t xml:space="preserve">de </w:t>
      </w:r>
      <w:r w:rsidR="00E659EE" w:rsidRPr="00CA61A6">
        <w:rPr>
          <w:lang w:eastAsia="ja-JP"/>
        </w:rPr>
        <w:t xml:space="preserve">la necesidad de </w:t>
      </w:r>
      <w:r w:rsidR="00E16092" w:rsidRPr="00CA61A6">
        <w:rPr>
          <w:lang w:eastAsia="ja-JP"/>
        </w:rPr>
        <w:t xml:space="preserve">garantizar la </w:t>
      </w:r>
      <w:r w:rsidR="00E659EE" w:rsidRPr="00CA61A6">
        <w:rPr>
          <w:lang w:eastAsia="ja-JP"/>
        </w:rPr>
        <w:t>coherencia y</w:t>
      </w:r>
      <w:r w:rsidR="00E16092" w:rsidRPr="00CA61A6">
        <w:rPr>
          <w:lang w:eastAsia="ja-JP"/>
        </w:rPr>
        <w:t xml:space="preserve"> la</w:t>
      </w:r>
      <w:r w:rsidR="00E659EE" w:rsidRPr="00CA61A6">
        <w:rPr>
          <w:lang w:eastAsia="ja-JP"/>
        </w:rPr>
        <w:t xml:space="preserve"> compatibilidad con los recursos ya asignados. </w:t>
      </w:r>
      <w:r w:rsidR="00E16092" w:rsidRPr="00CA61A6">
        <w:rPr>
          <w:lang w:eastAsia="ja-JP"/>
        </w:rPr>
        <w:t xml:space="preserve">En el nuevo </w:t>
      </w:r>
      <w:r w:rsidR="00931869" w:rsidRPr="00CA61A6">
        <w:rPr>
          <w:lang w:eastAsia="ja-JP"/>
        </w:rPr>
        <w:t xml:space="preserve">Anexo </w:t>
      </w:r>
      <w:r w:rsidR="00E16092" w:rsidRPr="00CA61A6">
        <w:rPr>
          <w:lang w:eastAsia="ja-JP"/>
        </w:rPr>
        <w:t>G se contempla la posibilidad de</w:t>
      </w:r>
      <w:r w:rsidR="00E659EE" w:rsidRPr="00CA61A6">
        <w:rPr>
          <w:lang w:eastAsia="ja-JP"/>
        </w:rPr>
        <w:t xml:space="preserve"> utilizar </w:t>
      </w:r>
      <w:r w:rsidR="00E16092" w:rsidRPr="00CA61A6">
        <w:rPr>
          <w:szCs w:val="24"/>
          <w:lang w:eastAsia="ja-JP"/>
        </w:rPr>
        <w:t>MNC tanto de</w:t>
      </w:r>
      <w:r w:rsidR="00E16092" w:rsidRPr="00CA61A6">
        <w:rPr>
          <w:lang w:eastAsia="ja-JP"/>
        </w:rPr>
        <w:t xml:space="preserve"> </w:t>
      </w:r>
      <w:r w:rsidR="00E659EE" w:rsidRPr="00CA61A6">
        <w:rPr>
          <w:lang w:eastAsia="ja-JP"/>
        </w:rPr>
        <w:t xml:space="preserve">2 </w:t>
      </w:r>
      <w:r w:rsidR="00E16092" w:rsidRPr="00CA61A6">
        <w:rPr>
          <w:lang w:eastAsia="ja-JP"/>
        </w:rPr>
        <w:t>como de</w:t>
      </w:r>
      <w:r w:rsidR="00E659EE" w:rsidRPr="00CA61A6">
        <w:rPr>
          <w:lang w:eastAsia="ja-JP"/>
        </w:rPr>
        <w:t xml:space="preserve"> 3 dígitos. La </w:t>
      </w:r>
      <w:r w:rsidR="00A8158F" w:rsidRPr="00CA61A6">
        <w:rPr>
          <w:lang w:eastAsia="ja-JP"/>
        </w:rPr>
        <w:t>CE</w:t>
      </w:r>
      <w:r w:rsidR="00841A72">
        <w:rPr>
          <w:lang w:eastAsia="ja-JP"/>
        </w:rPr>
        <w:t> </w:t>
      </w:r>
      <w:r w:rsidR="00A8158F" w:rsidRPr="00CA61A6">
        <w:rPr>
          <w:lang w:eastAsia="ja-JP"/>
        </w:rPr>
        <w:t xml:space="preserve">2 del UIT-T determinó la </w:t>
      </w:r>
      <w:r>
        <w:rPr>
          <w:lang w:eastAsia="ja-JP"/>
        </w:rPr>
        <w:t>Recomendación UIT</w:t>
      </w:r>
      <w:r>
        <w:rPr>
          <w:lang w:eastAsia="ja-JP"/>
        </w:rPr>
        <w:noBreakHyphen/>
      </w:r>
      <w:r w:rsidR="00E659EE" w:rsidRPr="00CA61A6">
        <w:rPr>
          <w:lang w:eastAsia="ja-JP"/>
        </w:rPr>
        <w:t xml:space="preserve">T E.212 </w:t>
      </w:r>
      <w:r w:rsidR="00E16092" w:rsidRPr="00CA61A6">
        <w:rPr>
          <w:lang w:eastAsia="ja-JP"/>
        </w:rPr>
        <w:t xml:space="preserve">revisada </w:t>
      </w:r>
      <w:r w:rsidR="00E659EE" w:rsidRPr="00CA61A6">
        <w:rPr>
          <w:lang w:eastAsia="ja-JP"/>
        </w:rPr>
        <w:t xml:space="preserve">y sus anexos en la reunión </w:t>
      </w:r>
      <w:r w:rsidR="00E16092" w:rsidRPr="00CA61A6">
        <w:rPr>
          <w:lang w:eastAsia="ja-JP"/>
        </w:rPr>
        <w:t>que</w:t>
      </w:r>
      <w:r w:rsidR="00E659EE" w:rsidRPr="00CA61A6">
        <w:rPr>
          <w:lang w:eastAsia="ja-JP"/>
        </w:rPr>
        <w:t xml:space="preserve"> celeb</w:t>
      </w:r>
      <w:r w:rsidR="00A8158F" w:rsidRPr="00CA61A6">
        <w:rPr>
          <w:lang w:eastAsia="ja-JP"/>
        </w:rPr>
        <w:t>r</w:t>
      </w:r>
      <w:r w:rsidR="00E16092" w:rsidRPr="00CA61A6">
        <w:rPr>
          <w:lang w:eastAsia="ja-JP"/>
        </w:rPr>
        <w:t>ó</w:t>
      </w:r>
      <w:r w:rsidR="00E659EE" w:rsidRPr="00CA61A6">
        <w:rPr>
          <w:lang w:eastAsia="ja-JP"/>
        </w:rPr>
        <w:t xml:space="preserve"> del 20 al 29 de enero de 2016.</w:t>
      </w:r>
      <w:r w:rsidR="00A8158F" w:rsidRPr="00CA61A6">
        <w:rPr>
          <w:lang w:eastAsia="ja-JP"/>
        </w:rPr>
        <w:t xml:space="preserve"> L</w:t>
      </w:r>
      <w:r w:rsidR="00E659EE" w:rsidRPr="00CA61A6">
        <w:rPr>
          <w:lang w:eastAsia="ja-JP"/>
        </w:rPr>
        <w:t xml:space="preserve">a propuesta </w:t>
      </w:r>
      <w:r w:rsidR="00A8158F" w:rsidRPr="00CA61A6">
        <w:rPr>
          <w:lang w:eastAsia="ja-JP"/>
        </w:rPr>
        <w:t>relativa al</w:t>
      </w:r>
      <w:r w:rsidR="00E659EE" w:rsidRPr="00CA61A6">
        <w:rPr>
          <w:lang w:eastAsia="ja-JP"/>
        </w:rPr>
        <w:t xml:space="preserve"> nuevo </w:t>
      </w:r>
      <w:r w:rsidR="00841A72">
        <w:rPr>
          <w:lang w:eastAsia="ja-JP"/>
        </w:rPr>
        <w:t>Anexo </w:t>
      </w:r>
      <w:r w:rsidR="00E659EE" w:rsidRPr="00CA61A6">
        <w:rPr>
          <w:lang w:eastAsia="ja-JP"/>
        </w:rPr>
        <w:t>G fue retirada.</w:t>
      </w:r>
    </w:p>
    <w:p w:rsidR="00F1724D" w:rsidRPr="00CA61A6" w:rsidRDefault="00DD470D" w:rsidP="007B3478">
      <w:pPr>
        <w:rPr>
          <w:lang w:eastAsia="ja-JP"/>
        </w:rPr>
      </w:pPr>
      <w:r w:rsidRPr="00CA61A6">
        <w:rPr>
          <w:rFonts w:asciiTheme="majorBidi" w:hAnsiTheme="majorBidi" w:cstheme="majorBidi"/>
          <w:color w:val="000000"/>
          <w:lang w:eastAsia="ja-JP"/>
        </w:rPr>
        <w:t xml:space="preserve">En respuesta a la invitación del Director de la TSB, </w:t>
      </w:r>
      <w:r w:rsidR="00845A2E" w:rsidRPr="00CA61A6">
        <w:rPr>
          <w:rFonts w:asciiTheme="majorBidi" w:hAnsiTheme="majorBidi" w:cstheme="majorBidi"/>
          <w:color w:val="000000"/>
          <w:lang w:eastAsia="ja-JP"/>
        </w:rPr>
        <w:t xml:space="preserve">la CE 2 del UIT-T creó el </w:t>
      </w:r>
      <w:r w:rsidR="00845A2E" w:rsidRPr="00CA61A6">
        <w:t>Grupo de Expertos sobre recursos de numeración internacional</w:t>
      </w:r>
      <w:r w:rsidRPr="00CA61A6">
        <w:rPr>
          <w:rFonts w:asciiTheme="majorBidi" w:hAnsiTheme="majorBidi" w:cstheme="majorBidi"/>
          <w:color w:val="000000"/>
          <w:lang w:eastAsia="ja-JP"/>
        </w:rPr>
        <w:t xml:space="preserve"> en su reunión del 28 de mayo al 6 de junio de 2014. </w:t>
      </w:r>
      <w:r w:rsidR="00845A2E" w:rsidRPr="00CA61A6">
        <w:rPr>
          <w:rFonts w:asciiTheme="majorBidi" w:hAnsiTheme="majorBidi" w:cstheme="majorBidi"/>
          <w:color w:val="000000"/>
          <w:lang w:eastAsia="ja-JP"/>
        </w:rPr>
        <w:t xml:space="preserve">Dicho Grupo </w:t>
      </w:r>
      <w:r w:rsidR="00A8158F" w:rsidRPr="00CA61A6">
        <w:rPr>
          <w:rFonts w:asciiTheme="majorBidi" w:hAnsiTheme="majorBidi" w:cstheme="majorBidi"/>
          <w:color w:val="000000"/>
          <w:lang w:eastAsia="ja-JP"/>
        </w:rPr>
        <w:t>celebró</w:t>
      </w:r>
      <w:r w:rsidRPr="00CA61A6">
        <w:rPr>
          <w:rFonts w:asciiTheme="majorBidi" w:hAnsiTheme="majorBidi" w:cstheme="majorBidi"/>
          <w:color w:val="000000"/>
          <w:lang w:eastAsia="ja-JP"/>
        </w:rPr>
        <w:t xml:space="preserve"> cinco reuniones </w:t>
      </w:r>
      <w:r w:rsidR="00845A2E" w:rsidRPr="00CA61A6">
        <w:rPr>
          <w:rFonts w:asciiTheme="majorBidi" w:hAnsiTheme="majorBidi" w:cstheme="majorBidi"/>
          <w:color w:val="000000"/>
          <w:lang w:eastAsia="ja-JP"/>
        </w:rPr>
        <w:t>presenciales</w:t>
      </w:r>
      <w:r w:rsidRPr="00CA61A6">
        <w:rPr>
          <w:rFonts w:asciiTheme="majorBidi" w:hAnsiTheme="majorBidi" w:cstheme="majorBidi"/>
          <w:color w:val="000000"/>
          <w:lang w:eastAsia="ja-JP"/>
        </w:rPr>
        <w:t xml:space="preserve"> en </w:t>
      </w:r>
      <w:r w:rsidR="00845A2E" w:rsidRPr="00CA61A6">
        <w:rPr>
          <w:rFonts w:asciiTheme="majorBidi" w:hAnsiTheme="majorBidi" w:cstheme="majorBidi"/>
          <w:color w:val="000000"/>
          <w:lang w:eastAsia="ja-JP"/>
        </w:rPr>
        <w:t xml:space="preserve">la </w:t>
      </w:r>
      <w:r w:rsidR="000C7BF1" w:rsidRPr="00CA61A6">
        <w:rPr>
          <w:rFonts w:asciiTheme="majorBidi" w:hAnsiTheme="majorBidi" w:cstheme="majorBidi"/>
          <w:color w:val="000000"/>
          <w:lang w:eastAsia="ja-JP"/>
        </w:rPr>
        <w:t xml:space="preserve">Sede </w:t>
      </w:r>
      <w:r w:rsidRPr="00CA61A6">
        <w:rPr>
          <w:rFonts w:asciiTheme="majorBidi" w:hAnsiTheme="majorBidi" w:cstheme="majorBidi"/>
          <w:color w:val="000000"/>
          <w:lang w:eastAsia="ja-JP"/>
        </w:rPr>
        <w:t>de la UIT</w:t>
      </w:r>
      <w:r w:rsidR="00845A2E" w:rsidRPr="00CA61A6">
        <w:rPr>
          <w:rFonts w:asciiTheme="majorBidi" w:hAnsiTheme="majorBidi" w:cstheme="majorBidi"/>
          <w:color w:val="000000"/>
          <w:lang w:eastAsia="ja-JP"/>
        </w:rPr>
        <w:t xml:space="preserve"> (Ginebra) para las que</w:t>
      </w:r>
      <w:r w:rsidR="00A8158F" w:rsidRPr="00CA61A6">
        <w:rPr>
          <w:rFonts w:asciiTheme="majorBidi" w:hAnsiTheme="majorBidi" w:cstheme="majorBidi"/>
          <w:color w:val="000000"/>
          <w:lang w:eastAsia="ja-JP"/>
        </w:rPr>
        <w:t xml:space="preserve"> ofreció</w:t>
      </w:r>
      <w:r w:rsidR="00845A2E" w:rsidRPr="00CA61A6">
        <w:rPr>
          <w:rFonts w:asciiTheme="majorBidi" w:hAnsiTheme="majorBidi" w:cstheme="majorBidi"/>
          <w:color w:val="000000"/>
          <w:lang w:eastAsia="ja-JP"/>
        </w:rPr>
        <w:t xml:space="preserve"> la posibilidad de participar a distancia (2, 16, 22, 31 de j</w:t>
      </w:r>
      <w:r w:rsidRPr="00CA61A6">
        <w:rPr>
          <w:rFonts w:asciiTheme="majorBidi" w:hAnsiTheme="majorBidi" w:cstheme="majorBidi"/>
          <w:color w:val="000000"/>
          <w:lang w:eastAsia="ja-JP"/>
        </w:rPr>
        <w:t>ulio y 22 de agosto de 2014).</w:t>
      </w:r>
    </w:p>
    <w:p w:rsidR="00F1724D" w:rsidRPr="00CA61A6" w:rsidRDefault="00845A2E" w:rsidP="007B3478">
      <w:pPr>
        <w:rPr>
          <w:rFonts w:asciiTheme="majorBidi" w:hAnsiTheme="majorBidi" w:cstheme="majorBidi"/>
          <w:color w:val="000000" w:themeColor="text1"/>
          <w:lang w:eastAsia="ja-JP"/>
        </w:rPr>
      </w:pPr>
      <w:r w:rsidRPr="00CA61A6">
        <w:rPr>
          <w:rFonts w:asciiTheme="majorBidi" w:hAnsiTheme="majorBidi" w:cstheme="majorBidi"/>
          <w:color w:val="000000" w:themeColor="text1"/>
          <w:lang w:eastAsia="ja-JP"/>
        </w:rPr>
        <w:t>Las contribuciones presentadas por el Presidente del Grupo de Expertos, la TSB, un Miembro de Sector del UIT-T (Telecom Italia) y dos Estados Miembros (Suecia y Egipto) fueron objeto de examen, debate y revisión, según procedió, con arreglo a las observaciones formuladas en las reuniones del Grupo de Expertos y los comentarios enviados a la lista de correo de dicho grupo.</w:t>
      </w:r>
    </w:p>
    <w:p w:rsidR="00F1724D" w:rsidRPr="00CA61A6" w:rsidRDefault="00560A6D" w:rsidP="007B3478">
      <w:pPr>
        <w:rPr>
          <w:rFonts w:asciiTheme="majorBidi" w:hAnsiTheme="majorBidi" w:cstheme="majorBidi"/>
          <w:color w:val="000000" w:themeColor="text1"/>
          <w:lang w:eastAsia="ja-JP"/>
        </w:rPr>
      </w:pPr>
      <w:r w:rsidRPr="00CA61A6">
        <w:rPr>
          <w:rFonts w:asciiTheme="majorBidi" w:hAnsiTheme="majorBidi" w:cstheme="majorBidi"/>
          <w:color w:val="000000" w:themeColor="text1"/>
          <w:lang w:eastAsia="ja-JP"/>
        </w:rPr>
        <w:t>Los participantes e</w:t>
      </w:r>
      <w:r w:rsidR="00845A2E" w:rsidRPr="00CA61A6">
        <w:rPr>
          <w:rFonts w:asciiTheme="majorBidi" w:hAnsiTheme="majorBidi" w:cstheme="majorBidi"/>
          <w:color w:val="000000" w:themeColor="text1"/>
          <w:lang w:eastAsia="ja-JP"/>
        </w:rPr>
        <w:t>n las reuniones del Grupo de Expertos</w:t>
      </w:r>
      <w:r w:rsidRPr="00CA61A6">
        <w:rPr>
          <w:rFonts w:asciiTheme="majorBidi" w:hAnsiTheme="majorBidi" w:cstheme="majorBidi"/>
          <w:color w:val="000000" w:themeColor="text1"/>
          <w:lang w:eastAsia="ja-JP"/>
        </w:rPr>
        <w:t xml:space="preserve"> debatieron y revisaron los siguientes elementos:</w:t>
      </w:r>
    </w:p>
    <w:p w:rsidR="00F1724D" w:rsidRPr="00CA61A6" w:rsidRDefault="004F6CB1" w:rsidP="007B3478">
      <w:pPr>
        <w:pStyle w:val="enumlev1"/>
        <w:rPr>
          <w:lang w:eastAsia="ja-JP"/>
        </w:rPr>
      </w:pPr>
      <w:r w:rsidRPr="00CA61A6">
        <w:rPr>
          <w:lang w:eastAsia="ja-JP"/>
        </w:rPr>
        <w:t>–</w:t>
      </w:r>
      <w:r w:rsidRPr="00CA61A6">
        <w:rPr>
          <w:lang w:eastAsia="ja-JP"/>
        </w:rPr>
        <w:tab/>
      </w:r>
      <w:r w:rsidR="00560A6D" w:rsidRPr="00CA61A6">
        <w:rPr>
          <w:lang w:eastAsia="ja-JP"/>
        </w:rPr>
        <w:t xml:space="preserve">la lista de </w:t>
      </w:r>
      <w:r w:rsidR="00560A6D" w:rsidRPr="00CA61A6">
        <w:t>recursos de numeración internacional</w:t>
      </w:r>
      <w:r w:rsidR="00560A6D" w:rsidRPr="00CA61A6">
        <w:rPr>
          <w:lang w:eastAsia="ja-JP"/>
        </w:rPr>
        <w:t xml:space="preserve"> especificados en la</w:t>
      </w:r>
      <w:r w:rsidR="006C5F7F">
        <w:rPr>
          <w:lang w:eastAsia="ja-JP"/>
        </w:rPr>
        <w:t>s Recomendaciones UIT-T;</w:t>
      </w:r>
      <w:r w:rsidR="00560A6D" w:rsidRPr="00CA61A6">
        <w:rPr>
          <w:lang w:eastAsia="ja-JP"/>
        </w:rPr>
        <w:t xml:space="preserve"> y</w:t>
      </w:r>
    </w:p>
    <w:p w:rsidR="00F1724D" w:rsidRPr="00CA61A6" w:rsidRDefault="004F6CB1" w:rsidP="007B3478">
      <w:pPr>
        <w:pStyle w:val="enumlev1"/>
        <w:rPr>
          <w:lang w:eastAsia="ja-JP"/>
        </w:rPr>
      </w:pPr>
      <w:r w:rsidRPr="00CA61A6">
        <w:rPr>
          <w:lang w:eastAsia="ja-JP"/>
        </w:rPr>
        <w:t>–</w:t>
      </w:r>
      <w:r w:rsidRPr="00CA61A6">
        <w:rPr>
          <w:lang w:eastAsia="ja-JP"/>
        </w:rPr>
        <w:tab/>
      </w:r>
      <w:r w:rsidR="00560A6D" w:rsidRPr="00CA61A6">
        <w:rPr>
          <w:lang w:eastAsia="ja-JP"/>
        </w:rPr>
        <w:t xml:space="preserve">los costes e ingresos de la UIT vinculados a la asignación de </w:t>
      </w:r>
      <w:r w:rsidR="00560A6D" w:rsidRPr="00CA61A6">
        <w:t>recursos de numeración internacional.</w:t>
      </w:r>
    </w:p>
    <w:p w:rsidR="00F1724D" w:rsidRPr="00CA61A6" w:rsidRDefault="00560A6D" w:rsidP="007B3478">
      <w:pPr>
        <w:rPr>
          <w:szCs w:val="24"/>
          <w:lang w:eastAsia="ja-JP"/>
        </w:rPr>
      </w:pPr>
      <w:r w:rsidRPr="00CA61A6">
        <w:rPr>
          <w:szCs w:val="24"/>
          <w:lang w:eastAsia="ja-JP"/>
        </w:rPr>
        <w:t>Prácticas de organizaciones análogas:</w:t>
      </w:r>
    </w:p>
    <w:p w:rsidR="00F1724D" w:rsidRPr="00CA61A6" w:rsidRDefault="00C91002" w:rsidP="007B3478">
      <w:pPr>
        <w:pStyle w:val="enumlev1"/>
        <w:rPr>
          <w:lang w:eastAsia="ja-JP"/>
        </w:rPr>
      </w:pPr>
      <w:r w:rsidRPr="00CA61A6">
        <w:rPr>
          <w:lang w:eastAsia="ja-JP"/>
        </w:rPr>
        <w:t>–</w:t>
      </w:r>
      <w:r w:rsidRPr="00CA61A6">
        <w:rPr>
          <w:lang w:eastAsia="ja-JP"/>
        </w:rPr>
        <w:tab/>
      </w:r>
      <w:r w:rsidR="00560A6D" w:rsidRPr="00CA61A6">
        <w:rPr>
          <w:lang w:eastAsia="ja-JP"/>
        </w:rPr>
        <w:t xml:space="preserve">cambios </w:t>
      </w:r>
      <w:r w:rsidR="007A7F8C" w:rsidRPr="00CA61A6">
        <w:rPr>
          <w:lang w:eastAsia="ja-JP"/>
        </w:rPr>
        <w:t xml:space="preserve">encaminados a flexibilizar </w:t>
      </w:r>
      <w:r w:rsidR="00B64988" w:rsidRPr="00CA61A6">
        <w:rPr>
          <w:lang w:eastAsia="ja-JP"/>
        </w:rPr>
        <w:t>los</w:t>
      </w:r>
      <w:r w:rsidR="007A7F8C" w:rsidRPr="00CA61A6">
        <w:rPr>
          <w:lang w:eastAsia="ja-JP"/>
        </w:rPr>
        <w:t xml:space="preserve"> mecanismo</w:t>
      </w:r>
      <w:r w:rsidR="00B64988" w:rsidRPr="00CA61A6">
        <w:rPr>
          <w:lang w:eastAsia="ja-JP"/>
        </w:rPr>
        <w:t>s</w:t>
      </w:r>
      <w:r w:rsidR="007A7F8C" w:rsidRPr="00CA61A6">
        <w:rPr>
          <w:lang w:eastAsia="ja-JP"/>
        </w:rPr>
        <w:t xml:space="preserve"> de</w:t>
      </w:r>
      <w:r w:rsidR="00560A6D" w:rsidRPr="00CA61A6">
        <w:rPr>
          <w:lang w:eastAsia="ja-JP"/>
        </w:rPr>
        <w:t xml:space="preserve"> asignación de </w:t>
      </w:r>
      <w:r w:rsidR="00560A6D" w:rsidRPr="00CA61A6">
        <w:t>recursos de numeración internacional;</w:t>
      </w:r>
    </w:p>
    <w:p w:rsidR="00F1724D" w:rsidRPr="00CA61A6" w:rsidRDefault="00C91002" w:rsidP="007B3478">
      <w:pPr>
        <w:pStyle w:val="enumlev1"/>
        <w:rPr>
          <w:lang w:eastAsia="ja-JP"/>
        </w:rPr>
      </w:pPr>
      <w:r w:rsidRPr="00CA61A6">
        <w:rPr>
          <w:lang w:eastAsia="ja-JP"/>
        </w:rPr>
        <w:t>–</w:t>
      </w:r>
      <w:r w:rsidRPr="00CA61A6">
        <w:rPr>
          <w:lang w:eastAsia="ja-JP"/>
        </w:rPr>
        <w:tab/>
      </w:r>
      <w:r w:rsidR="007A7F8C" w:rsidRPr="00CA61A6">
        <w:rPr>
          <w:lang w:eastAsia="ja-JP"/>
        </w:rPr>
        <w:t xml:space="preserve">cambios encaminados a generar </w:t>
      </w:r>
      <w:r w:rsidR="00560A6D" w:rsidRPr="00CA61A6">
        <w:rPr>
          <w:lang w:eastAsia="ja-JP"/>
        </w:rPr>
        <w:t xml:space="preserve">ingresos a partir de los </w:t>
      </w:r>
      <w:r w:rsidR="00560A6D" w:rsidRPr="00CA61A6">
        <w:t>recursos de numeración internacional;</w:t>
      </w:r>
    </w:p>
    <w:p w:rsidR="00F1724D" w:rsidRPr="00CA61A6" w:rsidRDefault="00C91002" w:rsidP="007B3478">
      <w:pPr>
        <w:pStyle w:val="enumlev1"/>
        <w:rPr>
          <w:lang w:eastAsia="ja-JP"/>
        </w:rPr>
      </w:pPr>
      <w:r w:rsidRPr="00CA61A6">
        <w:rPr>
          <w:lang w:eastAsia="ja-JP"/>
        </w:rPr>
        <w:t>–</w:t>
      </w:r>
      <w:r w:rsidRPr="00CA61A6">
        <w:rPr>
          <w:lang w:eastAsia="ja-JP"/>
        </w:rPr>
        <w:tab/>
      </w:r>
      <w:r w:rsidR="00560A6D" w:rsidRPr="00CA61A6">
        <w:rPr>
          <w:lang w:eastAsia="ja-JP"/>
        </w:rPr>
        <w:t xml:space="preserve">ventajas e inconvenientes de </w:t>
      </w:r>
      <w:r w:rsidR="00B64988" w:rsidRPr="00CA61A6">
        <w:rPr>
          <w:lang w:eastAsia="ja-JP"/>
        </w:rPr>
        <w:t>utilizar</w:t>
      </w:r>
      <w:r w:rsidR="00560A6D" w:rsidRPr="00CA61A6">
        <w:rPr>
          <w:lang w:eastAsia="ja-JP"/>
        </w:rPr>
        <w:t xml:space="preserve"> los ingresos para equilibrar el presupuesto de la UIT;</w:t>
      </w:r>
    </w:p>
    <w:p w:rsidR="00F1724D" w:rsidRPr="00CA61A6" w:rsidRDefault="00C91002" w:rsidP="007B3478">
      <w:pPr>
        <w:pStyle w:val="enumlev1"/>
        <w:rPr>
          <w:lang w:eastAsia="ja-JP"/>
        </w:rPr>
      </w:pPr>
      <w:r w:rsidRPr="00CA61A6">
        <w:rPr>
          <w:lang w:eastAsia="ja-JP"/>
        </w:rPr>
        <w:t>–</w:t>
      </w:r>
      <w:r w:rsidRPr="00CA61A6">
        <w:rPr>
          <w:lang w:eastAsia="ja-JP"/>
        </w:rPr>
        <w:tab/>
      </w:r>
      <w:r w:rsidR="00560A6D" w:rsidRPr="00CA61A6">
        <w:rPr>
          <w:lang w:eastAsia="ja-JP"/>
        </w:rPr>
        <w:t>a</w:t>
      </w:r>
      <w:r w:rsidR="00560A6D" w:rsidRPr="00CA61A6">
        <w:t xml:space="preserve">nálisis costo-beneficio </w:t>
      </w:r>
      <w:r w:rsidR="00120D98">
        <w:rPr>
          <w:lang w:eastAsia="ja-JP"/>
        </w:rPr>
        <w:t>de los cambios;</w:t>
      </w:r>
      <w:r w:rsidR="00560A6D" w:rsidRPr="00CA61A6">
        <w:rPr>
          <w:lang w:eastAsia="ja-JP"/>
        </w:rPr>
        <w:t xml:space="preserve"> y </w:t>
      </w:r>
    </w:p>
    <w:p w:rsidR="00F1724D" w:rsidRPr="00CA61A6" w:rsidRDefault="00C91002" w:rsidP="007B3478">
      <w:pPr>
        <w:pStyle w:val="enumlev1"/>
        <w:rPr>
          <w:lang w:eastAsia="ja-JP"/>
        </w:rPr>
      </w:pPr>
      <w:r w:rsidRPr="00CA61A6">
        <w:rPr>
          <w:lang w:eastAsia="ja-JP"/>
        </w:rPr>
        <w:t>–</w:t>
      </w:r>
      <w:r w:rsidRPr="00CA61A6">
        <w:rPr>
          <w:lang w:eastAsia="ja-JP"/>
        </w:rPr>
        <w:tab/>
      </w:r>
      <w:r w:rsidR="007A7F8C" w:rsidRPr="00CA61A6">
        <w:rPr>
          <w:lang w:eastAsia="ja-JP"/>
        </w:rPr>
        <w:t>o</w:t>
      </w:r>
      <w:r w:rsidR="00560A6D" w:rsidRPr="00CA61A6">
        <w:rPr>
          <w:lang w:eastAsia="ja-JP"/>
        </w:rPr>
        <w:t>tras cuestiones</w:t>
      </w:r>
      <w:r w:rsidR="007A7F8C" w:rsidRPr="00CA61A6">
        <w:rPr>
          <w:lang w:eastAsia="ja-JP"/>
        </w:rPr>
        <w:t xml:space="preserve"> tales como</w:t>
      </w:r>
      <w:r w:rsidR="007A7F8C" w:rsidRPr="00CA61A6">
        <w:t xml:space="preserve"> las notificaciones de redes de satélite de la UIT</w:t>
      </w:r>
      <w:r w:rsidR="00560A6D" w:rsidRPr="00CA61A6">
        <w:rPr>
          <w:lang w:eastAsia="ja-JP"/>
        </w:rPr>
        <w:t xml:space="preserve">, </w:t>
      </w:r>
      <w:r w:rsidR="007A7F8C" w:rsidRPr="00CA61A6">
        <w:rPr>
          <w:lang w:eastAsia="ja-JP"/>
        </w:rPr>
        <w:t>el Sistema Internacional de Patentes</w:t>
      </w:r>
      <w:r w:rsidR="00560A6D" w:rsidRPr="00CA61A6">
        <w:rPr>
          <w:lang w:eastAsia="ja-JP"/>
        </w:rPr>
        <w:t xml:space="preserve"> de la OMPI, </w:t>
      </w:r>
      <w:r w:rsidR="007A7F8C" w:rsidRPr="00CA61A6">
        <w:rPr>
          <w:lang w:eastAsia="ja-JP"/>
        </w:rPr>
        <w:t xml:space="preserve">el evento </w:t>
      </w:r>
      <w:r w:rsidR="00560A6D" w:rsidRPr="00304C7D">
        <w:rPr>
          <w:lang w:eastAsia="ja-JP"/>
        </w:rPr>
        <w:t>IT</w:t>
      </w:r>
      <w:r w:rsidR="007A7F8C" w:rsidRPr="00304C7D">
        <w:rPr>
          <w:lang w:eastAsia="ja-JP"/>
        </w:rPr>
        <w:t>U</w:t>
      </w:r>
      <w:r w:rsidR="00560A6D" w:rsidRPr="00304C7D">
        <w:rPr>
          <w:lang w:eastAsia="ja-JP"/>
        </w:rPr>
        <w:t xml:space="preserve"> Telecom</w:t>
      </w:r>
      <w:r w:rsidR="00560A6D" w:rsidRPr="00CA61A6">
        <w:rPr>
          <w:lang w:eastAsia="ja-JP"/>
        </w:rPr>
        <w:t xml:space="preserve">, </w:t>
      </w:r>
      <w:r w:rsidR="007A7F8C" w:rsidRPr="00CA61A6">
        <w:rPr>
          <w:lang w:eastAsia="ja-JP"/>
        </w:rPr>
        <w:t xml:space="preserve">las publicaciones de la UIT y </w:t>
      </w:r>
      <w:r w:rsidR="00560A6D" w:rsidRPr="00CA61A6">
        <w:rPr>
          <w:lang w:eastAsia="ja-JP"/>
        </w:rPr>
        <w:t>l</w:t>
      </w:r>
      <w:r w:rsidR="007A7F8C" w:rsidRPr="00CA61A6">
        <w:rPr>
          <w:lang w:eastAsia="ja-JP"/>
        </w:rPr>
        <w:t>a</w:t>
      </w:r>
      <w:r w:rsidR="00560A6D" w:rsidRPr="00CA61A6">
        <w:rPr>
          <w:lang w:eastAsia="ja-JP"/>
        </w:rPr>
        <w:t xml:space="preserve"> posibilidad de </w:t>
      </w:r>
      <w:r w:rsidR="007A7F8C" w:rsidRPr="00CA61A6">
        <w:rPr>
          <w:lang w:eastAsia="ja-JP"/>
        </w:rPr>
        <w:t xml:space="preserve">externalizar la asignación de </w:t>
      </w:r>
      <w:r w:rsidR="007A7F8C" w:rsidRPr="00CA61A6">
        <w:t>recursos de numeración internacional</w:t>
      </w:r>
      <w:r w:rsidR="007A7F8C" w:rsidRPr="00CA61A6">
        <w:rPr>
          <w:lang w:eastAsia="ja-JP"/>
        </w:rPr>
        <w:t>.</w:t>
      </w:r>
    </w:p>
    <w:p w:rsidR="00F1724D" w:rsidRPr="00CA61A6" w:rsidRDefault="00163516" w:rsidP="006605B3">
      <w:pPr>
        <w:keepNext/>
        <w:keepLines/>
        <w:rPr>
          <w:lang w:eastAsia="ja-JP"/>
        </w:rPr>
      </w:pPr>
      <w:r w:rsidRPr="00CA61A6">
        <w:rPr>
          <w:lang w:eastAsia="ja-JP"/>
        </w:rPr>
        <w:lastRenderedPageBreak/>
        <w:t xml:space="preserve">Todos los resultados y contribuciones, así como archivos de la lista de correo </w:t>
      </w:r>
      <w:r w:rsidR="009709D5" w:rsidRPr="00CA61A6">
        <w:rPr>
          <w:lang w:eastAsia="ja-JP"/>
        </w:rPr>
        <w:t>del Grupo de Expertos, están disponibles en</w:t>
      </w:r>
      <w:r w:rsidRPr="00CA61A6">
        <w:rPr>
          <w:lang w:eastAsia="ja-JP"/>
        </w:rPr>
        <w:t xml:space="preserve"> </w:t>
      </w:r>
      <w:hyperlink r:id="rId81" w:history="1">
        <w:r w:rsidRPr="00CA61A6">
          <w:rPr>
            <w:rStyle w:val="Hyperlink"/>
            <w:lang w:eastAsia="ja-JP"/>
          </w:rPr>
          <w:t>https://extranet.itu.int/ITU-T/2013-2016/sg2/inr/SitePages/Home.aspx</w:t>
        </w:r>
      </w:hyperlink>
      <w:r w:rsidRPr="00CA61A6">
        <w:rPr>
          <w:lang w:eastAsia="ja-JP"/>
        </w:rPr>
        <w:t xml:space="preserve">. </w:t>
      </w:r>
      <w:r w:rsidR="009709D5" w:rsidRPr="00CA61A6">
        <w:rPr>
          <w:lang w:eastAsia="ja-JP"/>
        </w:rPr>
        <w:t xml:space="preserve">El </w:t>
      </w:r>
      <w:r w:rsidR="005D1FE0" w:rsidRPr="00CA61A6">
        <w:rPr>
          <w:lang w:eastAsia="ja-JP"/>
        </w:rPr>
        <w:t xml:space="preserve">Director </w:t>
      </w:r>
      <w:r w:rsidR="009709D5" w:rsidRPr="00CA61A6">
        <w:rPr>
          <w:lang w:eastAsia="ja-JP"/>
        </w:rPr>
        <w:t>de la TSB se ha servido de e</w:t>
      </w:r>
      <w:r w:rsidRPr="00CA61A6">
        <w:rPr>
          <w:lang w:eastAsia="ja-JP"/>
        </w:rPr>
        <w:t xml:space="preserve">stos materiales </w:t>
      </w:r>
      <w:r w:rsidR="009709D5" w:rsidRPr="00CA61A6">
        <w:rPr>
          <w:lang w:eastAsia="ja-JP"/>
        </w:rPr>
        <w:t xml:space="preserve">para la elaboración </w:t>
      </w:r>
      <w:r w:rsidRPr="00CA61A6">
        <w:rPr>
          <w:lang w:eastAsia="ja-JP"/>
        </w:rPr>
        <w:t xml:space="preserve">de su </w:t>
      </w:r>
      <w:r w:rsidR="00E50A63" w:rsidRPr="00CA61A6">
        <w:rPr>
          <w:lang w:eastAsia="ja-JP"/>
        </w:rPr>
        <w:t xml:space="preserve">Informe </w:t>
      </w:r>
      <w:r w:rsidRPr="00CA61A6">
        <w:rPr>
          <w:lang w:eastAsia="ja-JP"/>
        </w:rPr>
        <w:t xml:space="preserve">a la sesión final </w:t>
      </w:r>
      <w:r w:rsidR="009709D5" w:rsidRPr="00CA61A6">
        <w:rPr>
          <w:lang w:eastAsia="ja-JP"/>
        </w:rPr>
        <w:t xml:space="preserve">que </w:t>
      </w:r>
      <w:r w:rsidRPr="00CA61A6">
        <w:rPr>
          <w:lang w:eastAsia="ja-JP"/>
        </w:rPr>
        <w:t xml:space="preserve">el Consejo </w:t>
      </w:r>
      <w:r w:rsidR="009709D5" w:rsidRPr="00CA61A6">
        <w:rPr>
          <w:lang w:eastAsia="ja-JP"/>
        </w:rPr>
        <w:t xml:space="preserve">celebró </w:t>
      </w:r>
      <w:r w:rsidRPr="00CA61A6">
        <w:rPr>
          <w:lang w:eastAsia="ja-JP"/>
        </w:rPr>
        <w:t>el 18 de octubre de 2014.</w:t>
      </w:r>
    </w:p>
    <w:p w:rsidR="00F1724D" w:rsidRPr="00CA61A6" w:rsidRDefault="003D27C4" w:rsidP="006F2ACB">
      <w:pPr>
        <w:tabs>
          <w:tab w:val="left" w:pos="1418"/>
        </w:tabs>
        <w:rPr>
          <w:lang w:eastAsia="ja-JP"/>
        </w:rPr>
      </w:pPr>
      <w:r w:rsidRPr="00CA61A6">
        <w:rPr>
          <w:lang w:eastAsia="ja-JP"/>
        </w:rPr>
        <w:t xml:space="preserve">En su reunión del 18 al </w:t>
      </w:r>
      <w:r w:rsidR="00161BAD" w:rsidRPr="00CA61A6">
        <w:rPr>
          <w:lang w:eastAsia="ja-JP"/>
        </w:rPr>
        <w:t>27</w:t>
      </w:r>
      <w:r w:rsidRPr="00CA61A6">
        <w:rPr>
          <w:lang w:eastAsia="ja-JP"/>
        </w:rPr>
        <w:t xml:space="preserve"> de</w:t>
      </w:r>
      <w:r w:rsidR="00161BAD" w:rsidRPr="00CA61A6">
        <w:rPr>
          <w:lang w:eastAsia="ja-JP"/>
        </w:rPr>
        <w:t xml:space="preserve"> marzo de 2015, la </w:t>
      </w:r>
      <w:r w:rsidRPr="00CA61A6">
        <w:rPr>
          <w:lang w:eastAsia="ja-JP"/>
        </w:rPr>
        <w:t xml:space="preserve">CE </w:t>
      </w:r>
      <w:r w:rsidR="00161BAD" w:rsidRPr="00CA61A6">
        <w:rPr>
          <w:lang w:eastAsia="ja-JP"/>
        </w:rPr>
        <w:t>2</w:t>
      </w:r>
      <w:r w:rsidRPr="00CA61A6">
        <w:rPr>
          <w:lang w:eastAsia="ja-JP"/>
        </w:rPr>
        <w:t xml:space="preserve"> del UIT-T</w:t>
      </w:r>
      <w:r w:rsidR="00161BAD" w:rsidRPr="00CA61A6">
        <w:rPr>
          <w:lang w:eastAsia="ja-JP"/>
        </w:rPr>
        <w:t xml:space="preserve"> acordó la creación de un </w:t>
      </w:r>
      <w:r w:rsidR="00D97D0B" w:rsidRPr="00CA61A6">
        <w:rPr>
          <w:lang w:eastAsia="ja-JP"/>
        </w:rPr>
        <w:t xml:space="preserve">Grupo </w:t>
      </w:r>
      <w:r w:rsidRPr="00CA61A6">
        <w:rPr>
          <w:lang w:eastAsia="ja-JP"/>
        </w:rPr>
        <w:t xml:space="preserve">por </w:t>
      </w:r>
      <w:r w:rsidR="00161BAD" w:rsidRPr="00CA61A6">
        <w:rPr>
          <w:lang w:eastAsia="ja-JP"/>
        </w:rPr>
        <w:t xml:space="preserve">correspondencia </w:t>
      </w:r>
      <w:r w:rsidRPr="00CA61A6">
        <w:rPr>
          <w:lang w:eastAsia="ja-JP"/>
        </w:rPr>
        <w:t>encargado de</w:t>
      </w:r>
      <w:r w:rsidR="00161BAD" w:rsidRPr="00CA61A6">
        <w:rPr>
          <w:lang w:eastAsia="ja-JP"/>
        </w:rPr>
        <w:t xml:space="preserve"> revisar las recomendaciones</w:t>
      </w:r>
      <w:r w:rsidRPr="00CA61A6">
        <w:rPr>
          <w:lang w:eastAsia="ja-JP"/>
        </w:rPr>
        <w:t xml:space="preserve"> que incumben a </w:t>
      </w:r>
      <w:r w:rsidR="00B64988" w:rsidRPr="00CA61A6">
        <w:rPr>
          <w:lang w:eastAsia="ja-JP"/>
        </w:rPr>
        <w:t>dicha Comisión de Estudio</w:t>
      </w:r>
      <w:r w:rsidR="00161BAD" w:rsidRPr="00CA61A6">
        <w:rPr>
          <w:lang w:eastAsia="ja-JP"/>
        </w:rPr>
        <w:t xml:space="preserve"> e </w:t>
      </w:r>
      <w:r w:rsidRPr="006F2ACB">
        <w:rPr>
          <w:rFonts w:asciiTheme="majorBidi" w:hAnsiTheme="majorBidi" w:cstheme="majorBidi"/>
          <w:color w:val="000000" w:themeColor="text1"/>
          <w:lang w:eastAsia="ja-JP"/>
        </w:rPr>
        <w:t>im</w:t>
      </w:r>
      <w:r w:rsidR="00161BAD" w:rsidRPr="006F2ACB">
        <w:rPr>
          <w:rFonts w:asciiTheme="majorBidi" w:hAnsiTheme="majorBidi" w:cstheme="majorBidi"/>
          <w:color w:val="000000" w:themeColor="text1"/>
          <w:lang w:eastAsia="ja-JP"/>
        </w:rPr>
        <w:t>ponen</w:t>
      </w:r>
      <w:r w:rsidR="00161BAD" w:rsidRPr="00CA61A6">
        <w:rPr>
          <w:lang w:eastAsia="ja-JP"/>
        </w:rPr>
        <w:t xml:space="preserve"> requisitos de gestión a </w:t>
      </w:r>
      <w:r w:rsidRPr="00CA61A6">
        <w:rPr>
          <w:lang w:eastAsia="ja-JP"/>
        </w:rPr>
        <w:t>la</w:t>
      </w:r>
      <w:r w:rsidR="00161BAD" w:rsidRPr="00CA61A6">
        <w:rPr>
          <w:lang w:eastAsia="ja-JP"/>
        </w:rPr>
        <w:t xml:space="preserve"> TSB y </w:t>
      </w:r>
      <w:r w:rsidR="000A3EC6">
        <w:rPr>
          <w:lang w:eastAsia="ja-JP"/>
        </w:rPr>
        <w:t xml:space="preserve">a </w:t>
      </w:r>
      <w:r w:rsidR="00161BAD" w:rsidRPr="00CA61A6">
        <w:rPr>
          <w:lang w:eastAsia="ja-JP"/>
        </w:rPr>
        <w:t xml:space="preserve">los Estados </w:t>
      </w:r>
      <w:r w:rsidRPr="00CA61A6">
        <w:rPr>
          <w:lang w:eastAsia="ja-JP"/>
        </w:rPr>
        <w:t>M</w:t>
      </w:r>
      <w:r w:rsidR="00161BAD" w:rsidRPr="00CA61A6">
        <w:rPr>
          <w:lang w:eastAsia="ja-JP"/>
        </w:rPr>
        <w:t xml:space="preserve">iembros </w:t>
      </w:r>
      <w:r w:rsidRPr="00CA61A6">
        <w:rPr>
          <w:lang w:eastAsia="ja-JP"/>
        </w:rPr>
        <w:t>con respecto a los recursos de numeración internacional, con objeto de s</w:t>
      </w:r>
      <w:r w:rsidR="00F63D94" w:rsidRPr="00CA61A6">
        <w:rPr>
          <w:lang w:eastAsia="ja-JP"/>
        </w:rPr>
        <w:t>opesar la posibilidad de introducir mejoras</w:t>
      </w:r>
      <w:r w:rsidRPr="00CA61A6">
        <w:rPr>
          <w:lang w:eastAsia="ja-JP"/>
        </w:rPr>
        <w:t>.</w:t>
      </w:r>
    </w:p>
    <w:p w:rsidR="00F1724D" w:rsidRPr="00CA61A6" w:rsidRDefault="001627B7" w:rsidP="007B3478">
      <w:pPr>
        <w:tabs>
          <w:tab w:val="left" w:pos="1418"/>
        </w:tabs>
        <w:rPr>
          <w:rFonts w:asciiTheme="majorBidi" w:hAnsiTheme="majorBidi" w:cstheme="majorBidi"/>
          <w:color w:val="000000" w:themeColor="text1"/>
          <w:lang w:eastAsia="ja-JP"/>
        </w:rPr>
      </w:pPr>
      <w:r w:rsidRPr="00CA61A6">
        <w:rPr>
          <w:lang w:eastAsia="ja-JP"/>
        </w:rPr>
        <w:t xml:space="preserve">En su reunión del 18 al 27 de marzo de 2015, la CE 2 </w:t>
      </w:r>
      <w:r w:rsidR="002C44B5" w:rsidRPr="00CA61A6">
        <w:rPr>
          <w:rFonts w:asciiTheme="majorBidi" w:hAnsiTheme="majorBidi" w:cstheme="majorBidi"/>
          <w:color w:val="000000" w:themeColor="text1"/>
          <w:lang w:eastAsia="ja-JP"/>
        </w:rPr>
        <w:t xml:space="preserve">del UIT-T </w:t>
      </w:r>
      <w:r w:rsidRPr="00CA61A6">
        <w:rPr>
          <w:rFonts w:asciiTheme="majorBidi" w:hAnsiTheme="majorBidi" w:cstheme="majorBidi"/>
          <w:color w:val="000000" w:themeColor="text1"/>
          <w:lang w:eastAsia="ja-JP"/>
        </w:rPr>
        <w:t>discutió</w:t>
      </w:r>
      <w:r w:rsidR="002C44B5" w:rsidRPr="00CA61A6">
        <w:rPr>
          <w:rFonts w:asciiTheme="majorBidi" w:hAnsiTheme="majorBidi" w:cstheme="majorBidi"/>
          <w:color w:val="000000" w:themeColor="text1"/>
          <w:lang w:eastAsia="ja-JP"/>
        </w:rPr>
        <w:t xml:space="preserve"> el tema de la accesibilidad de los recursos compartidos</w:t>
      </w:r>
      <w:r w:rsidR="00F63D94" w:rsidRPr="00CA61A6">
        <w:rPr>
          <w:rFonts w:asciiTheme="majorBidi" w:hAnsiTheme="majorBidi" w:cstheme="majorBidi"/>
          <w:color w:val="000000" w:themeColor="text1"/>
          <w:lang w:eastAsia="ja-JP"/>
        </w:rPr>
        <w:t>/</w:t>
      </w:r>
      <w:r w:rsidR="002C44B5" w:rsidRPr="00CA61A6">
        <w:rPr>
          <w:rFonts w:asciiTheme="majorBidi" w:hAnsiTheme="majorBidi" w:cstheme="majorBidi"/>
          <w:color w:val="000000" w:themeColor="text1"/>
          <w:lang w:eastAsia="ja-JP"/>
        </w:rPr>
        <w:t>no geográficos especificados en la</w:t>
      </w:r>
      <w:r w:rsidR="00A4434A">
        <w:rPr>
          <w:rFonts w:asciiTheme="majorBidi" w:hAnsiTheme="majorBidi" w:cstheme="majorBidi"/>
          <w:color w:val="000000" w:themeColor="text1"/>
          <w:lang w:eastAsia="ja-JP"/>
        </w:rPr>
        <w:t>s Recomendaciones UIT-T E.164 y </w:t>
      </w:r>
      <w:r w:rsidR="002C44B5" w:rsidRPr="00CA61A6">
        <w:rPr>
          <w:rFonts w:asciiTheme="majorBidi" w:hAnsiTheme="majorBidi" w:cstheme="majorBidi"/>
          <w:color w:val="000000" w:themeColor="text1"/>
          <w:lang w:eastAsia="ja-JP"/>
        </w:rPr>
        <w:t>E.212</w:t>
      </w:r>
      <w:r w:rsidR="00F1724D" w:rsidRPr="00CA61A6">
        <w:rPr>
          <w:rFonts w:asciiTheme="majorBidi" w:hAnsiTheme="majorBidi" w:cstheme="majorBidi"/>
          <w:color w:val="000000" w:themeColor="text1"/>
          <w:lang w:eastAsia="ja-JP"/>
        </w:rPr>
        <w:t>.</w:t>
      </w:r>
      <w:r w:rsidRPr="00CA61A6">
        <w:rPr>
          <w:rFonts w:asciiTheme="majorBidi" w:hAnsiTheme="majorBidi" w:cstheme="majorBidi"/>
          <w:color w:val="000000" w:themeColor="text1"/>
          <w:lang w:eastAsia="ja-JP"/>
        </w:rPr>
        <w:t xml:space="preserve"> En dicha ocasión,</w:t>
      </w:r>
      <w:r w:rsidR="00F1724D" w:rsidRPr="00CA61A6">
        <w:rPr>
          <w:rFonts w:asciiTheme="majorBidi" w:hAnsiTheme="majorBidi" w:cstheme="majorBidi"/>
          <w:color w:val="000000" w:themeColor="text1"/>
          <w:lang w:eastAsia="ja-JP"/>
        </w:rPr>
        <w:t xml:space="preserve"> </w:t>
      </w:r>
      <w:r w:rsidR="002C44B5" w:rsidRPr="00CA61A6">
        <w:rPr>
          <w:rFonts w:asciiTheme="majorBidi" w:hAnsiTheme="majorBidi" w:cstheme="majorBidi"/>
          <w:color w:val="000000" w:themeColor="text1"/>
          <w:lang w:eastAsia="ja-JP"/>
        </w:rPr>
        <w:t xml:space="preserve">acordó señalar la situación de </w:t>
      </w:r>
      <w:r w:rsidRPr="00CA61A6">
        <w:rPr>
          <w:rFonts w:asciiTheme="majorBidi" w:hAnsiTheme="majorBidi" w:cstheme="majorBidi"/>
          <w:color w:val="000000" w:themeColor="text1"/>
          <w:lang w:eastAsia="ja-JP"/>
        </w:rPr>
        <w:t>esto</w:t>
      </w:r>
      <w:r w:rsidR="002C44B5" w:rsidRPr="00CA61A6">
        <w:rPr>
          <w:rFonts w:asciiTheme="majorBidi" w:hAnsiTheme="majorBidi" w:cstheme="majorBidi"/>
          <w:color w:val="000000" w:themeColor="text1"/>
          <w:lang w:eastAsia="ja-JP"/>
        </w:rPr>
        <w:t xml:space="preserve">s recursos a la atención de los Estados Miembros, </w:t>
      </w:r>
      <w:r w:rsidR="00F63D94" w:rsidRPr="00CA61A6">
        <w:rPr>
          <w:rFonts w:asciiTheme="majorBidi" w:hAnsiTheme="majorBidi" w:cstheme="majorBidi"/>
          <w:color w:val="000000" w:themeColor="text1"/>
          <w:lang w:eastAsia="ja-JP"/>
        </w:rPr>
        <w:t xml:space="preserve">los </w:t>
      </w:r>
      <w:r w:rsidR="002C44B5" w:rsidRPr="00CA61A6">
        <w:rPr>
          <w:rFonts w:asciiTheme="majorBidi" w:hAnsiTheme="majorBidi" w:cstheme="majorBidi"/>
          <w:color w:val="000000" w:themeColor="text1"/>
          <w:lang w:eastAsia="ja-JP"/>
        </w:rPr>
        <w:t xml:space="preserve">Miembros de Sector y </w:t>
      </w:r>
      <w:r w:rsidR="00F63D94" w:rsidRPr="00CA61A6">
        <w:rPr>
          <w:rFonts w:asciiTheme="majorBidi" w:hAnsiTheme="majorBidi" w:cstheme="majorBidi"/>
          <w:color w:val="000000" w:themeColor="text1"/>
          <w:lang w:eastAsia="ja-JP"/>
        </w:rPr>
        <w:t xml:space="preserve">los </w:t>
      </w:r>
      <w:r w:rsidR="002C44B5" w:rsidRPr="00CA61A6">
        <w:rPr>
          <w:rFonts w:asciiTheme="majorBidi" w:hAnsiTheme="majorBidi" w:cstheme="majorBidi"/>
          <w:color w:val="000000" w:themeColor="text1"/>
          <w:lang w:eastAsia="ja-JP"/>
        </w:rPr>
        <w:t>operadores</w:t>
      </w:r>
      <w:r w:rsidRPr="00CA61A6">
        <w:rPr>
          <w:rFonts w:asciiTheme="majorBidi" w:hAnsiTheme="majorBidi" w:cstheme="majorBidi"/>
          <w:color w:val="000000" w:themeColor="text1"/>
          <w:lang w:eastAsia="ja-JP"/>
        </w:rPr>
        <w:t xml:space="preserve">, mediante la publicación de una nota en el </w:t>
      </w:r>
      <w:r w:rsidR="00C53788" w:rsidRPr="00CA61A6">
        <w:t>Boletín de Explotación de la UIT.</w:t>
      </w:r>
      <w:r w:rsidRPr="00CA61A6">
        <w:rPr>
          <w:rFonts w:asciiTheme="majorBidi" w:hAnsiTheme="majorBidi" w:cstheme="majorBidi"/>
          <w:color w:val="000000" w:themeColor="text1"/>
          <w:lang w:eastAsia="ja-JP"/>
        </w:rPr>
        <w:t xml:space="preserve"> La </w:t>
      </w:r>
      <w:r w:rsidRPr="00682B2F">
        <w:rPr>
          <w:lang w:eastAsia="ja-JP"/>
        </w:rPr>
        <w:t>nota</w:t>
      </w:r>
      <w:r w:rsidRPr="00CA61A6">
        <w:rPr>
          <w:rFonts w:asciiTheme="majorBidi" w:hAnsiTheme="majorBidi" w:cstheme="majorBidi"/>
          <w:color w:val="000000" w:themeColor="text1"/>
          <w:lang w:eastAsia="ja-JP"/>
        </w:rPr>
        <w:t xml:space="preserve"> acordad</w:t>
      </w:r>
      <w:r w:rsidR="00C53788" w:rsidRPr="00CA61A6">
        <w:rPr>
          <w:rFonts w:asciiTheme="majorBidi" w:hAnsiTheme="majorBidi" w:cstheme="majorBidi"/>
          <w:color w:val="000000" w:themeColor="text1"/>
          <w:lang w:eastAsia="ja-JP"/>
        </w:rPr>
        <w:t>a</w:t>
      </w:r>
      <w:r w:rsidRPr="00CA61A6">
        <w:rPr>
          <w:rFonts w:asciiTheme="majorBidi" w:hAnsiTheme="majorBidi" w:cstheme="majorBidi"/>
          <w:color w:val="000000" w:themeColor="text1"/>
          <w:lang w:eastAsia="ja-JP"/>
        </w:rPr>
        <w:t xml:space="preserve"> fue publicada en el Boletín de Explotación </w:t>
      </w:r>
      <w:r w:rsidR="00C53788" w:rsidRPr="00CA61A6">
        <w:rPr>
          <w:rFonts w:asciiTheme="majorBidi" w:hAnsiTheme="majorBidi" w:cstheme="majorBidi"/>
          <w:color w:val="000000" w:themeColor="text1"/>
          <w:lang w:eastAsia="ja-JP"/>
        </w:rPr>
        <w:t>número</w:t>
      </w:r>
      <w:r w:rsidRPr="00CA61A6">
        <w:rPr>
          <w:rFonts w:asciiTheme="majorBidi" w:hAnsiTheme="majorBidi" w:cstheme="majorBidi"/>
          <w:color w:val="000000" w:themeColor="text1"/>
          <w:lang w:eastAsia="ja-JP"/>
        </w:rPr>
        <w:t xml:space="preserve"> 1074. </w:t>
      </w:r>
      <w:r w:rsidR="00C53788" w:rsidRPr="00CA61A6">
        <w:rPr>
          <w:rFonts w:asciiTheme="majorBidi" w:hAnsiTheme="majorBidi" w:cstheme="majorBidi"/>
          <w:color w:val="000000" w:themeColor="text1"/>
          <w:lang w:eastAsia="ja-JP"/>
        </w:rPr>
        <w:t>Los participantes e</w:t>
      </w:r>
      <w:r w:rsidRPr="00CA61A6">
        <w:rPr>
          <w:rFonts w:asciiTheme="majorBidi" w:hAnsiTheme="majorBidi" w:cstheme="majorBidi"/>
          <w:color w:val="000000" w:themeColor="text1"/>
          <w:lang w:eastAsia="ja-JP"/>
        </w:rPr>
        <w:t>n la reunión también acord</w:t>
      </w:r>
      <w:r w:rsidR="00C53788" w:rsidRPr="00CA61A6">
        <w:rPr>
          <w:rFonts w:asciiTheme="majorBidi" w:hAnsiTheme="majorBidi" w:cstheme="majorBidi"/>
          <w:color w:val="000000" w:themeColor="text1"/>
          <w:lang w:eastAsia="ja-JP"/>
        </w:rPr>
        <w:t xml:space="preserve">aron la organización de un </w:t>
      </w:r>
      <w:r w:rsidR="005B20B4" w:rsidRPr="00CA61A6">
        <w:rPr>
          <w:rFonts w:asciiTheme="majorBidi" w:hAnsiTheme="majorBidi" w:cstheme="majorBidi"/>
          <w:color w:val="000000" w:themeColor="text1"/>
          <w:lang w:eastAsia="ja-JP"/>
        </w:rPr>
        <w:t xml:space="preserve">Grupo </w:t>
      </w:r>
      <w:r w:rsidR="00C53788" w:rsidRPr="00CA61A6">
        <w:rPr>
          <w:rFonts w:asciiTheme="majorBidi" w:hAnsiTheme="majorBidi" w:cstheme="majorBidi"/>
          <w:color w:val="000000" w:themeColor="text1"/>
          <w:lang w:eastAsia="ja-JP"/>
        </w:rPr>
        <w:t>por</w:t>
      </w:r>
      <w:r w:rsidRPr="00CA61A6">
        <w:rPr>
          <w:rFonts w:asciiTheme="majorBidi" w:hAnsiTheme="majorBidi" w:cstheme="majorBidi"/>
          <w:color w:val="000000" w:themeColor="text1"/>
          <w:lang w:eastAsia="ja-JP"/>
        </w:rPr>
        <w:t xml:space="preserve"> correspondencia</w:t>
      </w:r>
      <w:r w:rsidR="00F63D94" w:rsidRPr="00CA61A6">
        <w:rPr>
          <w:rFonts w:asciiTheme="majorBidi" w:hAnsiTheme="majorBidi" w:cstheme="majorBidi"/>
          <w:color w:val="000000" w:themeColor="text1"/>
          <w:lang w:eastAsia="ja-JP"/>
        </w:rPr>
        <w:t>,</w:t>
      </w:r>
      <w:r w:rsidR="00C53788" w:rsidRPr="00CA61A6">
        <w:rPr>
          <w:rFonts w:asciiTheme="majorBidi" w:hAnsiTheme="majorBidi" w:cstheme="majorBidi"/>
          <w:color w:val="000000" w:themeColor="text1"/>
          <w:lang w:eastAsia="ja-JP"/>
        </w:rPr>
        <w:t xml:space="preserve"> que considerase la posibilidad de elaborar </w:t>
      </w:r>
      <w:r w:rsidRPr="00CA61A6">
        <w:rPr>
          <w:rFonts w:asciiTheme="majorBidi" w:hAnsiTheme="majorBidi" w:cstheme="majorBidi"/>
          <w:color w:val="000000" w:themeColor="text1"/>
          <w:lang w:eastAsia="ja-JP"/>
        </w:rPr>
        <w:t>un suplemento</w:t>
      </w:r>
      <w:r w:rsidR="00C53788" w:rsidRPr="00CA61A6">
        <w:rPr>
          <w:rFonts w:asciiTheme="majorBidi" w:hAnsiTheme="majorBidi" w:cstheme="majorBidi"/>
          <w:color w:val="000000" w:themeColor="text1"/>
          <w:lang w:eastAsia="ja-JP"/>
        </w:rPr>
        <w:t xml:space="preserve"> encaminado a sensibilizar a los</w:t>
      </w:r>
      <w:r w:rsidRPr="00CA61A6">
        <w:rPr>
          <w:rFonts w:asciiTheme="majorBidi" w:hAnsiTheme="majorBidi" w:cstheme="majorBidi"/>
          <w:color w:val="000000" w:themeColor="text1"/>
          <w:lang w:eastAsia="ja-JP"/>
        </w:rPr>
        <w:t xml:space="preserve"> Estados </w:t>
      </w:r>
      <w:r w:rsidR="00C53788" w:rsidRPr="00CA61A6">
        <w:rPr>
          <w:rFonts w:asciiTheme="majorBidi" w:hAnsiTheme="majorBidi" w:cstheme="majorBidi"/>
          <w:color w:val="000000" w:themeColor="text1"/>
          <w:lang w:eastAsia="ja-JP"/>
        </w:rPr>
        <w:t>Miembros y M</w:t>
      </w:r>
      <w:r w:rsidRPr="00CA61A6">
        <w:rPr>
          <w:rFonts w:asciiTheme="majorBidi" w:hAnsiTheme="majorBidi" w:cstheme="majorBidi"/>
          <w:color w:val="000000" w:themeColor="text1"/>
          <w:lang w:eastAsia="ja-JP"/>
        </w:rPr>
        <w:t xml:space="preserve">iembros de Sector </w:t>
      </w:r>
      <w:r w:rsidR="00C53788" w:rsidRPr="00CA61A6">
        <w:rPr>
          <w:rFonts w:asciiTheme="majorBidi" w:hAnsiTheme="majorBidi" w:cstheme="majorBidi"/>
          <w:color w:val="000000" w:themeColor="text1"/>
          <w:lang w:eastAsia="ja-JP"/>
        </w:rPr>
        <w:t>con respecto a los recursos mundiales y reducir los obstáculos a su utilización cuando procediese</w:t>
      </w:r>
      <w:r w:rsidRPr="00CA61A6">
        <w:rPr>
          <w:rFonts w:asciiTheme="majorBidi" w:hAnsiTheme="majorBidi" w:cstheme="majorBidi"/>
          <w:color w:val="000000" w:themeColor="text1"/>
          <w:lang w:eastAsia="ja-JP"/>
        </w:rPr>
        <w:t>.</w:t>
      </w:r>
    </w:p>
    <w:p w:rsidR="00F1724D" w:rsidRPr="00CA61A6" w:rsidRDefault="00F1724D" w:rsidP="007B3478">
      <w:pPr>
        <w:pStyle w:val="Headingb"/>
      </w:pPr>
      <w:bookmarkStart w:id="50" w:name="Item20_03"/>
      <w:r w:rsidRPr="00CA61A6">
        <w:t>Acción 20-03: TSB y CE</w:t>
      </w:r>
      <w:r w:rsidR="002F18BF" w:rsidRPr="00CA61A6">
        <w:t xml:space="preserve"> </w:t>
      </w:r>
      <w:r w:rsidRPr="00CA61A6">
        <w:t>2</w:t>
      </w:r>
    </w:p>
    <w:bookmarkEnd w:id="50"/>
    <w:p w:rsidR="00A86474" w:rsidRPr="00CA61A6" w:rsidRDefault="0070268D" w:rsidP="007B3478">
      <w:pPr>
        <w:rPr>
          <w:lang w:eastAsia="ja-JP"/>
        </w:rPr>
      </w:pPr>
      <w:r w:rsidRPr="00CA61A6">
        <w:rPr>
          <w:lang w:eastAsia="ja-JP"/>
        </w:rPr>
        <w:t xml:space="preserve">En 2013, </w:t>
      </w:r>
      <w:r w:rsidRPr="00CA61A6">
        <w:t xml:space="preserve">se recibieron </w:t>
      </w:r>
      <w:r w:rsidRPr="00CA61A6">
        <w:rPr>
          <w:lang w:eastAsia="ja-JP"/>
        </w:rPr>
        <w:t>más de 200</w:t>
      </w:r>
      <w:r w:rsidRPr="00CA61A6">
        <w:t xml:space="preserve"> informes </w:t>
      </w:r>
      <w:r w:rsidR="00F63D94" w:rsidRPr="00CA61A6">
        <w:t>en materia de utilización</w:t>
      </w:r>
      <w:r w:rsidRPr="00CA61A6">
        <w:t xml:space="preserve"> indebid</w:t>
      </w:r>
      <w:r w:rsidR="00F63D94" w:rsidRPr="00CA61A6">
        <w:t>a</w:t>
      </w:r>
      <w:r w:rsidRPr="00CA61A6">
        <w:t xml:space="preserve"> de los recursos de numeración,</w:t>
      </w:r>
      <w:r w:rsidR="00C53788" w:rsidRPr="00CA61A6">
        <w:rPr>
          <w:lang w:eastAsia="ja-JP"/>
        </w:rPr>
        <w:t xml:space="preserve"> de conformidad con los procedimientos establecidos. El Director de la TSB</w:t>
      </w:r>
      <w:r w:rsidR="00F63D94" w:rsidRPr="00CA61A6">
        <w:rPr>
          <w:lang w:eastAsia="ja-JP"/>
        </w:rPr>
        <w:t xml:space="preserve"> envió notificaciones</w:t>
      </w:r>
      <w:r w:rsidR="00C53788" w:rsidRPr="00CA61A6">
        <w:rPr>
          <w:lang w:eastAsia="ja-JP"/>
        </w:rPr>
        <w:t xml:space="preserve"> a </w:t>
      </w:r>
      <w:r w:rsidR="00F63D94" w:rsidRPr="00CA61A6">
        <w:rPr>
          <w:lang w:eastAsia="ja-JP"/>
        </w:rPr>
        <w:t xml:space="preserve">todas </w:t>
      </w:r>
      <w:r w:rsidR="00C53788" w:rsidRPr="00CA61A6">
        <w:rPr>
          <w:lang w:eastAsia="ja-JP"/>
        </w:rPr>
        <w:t>las administraciones interesadas</w:t>
      </w:r>
      <w:r w:rsidR="00F63D94" w:rsidRPr="00CA61A6">
        <w:rPr>
          <w:lang w:eastAsia="ja-JP"/>
        </w:rPr>
        <w:t>, y</w:t>
      </w:r>
      <w:r w:rsidR="00C53788" w:rsidRPr="00CA61A6">
        <w:rPr>
          <w:lang w:eastAsia="ja-JP"/>
        </w:rPr>
        <w:t xml:space="preserve"> </w:t>
      </w:r>
      <w:r w:rsidR="00F63D94" w:rsidRPr="00CA61A6">
        <w:rPr>
          <w:lang w:eastAsia="ja-JP"/>
        </w:rPr>
        <w:t>a</w:t>
      </w:r>
      <w:r w:rsidR="00C53788" w:rsidRPr="00CA61A6">
        <w:rPr>
          <w:lang w:eastAsia="ja-JP"/>
        </w:rPr>
        <w:t>lrededor del 30% d</w:t>
      </w:r>
      <w:r w:rsidRPr="00CA61A6">
        <w:rPr>
          <w:lang w:eastAsia="ja-JP"/>
        </w:rPr>
        <w:t>e los informes obtuvo respuesta</w:t>
      </w:r>
      <w:r w:rsidR="00C53788" w:rsidRPr="00CA61A6">
        <w:rPr>
          <w:lang w:eastAsia="ja-JP"/>
        </w:rPr>
        <w:t xml:space="preserve">. </w:t>
      </w:r>
      <w:r w:rsidRPr="00CA61A6">
        <w:rPr>
          <w:lang w:eastAsia="ja-JP"/>
        </w:rPr>
        <w:t>Dich</w:t>
      </w:r>
      <w:r w:rsidR="00C53788" w:rsidRPr="00CA61A6">
        <w:rPr>
          <w:lang w:eastAsia="ja-JP"/>
        </w:rPr>
        <w:t>as respuestas</w:t>
      </w:r>
      <w:r w:rsidRPr="00CA61A6">
        <w:rPr>
          <w:lang w:eastAsia="ja-JP"/>
        </w:rPr>
        <w:t xml:space="preserve"> fueron publicadas a medida que se recibieron</w:t>
      </w:r>
      <w:r w:rsidR="00C53788" w:rsidRPr="00CA61A6">
        <w:rPr>
          <w:lang w:eastAsia="ja-JP"/>
        </w:rPr>
        <w:t>. La mayoría fue</w:t>
      </w:r>
      <w:r w:rsidR="00B45E4A">
        <w:rPr>
          <w:lang w:eastAsia="ja-JP"/>
        </w:rPr>
        <w:t>ron</w:t>
      </w:r>
      <w:r w:rsidR="00C53788" w:rsidRPr="00CA61A6">
        <w:rPr>
          <w:lang w:eastAsia="ja-JP"/>
        </w:rPr>
        <w:t xml:space="preserve"> enviad</w:t>
      </w:r>
      <w:r w:rsidRPr="00CA61A6">
        <w:rPr>
          <w:lang w:eastAsia="ja-JP"/>
        </w:rPr>
        <w:t>a</w:t>
      </w:r>
      <w:r w:rsidR="008804AC">
        <w:rPr>
          <w:lang w:eastAsia="ja-JP"/>
        </w:rPr>
        <w:t>s</w:t>
      </w:r>
      <w:r w:rsidR="00C53788" w:rsidRPr="00CA61A6">
        <w:rPr>
          <w:lang w:eastAsia="ja-JP"/>
        </w:rPr>
        <w:t xml:space="preserve"> por GSMA entre marzo de 2012 y febrero de 2013, </w:t>
      </w:r>
      <w:r w:rsidRPr="00CA61A6">
        <w:rPr>
          <w:lang w:eastAsia="ja-JP"/>
        </w:rPr>
        <w:t>no obstante, esta asociación</w:t>
      </w:r>
      <w:r w:rsidR="00C53788" w:rsidRPr="00CA61A6">
        <w:rPr>
          <w:lang w:eastAsia="ja-JP"/>
        </w:rPr>
        <w:t xml:space="preserve"> </w:t>
      </w:r>
      <w:r w:rsidR="00F63D94" w:rsidRPr="00CA61A6">
        <w:rPr>
          <w:lang w:eastAsia="ja-JP"/>
        </w:rPr>
        <w:t>suspendió la</w:t>
      </w:r>
      <w:r w:rsidR="00C53788" w:rsidRPr="00CA61A6">
        <w:rPr>
          <w:lang w:eastAsia="ja-JP"/>
        </w:rPr>
        <w:t xml:space="preserve"> presentación de </w:t>
      </w:r>
      <w:r w:rsidRPr="00CA61A6">
        <w:t>informes</w:t>
      </w:r>
      <w:r w:rsidR="00F63D94" w:rsidRPr="00CA61A6">
        <w:t xml:space="preserve"> en materia de utilización </w:t>
      </w:r>
      <w:r w:rsidRPr="00CA61A6">
        <w:t>indebid</w:t>
      </w:r>
      <w:r w:rsidR="00F63D94" w:rsidRPr="00CA61A6">
        <w:t>a</w:t>
      </w:r>
      <w:r w:rsidRPr="00CA61A6">
        <w:t xml:space="preserve"> de recursos de numeración al</w:t>
      </w:r>
      <w:r w:rsidR="00454F5F">
        <w:rPr>
          <w:lang w:eastAsia="ja-JP"/>
        </w:rPr>
        <w:t xml:space="preserve"> UIT</w:t>
      </w:r>
      <w:r w:rsidR="00454F5F">
        <w:rPr>
          <w:lang w:eastAsia="ja-JP"/>
        </w:rPr>
        <w:noBreakHyphen/>
      </w:r>
      <w:r w:rsidR="00C53788" w:rsidRPr="00CA61A6">
        <w:rPr>
          <w:lang w:eastAsia="ja-JP"/>
        </w:rPr>
        <w:t xml:space="preserve">T. </w:t>
      </w:r>
      <w:r w:rsidRPr="00CA61A6">
        <w:rPr>
          <w:lang w:eastAsia="ja-JP"/>
        </w:rPr>
        <w:t>Actualmente, la CE 2 está estudiando</w:t>
      </w:r>
      <w:r w:rsidR="00F63D94" w:rsidRPr="00CA61A6">
        <w:rPr>
          <w:lang w:eastAsia="ja-JP"/>
        </w:rPr>
        <w:t xml:space="preserve"> la posibilidad de modificar </w:t>
      </w:r>
      <w:r w:rsidR="00C53788" w:rsidRPr="00CA61A6">
        <w:rPr>
          <w:lang w:eastAsia="ja-JP"/>
        </w:rPr>
        <w:t>la Recomendación UIT-T E.156</w:t>
      </w:r>
      <w:r w:rsidR="00F63D94" w:rsidRPr="00CA61A6">
        <w:rPr>
          <w:lang w:eastAsia="ja-JP"/>
        </w:rPr>
        <w:t xml:space="preserve"> con </w:t>
      </w:r>
      <w:r w:rsidR="00D502C4" w:rsidRPr="00CA61A6">
        <w:rPr>
          <w:lang w:eastAsia="ja-JP"/>
        </w:rPr>
        <w:t xml:space="preserve">el objetivo de </w:t>
      </w:r>
      <w:r w:rsidR="00C53788" w:rsidRPr="00CA61A6">
        <w:rPr>
          <w:lang w:eastAsia="ja-JP"/>
        </w:rPr>
        <w:t>reflejar el</w:t>
      </w:r>
      <w:r w:rsidR="00D502C4" w:rsidRPr="00CA61A6">
        <w:rPr>
          <w:lang w:eastAsia="ja-JP"/>
        </w:rPr>
        <w:t xml:space="preserve"> actual</w:t>
      </w:r>
      <w:r w:rsidR="00C53788" w:rsidRPr="00CA61A6">
        <w:rPr>
          <w:lang w:eastAsia="ja-JP"/>
        </w:rPr>
        <w:t xml:space="preserve"> </w:t>
      </w:r>
      <w:r w:rsidRPr="00CA61A6">
        <w:t xml:space="preserve">uso indebido de los recursos de numeración, así como </w:t>
      </w:r>
      <w:r w:rsidR="00D502C4" w:rsidRPr="00CA61A6">
        <w:t>de</w:t>
      </w:r>
      <w:r w:rsidRPr="00CA61A6">
        <w:t xml:space="preserve"> </w:t>
      </w:r>
      <w:r w:rsidR="00C53788" w:rsidRPr="00CA61A6">
        <w:rPr>
          <w:lang w:eastAsia="ja-JP"/>
        </w:rPr>
        <w:t>proponer medio</w:t>
      </w:r>
      <w:r w:rsidRPr="00CA61A6">
        <w:rPr>
          <w:lang w:eastAsia="ja-JP"/>
        </w:rPr>
        <w:t>s</w:t>
      </w:r>
      <w:r w:rsidR="00C53788" w:rsidRPr="00CA61A6">
        <w:rPr>
          <w:lang w:eastAsia="ja-JP"/>
        </w:rPr>
        <w:t xml:space="preserve"> más </w:t>
      </w:r>
      <w:r w:rsidR="00792D99" w:rsidRPr="00CA61A6">
        <w:rPr>
          <w:lang w:eastAsia="ja-JP"/>
        </w:rPr>
        <w:t>eficaces</w:t>
      </w:r>
      <w:r w:rsidR="00C53788" w:rsidRPr="00CA61A6">
        <w:rPr>
          <w:lang w:eastAsia="ja-JP"/>
        </w:rPr>
        <w:t xml:space="preserve"> </w:t>
      </w:r>
      <w:r w:rsidRPr="00CA61A6">
        <w:rPr>
          <w:lang w:eastAsia="ja-JP"/>
        </w:rPr>
        <w:t>para</w:t>
      </w:r>
      <w:r w:rsidR="00C53788" w:rsidRPr="00CA61A6">
        <w:rPr>
          <w:lang w:eastAsia="ja-JP"/>
        </w:rPr>
        <w:t xml:space="preserve"> lucha</w:t>
      </w:r>
      <w:r w:rsidRPr="00CA61A6">
        <w:rPr>
          <w:lang w:eastAsia="ja-JP"/>
        </w:rPr>
        <w:t>r</w:t>
      </w:r>
      <w:r w:rsidR="00C53788" w:rsidRPr="00CA61A6">
        <w:rPr>
          <w:lang w:eastAsia="ja-JP"/>
        </w:rPr>
        <w:t xml:space="preserve"> contra </w:t>
      </w:r>
      <w:r w:rsidR="00D502C4" w:rsidRPr="00CA61A6">
        <w:rPr>
          <w:lang w:eastAsia="ja-JP"/>
        </w:rPr>
        <w:t>la utilización</w:t>
      </w:r>
      <w:r w:rsidR="00D502C4" w:rsidRPr="00CA61A6">
        <w:t xml:space="preserve"> indebida</w:t>
      </w:r>
      <w:r w:rsidRPr="00CA61A6">
        <w:t xml:space="preserve"> de estos recursos</w:t>
      </w:r>
      <w:r w:rsidR="00A86474" w:rsidRPr="00CA61A6">
        <w:rPr>
          <w:lang w:eastAsia="ja-JP"/>
        </w:rPr>
        <w:t>.</w:t>
      </w:r>
    </w:p>
    <w:p w:rsidR="00A86474" w:rsidRPr="00CA61A6" w:rsidRDefault="0070268D" w:rsidP="007B3478">
      <w:pPr>
        <w:rPr>
          <w:szCs w:val="24"/>
          <w:lang w:eastAsia="ja-JP"/>
        </w:rPr>
      </w:pPr>
      <w:r w:rsidRPr="00CA61A6">
        <w:rPr>
          <w:lang w:eastAsia="ja-JP"/>
        </w:rPr>
        <w:t xml:space="preserve">En su reunión de enero de 2013, también se acordó estudiar </w:t>
      </w:r>
      <w:r w:rsidR="00643E0B" w:rsidRPr="00CA61A6">
        <w:rPr>
          <w:lang w:eastAsia="ja-JP"/>
        </w:rPr>
        <w:t>el modo en que la</w:t>
      </w:r>
      <w:r w:rsidRPr="00CA61A6">
        <w:rPr>
          <w:lang w:eastAsia="ja-JP"/>
        </w:rPr>
        <w:t xml:space="preserve"> TSB</w:t>
      </w:r>
      <w:r w:rsidR="00643E0B" w:rsidRPr="00CA61A6">
        <w:rPr>
          <w:lang w:eastAsia="ja-JP"/>
        </w:rPr>
        <w:t xml:space="preserve"> podría</w:t>
      </w:r>
      <w:r w:rsidRPr="00CA61A6">
        <w:rPr>
          <w:lang w:eastAsia="ja-JP"/>
        </w:rPr>
        <w:t xml:space="preserve"> </w:t>
      </w:r>
      <w:r w:rsidR="00B26079" w:rsidRPr="00CA61A6">
        <w:rPr>
          <w:lang w:eastAsia="ja-JP"/>
        </w:rPr>
        <w:t>"</w:t>
      </w:r>
      <w:r w:rsidR="00643E0B" w:rsidRPr="00CA61A6">
        <w:rPr>
          <w:lang w:eastAsia="ja-JP"/>
        </w:rPr>
        <w:t>agilizar</w:t>
      </w:r>
      <w:r w:rsidR="00B26079" w:rsidRPr="00CA61A6">
        <w:rPr>
          <w:lang w:eastAsia="ja-JP"/>
        </w:rPr>
        <w:t>"</w:t>
      </w:r>
      <w:r w:rsidR="00643E0B" w:rsidRPr="00CA61A6">
        <w:rPr>
          <w:lang w:eastAsia="ja-JP"/>
        </w:rPr>
        <w:t xml:space="preserve"> el proceso y lograr que </w:t>
      </w:r>
      <w:r w:rsidR="00D502C4" w:rsidRPr="00CA61A6">
        <w:rPr>
          <w:lang w:eastAsia="ja-JP"/>
        </w:rPr>
        <w:t>fuese</w:t>
      </w:r>
      <w:r w:rsidRPr="00CA61A6">
        <w:rPr>
          <w:lang w:eastAsia="ja-JP"/>
        </w:rPr>
        <w:t xml:space="preserve"> lo más automático posible. El mecanismo de</w:t>
      </w:r>
      <w:r w:rsidR="00643E0B" w:rsidRPr="00CA61A6">
        <w:rPr>
          <w:lang w:eastAsia="ja-JP"/>
        </w:rPr>
        <w:t xml:space="preserve"> presentación de informes está siendo objeto de revisión con miras a la simplificación de la</w:t>
      </w:r>
      <w:r w:rsidRPr="00CA61A6">
        <w:rPr>
          <w:lang w:eastAsia="ja-JP"/>
        </w:rPr>
        <w:t xml:space="preserve"> interfaz</w:t>
      </w:r>
      <w:r w:rsidR="00643E0B" w:rsidRPr="00CA61A6">
        <w:rPr>
          <w:lang w:eastAsia="ja-JP"/>
        </w:rPr>
        <w:t>, y la</w:t>
      </w:r>
      <w:r w:rsidRPr="00CA61A6">
        <w:rPr>
          <w:lang w:eastAsia="ja-JP"/>
        </w:rPr>
        <w:t xml:space="preserve"> TSB </w:t>
      </w:r>
      <w:r w:rsidR="00F3245F" w:rsidRPr="00CA61A6">
        <w:rPr>
          <w:lang w:eastAsia="ja-JP"/>
        </w:rPr>
        <w:t xml:space="preserve">se </w:t>
      </w:r>
      <w:r w:rsidRPr="00CA61A6">
        <w:rPr>
          <w:lang w:eastAsia="ja-JP"/>
        </w:rPr>
        <w:t>está</w:t>
      </w:r>
      <w:r w:rsidR="00F3245F" w:rsidRPr="00CA61A6">
        <w:rPr>
          <w:lang w:eastAsia="ja-JP"/>
        </w:rPr>
        <w:t xml:space="preserve"> afanando en </w:t>
      </w:r>
      <w:r w:rsidRPr="00CA61A6">
        <w:rPr>
          <w:lang w:eastAsia="ja-JP"/>
        </w:rPr>
        <w:t xml:space="preserve">permitir </w:t>
      </w:r>
      <w:r w:rsidR="00643E0B" w:rsidRPr="00CA61A6">
        <w:rPr>
          <w:lang w:eastAsia="ja-JP"/>
        </w:rPr>
        <w:t>que todos sus</w:t>
      </w:r>
      <w:r w:rsidRPr="00CA61A6">
        <w:rPr>
          <w:lang w:eastAsia="ja-JP"/>
        </w:rPr>
        <w:t xml:space="preserve"> miembros </w:t>
      </w:r>
      <w:r w:rsidR="00643E0B" w:rsidRPr="00CA61A6">
        <w:rPr>
          <w:lang w:eastAsia="ja-JP"/>
        </w:rPr>
        <w:t xml:space="preserve">puedan </w:t>
      </w:r>
      <w:r w:rsidRPr="00CA61A6">
        <w:rPr>
          <w:lang w:eastAsia="ja-JP"/>
        </w:rPr>
        <w:t xml:space="preserve">recibir </w:t>
      </w:r>
      <w:r w:rsidR="00643E0B" w:rsidRPr="00CA61A6">
        <w:rPr>
          <w:lang w:eastAsia="ja-JP"/>
        </w:rPr>
        <w:t>las</w:t>
      </w:r>
      <w:r w:rsidRPr="00CA61A6">
        <w:rPr>
          <w:lang w:eastAsia="ja-JP"/>
        </w:rPr>
        <w:t xml:space="preserve"> notificaci</w:t>
      </w:r>
      <w:r w:rsidR="00643E0B" w:rsidRPr="00CA61A6">
        <w:rPr>
          <w:lang w:eastAsia="ja-JP"/>
        </w:rPr>
        <w:t xml:space="preserve">ones de uso indebido </w:t>
      </w:r>
      <w:r w:rsidRPr="00CA61A6">
        <w:rPr>
          <w:lang w:eastAsia="ja-JP"/>
        </w:rPr>
        <w:t>a la mayor brevedad.</w:t>
      </w:r>
      <w:r w:rsidR="00A86474" w:rsidRPr="00CA61A6">
        <w:rPr>
          <w:szCs w:val="24"/>
          <w:lang w:eastAsia="ja-JP"/>
        </w:rPr>
        <w:t xml:space="preserve"> </w:t>
      </w:r>
      <w:r w:rsidR="00876E9D" w:rsidRPr="00CA61A6">
        <w:rPr>
          <w:szCs w:val="24"/>
          <w:lang w:eastAsia="ja-JP"/>
        </w:rPr>
        <w:t xml:space="preserve">Sin embargo, </w:t>
      </w:r>
      <w:r w:rsidR="00643E0B" w:rsidRPr="00CA61A6">
        <w:rPr>
          <w:szCs w:val="24"/>
          <w:lang w:eastAsia="ja-JP"/>
        </w:rPr>
        <w:t xml:space="preserve">en su reunión del 17 al 26 de septiembre de 2013, </w:t>
      </w:r>
      <w:r w:rsidR="00876E9D" w:rsidRPr="00CA61A6">
        <w:rPr>
          <w:szCs w:val="24"/>
          <w:lang w:eastAsia="ja-JP"/>
        </w:rPr>
        <w:t>la CE</w:t>
      </w:r>
      <w:r w:rsidR="008B5B32" w:rsidRPr="00CA61A6">
        <w:rPr>
          <w:szCs w:val="24"/>
          <w:lang w:eastAsia="ja-JP"/>
        </w:rPr>
        <w:t> </w:t>
      </w:r>
      <w:r w:rsidR="00876E9D" w:rsidRPr="00CA61A6">
        <w:rPr>
          <w:szCs w:val="24"/>
          <w:lang w:eastAsia="ja-JP"/>
        </w:rPr>
        <w:t xml:space="preserve">2 </w:t>
      </w:r>
      <w:r w:rsidR="00F3245F" w:rsidRPr="00CA61A6">
        <w:rPr>
          <w:szCs w:val="24"/>
          <w:lang w:eastAsia="ja-JP"/>
        </w:rPr>
        <w:t>convino en</w:t>
      </w:r>
      <w:r w:rsidR="00876E9D" w:rsidRPr="00CA61A6">
        <w:rPr>
          <w:szCs w:val="24"/>
          <w:lang w:eastAsia="ja-JP"/>
        </w:rPr>
        <w:t xml:space="preserve"> que el </w:t>
      </w:r>
      <w:r w:rsidR="00F3245F" w:rsidRPr="00CA61A6">
        <w:rPr>
          <w:szCs w:val="24"/>
          <w:lang w:eastAsia="ja-JP"/>
        </w:rPr>
        <w:t>objetivo principal</w:t>
      </w:r>
      <w:r w:rsidR="00876E9D" w:rsidRPr="00CA61A6">
        <w:rPr>
          <w:szCs w:val="24"/>
          <w:lang w:eastAsia="ja-JP"/>
        </w:rPr>
        <w:t xml:space="preserve"> del procedimiento </w:t>
      </w:r>
      <w:r w:rsidR="00F3245F" w:rsidRPr="00CA61A6">
        <w:rPr>
          <w:szCs w:val="24"/>
          <w:lang w:eastAsia="ja-JP"/>
        </w:rPr>
        <w:t>de presentación de informes era</w:t>
      </w:r>
      <w:r w:rsidR="00876E9D" w:rsidRPr="00CA61A6">
        <w:rPr>
          <w:szCs w:val="24"/>
          <w:lang w:eastAsia="ja-JP"/>
        </w:rPr>
        <w:t xml:space="preserve"> ofrecer información precisa sobre </w:t>
      </w:r>
      <w:r w:rsidR="00643E0B" w:rsidRPr="00CA61A6">
        <w:rPr>
          <w:lang w:eastAsia="ja-JP"/>
        </w:rPr>
        <w:t xml:space="preserve">el </w:t>
      </w:r>
      <w:r w:rsidR="00643E0B" w:rsidRPr="00CA61A6">
        <w:t>uso indebido de los recursos de numeración</w:t>
      </w:r>
      <w:r w:rsidR="00876E9D" w:rsidRPr="00CA61A6">
        <w:rPr>
          <w:szCs w:val="24"/>
          <w:lang w:eastAsia="ja-JP"/>
        </w:rPr>
        <w:t xml:space="preserve"> a los Estados Miembros</w:t>
      </w:r>
      <w:r w:rsidR="00643E0B" w:rsidRPr="00CA61A6">
        <w:rPr>
          <w:szCs w:val="24"/>
          <w:lang w:eastAsia="ja-JP"/>
        </w:rPr>
        <w:t>,</w:t>
      </w:r>
      <w:r w:rsidR="00876E9D" w:rsidRPr="00CA61A6">
        <w:rPr>
          <w:szCs w:val="24"/>
          <w:lang w:eastAsia="ja-JP"/>
        </w:rPr>
        <w:t xml:space="preserve"> a través de un procedimiento bien definido y conforme a la Recomendación UIT-T E.156, incluso </w:t>
      </w:r>
      <w:r w:rsidR="00643E0B" w:rsidRPr="00CA61A6">
        <w:rPr>
          <w:szCs w:val="24"/>
          <w:lang w:eastAsia="ja-JP"/>
        </w:rPr>
        <w:t>aunque el informe no se facilit</w:t>
      </w:r>
      <w:r w:rsidR="00F3245F" w:rsidRPr="00CA61A6">
        <w:rPr>
          <w:szCs w:val="24"/>
          <w:lang w:eastAsia="ja-JP"/>
        </w:rPr>
        <w:t>as</w:t>
      </w:r>
      <w:r w:rsidR="00643E0B" w:rsidRPr="00CA61A6">
        <w:rPr>
          <w:szCs w:val="24"/>
          <w:lang w:eastAsia="ja-JP"/>
        </w:rPr>
        <w:t>e</w:t>
      </w:r>
      <w:r w:rsidR="00876E9D" w:rsidRPr="00CA61A6">
        <w:rPr>
          <w:szCs w:val="24"/>
          <w:lang w:eastAsia="ja-JP"/>
        </w:rPr>
        <w:t xml:space="preserve"> en </w:t>
      </w:r>
      <w:r w:rsidR="00B26079" w:rsidRPr="00CA61A6">
        <w:rPr>
          <w:szCs w:val="24"/>
          <w:lang w:eastAsia="ja-JP"/>
        </w:rPr>
        <w:t>"</w:t>
      </w:r>
      <w:r w:rsidR="00F3245F" w:rsidRPr="00CA61A6">
        <w:rPr>
          <w:szCs w:val="24"/>
          <w:lang w:eastAsia="ja-JP"/>
        </w:rPr>
        <w:t>tiempo real</w:t>
      </w:r>
      <w:r w:rsidR="00B26079" w:rsidRPr="00CA61A6">
        <w:rPr>
          <w:szCs w:val="24"/>
          <w:lang w:eastAsia="ja-JP"/>
        </w:rPr>
        <w:t>"</w:t>
      </w:r>
      <w:r w:rsidR="00A86474" w:rsidRPr="00CA61A6">
        <w:rPr>
          <w:szCs w:val="24"/>
          <w:lang w:eastAsia="ja-JP"/>
        </w:rPr>
        <w:t xml:space="preserve">. </w:t>
      </w:r>
      <w:r w:rsidR="00876E9D" w:rsidRPr="00CA61A6">
        <w:rPr>
          <w:szCs w:val="24"/>
          <w:lang w:eastAsia="ja-JP"/>
        </w:rPr>
        <w:t xml:space="preserve">Además, dicho proceso de presentación de informes </w:t>
      </w:r>
      <w:r w:rsidR="00F3245F" w:rsidRPr="00CA61A6">
        <w:rPr>
          <w:szCs w:val="24"/>
          <w:lang w:eastAsia="ja-JP"/>
        </w:rPr>
        <w:t>tendría la ventaja de</w:t>
      </w:r>
      <w:r w:rsidR="00876E9D" w:rsidRPr="00CA61A6">
        <w:rPr>
          <w:szCs w:val="24"/>
          <w:lang w:eastAsia="ja-JP"/>
        </w:rPr>
        <w:t xml:space="preserve"> que la parte informante puede estar segura de que </w:t>
      </w:r>
      <w:r w:rsidR="00F3245F" w:rsidRPr="00CA61A6">
        <w:rPr>
          <w:szCs w:val="24"/>
          <w:lang w:eastAsia="ja-JP"/>
        </w:rPr>
        <w:t xml:space="preserve">la información </w:t>
      </w:r>
      <w:r w:rsidR="00876E9D" w:rsidRPr="00CA61A6">
        <w:rPr>
          <w:szCs w:val="24"/>
          <w:lang w:eastAsia="ja-JP"/>
        </w:rPr>
        <w:t>se envía al asignatario legítimo del recurso.</w:t>
      </w:r>
    </w:p>
    <w:p w:rsidR="00A86474" w:rsidRPr="00CA61A6" w:rsidRDefault="00643E0B" w:rsidP="00D21178">
      <w:pPr>
        <w:rPr>
          <w:szCs w:val="24"/>
          <w:lang w:eastAsia="ja-JP"/>
        </w:rPr>
      </w:pPr>
      <w:r w:rsidRPr="00CA61A6">
        <w:t>En 2014, se recibieron</w:t>
      </w:r>
      <w:r w:rsidR="0008791F" w:rsidRPr="00CA61A6">
        <w:t xml:space="preserve"> cinco informes sobre </w:t>
      </w:r>
      <w:hyperlink r:id="rId82" w:history="1">
        <w:r w:rsidR="00D21178" w:rsidRPr="00CA61A6">
          <w:rPr>
            <w:rStyle w:val="Hyperlink"/>
            <w:szCs w:val="24"/>
            <w:lang w:eastAsia="ja-JP"/>
          </w:rPr>
          <w:t>uso indebido de los recursos de numeración</w:t>
        </w:r>
      </w:hyperlink>
      <w:r w:rsidR="0008791F" w:rsidRPr="00CA61A6">
        <w:t xml:space="preserve">, dos de los cuales recibieron </w:t>
      </w:r>
      <w:r w:rsidRPr="00CA61A6">
        <w:t>respuesta</w:t>
      </w:r>
      <w:r w:rsidR="00A86474" w:rsidRPr="00CA61A6">
        <w:rPr>
          <w:szCs w:val="24"/>
          <w:lang w:eastAsia="ja-JP"/>
        </w:rPr>
        <w:t xml:space="preserve">. </w:t>
      </w:r>
      <w:r w:rsidRPr="00CA61A6">
        <w:rPr>
          <w:szCs w:val="24"/>
          <w:lang w:eastAsia="ja-JP"/>
        </w:rPr>
        <w:t xml:space="preserve">En 2015 se recibió un informe sobre </w:t>
      </w:r>
      <w:hyperlink r:id="rId83" w:history="1">
        <w:r w:rsidRPr="00CA61A6">
          <w:rPr>
            <w:rStyle w:val="Hyperlink"/>
            <w:szCs w:val="24"/>
            <w:lang w:eastAsia="ja-JP"/>
          </w:rPr>
          <w:t>uso indebido de los recursos de numeración</w:t>
        </w:r>
      </w:hyperlink>
      <w:r w:rsidRPr="00CA61A6">
        <w:rPr>
          <w:szCs w:val="24"/>
          <w:lang w:eastAsia="ja-JP"/>
        </w:rPr>
        <w:t>.</w:t>
      </w:r>
    </w:p>
    <w:p w:rsidR="009B299C" w:rsidRPr="00CA61A6" w:rsidRDefault="009B299C" w:rsidP="007B3478">
      <w:pPr>
        <w:pStyle w:val="Headingb"/>
      </w:pPr>
      <w:bookmarkStart w:id="51" w:name="Item20_04"/>
      <w:r w:rsidRPr="00CA61A6">
        <w:t>Acción 20-04: TSB y CE</w:t>
      </w:r>
      <w:r w:rsidR="002F18BF" w:rsidRPr="00CA61A6">
        <w:t xml:space="preserve"> </w:t>
      </w:r>
      <w:r w:rsidRPr="00CA61A6">
        <w:t>2</w:t>
      </w:r>
    </w:p>
    <w:bookmarkEnd w:id="51"/>
    <w:p w:rsidR="009B299C" w:rsidRPr="00CA61A6" w:rsidRDefault="003B14C7" w:rsidP="007B3478">
      <w:pPr>
        <w:rPr>
          <w:szCs w:val="24"/>
          <w:lang w:eastAsia="ja-JP"/>
        </w:rPr>
      </w:pPr>
      <w:r w:rsidRPr="00CA61A6">
        <w:rPr>
          <w:szCs w:val="24"/>
          <w:lang w:eastAsia="ja-JP"/>
        </w:rPr>
        <w:t xml:space="preserve">Se han recibido y publicado en el Boletín de Explotación de la UIT notificaciones de actualización de planes de numeración/identificación nacionales y de atribución o reclamación de recursos de numeración/identificación nacionales. </w:t>
      </w:r>
      <w:r w:rsidR="00004C01" w:rsidRPr="00CA61A6">
        <w:rPr>
          <w:szCs w:val="24"/>
          <w:lang w:eastAsia="ja-JP"/>
        </w:rPr>
        <w:t>Actualmente, e</w:t>
      </w:r>
      <w:r w:rsidRPr="00CA61A6">
        <w:rPr>
          <w:szCs w:val="24"/>
          <w:lang w:eastAsia="ja-JP"/>
        </w:rPr>
        <w:t>l Boletín de Explotación se publica en los seis idiomas oficiales.</w:t>
      </w:r>
    </w:p>
    <w:p w:rsidR="00836789" w:rsidRPr="00CA61A6" w:rsidRDefault="00F27A19" w:rsidP="007B3478">
      <w:pPr>
        <w:rPr>
          <w:szCs w:val="24"/>
          <w:lang w:eastAsia="ja-JP"/>
        </w:rPr>
      </w:pPr>
      <w:r w:rsidRPr="00CA61A6">
        <w:rPr>
          <w:szCs w:val="24"/>
          <w:lang w:eastAsia="ja-JP"/>
        </w:rPr>
        <w:lastRenderedPageBreak/>
        <w:t>En su reunión del 17 al 26 de septiembre de 2013, la CE 2 discutió</w:t>
      </w:r>
      <w:r w:rsidR="00C11C55" w:rsidRPr="00CA61A6">
        <w:rPr>
          <w:szCs w:val="24"/>
          <w:lang w:eastAsia="ja-JP"/>
        </w:rPr>
        <w:t xml:space="preserve"> la cuestión d</w:t>
      </w:r>
      <w:r w:rsidRPr="00CA61A6">
        <w:rPr>
          <w:szCs w:val="24"/>
          <w:lang w:eastAsia="ja-JP"/>
        </w:rPr>
        <w:t>e</w:t>
      </w:r>
      <w:r w:rsidR="003B2382" w:rsidRPr="00CA61A6">
        <w:rPr>
          <w:szCs w:val="24"/>
          <w:lang w:eastAsia="ja-JP"/>
        </w:rPr>
        <w:t xml:space="preserve">l uso </w:t>
      </w:r>
      <w:r w:rsidRPr="00CA61A6">
        <w:rPr>
          <w:szCs w:val="24"/>
          <w:lang w:eastAsia="ja-JP"/>
        </w:rPr>
        <w:t>de los recursos de numeración internacional</w:t>
      </w:r>
      <w:r w:rsidRPr="00CA61A6">
        <w:t xml:space="preserve"> basado en el DNS</w:t>
      </w:r>
      <w:r w:rsidR="003B2382" w:rsidRPr="00CA61A6">
        <w:rPr>
          <w:szCs w:val="24"/>
          <w:lang w:eastAsia="ja-JP"/>
        </w:rPr>
        <w:t xml:space="preserve">. </w:t>
      </w:r>
      <w:r w:rsidRPr="00CA61A6">
        <w:rPr>
          <w:szCs w:val="24"/>
          <w:lang w:eastAsia="ja-JP"/>
        </w:rPr>
        <w:t>En dicha ocasión, s</w:t>
      </w:r>
      <w:r w:rsidR="003B2382" w:rsidRPr="00CA61A6">
        <w:rPr>
          <w:szCs w:val="24"/>
          <w:lang w:eastAsia="ja-JP"/>
        </w:rPr>
        <w:t>e acordó invitar al Director de la TSB a</w:t>
      </w:r>
      <w:r w:rsidR="00C11C55" w:rsidRPr="00CA61A6">
        <w:rPr>
          <w:szCs w:val="24"/>
          <w:lang w:eastAsia="ja-JP"/>
        </w:rPr>
        <w:t xml:space="preserve"> que</w:t>
      </w:r>
      <w:r w:rsidR="003B2382" w:rsidRPr="00CA61A6">
        <w:rPr>
          <w:szCs w:val="24"/>
          <w:lang w:eastAsia="ja-JP"/>
        </w:rPr>
        <w:t xml:space="preserve"> inicia</w:t>
      </w:r>
      <w:r w:rsidR="00C11C55" w:rsidRPr="00CA61A6">
        <w:rPr>
          <w:szCs w:val="24"/>
          <w:lang w:eastAsia="ja-JP"/>
        </w:rPr>
        <w:t>se</w:t>
      </w:r>
      <w:r w:rsidR="003B2382" w:rsidRPr="00CA61A6">
        <w:rPr>
          <w:szCs w:val="24"/>
          <w:lang w:eastAsia="ja-JP"/>
        </w:rPr>
        <w:t xml:space="preserve"> una correspondencia entre el UIT-T y la ICANN, </w:t>
      </w:r>
      <w:r w:rsidRPr="00CA61A6">
        <w:rPr>
          <w:szCs w:val="24"/>
          <w:lang w:eastAsia="ja-JP"/>
        </w:rPr>
        <w:t xml:space="preserve">con objeto de recabar información sobre </w:t>
      </w:r>
      <w:r w:rsidR="00C11C55" w:rsidRPr="00CA61A6">
        <w:rPr>
          <w:szCs w:val="24"/>
          <w:lang w:eastAsia="ja-JP"/>
        </w:rPr>
        <w:t>temas</w:t>
      </w:r>
      <w:r w:rsidR="003B2382" w:rsidRPr="00CA61A6">
        <w:rPr>
          <w:szCs w:val="24"/>
          <w:lang w:eastAsia="ja-JP"/>
        </w:rPr>
        <w:t xml:space="preserve"> relacionad</w:t>
      </w:r>
      <w:r w:rsidR="00C11C55" w:rsidRPr="00CA61A6">
        <w:rPr>
          <w:szCs w:val="24"/>
          <w:lang w:eastAsia="ja-JP"/>
        </w:rPr>
        <w:t>o</w:t>
      </w:r>
      <w:r w:rsidR="003B2382" w:rsidRPr="00CA61A6">
        <w:rPr>
          <w:szCs w:val="24"/>
          <w:lang w:eastAsia="ja-JP"/>
        </w:rPr>
        <w:t>s con</w:t>
      </w:r>
      <w:r w:rsidR="0069667F" w:rsidRPr="00CA61A6">
        <w:rPr>
          <w:szCs w:val="24"/>
          <w:lang w:eastAsia="ja-JP"/>
        </w:rPr>
        <w:t xml:space="preserve"> las</w:t>
      </w:r>
      <w:r w:rsidR="003B2382" w:rsidRPr="00CA61A6">
        <w:rPr>
          <w:szCs w:val="24"/>
          <w:lang w:eastAsia="ja-JP"/>
        </w:rPr>
        <w:t xml:space="preserve"> cadenas de dígitos </w:t>
      </w:r>
      <w:r w:rsidR="0069667F" w:rsidRPr="00CA61A6">
        <w:rPr>
          <w:szCs w:val="24"/>
          <w:lang w:eastAsia="ja-JP"/>
        </w:rPr>
        <w:t>de</w:t>
      </w:r>
      <w:r w:rsidR="003B2382" w:rsidRPr="00CA61A6">
        <w:rPr>
          <w:szCs w:val="24"/>
          <w:lang w:eastAsia="ja-JP"/>
        </w:rPr>
        <w:t xml:space="preserve"> registro </w:t>
      </w:r>
      <w:r w:rsidR="0069667F" w:rsidRPr="00CA61A6">
        <w:rPr>
          <w:szCs w:val="24"/>
          <w:lang w:eastAsia="ja-JP"/>
        </w:rPr>
        <w:t>del</w:t>
      </w:r>
      <w:r w:rsidR="003B2382" w:rsidRPr="00CA61A6">
        <w:rPr>
          <w:szCs w:val="24"/>
          <w:lang w:eastAsia="ja-JP"/>
        </w:rPr>
        <w:t xml:space="preserve"> dominio .</w:t>
      </w:r>
      <w:r w:rsidR="0069667F" w:rsidRPr="00CA61A6">
        <w:rPr>
          <w:szCs w:val="24"/>
          <w:lang w:eastAsia="ja-JP"/>
        </w:rPr>
        <w:t>TEL</w:t>
      </w:r>
      <w:r w:rsidR="003B2382" w:rsidRPr="00CA61A6">
        <w:rPr>
          <w:szCs w:val="24"/>
          <w:lang w:eastAsia="ja-JP"/>
        </w:rPr>
        <w:t xml:space="preserve"> que parecen </w:t>
      </w:r>
      <w:r w:rsidR="0069667F" w:rsidRPr="00CA61A6">
        <w:rPr>
          <w:szCs w:val="24"/>
          <w:lang w:eastAsia="ja-JP"/>
        </w:rPr>
        <w:t>tener una</w:t>
      </w:r>
      <w:r w:rsidR="003B2382" w:rsidRPr="00CA61A6">
        <w:rPr>
          <w:szCs w:val="24"/>
          <w:lang w:eastAsia="ja-JP"/>
        </w:rPr>
        <w:t xml:space="preserve"> longitud y </w:t>
      </w:r>
      <w:r w:rsidR="0069667F" w:rsidRPr="00CA61A6">
        <w:rPr>
          <w:szCs w:val="24"/>
          <w:lang w:eastAsia="ja-JP"/>
        </w:rPr>
        <w:t>un</w:t>
      </w:r>
      <w:r w:rsidR="003B2382" w:rsidRPr="00CA61A6">
        <w:rPr>
          <w:szCs w:val="24"/>
          <w:lang w:eastAsia="ja-JP"/>
        </w:rPr>
        <w:t xml:space="preserve"> formato </w:t>
      </w:r>
      <w:r w:rsidR="0069667F" w:rsidRPr="00CA61A6">
        <w:rPr>
          <w:szCs w:val="24"/>
          <w:lang w:eastAsia="ja-JP"/>
        </w:rPr>
        <w:t xml:space="preserve">similares a los </w:t>
      </w:r>
      <w:r w:rsidR="003B2382" w:rsidRPr="00CA61A6">
        <w:rPr>
          <w:szCs w:val="24"/>
          <w:lang w:eastAsia="ja-JP"/>
        </w:rPr>
        <w:t xml:space="preserve">de los números de teléfono internacionales. El Director de la TSB </w:t>
      </w:r>
      <w:r w:rsidR="004E7B0F" w:rsidRPr="00CA61A6">
        <w:rPr>
          <w:szCs w:val="24"/>
          <w:lang w:eastAsia="ja-JP"/>
        </w:rPr>
        <w:t>envió una</w:t>
      </w:r>
      <w:r w:rsidR="003B2382" w:rsidRPr="00CA61A6">
        <w:rPr>
          <w:szCs w:val="24"/>
          <w:lang w:eastAsia="ja-JP"/>
        </w:rPr>
        <w:t xml:space="preserve"> carta de </w:t>
      </w:r>
      <w:r w:rsidR="004E7B0F" w:rsidRPr="00CA61A6">
        <w:rPr>
          <w:szCs w:val="24"/>
          <w:lang w:eastAsia="ja-JP"/>
        </w:rPr>
        <w:t xml:space="preserve">fecha </w:t>
      </w:r>
      <w:r w:rsidR="003B2382" w:rsidRPr="00CA61A6">
        <w:rPr>
          <w:szCs w:val="24"/>
          <w:lang w:eastAsia="ja-JP"/>
        </w:rPr>
        <w:t xml:space="preserve">11 de octubre de 2013 </w:t>
      </w:r>
      <w:r w:rsidR="004E7B0F" w:rsidRPr="00CA61A6">
        <w:rPr>
          <w:szCs w:val="24"/>
          <w:lang w:eastAsia="ja-JP"/>
        </w:rPr>
        <w:t>a</w:t>
      </w:r>
      <w:r w:rsidR="003B2382" w:rsidRPr="00CA61A6">
        <w:rPr>
          <w:szCs w:val="24"/>
          <w:lang w:eastAsia="ja-JP"/>
        </w:rPr>
        <w:t>l Presidente y</w:t>
      </w:r>
      <w:r w:rsidR="004E7B0F" w:rsidRPr="00CA61A6">
        <w:rPr>
          <w:szCs w:val="24"/>
          <w:lang w:eastAsia="ja-JP"/>
        </w:rPr>
        <w:t xml:space="preserve"> Director General</w:t>
      </w:r>
      <w:r w:rsidR="003B2382" w:rsidRPr="00CA61A6">
        <w:rPr>
          <w:szCs w:val="24"/>
          <w:lang w:eastAsia="ja-JP"/>
        </w:rPr>
        <w:t xml:space="preserve"> de la ICANN</w:t>
      </w:r>
      <w:r w:rsidR="004E7B0F" w:rsidRPr="00CA61A6">
        <w:rPr>
          <w:szCs w:val="24"/>
          <w:lang w:eastAsia="ja-JP"/>
        </w:rPr>
        <w:t>,</w:t>
      </w:r>
      <w:r w:rsidR="003B2382" w:rsidRPr="00CA61A6">
        <w:rPr>
          <w:szCs w:val="24"/>
          <w:lang w:eastAsia="ja-JP"/>
        </w:rPr>
        <w:t xml:space="preserve"> y </w:t>
      </w:r>
      <w:r w:rsidR="004E7B0F" w:rsidRPr="00CA61A6">
        <w:rPr>
          <w:szCs w:val="24"/>
          <w:lang w:eastAsia="ja-JP"/>
        </w:rPr>
        <w:t xml:space="preserve">recibió </w:t>
      </w:r>
      <w:r w:rsidR="003B2382" w:rsidRPr="00CA61A6">
        <w:rPr>
          <w:szCs w:val="24"/>
          <w:lang w:eastAsia="ja-JP"/>
        </w:rPr>
        <w:t xml:space="preserve">una respuesta </w:t>
      </w:r>
      <w:r w:rsidR="004E7B0F" w:rsidRPr="00CA61A6">
        <w:rPr>
          <w:szCs w:val="24"/>
          <w:lang w:eastAsia="ja-JP"/>
        </w:rPr>
        <w:t>de fecha</w:t>
      </w:r>
      <w:r w:rsidR="003B2382" w:rsidRPr="00CA61A6">
        <w:rPr>
          <w:szCs w:val="24"/>
          <w:lang w:eastAsia="ja-JP"/>
        </w:rPr>
        <w:t xml:space="preserve"> 29 de octubre</w:t>
      </w:r>
      <w:r w:rsidR="004E7B0F" w:rsidRPr="00CA61A6">
        <w:rPr>
          <w:szCs w:val="24"/>
          <w:lang w:eastAsia="ja-JP"/>
        </w:rPr>
        <w:t xml:space="preserve"> de</w:t>
      </w:r>
      <w:r w:rsidR="003B2382" w:rsidRPr="00CA61A6">
        <w:rPr>
          <w:szCs w:val="24"/>
          <w:lang w:eastAsia="ja-JP"/>
        </w:rPr>
        <w:t xml:space="preserve"> 2013. </w:t>
      </w:r>
      <w:r w:rsidR="004E7B0F" w:rsidRPr="00CA61A6">
        <w:rPr>
          <w:szCs w:val="24"/>
          <w:lang w:eastAsia="ja-JP"/>
        </w:rPr>
        <w:t>El 4 de noviembre de 2013, se mantuvo u</w:t>
      </w:r>
      <w:r w:rsidR="003B2382" w:rsidRPr="00CA61A6">
        <w:rPr>
          <w:szCs w:val="24"/>
          <w:lang w:eastAsia="ja-JP"/>
        </w:rPr>
        <w:t xml:space="preserve">na </w:t>
      </w:r>
      <w:r w:rsidR="004E7B0F" w:rsidRPr="00CA61A6">
        <w:rPr>
          <w:szCs w:val="24"/>
          <w:lang w:eastAsia="ja-JP"/>
        </w:rPr>
        <w:t>audio</w:t>
      </w:r>
      <w:r w:rsidR="003B2382" w:rsidRPr="00CA61A6">
        <w:rPr>
          <w:szCs w:val="24"/>
          <w:lang w:eastAsia="ja-JP"/>
        </w:rPr>
        <w:t>conferencia. El Director de la TSB</w:t>
      </w:r>
      <w:r w:rsidR="004E7B0F" w:rsidRPr="00CA61A6">
        <w:rPr>
          <w:szCs w:val="24"/>
          <w:lang w:eastAsia="ja-JP"/>
        </w:rPr>
        <w:t xml:space="preserve"> ahondó en las inquietudes </w:t>
      </w:r>
      <w:r w:rsidR="003B2382" w:rsidRPr="00CA61A6">
        <w:rPr>
          <w:szCs w:val="24"/>
          <w:lang w:eastAsia="ja-JP"/>
        </w:rPr>
        <w:t xml:space="preserve">de la UIT durante la reunión. </w:t>
      </w:r>
      <w:r w:rsidR="004E7B0F" w:rsidRPr="00CA61A6">
        <w:rPr>
          <w:szCs w:val="24"/>
          <w:lang w:eastAsia="ja-JP"/>
        </w:rPr>
        <w:t>En o</w:t>
      </w:r>
      <w:r w:rsidR="003B2382" w:rsidRPr="00CA61A6">
        <w:rPr>
          <w:szCs w:val="24"/>
          <w:lang w:eastAsia="ja-JP"/>
        </w:rPr>
        <w:t xml:space="preserve">tra carta </w:t>
      </w:r>
      <w:r w:rsidR="004E7B0F" w:rsidRPr="00CA61A6">
        <w:rPr>
          <w:szCs w:val="24"/>
          <w:lang w:eastAsia="ja-JP"/>
        </w:rPr>
        <w:t xml:space="preserve">de fecha 3 de febrero de 2014, </w:t>
      </w:r>
      <w:r w:rsidR="003B2382" w:rsidRPr="00CA61A6">
        <w:rPr>
          <w:szCs w:val="24"/>
          <w:lang w:eastAsia="ja-JP"/>
        </w:rPr>
        <w:t>el Director de la TSB</w:t>
      </w:r>
      <w:r w:rsidR="004E7B0F" w:rsidRPr="00CA61A6">
        <w:rPr>
          <w:szCs w:val="24"/>
          <w:lang w:eastAsia="ja-JP"/>
        </w:rPr>
        <w:t xml:space="preserve"> explic</w:t>
      </w:r>
      <w:r w:rsidR="00C11C55" w:rsidRPr="00CA61A6">
        <w:rPr>
          <w:szCs w:val="24"/>
          <w:lang w:eastAsia="ja-JP"/>
        </w:rPr>
        <w:t>ó</w:t>
      </w:r>
      <w:r w:rsidR="004E7B0F" w:rsidRPr="00CA61A6">
        <w:rPr>
          <w:szCs w:val="24"/>
          <w:lang w:eastAsia="ja-JP"/>
        </w:rPr>
        <w:t xml:space="preserve"> brevemente </w:t>
      </w:r>
      <w:r w:rsidR="003B2382" w:rsidRPr="00CA61A6">
        <w:rPr>
          <w:szCs w:val="24"/>
          <w:lang w:eastAsia="ja-JP"/>
        </w:rPr>
        <w:t xml:space="preserve">la Recomendación UIT-T E.164, el </w:t>
      </w:r>
      <w:r w:rsidR="004E7B0F" w:rsidRPr="00CA61A6">
        <w:rPr>
          <w:szCs w:val="24"/>
          <w:lang w:eastAsia="ja-JP"/>
        </w:rPr>
        <w:t xml:space="preserve">Plan internacional de numeración de telecomunicaciones públicas </w:t>
      </w:r>
      <w:r w:rsidR="003B2382" w:rsidRPr="00CA61A6">
        <w:rPr>
          <w:szCs w:val="24"/>
          <w:lang w:eastAsia="ja-JP"/>
        </w:rPr>
        <w:t xml:space="preserve">y algunas ideas preliminares sobre los requisitos </w:t>
      </w:r>
      <w:r w:rsidR="004E7B0F" w:rsidRPr="00CA61A6">
        <w:rPr>
          <w:szCs w:val="24"/>
          <w:lang w:eastAsia="ja-JP"/>
        </w:rPr>
        <w:t>de</w:t>
      </w:r>
      <w:r w:rsidR="003B2382" w:rsidRPr="00CA61A6">
        <w:rPr>
          <w:szCs w:val="24"/>
          <w:lang w:eastAsia="ja-JP"/>
        </w:rPr>
        <w:t xml:space="preserve"> validación </w:t>
      </w:r>
      <w:r w:rsidR="004E7B0F" w:rsidRPr="00CA61A6">
        <w:rPr>
          <w:szCs w:val="24"/>
          <w:lang w:eastAsia="ja-JP"/>
        </w:rPr>
        <w:t>a solicitud de la ICANN.</w:t>
      </w:r>
      <w:r w:rsidR="00C11C55" w:rsidRPr="00CA61A6">
        <w:rPr>
          <w:szCs w:val="24"/>
          <w:lang w:eastAsia="ja-JP"/>
        </w:rPr>
        <w:t xml:space="preserve"> En ese sentido,</w:t>
      </w:r>
      <w:r w:rsidR="004E7B0F" w:rsidRPr="00CA61A6">
        <w:rPr>
          <w:szCs w:val="24"/>
          <w:lang w:eastAsia="ja-JP"/>
        </w:rPr>
        <w:t xml:space="preserve"> </w:t>
      </w:r>
      <w:r w:rsidR="00C11C55" w:rsidRPr="00CA61A6">
        <w:rPr>
          <w:szCs w:val="24"/>
          <w:lang w:eastAsia="ja-JP"/>
        </w:rPr>
        <w:t>v</w:t>
      </w:r>
      <w:r w:rsidR="004E7B0F" w:rsidRPr="00CA61A6">
        <w:rPr>
          <w:szCs w:val="24"/>
          <w:lang w:eastAsia="ja-JP"/>
        </w:rPr>
        <w:t>olvieron a mencionarse algunas de las c</w:t>
      </w:r>
      <w:r w:rsidR="003B2382" w:rsidRPr="00CA61A6">
        <w:rPr>
          <w:szCs w:val="24"/>
          <w:lang w:eastAsia="ja-JP"/>
        </w:rPr>
        <w:t xml:space="preserve">uestiones planteadas por </w:t>
      </w:r>
      <w:r w:rsidR="004E7B0F" w:rsidRPr="00CA61A6">
        <w:rPr>
          <w:szCs w:val="24"/>
          <w:lang w:eastAsia="ja-JP"/>
        </w:rPr>
        <w:t>la CE 2 de</w:t>
      </w:r>
      <w:r w:rsidR="003B2382" w:rsidRPr="00CA61A6">
        <w:rPr>
          <w:szCs w:val="24"/>
          <w:lang w:eastAsia="ja-JP"/>
        </w:rPr>
        <w:t xml:space="preserve">l UIT-T y </w:t>
      </w:r>
      <w:r w:rsidR="00836789" w:rsidRPr="00CA61A6">
        <w:rPr>
          <w:szCs w:val="24"/>
          <w:lang w:eastAsia="ja-JP"/>
        </w:rPr>
        <w:t>se solicitó a</w:t>
      </w:r>
      <w:r w:rsidR="003B2382" w:rsidRPr="00CA61A6">
        <w:rPr>
          <w:szCs w:val="24"/>
          <w:lang w:eastAsia="ja-JP"/>
        </w:rPr>
        <w:t xml:space="preserve"> la ICANN</w:t>
      </w:r>
      <w:r w:rsidR="00836789" w:rsidRPr="00CA61A6">
        <w:rPr>
          <w:szCs w:val="24"/>
          <w:lang w:eastAsia="ja-JP"/>
        </w:rPr>
        <w:t xml:space="preserve"> que formulase observaciones al respecto</w:t>
      </w:r>
      <w:r w:rsidR="003B2382" w:rsidRPr="00CA61A6">
        <w:rPr>
          <w:szCs w:val="24"/>
          <w:lang w:eastAsia="ja-JP"/>
        </w:rPr>
        <w:t xml:space="preserve"> a tiempo para la reunión</w:t>
      </w:r>
      <w:r w:rsidR="00836789" w:rsidRPr="00CA61A6">
        <w:rPr>
          <w:szCs w:val="24"/>
          <w:lang w:eastAsia="ja-JP"/>
        </w:rPr>
        <w:t xml:space="preserve"> que la CE </w:t>
      </w:r>
      <w:r w:rsidR="003B2382" w:rsidRPr="00CA61A6">
        <w:rPr>
          <w:szCs w:val="24"/>
          <w:lang w:eastAsia="ja-JP"/>
        </w:rPr>
        <w:t xml:space="preserve">2 </w:t>
      </w:r>
      <w:r w:rsidR="00836789" w:rsidRPr="00CA61A6">
        <w:rPr>
          <w:szCs w:val="24"/>
          <w:lang w:eastAsia="ja-JP"/>
        </w:rPr>
        <w:t>celebraría del 28 de</w:t>
      </w:r>
      <w:r w:rsidR="003B2382" w:rsidRPr="00CA61A6">
        <w:rPr>
          <w:szCs w:val="24"/>
          <w:lang w:eastAsia="ja-JP"/>
        </w:rPr>
        <w:t xml:space="preserve"> mayo </w:t>
      </w:r>
      <w:r w:rsidR="00836789" w:rsidRPr="00CA61A6">
        <w:rPr>
          <w:szCs w:val="24"/>
          <w:lang w:eastAsia="ja-JP"/>
        </w:rPr>
        <w:t xml:space="preserve">al 6 </w:t>
      </w:r>
      <w:r w:rsidR="003B2382" w:rsidRPr="00CA61A6">
        <w:rPr>
          <w:szCs w:val="24"/>
          <w:lang w:eastAsia="ja-JP"/>
        </w:rPr>
        <w:t>de junio de 2014.</w:t>
      </w:r>
      <w:r w:rsidR="00836789" w:rsidRPr="00CA61A6">
        <w:rPr>
          <w:szCs w:val="24"/>
          <w:lang w:eastAsia="ja-JP"/>
        </w:rPr>
        <w:t xml:space="preserve"> Hasta la fecha, </w:t>
      </w:r>
      <w:r w:rsidR="003B2382" w:rsidRPr="00CA61A6">
        <w:rPr>
          <w:szCs w:val="24"/>
          <w:lang w:eastAsia="ja-JP"/>
        </w:rPr>
        <w:t xml:space="preserve">la ICANN </w:t>
      </w:r>
      <w:r w:rsidR="00836789" w:rsidRPr="00CA61A6">
        <w:rPr>
          <w:szCs w:val="24"/>
          <w:lang w:eastAsia="ja-JP"/>
        </w:rPr>
        <w:t xml:space="preserve">no ha respondido </w:t>
      </w:r>
      <w:r w:rsidR="003B2382" w:rsidRPr="00CA61A6">
        <w:rPr>
          <w:szCs w:val="24"/>
          <w:lang w:eastAsia="ja-JP"/>
        </w:rPr>
        <w:t>a las cuestiones planteadas en las cartas y la teleconferencia.</w:t>
      </w:r>
      <w:r w:rsidR="00836789" w:rsidRPr="00CA61A6">
        <w:rPr>
          <w:szCs w:val="24"/>
          <w:lang w:eastAsia="ja-JP"/>
        </w:rPr>
        <w:t xml:space="preserve"> Para obtener más información al respecto, véase</w:t>
      </w:r>
      <w:r w:rsidR="009B299C" w:rsidRPr="00CA61A6">
        <w:rPr>
          <w:szCs w:val="24"/>
          <w:lang w:eastAsia="ja-JP"/>
        </w:rPr>
        <w:t xml:space="preserve"> </w:t>
      </w:r>
      <w:hyperlink r:id="rId84" w:history="1">
        <w:r w:rsidR="009B299C" w:rsidRPr="00CA61A6">
          <w:rPr>
            <w:color w:val="0000FF"/>
            <w:szCs w:val="24"/>
            <w:u w:val="single"/>
            <w:lang w:eastAsia="ja-JP"/>
          </w:rPr>
          <w:t>C14/INF21</w:t>
        </w:r>
      </w:hyperlink>
      <w:r w:rsidR="009B299C" w:rsidRPr="00CA61A6">
        <w:rPr>
          <w:szCs w:val="24"/>
          <w:lang w:eastAsia="ja-JP"/>
        </w:rPr>
        <w:t xml:space="preserve">. </w:t>
      </w:r>
      <w:r w:rsidR="00A561B1" w:rsidRPr="00CA61A6">
        <w:t xml:space="preserve">Un representante de la ICANN participó en la reunión de </w:t>
      </w:r>
      <w:r w:rsidR="00DA2219">
        <w:t>la CE 2 del UIT-T (28 de mayo</w:t>
      </w:r>
      <w:r w:rsidR="00DA2219" w:rsidRPr="00CA61A6">
        <w:rPr>
          <w:szCs w:val="24"/>
          <w:lang w:eastAsia="ja-JP"/>
        </w:rPr>
        <w:t>-</w:t>
      </w:r>
      <w:r w:rsidR="008B21D9">
        <w:t xml:space="preserve">6 de </w:t>
      </w:r>
      <w:r w:rsidR="00A561B1" w:rsidRPr="00CA61A6">
        <w:t xml:space="preserve">junio de 2014) y </w:t>
      </w:r>
      <w:r w:rsidR="00C11C55" w:rsidRPr="00CA61A6">
        <w:t>ofreció algunos datos</w:t>
      </w:r>
      <w:r w:rsidR="00A561B1" w:rsidRPr="00CA61A6">
        <w:t xml:space="preserve"> sobre la aplicación de TELNIC. También se estudió la posibilidad de tratar estos asuntos directamente con TELNI</w:t>
      </w:r>
      <w:r w:rsidR="00792D99">
        <w:t>C como opción para lograr ava</w:t>
      </w:r>
      <w:r w:rsidR="00C11C55" w:rsidRPr="00CA61A6">
        <w:t>nces</w:t>
      </w:r>
      <w:r w:rsidR="00A561B1" w:rsidRPr="00CA61A6">
        <w:t xml:space="preserve"> en los trabajos. La ICANN se propuso para </w:t>
      </w:r>
      <w:r w:rsidR="00C11C55" w:rsidRPr="00CA61A6">
        <w:t>facilitar</w:t>
      </w:r>
      <w:r w:rsidR="00A561B1" w:rsidRPr="00CA61A6">
        <w:t xml:space="preserve"> la celebración de esos debates. Antes de volver a </w:t>
      </w:r>
      <w:r w:rsidR="00C11C55" w:rsidRPr="00CA61A6">
        <w:t xml:space="preserve">ponerse en contacto con </w:t>
      </w:r>
      <w:r w:rsidR="00A561B1" w:rsidRPr="00CA61A6">
        <w:t xml:space="preserve">TELNIC, la CE 2 convino en identificar: 1) los riesgos que supone registrar con el nombre </w:t>
      </w:r>
      <w:r w:rsidR="00B26079" w:rsidRPr="00CA61A6">
        <w:t>"</w:t>
      </w:r>
      <w:r w:rsidR="00A561B1" w:rsidRPr="00CA61A6">
        <w:t>.tel</w:t>
      </w:r>
      <w:r w:rsidR="00B26079" w:rsidRPr="00CA61A6">
        <w:t>"</w:t>
      </w:r>
      <w:r w:rsidR="00A561B1" w:rsidRPr="00CA61A6">
        <w:t xml:space="preserve"> cadenas numéricas que se asemejan a los números E.164; 2) </w:t>
      </w:r>
      <w:r w:rsidR="00C11C55" w:rsidRPr="00CA61A6">
        <w:t xml:space="preserve">el modo en que </w:t>
      </w:r>
      <w:r w:rsidR="00A561B1" w:rsidRPr="00CA61A6">
        <w:t xml:space="preserve">esos riesgos podrían ser perjudiciales; y 3) </w:t>
      </w:r>
      <w:r w:rsidR="008B288E" w:rsidRPr="00CA61A6">
        <w:t xml:space="preserve">la forma de proporcionar una </w:t>
      </w:r>
      <w:r w:rsidR="00A561B1" w:rsidRPr="00CA61A6">
        <w:t>posible</w:t>
      </w:r>
      <w:r w:rsidR="00C11C55" w:rsidRPr="00CA61A6">
        <w:t xml:space="preserve"> soluci</w:t>
      </w:r>
      <w:r w:rsidR="008B288E" w:rsidRPr="00CA61A6">
        <w:t>ón</w:t>
      </w:r>
      <w:r w:rsidR="00A561B1" w:rsidRPr="00CA61A6">
        <w:t xml:space="preserve"> a este problema. También se acordó crear un Grupo por correspondencia a este respecto</w:t>
      </w:r>
      <w:r w:rsidR="009B299C" w:rsidRPr="00CA61A6">
        <w:rPr>
          <w:szCs w:val="24"/>
          <w:lang w:eastAsia="ja-JP"/>
        </w:rPr>
        <w:t xml:space="preserve">. </w:t>
      </w:r>
      <w:r w:rsidR="00836789" w:rsidRPr="00CA61A6">
        <w:rPr>
          <w:szCs w:val="24"/>
          <w:lang w:eastAsia="ja-JP"/>
        </w:rPr>
        <w:t xml:space="preserve">Un representante de la ICANN facilitó información general sobre Telnic y .tel en la reunión que la CE 2 del UIT-T celebró en enero de 2016. En dicha ocasión, se solicitó a los </w:t>
      </w:r>
      <w:r w:rsidR="000856D6" w:rsidRPr="00CA61A6">
        <w:rPr>
          <w:szCs w:val="24"/>
          <w:lang w:eastAsia="ja-JP"/>
        </w:rPr>
        <w:t xml:space="preserve">Miembros </w:t>
      </w:r>
      <w:r w:rsidR="00836789" w:rsidRPr="00CA61A6">
        <w:rPr>
          <w:szCs w:val="24"/>
          <w:lang w:eastAsia="ja-JP"/>
        </w:rPr>
        <w:t xml:space="preserve">del UIT-T </w:t>
      </w:r>
      <w:r w:rsidR="00373E16" w:rsidRPr="00CA61A6">
        <w:rPr>
          <w:szCs w:val="24"/>
          <w:lang w:eastAsia="ja-JP"/>
        </w:rPr>
        <w:t xml:space="preserve">que presentasen </w:t>
      </w:r>
      <w:r w:rsidR="00836789" w:rsidRPr="00CA61A6">
        <w:rPr>
          <w:szCs w:val="24"/>
          <w:lang w:eastAsia="ja-JP"/>
        </w:rPr>
        <w:t xml:space="preserve">contribuciones </w:t>
      </w:r>
      <w:r w:rsidR="00373E16" w:rsidRPr="00CA61A6">
        <w:rPr>
          <w:szCs w:val="24"/>
          <w:lang w:eastAsia="ja-JP"/>
        </w:rPr>
        <w:t>al respecto</w:t>
      </w:r>
      <w:r w:rsidR="00836789" w:rsidRPr="00CA61A6">
        <w:rPr>
          <w:szCs w:val="24"/>
          <w:lang w:eastAsia="ja-JP"/>
        </w:rPr>
        <w:t>.</w:t>
      </w:r>
    </w:p>
    <w:p w:rsidR="009B299C" w:rsidRPr="00CA61A6" w:rsidRDefault="00373E16" w:rsidP="007B3478">
      <w:pPr>
        <w:rPr>
          <w:szCs w:val="24"/>
          <w:lang w:eastAsia="ja-JP"/>
        </w:rPr>
      </w:pPr>
      <w:r w:rsidRPr="00CA61A6">
        <w:rPr>
          <w:szCs w:val="24"/>
          <w:lang w:eastAsia="ja-JP"/>
        </w:rPr>
        <w:t xml:space="preserve">En su reunión de enero de 2016, la CE 2 del UIT-T discutió la cuestión de </w:t>
      </w:r>
      <w:r w:rsidR="008B288E" w:rsidRPr="00CA61A6">
        <w:t>ENUM de portador para interfuncionamiento internacional de IMS</w:t>
      </w:r>
      <w:r w:rsidR="00836789" w:rsidRPr="00CA61A6">
        <w:rPr>
          <w:szCs w:val="24"/>
          <w:lang w:eastAsia="ja-JP"/>
        </w:rPr>
        <w:t xml:space="preserve">. </w:t>
      </w:r>
      <w:r w:rsidR="008B288E" w:rsidRPr="00CA61A6">
        <w:rPr>
          <w:szCs w:val="24"/>
          <w:lang w:eastAsia="ja-JP"/>
        </w:rPr>
        <w:t>Los participantes en la misma</w:t>
      </w:r>
      <w:r w:rsidR="00836789" w:rsidRPr="00CA61A6">
        <w:rPr>
          <w:szCs w:val="24"/>
          <w:lang w:eastAsia="ja-JP"/>
        </w:rPr>
        <w:t xml:space="preserve"> sugiri</w:t>
      </w:r>
      <w:r w:rsidR="008B288E" w:rsidRPr="00CA61A6">
        <w:rPr>
          <w:szCs w:val="24"/>
          <w:lang w:eastAsia="ja-JP"/>
        </w:rPr>
        <w:t>eron</w:t>
      </w:r>
      <w:r w:rsidR="00836789" w:rsidRPr="00CA61A6">
        <w:rPr>
          <w:szCs w:val="24"/>
          <w:lang w:eastAsia="ja-JP"/>
        </w:rPr>
        <w:t xml:space="preserve"> que los elementos relativos a la aplicación y los requisitos nacionales </w:t>
      </w:r>
      <w:r w:rsidRPr="00CA61A6">
        <w:rPr>
          <w:szCs w:val="24"/>
          <w:lang w:eastAsia="ja-JP"/>
        </w:rPr>
        <w:t>en la materia integrarían una</w:t>
      </w:r>
      <w:r w:rsidR="00836789" w:rsidRPr="00CA61A6">
        <w:rPr>
          <w:szCs w:val="24"/>
          <w:lang w:eastAsia="ja-JP"/>
        </w:rPr>
        <w:t xml:space="preserve"> valiosa </w:t>
      </w:r>
      <w:r w:rsidRPr="00CA61A6">
        <w:rPr>
          <w:szCs w:val="24"/>
          <w:lang w:eastAsia="ja-JP"/>
        </w:rPr>
        <w:t>contribución</w:t>
      </w:r>
      <w:r w:rsidR="009B299C" w:rsidRPr="00CA61A6">
        <w:rPr>
          <w:szCs w:val="24"/>
          <w:lang w:eastAsia="ja-JP"/>
        </w:rPr>
        <w:t>.</w:t>
      </w:r>
    </w:p>
    <w:bookmarkStart w:id="52" w:name="_Toc335979776"/>
    <w:bookmarkStart w:id="53" w:name="_Toc338837110"/>
    <w:bookmarkStart w:id="54" w:name="_Toc340066382"/>
    <w:p w:rsidR="00FA6BB4" w:rsidRPr="00CA61A6" w:rsidRDefault="00FA6BB4" w:rsidP="00FA6BB4">
      <w:r w:rsidRPr="00CA61A6">
        <w:fldChar w:fldCharType="begin"/>
      </w:r>
      <w:r w:rsidRPr="00CA61A6">
        <w:instrText xml:space="preserve"> HYPERLINK \l "Top" </w:instrText>
      </w:r>
      <w:r w:rsidRPr="00CA61A6">
        <w:fldChar w:fldCharType="separate"/>
      </w:r>
      <w:r w:rsidRPr="00CA61A6">
        <w:rPr>
          <w:rStyle w:val="Hyperlink"/>
        </w:rPr>
        <w:t>» Arriba</w:t>
      </w:r>
      <w:r w:rsidRPr="00CA61A6">
        <w:rPr>
          <w:rStyle w:val="Hyperlink"/>
        </w:rPr>
        <w:fldChar w:fldCharType="end"/>
      </w:r>
    </w:p>
    <w:p w:rsidR="002D3DC9" w:rsidRPr="00CA61A6" w:rsidRDefault="002D3DC9" w:rsidP="007B3478">
      <w:pPr>
        <w:pStyle w:val="Heading1"/>
      </w:pPr>
      <w:bookmarkStart w:id="55" w:name="_7_Resolución_22"/>
      <w:bookmarkStart w:id="56" w:name="_Toc463335758"/>
      <w:bookmarkEnd w:id="55"/>
      <w:r w:rsidRPr="00CA61A6">
        <w:t>7</w:t>
      </w:r>
      <w:r w:rsidRPr="00CA61A6">
        <w:tab/>
        <w:t xml:space="preserve">Resolución 22 – </w:t>
      </w:r>
      <w:bookmarkEnd w:id="52"/>
      <w:bookmarkEnd w:id="53"/>
      <w:bookmarkEnd w:id="54"/>
      <w:r w:rsidR="00F22477" w:rsidRPr="00CA61A6">
        <w:t>Autorización para que el Grupo Asesor de Normalización de las Telecomunicaciones actúe en el periodo entre Asambleas Mundiales de Normalización de las Telecomunicaciones</w:t>
      </w:r>
      <w:bookmarkEnd w:id="56"/>
    </w:p>
    <w:p w:rsidR="002D3DC9" w:rsidRPr="00CA61A6" w:rsidRDefault="002D3DC9" w:rsidP="007B3478">
      <w:pPr>
        <w:pStyle w:val="Headingb"/>
      </w:pPr>
      <w:r w:rsidRPr="00CA61A6">
        <w:t>Resolución 22</w:t>
      </w:r>
    </w:p>
    <w:p w:rsidR="00162514" w:rsidRPr="00CA61A6" w:rsidRDefault="00162514" w:rsidP="007B3478">
      <w:pPr>
        <w:pStyle w:val="Call"/>
      </w:pPr>
      <w:r w:rsidRPr="00CA61A6">
        <w:t>resuelve</w:t>
      </w:r>
    </w:p>
    <w:p w:rsidR="00162514" w:rsidRPr="00CA61A6" w:rsidRDefault="00162514" w:rsidP="007B3478">
      <w:r w:rsidRPr="00CA61A6">
        <w:t>1</w:t>
      </w:r>
      <w:r w:rsidRPr="00CA61A6">
        <w:tab/>
        <w:t>asignar al GANT los siguientes asuntos específicos de su competencia entre esta Asamblea y la próxima para que en consulta con el Director de la TSB y como corresponda, actúe en las áreas siguientes:</w:t>
      </w:r>
    </w:p>
    <w:p w:rsidR="00162514" w:rsidRPr="00CA61A6" w:rsidRDefault="00162514" w:rsidP="007B3478">
      <w:pPr>
        <w:pStyle w:val="enumlev1"/>
      </w:pPr>
      <w:r w:rsidRPr="00CA61A6">
        <w:rPr>
          <w:i/>
          <w:iCs/>
        </w:rPr>
        <w:t>a)</w:t>
      </w:r>
      <w:r w:rsidRPr="00CA61A6">
        <w:tab/>
        <w:t>mantener directrices de trabajo actualizadas, eficientes y flexibles;</w:t>
      </w:r>
    </w:p>
    <w:p w:rsidR="00162514" w:rsidRPr="00CA61A6" w:rsidRDefault="00162514" w:rsidP="007B3478">
      <w:pPr>
        <w:ind w:left="1134" w:hanging="1134"/>
      </w:pPr>
      <w:r w:rsidRPr="00CA61A6">
        <w:rPr>
          <w:i/>
          <w:iCs/>
        </w:rPr>
        <w:t>b)</w:t>
      </w:r>
      <w:r w:rsidRPr="00CA61A6">
        <w:tab/>
        <w:t>asumir la responsabilidad respecto de las Recomendaciones de la serie A (Organización del trabajo del UIT</w:t>
      </w:r>
      <w:r w:rsidRPr="00CA61A6">
        <w:noBreakHyphen/>
        <w:t>T), incluidas la elaboración y la presentación para aprobación conforme a los procedimientos apropiados;</w:t>
      </w:r>
    </w:p>
    <w:p w:rsidR="00162514" w:rsidRPr="00CA61A6" w:rsidRDefault="00162514" w:rsidP="007B3478">
      <w:pPr>
        <w:pStyle w:val="enumlev1"/>
      </w:pPr>
      <w:r w:rsidRPr="00CA61A6">
        <w:rPr>
          <w:i/>
          <w:iCs/>
        </w:rPr>
        <w:lastRenderedPageBreak/>
        <w:t>c)</w:t>
      </w:r>
      <w:r w:rsidRPr="00CA61A6">
        <w:tab/>
        <w:t>reestructurar y establecer las Comisiones de Estudio del UIT-T, y nombrar Presidentes y Vicepresidentes hasta la próxima AMNT respondiendo a los cambios del mercado de las telecomunicaciones;</w:t>
      </w:r>
    </w:p>
    <w:p w:rsidR="00162514" w:rsidRPr="00CA61A6" w:rsidRDefault="00162514" w:rsidP="007B3478">
      <w:pPr>
        <w:pStyle w:val="enumlev1"/>
      </w:pPr>
      <w:r w:rsidRPr="00CA61A6">
        <w:rPr>
          <w:i/>
          <w:iCs/>
        </w:rPr>
        <w:t>d)</w:t>
      </w:r>
      <w:r w:rsidRPr="00CA61A6">
        <w:tab/>
        <w:t>asesorar sobre el calendario de reuniones de las Comisiones de Estudio para satisfacer las prioridades de normalización;</w:t>
      </w:r>
    </w:p>
    <w:p w:rsidR="00162514" w:rsidRPr="00CA61A6" w:rsidRDefault="00162514" w:rsidP="007B3478">
      <w:pPr>
        <w:pStyle w:val="enumlev1"/>
      </w:pPr>
      <w:r w:rsidRPr="00CA61A6">
        <w:rPr>
          <w:i/>
          <w:iCs/>
        </w:rPr>
        <w:t>e)</w:t>
      </w:r>
      <w:r w:rsidRPr="00CA61A6">
        <w:tab/>
        <w:t>reconociendo la primacía de las Comisiones de Estudio en la realización de las actividades del UIT</w:t>
      </w:r>
      <w:r w:rsidRPr="00CA61A6">
        <w:noBreakHyphen/>
        <w:t>T, crear, mantener o suprimir otros grupos, con inclusión de los Grupos Temáticos, designar sus Presidentes y Vicepresidentes, y establecer su mandato con una duración determinada, de conformidad con los números 191A y 191B del Convenio, a fin de potenciar y mejorar la eficacia del trabajo del UIT</w:t>
      </w:r>
      <w:r w:rsidRPr="00CA61A6">
        <w:noBreakHyphen/>
        <w:t>T, así como para fomentar la flexibilidad al responder rápidamente a los temas de gran prioridad. Dichos grupos no adoptarán Cuestiones ni Recomendaciones, de conformidad con lo dispuesto en el Artículo 14A del Convenio, pero obedecerán a un mandato específico;</w:t>
      </w:r>
    </w:p>
    <w:p w:rsidR="00162514" w:rsidRPr="00CA61A6" w:rsidRDefault="00162514" w:rsidP="007B3478">
      <w:pPr>
        <w:pStyle w:val="enumlev1"/>
        <w:keepNext/>
        <w:keepLines/>
      </w:pPr>
      <w:r w:rsidRPr="00CA61A6">
        <w:rPr>
          <w:i/>
          <w:iCs/>
        </w:rPr>
        <w:t>f)</w:t>
      </w:r>
      <w:r w:rsidRPr="00CA61A6">
        <w:tab/>
        <w:t>examinar informes y considerar las propuestas adecuadas formuladas por los grupos de coordinación y otros grupos, y aplicar las que se aprueben;</w:t>
      </w:r>
    </w:p>
    <w:p w:rsidR="00162514" w:rsidRPr="00CA61A6" w:rsidRDefault="00162514" w:rsidP="007B3478">
      <w:pPr>
        <w:pStyle w:val="enumlev1"/>
      </w:pPr>
      <w:r w:rsidRPr="00CA61A6">
        <w:rPr>
          <w:i/>
          <w:iCs/>
        </w:rPr>
        <w:t>g)</w:t>
      </w:r>
      <w:r w:rsidRPr="00CA61A6">
        <w:tab/>
        <w:t>establecer los mecanismos adecuados y fomentar la utilización, por ejemplo, de los Grupos de Coordinación u otros grupos, para abordar temas claves del trabajo que afectan a diversas Comisiones de Estudio, a fin de velar por la coordinación eficaz de los temas de normalización, con el fin de lograr soluciones globales adecuadas;</w:t>
      </w:r>
    </w:p>
    <w:p w:rsidR="00162514" w:rsidRPr="00CA61A6" w:rsidRDefault="00162514" w:rsidP="007B3478">
      <w:pPr>
        <w:pStyle w:val="enumlev1"/>
      </w:pPr>
      <w:r w:rsidRPr="00CA61A6">
        <w:rPr>
          <w:i/>
          <w:iCs/>
        </w:rPr>
        <w:t>h)</w:t>
      </w:r>
      <w:r w:rsidRPr="00CA61A6">
        <w:tab/>
        <w:t>asesorar al Director de la TSB sobre cuestiones financieras y de otra índole;</w:t>
      </w:r>
    </w:p>
    <w:p w:rsidR="00162514" w:rsidRPr="00CA61A6" w:rsidRDefault="00162514" w:rsidP="007B3478">
      <w:pPr>
        <w:pStyle w:val="enumlev1"/>
      </w:pPr>
      <w:r w:rsidRPr="00CA61A6">
        <w:rPr>
          <w:i/>
          <w:iCs/>
        </w:rPr>
        <w:t>i)</w:t>
      </w:r>
      <w:r w:rsidRPr="00CA61A6">
        <w:tab/>
        <w:t>aprobar el programa de trabajo que resulte de la revisión de las Cuestiones existentes y nuevas y determinar la prioridad, la urgencia, las repercusiones financieras estimadas y el calendario para completar su estudio;</w:t>
      </w:r>
    </w:p>
    <w:p w:rsidR="00162514" w:rsidRPr="00CA61A6" w:rsidRDefault="00162514" w:rsidP="007B3478">
      <w:pPr>
        <w:pStyle w:val="enumlev1"/>
      </w:pPr>
      <w:r w:rsidRPr="00CA61A6">
        <w:rPr>
          <w:i/>
          <w:iCs/>
        </w:rPr>
        <w:t>j)</w:t>
      </w:r>
      <w:r w:rsidRPr="00CA61A6">
        <w:tab/>
        <w:t>agrupar, en la medida de lo posible, Cuestiones de interés para los países en desarrollo, con inclusión de los países menos adelantados, los pequeños Estados insulares en desarrollo, los países en desarrollo sin litoral y los países con economías en transición, a fin de facilitar su participación en estos estudios;</w:t>
      </w:r>
    </w:p>
    <w:p w:rsidR="00162514" w:rsidRPr="00CA61A6" w:rsidRDefault="00162514" w:rsidP="007B3478">
      <w:pPr>
        <w:pStyle w:val="enumlev1"/>
      </w:pPr>
      <w:r w:rsidRPr="00CA61A6">
        <w:rPr>
          <w:i/>
          <w:iCs/>
        </w:rPr>
        <w:t>k)</w:t>
      </w:r>
      <w:r w:rsidRPr="00CA61A6">
        <w:tab/>
        <w:t xml:space="preserve">tratar otros temas específicos dentro de la competencia de la AMNT, sujeto a la aprobación de los Estados Miembros, utilizando el procedimiento de aprobación de la sección 9 de la Resolución 1 (Rev. </w:t>
      </w:r>
      <w:r w:rsidR="00792D99" w:rsidRPr="00CA61A6">
        <w:t>Dubái</w:t>
      </w:r>
      <w:r w:rsidRPr="00CA61A6">
        <w:t>, 2012) de esta Asamblea;</w:t>
      </w:r>
    </w:p>
    <w:p w:rsidR="00162514" w:rsidRPr="00CA61A6" w:rsidRDefault="00162514" w:rsidP="007B3478">
      <w:r w:rsidRPr="00CA61A6">
        <w:t>2</w:t>
      </w:r>
      <w:r w:rsidRPr="00CA61A6">
        <w:tab/>
        <w:t xml:space="preserve">que el GANT pueda iniciar las revisiones de los procedimientos pertinentes para la adopción de Cuestiones y Recomendaciones por las Comisiones de Estudio, distintos de los que se mencionan en los números 246D, 246F y 246H del Convenio, para la aprobación por los Estados Miembros entre las AMNT, utilizando el procedimiento de aprobación que figura en la sección 9 de la Resolución 1 (Rev. </w:t>
      </w:r>
      <w:r w:rsidR="00792D99" w:rsidRPr="00CA61A6">
        <w:t>Dubái</w:t>
      </w:r>
      <w:r w:rsidRPr="00CA61A6">
        <w:t>, 2012) de esta Asamblea;</w:t>
      </w:r>
    </w:p>
    <w:p w:rsidR="00162514" w:rsidRPr="00CA61A6" w:rsidRDefault="00162514" w:rsidP="007B3478">
      <w:r w:rsidRPr="00CA61A6">
        <w:t>3</w:t>
      </w:r>
      <w:r w:rsidRPr="00CA61A6">
        <w:tab/>
        <w:t>que el GANT coordine sus actividades con organizaciones ajenas a la UIT, en consulta con el Director de la TSB, según proceda;</w:t>
      </w:r>
    </w:p>
    <w:p w:rsidR="00162514" w:rsidRPr="00CA61A6" w:rsidRDefault="00162514" w:rsidP="007B3478">
      <w:r w:rsidRPr="00CA61A6">
        <w:t>4</w:t>
      </w:r>
      <w:r w:rsidRPr="00CA61A6">
        <w:rPr>
          <w:i/>
          <w:iCs/>
        </w:rPr>
        <w:tab/>
      </w:r>
      <w:r w:rsidRPr="00CA61A6">
        <w:t>que el GANT considere las repercusiones para el UIT</w:t>
      </w:r>
      <w:r w:rsidRPr="00CA61A6">
        <w:noBreakHyphen/>
        <w:t>T de las necesidades del mercado y las nuevas tecnologías emergentes que aún no se hayan considerado a efectos de su normalización por el UIT</w:t>
      </w:r>
      <w:r w:rsidRPr="00CA61A6">
        <w:noBreakHyphen/>
        <w:t>T, establezca un mecanismo adecuado para facilitar el examen de su consideración, por ejemplo a través de la asignación de Cuestiones, la coordinación del trabajo de las Comisiones de Estudio o la creación de Grupos de Coordinación o de otro tipo, y nombre a sus Presidentes y Vicepresidentes;</w:t>
      </w:r>
    </w:p>
    <w:p w:rsidR="00162514" w:rsidRPr="00CA61A6" w:rsidRDefault="00162514" w:rsidP="007B3478">
      <w:r w:rsidRPr="00CA61A6">
        <w:t>5</w:t>
      </w:r>
      <w:r w:rsidRPr="00CA61A6">
        <w:tab/>
        <w:t>que el GANT examine los resultados de la AMNT en lo que se refiere al Simposio Mundial de Normalización y adopte las medidas de seguimiento que se consideren apropiadas;</w:t>
      </w:r>
    </w:p>
    <w:p w:rsidR="00162514" w:rsidRPr="00CA61A6" w:rsidRDefault="00162514" w:rsidP="007B3478">
      <w:pPr>
        <w:spacing w:after="120"/>
      </w:pPr>
      <w:r w:rsidRPr="00CA61A6">
        <w:t>6</w:t>
      </w:r>
      <w:r w:rsidRPr="00CA61A6">
        <w:tab/>
        <w:t>que en la próxima AMNT se presente un informe sobre dichas actividades del GANT.</w:t>
      </w:r>
    </w:p>
    <w:tbl>
      <w:tblPr>
        <w:tblW w:w="9832" w:type="dxa"/>
        <w:tblInd w:w="-13" w:type="dxa"/>
        <w:tblLook w:val="04A0" w:firstRow="1" w:lastRow="0" w:firstColumn="1" w:lastColumn="0" w:noHBand="0" w:noVBand="1"/>
      </w:tblPr>
      <w:tblGrid>
        <w:gridCol w:w="916"/>
        <w:gridCol w:w="4500"/>
        <w:gridCol w:w="1915"/>
        <w:gridCol w:w="1165"/>
        <w:gridCol w:w="1336"/>
      </w:tblGrid>
      <w:tr w:rsidR="004B24D7" w:rsidRPr="00CA61A6" w:rsidTr="00243A31">
        <w:trPr>
          <w:trHeight w:val="647"/>
          <w:tblHeader/>
        </w:trPr>
        <w:tc>
          <w:tcPr>
            <w:tcW w:w="916" w:type="dxa"/>
            <w:tcBorders>
              <w:top w:val="single" w:sz="4" w:space="0" w:color="auto"/>
              <w:left w:val="single" w:sz="4" w:space="0" w:color="auto"/>
              <w:bottom w:val="double" w:sz="6" w:space="0" w:color="auto"/>
              <w:right w:val="single" w:sz="4" w:space="0" w:color="auto"/>
            </w:tcBorders>
            <w:vAlign w:val="center"/>
          </w:tcPr>
          <w:p w:rsidR="004B24D7" w:rsidRPr="00CA61A6" w:rsidRDefault="004B24D7" w:rsidP="007B3478">
            <w:pPr>
              <w:pStyle w:val="Tablehead"/>
            </w:pPr>
            <w:r w:rsidRPr="00CA61A6">
              <w:lastRenderedPageBreak/>
              <w:t>Número</w:t>
            </w:r>
          </w:p>
        </w:tc>
        <w:tc>
          <w:tcPr>
            <w:tcW w:w="4500" w:type="dxa"/>
            <w:tcBorders>
              <w:top w:val="single" w:sz="4" w:space="0" w:color="auto"/>
              <w:left w:val="single" w:sz="4" w:space="0" w:color="auto"/>
              <w:bottom w:val="double" w:sz="6" w:space="0" w:color="auto"/>
              <w:right w:val="single" w:sz="4" w:space="0" w:color="auto"/>
            </w:tcBorders>
            <w:shd w:val="clear" w:color="auto" w:fill="auto"/>
            <w:vAlign w:val="center"/>
            <w:hideMark/>
          </w:tcPr>
          <w:p w:rsidR="004B24D7" w:rsidRPr="00CA61A6" w:rsidRDefault="004B24D7" w:rsidP="007B3478">
            <w:pPr>
              <w:pStyle w:val="Tablehead"/>
            </w:pPr>
            <w:r w:rsidRPr="00CA61A6">
              <w:t>Acción</w:t>
            </w:r>
          </w:p>
        </w:tc>
        <w:tc>
          <w:tcPr>
            <w:tcW w:w="1915" w:type="dxa"/>
            <w:tcBorders>
              <w:top w:val="single" w:sz="4" w:space="0" w:color="auto"/>
              <w:left w:val="nil"/>
              <w:bottom w:val="double" w:sz="6" w:space="0" w:color="auto"/>
              <w:right w:val="single" w:sz="4" w:space="0" w:color="auto"/>
            </w:tcBorders>
            <w:shd w:val="clear" w:color="auto" w:fill="auto"/>
            <w:vAlign w:val="center"/>
            <w:hideMark/>
          </w:tcPr>
          <w:p w:rsidR="004B24D7" w:rsidRPr="00CA61A6" w:rsidRDefault="004B24D7" w:rsidP="007B3478">
            <w:pPr>
              <w:pStyle w:val="Tablehead"/>
            </w:pPr>
            <w:r w:rsidRPr="00CA61A6">
              <w:t>Fecha objetivo</w:t>
            </w:r>
          </w:p>
        </w:tc>
        <w:tc>
          <w:tcPr>
            <w:tcW w:w="1165" w:type="dxa"/>
            <w:tcBorders>
              <w:top w:val="single" w:sz="4" w:space="0" w:color="auto"/>
              <w:left w:val="nil"/>
              <w:bottom w:val="double" w:sz="6" w:space="0" w:color="auto"/>
              <w:right w:val="single" w:sz="4" w:space="0" w:color="auto"/>
            </w:tcBorders>
            <w:vAlign w:val="center"/>
          </w:tcPr>
          <w:p w:rsidR="004B24D7" w:rsidRPr="00CA61A6" w:rsidRDefault="004B24D7" w:rsidP="007B3478">
            <w:pPr>
              <w:pStyle w:val="Tablehead"/>
            </w:pPr>
            <w:r w:rsidRPr="00CA61A6">
              <w:t>Objetivos periódicos cumplidos</w:t>
            </w:r>
          </w:p>
        </w:tc>
        <w:tc>
          <w:tcPr>
            <w:tcW w:w="1336" w:type="dxa"/>
            <w:tcBorders>
              <w:top w:val="single" w:sz="4" w:space="0" w:color="auto"/>
              <w:left w:val="single" w:sz="4" w:space="0" w:color="auto"/>
              <w:bottom w:val="double" w:sz="6" w:space="0" w:color="auto"/>
              <w:right w:val="single" w:sz="4" w:space="0" w:color="auto"/>
            </w:tcBorders>
            <w:vAlign w:val="center"/>
          </w:tcPr>
          <w:p w:rsidR="004B24D7" w:rsidRPr="00CA61A6" w:rsidRDefault="004B24D7" w:rsidP="007B3478">
            <w:pPr>
              <w:pStyle w:val="Tablehead"/>
            </w:pPr>
            <w:r w:rsidRPr="00CA61A6">
              <w:t>Completada</w:t>
            </w:r>
          </w:p>
        </w:tc>
      </w:tr>
      <w:tr w:rsidR="004B24D7" w:rsidRPr="00CA61A6" w:rsidTr="005F7C08">
        <w:trPr>
          <w:trHeight w:val="620"/>
        </w:trPr>
        <w:tc>
          <w:tcPr>
            <w:tcW w:w="916" w:type="dxa"/>
            <w:tcBorders>
              <w:top w:val="double" w:sz="6" w:space="0" w:color="auto"/>
              <w:left w:val="single" w:sz="4" w:space="0" w:color="auto"/>
              <w:bottom w:val="single" w:sz="4" w:space="0" w:color="auto"/>
              <w:right w:val="single" w:sz="4" w:space="0" w:color="auto"/>
            </w:tcBorders>
            <w:vAlign w:val="center"/>
          </w:tcPr>
          <w:p w:rsidR="004B24D7" w:rsidRPr="00CA61A6" w:rsidRDefault="00110CAD" w:rsidP="007B3478">
            <w:pPr>
              <w:pStyle w:val="Tabletext"/>
              <w:jc w:val="center"/>
            </w:pPr>
            <w:hyperlink w:anchor="Item22_01" w:history="1">
              <w:r w:rsidR="004B24D7" w:rsidRPr="00CA61A6">
                <w:rPr>
                  <w:rStyle w:val="Hyperlink"/>
                </w:rPr>
                <w:t>22-01</w:t>
              </w:r>
            </w:hyperlink>
          </w:p>
        </w:tc>
        <w:tc>
          <w:tcPr>
            <w:tcW w:w="4500" w:type="dxa"/>
            <w:tcBorders>
              <w:top w:val="double" w:sz="6" w:space="0" w:color="auto"/>
              <w:left w:val="single" w:sz="4" w:space="0" w:color="auto"/>
              <w:bottom w:val="single" w:sz="4" w:space="0" w:color="auto"/>
              <w:right w:val="single" w:sz="4" w:space="0" w:color="auto"/>
            </w:tcBorders>
            <w:shd w:val="clear" w:color="auto" w:fill="auto"/>
            <w:vAlign w:val="center"/>
            <w:hideMark/>
          </w:tcPr>
          <w:p w:rsidR="004B24D7" w:rsidRPr="00CA61A6" w:rsidRDefault="004B24D7" w:rsidP="007B3478">
            <w:pPr>
              <w:pStyle w:val="Tabletext"/>
            </w:pPr>
            <w:r w:rsidRPr="00CA61A6">
              <w:t>El GANT examinará los resultados de la AMNT en lo que se refiere al GSS y adoptará las medidas apropiadas (resuelve 5)</w:t>
            </w:r>
          </w:p>
        </w:tc>
        <w:tc>
          <w:tcPr>
            <w:tcW w:w="1915" w:type="dxa"/>
            <w:tcBorders>
              <w:top w:val="double" w:sz="6" w:space="0" w:color="auto"/>
              <w:left w:val="nil"/>
              <w:bottom w:val="single" w:sz="4" w:space="0" w:color="auto"/>
              <w:right w:val="single" w:sz="4" w:space="0" w:color="auto"/>
            </w:tcBorders>
            <w:shd w:val="clear" w:color="auto" w:fill="auto"/>
            <w:vAlign w:val="center"/>
            <w:hideMark/>
          </w:tcPr>
          <w:p w:rsidR="004B24D7" w:rsidRPr="00CA61A6" w:rsidRDefault="004D1AEA" w:rsidP="007B3478">
            <w:pPr>
              <w:pStyle w:val="Tabletext"/>
              <w:jc w:val="center"/>
            </w:pPr>
            <w:r w:rsidRPr="00CA61A6">
              <w:t xml:space="preserve">Junio </w:t>
            </w:r>
            <w:r w:rsidR="009A3145" w:rsidRPr="00CA61A6">
              <w:t>de 2013</w:t>
            </w:r>
          </w:p>
        </w:tc>
        <w:tc>
          <w:tcPr>
            <w:tcW w:w="1165" w:type="dxa"/>
            <w:tcBorders>
              <w:top w:val="double" w:sz="6" w:space="0" w:color="auto"/>
              <w:left w:val="nil"/>
              <w:bottom w:val="single" w:sz="4" w:space="0" w:color="auto"/>
              <w:right w:val="single" w:sz="4" w:space="0" w:color="auto"/>
            </w:tcBorders>
            <w:vAlign w:val="center"/>
          </w:tcPr>
          <w:p w:rsidR="004B24D7" w:rsidRPr="00CA61A6" w:rsidRDefault="004B24D7" w:rsidP="007B3478">
            <w:pPr>
              <w:pStyle w:val="Tabletext"/>
              <w:jc w:val="center"/>
            </w:pPr>
          </w:p>
        </w:tc>
        <w:tc>
          <w:tcPr>
            <w:tcW w:w="1336" w:type="dxa"/>
            <w:tcBorders>
              <w:top w:val="double" w:sz="6" w:space="0" w:color="auto"/>
              <w:left w:val="single" w:sz="4" w:space="0" w:color="auto"/>
              <w:bottom w:val="single" w:sz="4" w:space="0" w:color="auto"/>
              <w:right w:val="single" w:sz="4" w:space="0" w:color="auto"/>
            </w:tcBorders>
            <w:vAlign w:val="center"/>
          </w:tcPr>
          <w:p w:rsidR="004B24D7" w:rsidRPr="00CA61A6" w:rsidRDefault="00AF4D49" w:rsidP="007B3478">
            <w:pPr>
              <w:pStyle w:val="Tabletext"/>
              <w:jc w:val="center"/>
            </w:pPr>
            <w:r w:rsidRPr="00CA61A6">
              <w:sym w:font="Wingdings" w:char="F0FC"/>
            </w:r>
          </w:p>
        </w:tc>
      </w:tr>
      <w:tr w:rsidR="004B24D7" w:rsidRPr="00CA61A6" w:rsidTr="005F7C08">
        <w:trPr>
          <w:trHeight w:val="710"/>
        </w:trPr>
        <w:tc>
          <w:tcPr>
            <w:tcW w:w="916" w:type="dxa"/>
            <w:tcBorders>
              <w:top w:val="single" w:sz="4" w:space="0" w:color="auto"/>
              <w:left w:val="single" w:sz="4" w:space="0" w:color="auto"/>
              <w:bottom w:val="single" w:sz="4" w:space="0" w:color="auto"/>
              <w:right w:val="single" w:sz="4" w:space="0" w:color="auto"/>
            </w:tcBorders>
            <w:vAlign w:val="center"/>
          </w:tcPr>
          <w:p w:rsidR="004B24D7" w:rsidRPr="00CA61A6" w:rsidRDefault="00110CAD" w:rsidP="007B3478">
            <w:pPr>
              <w:pStyle w:val="Tabletext"/>
              <w:jc w:val="center"/>
            </w:pPr>
            <w:hyperlink w:anchor="Item22_02" w:history="1">
              <w:r w:rsidR="004B24D7" w:rsidRPr="00CA61A6">
                <w:rPr>
                  <w:rStyle w:val="Hyperlink"/>
                </w:rPr>
                <w:t>22-02</w:t>
              </w:r>
            </w:hyperlink>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24D7" w:rsidRPr="00CA61A6" w:rsidRDefault="004B24D7" w:rsidP="007B3478">
            <w:pPr>
              <w:pStyle w:val="Tabletext"/>
            </w:pPr>
            <w:r w:rsidRPr="00CA61A6">
              <w:t>El GANT</w:t>
            </w:r>
            <w:r w:rsidR="00E22C25" w:rsidRPr="00CA61A6">
              <w:t xml:space="preserve"> establecerá un mecanismo adecuado para examinar y coordinar los trabajos relativos a las tecnologías emergentes</w:t>
            </w:r>
            <w:r w:rsidR="00004E68" w:rsidRPr="00CA61A6">
              <w:t xml:space="preserve"> </w:t>
            </w:r>
            <w:r w:rsidRPr="00CA61A6">
              <w:t>(resuelve 4)</w:t>
            </w:r>
          </w:p>
        </w:tc>
        <w:tc>
          <w:tcPr>
            <w:tcW w:w="1915" w:type="dxa"/>
            <w:tcBorders>
              <w:top w:val="single" w:sz="4" w:space="0" w:color="auto"/>
              <w:left w:val="nil"/>
              <w:bottom w:val="single" w:sz="4" w:space="0" w:color="auto"/>
              <w:right w:val="single" w:sz="4" w:space="0" w:color="auto"/>
            </w:tcBorders>
            <w:shd w:val="clear" w:color="auto" w:fill="auto"/>
            <w:vAlign w:val="center"/>
            <w:hideMark/>
          </w:tcPr>
          <w:p w:rsidR="004B24D7" w:rsidRPr="00CA61A6" w:rsidRDefault="004D1AEA" w:rsidP="007B3478">
            <w:pPr>
              <w:pStyle w:val="Tabletext"/>
              <w:jc w:val="center"/>
            </w:pPr>
            <w:r w:rsidRPr="00CA61A6">
              <w:t xml:space="preserve">Junio </w:t>
            </w:r>
            <w:r w:rsidR="009A3145" w:rsidRPr="00CA61A6">
              <w:t>de 2013</w:t>
            </w:r>
          </w:p>
        </w:tc>
        <w:tc>
          <w:tcPr>
            <w:tcW w:w="1165" w:type="dxa"/>
            <w:tcBorders>
              <w:top w:val="single" w:sz="4" w:space="0" w:color="auto"/>
              <w:left w:val="nil"/>
              <w:bottom w:val="single" w:sz="4" w:space="0" w:color="auto"/>
              <w:right w:val="single" w:sz="4" w:space="0" w:color="auto"/>
            </w:tcBorders>
            <w:vAlign w:val="center"/>
          </w:tcPr>
          <w:p w:rsidR="004B24D7" w:rsidRPr="00CA61A6" w:rsidRDefault="004B24D7" w:rsidP="007B3478">
            <w:pPr>
              <w:pStyle w:val="Tabletext"/>
              <w:jc w:val="center"/>
            </w:pPr>
          </w:p>
        </w:tc>
        <w:tc>
          <w:tcPr>
            <w:tcW w:w="1336" w:type="dxa"/>
            <w:tcBorders>
              <w:top w:val="single" w:sz="4" w:space="0" w:color="auto"/>
              <w:left w:val="single" w:sz="4" w:space="0" w:color="auto"/>
              <w:bottom w:val="single" w:sz="4" w:space="0" w:color="auto"/>
              <w:right w:val="single" w:sz="4" w:space="0" w:color="auto"/>
            </w:tcBorders>
            <w:vAlign w:val="center"/>
          </w:tcPr>
          <w:p w:rsidR="004B24D7" w:rsidRPr="00CA61A6" w:rsidRDefault="00AF4D49" w:rsidP="007B3478">
            <w:pPr>
              <w:pStyle w:val="Tabletext"/>
              <w:jc w:val="center"/>
            </w:pPr>
            <w:r w:rsidRPr="00CA61A6">
              <w:sym w:font="Wingdings" w:char="F0FC"/>
            </w:r>
          </w:p>
        </w:tc>
      </w:tr>
      <w:tr w:rsidR="004B24D7" w:rsidRPr="00CA61A6" w:rsidTr="005F7C08">
        <w:trPr>
          <w:trHeight w:val="530"/>
        </w:trPr>
        <w:tc>
          <w:tcPr>
            <w:tcW w:w="916" w:type="dxa"/>
            <w:tcBorders>
              <w:top w:val="single" w:sz="4" w:space="0" w:color="auto"/>
              <w:left w:val="single" w:sz="4" w:space="0" w:color="auto"/>
              <w:bottom w:val="single" w:sz="4" w:space="0" w:color="auto"/>
              <w:right w:val="single" w:sz="4" w:space="0" w:color="auto"/>
            </w:tcBorders>
            <w:vAlign w:val="center"/>
          </w:tcPr>
          <w:p w:rsidR="004B24D7" w:rsidRPr="00CA61A6" w:rsidRDefault="00110CAD" w:rsidP="007B3478">
            <w:pPr>
              <w:pStyle w:val="Tabletext"/>
              <w:jc w:val="center"/>
            </w:pPr>
            <w:hyperlink w:anchor="Item22_03" w:history="1">
              <w:r w:rsidR="004B24D7" w:rsidRPr="00CA61A6">
                <w:rPr>
                  <w:rStyle w:val="Hyperlink"/>
                </w:rPr>
                <w:t>22-03</w:t>
              </w:r>
            </w:hyperlink>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24D7" w:rsidRPr="00CA61A6" w:rsidRDefault="004B24D7" w:rsidP="007B3478">
            <w:pPr>
              <w:pStyle w:val="Tabletext"/>
            </w:pPr>
            <w:r w:rsidRPr="00CA61A6">
              <w:t>El GANT rendirá informe sobre sus actividades a la AMNT-1</w:t>
            </w:r>
            <w:r w:rsidR="00895D2F" w:rsidRPr="00CA61A6">
              <w:t>6</w:t>
            </w:r>
            <w:r w:rsidRPr="00CA61A6">
              <w:t xml:space="preserve"> (resuelve 6)</w:t>
            </w:r>
          </w:p>
        </w:tc>
        <w:tc>
          <w:tcPr>
            <w:tcW w:w="1915" w:type="dxa"/>
            <w:tcBorders>
              <w:top w:val="single" w:sz="4" w:space="0" w:color="auto"/>
              <w:left w:val="nil"/>
              <w:bottom w:val="single" w:sz="4" w:space="0" w:color="auto"/>
              <w:right w:val="single" w:sz="4" w:space="0" w:color="auto"/>
            </w:tcBorders>
            <w:shd w:val="clear" w:color="auto" w:fill="auto"/>
            <w:vAlign w:val="center"/>
            <w:hideMark/>
          </w:tcPr>
          <w:p w:rsidR="004B24D7" w:rsidRPr="00CA61A6" w:rsidRDefault="004D1AEA" w:rsidP="007B3478">
            <w:pPr>
              <w:pStyle w:val="Tabletext"/>
              <w:jc w:val="center"/>
            </w:pPr>
            <w:r w:rsidRPr="00CA61A6">
              <w:t xml:space="preserve">Última </w:t>
            </w:r>
            <w:r w:rsidR="00E22C25" w:rsidRPr="00CA61A6">
              <w:t>reunión del GANT antes de la AMNT-16</w:t>
            </w:r>
          </w:p>
        </w:tc>
        <w:tc>
          <w:tcPr>
            <w:tcW w:w="1165" w:type="dxa"/>
            <w:tcBorders>
              <w:top w:val="single" w:sz="4" w:space="0" w:color="auto"/>
              <w:left w:val="nil"/>
              <w:bottom w:val="single" w:sz="4" w:space="0" w:color="auto"/>
              <w:right w:val="single" w:sz="4" w:space="0" w:color="auto"/>
            </w:tcBorders>
            <w:vAlign w:val="center"/>
          </w:tcPr>
          <w:p w:rsidR="004B24D7" w:rsidRPr="00CA61A6" w:rsidRDefault="004B24D7" w:rsidP="007B3478">
            <w:pPr>
              <w:pStyle w:val="Tabletext"/>
              <w:jc w:val="center"/>
            </w:pPr>
          </w:p>
        </w:tc>
        <w:tc>
          <w:tcPr>
            <w:tcW w:w="1336" w:type="dxa"/>
            <w:tcBorders>
              <w:top w:val="single" w:sz="4" w:space="0" w:color="auto"/>
              <w:left w:val="single" w:sz="4" w:space="0" w:color="auto"/>
              <w:bottom w:val="single" w:sz="4" w:space="0" w:color="auto"/>
              <w:right w:val="single" w:sz="4" w:space="0" w:color="auto"/>
            </w:tcBorders>
            <w:vAlign w:val="center"/>
          </w:tcPr>
          <w:p w:rsidR="004B24D7" w:rsidRPr="00CA61A6" w:rsidRDefault="00AF4D49" w:rsidP="007B3478">
            <w:pPr>
              <w:pStyle w:val="Tabletext"/>
              <w:jc w:val="center"/>
            </w:pPr>
            <w:r w:rsidRPr="00CA61A6">
              <w:sym w:font="Wingdings" w:char="F0FC"/>
            </w:r>
          </w:p>
        </w:tc>
      </w:tr>
    </w:tbl>
    <w:p w:rsidR="00243A31" w:rsidRPr="00CA61A6" w:rsidRDefault="00243A31" w:rsidP="007B3478">
      <w:pPr>
        <w:pStyle w:val="Headingb"/>
      </w:pPr>
      <w:bookmarkStart w:id="57" w:name="Item22_01"/>
      <w:r w:rsidRPr="00CA61A6">
        <w:t>Acción 22-01: GANT</w:t>
      </w:r>
      <w:r w:rsidRPr="00CA61A6">
        <w:rPr>
          <w:rFonts w:ascii="Times New Roman" w:hAnsi="Times New Roman"/>
          <w:bCs/>
          <w:szCs w:val="24"/>
          <w:lang w:eastAsia="ja-JP"/>
        </w:rPr>
        <w:t xml:space="preserve"> </w:t>
      </w:r>
      <w:r w:rsidR="00E22C25" w:rsidRPr="00CA61A6">
        <w:rPr>
          <w:rFonts w:ascii="Times New Roman" w:hAnsi="Times New Roman"/>
          <w:bCs/>
          <w:szCs w:val="24"/>
          <w:lang w:eastAsia="ja-JP"/>
        </w:rPr>
        <w:t>y Comité de Examen</w:t>
      </w:r>
    </w:p>
    <w:bookmarkEnd w:id="57"/>
    <w:p w:rsidR="00226204" w:rsidRPr="00CA61A6" w:rsidRDefault="00226204" w:rsidP="007B3478">
      <w:pPr>
        <w:rPr>
          <w:szCs w:val="24"/>
          <w:lang w:eastAsia="ja-JP"/>
        </w:rPr>
      </w:pPr>
      <w:r w:rsidRPr="00CA61A6">
        <w:rPr>
          <w:szCs w:val="24"/>
          <w:lang w:eastAsia="ja-JP"/>
        </w:rPr>
        <w:t>Completad</w:t>
      </w:r>
      <w:r w:rsidR="00BB4D53">
        <w:rPr>
          <w:szCs w:val="24"/>
          <w:lang w:eastAsia="ja-JP"/>
        </w:rPr>
        <w:t>a en su primera reunión del peri</w:t>
      </w:r>
      <w:r w:rsidRPr="00CA61A6">
        <w:rPr>
          <w:szCs w:val="24"/>
          <w:lang w:eastAsia="ja-JP"/>
        </w:rPr>
        <w:t>odo de estudios (junio de 2013).</w:t>
      </w:r>
    </w:p>
    <w:p w:rsidR="00243A31" w:rsidRPr="00CA61A6" w:rsidRDefault="00243A31" w:rsidP="007B3478">
      <w:pPr>
        <w:pStyle w:val="Headingb"/>
      </w:pPr>
      <w:bookmarkStart w:id="58" w:name="Item22_02"/>
      <w:r w:rsidRPr="00CA61A6">
        <w:t>Acción 22-02: GANT</w:t>
      </w:r>
      <w:bookmarkEnd w:id="58"/>
    </w:p>
    <w:p w:rsidR="00226204" w:rsidRPr="00CA61A6" w:rsidRDefault="00226204" w:rsidP="007B3478">
      <w:pPr>
        <w:rPr>
          <w:szCs w:val="24"/>
          <w:lang w:eastAsia="ja-JP"/>
        </w:rPr>
      </w:pPr>
      <w:r w:rsidRPr="00CA61A6">
        <w:rPr>
          <w:szCs w:val="24"/>
          <w:lang w:eastAsia="ja-JP"/>
        </w:rPr>
        <w:t>Completad</w:t>
      </w:r>
      <w:r w:rsidR="00BB4D53">
        <w:rPr>
          <w:szCs w:val="24"/>
          <w:lang w:eastAsia="ja-JP"/>
        </w:rPr>
        <w:t>a en su primera reunión del peri</w:t>
      </w:r>
      <w:r w:rsidRPr="00CA61A6">
        <w:rPr>
          <w:szCs w:val="24"/>
          <w:lang w:eastAsia="ja-JP"/>
        </w:rPr>
        <w:t>odo de estudios (junio de 2013).</w:t>
      </w:r>
    </w:p>
    <w:p w:rsidR="00243A31" w:rsidRPr="00CA61A6" w:rsidRDefault="00243A31" w:rsidP="007B3478">
      <w:pPr>
        <w:pStyle w:val="Headingb"/>
      </w:pPr>
      <w:bookmarkStart w:id="59" w:name="Item22_03"/>
      <w:r w:rsidRPr="00CA61A6">
        <w:t>Acción 22-03: GANT</w:t>
      </w:r>
    </w:p>
    <w:bookmarkEnd w:id="59"/>
    <w:p w:rsidR="00C6013B" w:rsidRPr="00CA61A6" w:rsidRDefault="00226204" w:rsidP="007B3478">
      <w:pPr>
        <w:rPr>
          <w:szCs w:val="24"/>
          <w:lang w:eastAsia="ja-JP"/>
        </w:rPr>
      </w:pPr>
      <w:r w:rsidRPr="00CA61A6">
        <w:rPr>
          <w:szCs w:val="24"/>
          <w:lang w:eastAsia="ja-JP"/>
        </w:rPr>
        <w:t>Completada</w:t>
      </w:r>
      <w:r w:rsidR="00C6013B" w:rsidRPr="00CA61A6">
        <w:rPr>
          <w:szCs w:val="24"/>
          <w:lang w:eastAsia="ja-JP"/>
        </w:rPr>
        <w:t>.</w:t>
      </w:r>
      <w:r w:rsidRPr="00CA61A6">
        <w:rPr>
          <w:szCs w:val="24"/>
          <w:lang w:eastAsia="ja-JP"/>
        </w:rPr>
        <w:t xml:space="preserve"> Véase el </w:t>
      </w:r>
      <w:r w:rsidR="00C6013B" w:rsidRPr="00CA61A6">
        <w:rPr>
          <w:szCs w:val="24"/>
          <w:lang w:eastAsia="ja-JP"/>
        </w:rPr>
        <w:t>Doc</w:t>
      </w:r>
      <w:r w:rsidR="00792D99">
        <w:rPr>
          <w:szCs w:val="24"/>
          <w:lang w:eastAsia="ja-JP"/>
        </w:rPr>
        <w:t>umento</w:t>
      </w:r>
      <w:r w:rsidR="00C6013B" w:rsidRPr="00CA61A6">
        <w:rPr>
          <w:szCs w:val="24"/>
          <w:lang w:eastAsia="ja-JP"/>
        </w:rPr>
        <w:t xml:space="preserve"> 24-27</w:t>
      </w:r>
      <w:r w:rsidRPr="00CA61A6">
        <w:rPr>
          <w:szCs w:val="24"/>
          <w:lang w:eastAsia="ja-JP"/>
        </w:rPr>
        <w:t xml:space="preserve"> de la AMNT-16</w:t>
      </w:r>
      <w:r w:rsidR="00C6013B" w:rsidRPr="00CA61A6">
        <w:rPr>
          <w:szCs w:val="24"/>
          <w:lang w:eastAsia="ja-JP"/>
        </w:rPr>
        <w:t>.</w:t>
      </w:r>
    </w:p>
    <w:bookmarkStart w:id="60" w:name="_Toc335979777"/>
    <w:bookmarkStart w:id="61" w:name="_Toc338837111"/>
    <w:bookmarkStart w:id="62" w:name="_Toc340066383"/>
    <w:p w:rsidR="00E3549E" w:rsidRPr="00CA61A6" w:rsidRDefault="00E3549E" w:rsidP="00E3549E">
      <w:r w:rsidRPr="00CA61A6">
        <w:fldChar w:fldCharType="begin"/>
      </w:r>
      <w:r w:rsidRPr="00CA61A6">
        <w:instrText xml:space="preserve"> HYPERLINK \l "Top" </w:instrText>
      </w:r>
      <w:r w:rsidRPr="00CA61A6">
        <w:fldChar w:fldCharType="separate"/>
      </w:r>
      <w:r w:rsidRPr="00CA61A6">
        <w:rPr>
          <w:rStyle w:val="Hyperlink"/>
        </w:rPr>
        <w:t>» Arriba</w:t>
      </w:r>
      <w:r w:rsidRPr="00CA61A6">
        <w:rPr>
          <w:rStyle w:val="Hyperlink"/>
        </w:rPr>
        <w:fldChar w:fldCharType="end"/>
      </w:r>
    </w:p>
    <w:p w:rsidR="00326AB0" w:rsidRPr="00CA61A6" w:rsidRDefault="009E397D" w:rsidP="007B3478">
      <w:pPr>
        <w:pStyle w:val="Heading1"/>
      </w:pPr>
      <w:bookmarkStart w:id="63" w:name="_8_Resolución_29"/>
      <w:bookmarkStart w:id="64" w:name="_Toc463335759"/>
      <w:bookmarkEnd w:id="63"/>
      <w:r w:rsidRPr="00CA61A6">
        <w:t>8</w:t>
      </w:r>
      <w:r w:rsidR="00326AB0" w:rsidRPr="00CA61A6">
        <w:tab/>
      </w:r>
      <w:bookmarkEnd w:id="60"/>
      <w:bookmarkEnd w:id="61"/>
      <w:bookmarkEnd w:id="62"/>
      <w:r w:rsidR="00411D86" w:rsidRPr="00CA61A6">
        <w:t>Resolución 29 – Procedimientos alternativos de llamada en las redes internacionales de telecomunicación</w:t>
      </w:r>
      <w:bookmarkEnd w:id="64"/>
    </w:p>
    <w:p w:rsidR="00326AB0" w:rsidRPr="00CA61A6" w:rsidRDefault="00411D86" w:rsidP="007B3478">
      <w:pPr>
        <w:pStyle w:val="Headingb"/>
      </w:pPr>
      <w:r w:rsidRPr="00CA61A6">
        <w:t>Resolución 29</w:t>
      </w:r>
    </w:p>
    <w:p w:rsidR="00500012" w:rsidRPr="00CA61A6" w:rsidRDefault="00500012" w:rsidP="007B3478">
      <w:pPr>
        <w:pStyle w:val="Call"/>
      </w:pPr>
      <w:r w:rsidRPr="00CA61A6">
        <w:t>resuelve</w:t>
      </w:r>
    </w:p>
    <w:p w:rsidR="00500012" w:rsidRPr="00CA61A6" w:rsidRDefault="00500012" w:rsidP="007B3478">
      <w:r w:rsidRPr="00CA61A6">
        <w:t>1</w:t>
      </w:r>
      <w:r w:rsidRPr="00CA61A6">
        <w:tab/>
        <w:t>que las administraciones y las empresas de explotación autorizadas por los Estados Miembros adopten, en la medida de lo posible, todas las medidas para suspender los métodos y las prácticas de llamada por intermediario que degraden gravemente la calidad y las características de la RTPC, tales como los de llamada constante (o bombardeo o interrogación) y de supresión de la señal de respuesta;</w:t>
      </w:r>
    </w:p>
    <w:p w:rsidR="00500012" w:rsidRPr="00CA61A6" w:rsidRDefault="00500012" w:rsidP="007B3478">
      <w:r w:rsidRPr="00CA61A6">
        <w:t>2</w:t>
      </w:r>
      <w:r w:rsidRPr="00CA61A6">
        <w:rPr>
          <w:b/>
          <w:bCs/>
        </w:rPr>
        <w:tab/>
      </w:r>
      <w:r w:rsidRPr="00CA61A6">
        <w:t>que las administraciones y las empresas de explotación autorizadas por los Estados Miembros adopten un enfoque cooperativo en lo tocante al respeto de la soberanía nacional de los demás; a los efectos de esta colaboración se adjunta una propuesta de directrices;</w:t>
      </w:r>
    </w:p>
    <w:p w:rsidR="00500012" w:rsidRPr="00CA61A6" w:rsidRDefault="00500012" w:rsidP="007B3478">
      <w:r w:rsidRPr="00CA61A6">
        <w:t>3</w:t>
      </w:r>
      <w:r w:rsidRPr="00CA61A6">
        <w:tab/>
        <w:t>que continúe la elaboración de las Recomendaciones apropiadas sobre procedimientos alternativos de llamada y, en particular, los aspectos técnicos de los métodos y prácticas de llamada por intermediario que degradan gravemente la calidad y el funcionamiento de la RTPC, como los de llamada constante (o bombardeo o interrogación) y de supresión de la señal de respuesta;</w:t>
      </w:r>
    </w:p>
    <w:p w:rsidR="00500012" w:rsidRPr="00CA61A6" w:rsidRDefault="00500012" w:rsidP="007B3478">
      <w:r w:rsidRPr="00CA61A6">
        <w:t>4</w:t>
      </w:r>
      <w:r w:rsidRPr="00CA61A6">
        <w:tab/>
        <w:t>que encargue a la Comisión de Estudio 2 del UIT-T que considere la definición y los requisitos de servicio de la concentración, así como otros aspectos y modalidades de los procedimientos alternativos de llamada, incluyendo el de llamada por mayorista y el de llamada sin identificación;</w:t>
      </w:r>
    </w:p>
    <w:p w:rsidR="00500012" w:rsidRPr="00CA61A6" w:rsidRDefault="00500012" w:rsidP="007B3478">
      <w:r w:rsidRPr="00CA61A6">
        <w:t>5</w:t>
      </w:r>
      <w:r w:rsidRPr="00CA61A6">
        <w:tab/>
        <w:t xml:space="preserve">que encargue a la Comisión de Estudio 3 del UIT-T que considere los efectos económicos de las llamadas por intermediario, las llamadas por mayorista, la concentración y otros procedimientos alternativos de llamada así como la no identificación del origen y la falsificación, en </w:t>
      </w:r>
      <w:r w:rsidRPr="00CA61A6">
        <w:lastRenderedPageBreak/>
        <w:t>los esfuerzos de los países en desarrollo por desarrollar sus redes y servicios de telecomunicaciones locales de una manera sólida, y evalúe, en colaboración con la Comisión de Estudio 2, la eficacia de las directrices propuestas sobre el servicio de llamadas por intermediario,</w:t>
      </w:r>
    </w:p>
    <w:p w:rsidR="00500012" w:rsidRPr="00CA61A6" w:rsidRDefault="00500012" w:rsidP="007B3478">
      <w:pPr>
        <w:pStyle w:val="Call"/>
      </w:pPr>
      <w:r w:rsidRPr="00CA61A6">
        <w:t>encarga al Director de la Oficina de Normalización de las Telecomunicaciones</w:t>
      </w:r>
    </w:p>
    <w:p w:rsidR="00500012" w:rsidRPr="00CA61A6" w:rsidRDefault="00500012" w:rsidP="007B3478">
      <w:pPr>
        <w:spacing w:after="120"/>
      </w:pPr>
      <w:r w:rsidRPr="00CA61A6">
        <w:t>que siga cooperando con el Director de la Oficina de Desarrollo de las Telecomunicaciones (BDT) a fin de facilitar la participación en esos estudios de los países en desarrollo y la utilización de sus resultados, así como en la aplicación de la presente Resolución.</w:t>
      </w:r>
    </w:p>
    <w:tbl>
      <w:tblPr>
        <w:tblW w:w="9832" w:type="dxa"/>
        <w:tblInd w:w="-13" w:type="dxa"/>
        <w:tblLook w:val="04A0" w:firstRow="1" w:lastRow="0" w:firstColumn="1" w:lastColumn="0" w:noHBand="0" w:noVBand="1"/>
      </w:tblPr>
      <w:tblGrid>
        <w:gridCol w:w="986"/>
        <w:gridCol w:w="5135"/>
        <w:gridCol w:w="1156"/>
        <w:gridCol w:w="1190"/>
        <w:gridCol w:w="1365"/>
      </w:tblGrid>
      <w:tr w:rsidR="00B76260" w:rsidRPr="00CA61A6" w:rsidTr="00C002FC">
        <w:trPr>
          <w:trHeight w:val="647"/>
          <w:tblHeader/>
        </w:trPr>
        <w:tc>
          <w:tcPr>
            <w:tcW w:w="986" w:type="dxa"/>
            <w:tcBorders>
              <w:top w:val="single" w:sz="4" w:space="0" w:color="auto"/>
              <w:left w:val="single" w:sz="4" w:space="0" w:color="auto"/>
              <w:bottom w:val="double" w:sz="6" w:space="0" w:color="auto"/>
              <w:right w:val="single" w:sz="4" w:space="0" w:color="auto"/>
            </w:tcBorders>
            <w:vAlign w:val="center"/>
          </w:tcPr>
          <w:p w:rsidR="00B76260" w:rsidRPr="00CA61A6" w:rsidRDefault="00B76260" w:rsidP="007B3478">
            <w:pPr>
              <w:pStyle w:val="Tablehead"/>
            </w:pPr>
            <w:r w:rsidRPr="00CA61A6">
              <w:t>Número</w:t>
            </w:r>
          </w:p>
        </w:tc>
        <w:tc>
          <w:tcPr>
            <w:tcW w:w="5135" w:type="dxa"/>
            <w:tcBorders>
              <w:top w:val="single" w:sz="4" w:space="0" w:color="auto"/>
              <w:left w:val="single" w:sz="4" w:space="0" w:color="auto"/>
              <w:bottom w:val="double" w:sz="6" w:space="0" w:color="auto"/>
              <w:right w:val="single" w:sz="4" w:space="0" w:color="auto"/>
            </w:tcBorders>
            <w:shd w:val="clear" w:color="auto" w:fill="auto"/>
            <w:vAlign w:val="center"/>
          </w:tcPr>
          <w:p w:rsidR="00B76260" w:rsidRPr="00CA61A6" w:rsidRDefault="00B76260" w:rsidP="007B3478">
            <w:pPr>
              <w:pStyle w:val="Tablehead"/>
            </w:pPr>
            <w:r w:rsidRPr="00CA61A6">
              <w:t>Acción</w:t>
            </w:r>
          </w:p>
        </w:tc>
        <w:tc>
          <w:tcPr>
            <w:tcW w:w="1156" w:type="dxa"/>
            <w:tcBorders>
              <w:top w:val="single" w:sz="4" w:space="0" w:color="auto"/>
              <w:left w:val="nil"/>
              <w:bottom w:val="double" w:sz="6" w:space="0" w:color="auto"/>
              <w:right w:val="single" w:sz="4" w:space="0" w:color="auto"/>
            </w:tcBorders>
            <w:shd w:val="clear" w:color="auto" w:fill="auto"/>
            <w:vAlign w:val="center"/>
          </w:tcPr>
          <w:p w:rsidR="00B76260" w:rsidRPr="00CA61A6" w:rsidRDefault="00B76260" w:rsidP="007B3478">
            <w:pPr>
              <w:pStyle w:val="Tablehead"/>
            </w:pPr>
            <w:r w:rsidRPr="00CA61A6">
              <w:t>Fecha objetivo</w:t>
            </w:r>
          </w:p>
        </w:tc>
        <w:tc>
          <w:tcPr>
            <w:tcW w:w="1190" w:type="dxa"/>
            <w:tcBorders>
              <w:top w:val="single" w:sz="4" w:space="0" w:color="auto"/>
              <w:left w:val="nil"/>
              <w:bottom w:val="double" w:sz="6" w:space="0" w:color="auto"/>
              <w:right w:val="single" w:sz="4" w:space="0" w:color="auto"/>
            </w:tcBorders>
          </w:tcPr>
          <w:p w:rsidR="00B76260" w:rsidRPr="00CA61A6" w:rsidRDefault="00B76260" w:rsidP="007B3478">
            <w:pPr>
              <w:pStyle w:val="Tablehead"/>
            </w:pPr>
            <w:r w:rsidRPr="00CA61A6">
              <w:t>Objetivos periódicos cumplidos</w:t>
            </w:r>
          </w:p>
        </w:tc>
        <w:tc>
          <w:tcPr>
            <w:tcW w:w="1365" w:type="dxa"/>
            <w:tcBorders>
              <w:top w:val="single" w:sz="4" w:space="0" w:color="auto"/>
              <w:left w:val="single" w:sz="4" w:space="0" w:color="auto"/>
              <w:bottom w:val="double" w:sz="6" w:space="0" w:color="auto"/>
              <w:right w:val="single" w:sz="4" w:space="0" w:color="auto"/>
            </w:tcBorders>
            <w:vAlign w:val="center"/>
          </w:tcPr>
          <w:p w:rsidR="00B76260" w:rsidRPr="00CA61A6" w:rsidRDefault="00B76260" w:rsidP="007B3478">
            <w:pPr>
              <w:pStyle w:val="Tablehead"/>
            </w:pPr>
            <w:r w:rsidRPr="00CA61A6">
              <w:t>Completada</w:t>
            </w:r>
          </w:p>
        </w:tc>
      </w:tr>
      <w:tr w:rsidR="00B76260" w:rsidRPr="00CA61A6" w:rsidTr="005F7C08">
        <w:trPr>
          <w:trHeight w:val="620"/>
        </w:trPr>
        <w:tc>
          <w:tcPr>
            <w:tcW w:w="986" w:type="dxa"/>
            <w:tcBorders>
              <w:top w:val="double" w:sz="6" w:space="0" w:color="auto"/>
              <w:left w:val="single" w:sz="4" w:space="0" w:color="auto"/>
              <w:bottom w:val="single" w:sz="4" w:space="0" w:color="auto"/>
              <w:right w:val="single" w:sz="4" w:space="0" w:color="auto"/>
            </w:tcBorders>
            <w:vAlign w:val="center"/>
          </w:tcPr>
          <w:p w:rsidR="00B76260" w:rsidRPr="00CA61A6" w:rsidRDefault="00110CAD" w:rsidP="007B3478">
            <w:pPr>
              <w:pStyle w:val="Tabletext"/>
              <w:jc w:val="center"/>
            </w:pPr>
            <w:hyperlink w:anchor="Item29_01" w:history="1">
              <w:r w:rsidR="00B76260" w:rsidRPr="00CA61A6">
                <w:rPr>
                  <w:rStyle w:val="Hyperlink"/>
                </w:rPr>
                <w:t>29-01</w:t>
              </w:r>
            </w:hyperlink>
          </w:p>
        </w:tc>
        <w:tc>
          <w:tcPr>
            <w:tcW w:w="5135" w:type="dxa"/>
            <w:tcBorders>
              <w:top w:val="double" w:sz="6" w:space="0" w:color="auto"/>
              <w:left w:val="single" w:sz="4" w:space="0" w:color="auto"/>
              <w:bottom w:val="single" w:sz="4" w:space="0" w:color="auto"/>
              <w:right w:val="single" w:sz="4" w:space="0" w:color="auto"/>
            </w:tcBorders>
            <w:shd w:val="clear" w:color="auto" w:fill="auto"/>
            <w:vAlign w:val="center"/>
            <w:hideMark/>
          </w:tcPr>
          <w:p w:rsidR="00B76260" w:rsidRPr="00CA61A6" w:rsidRDefault="00B76260" w:rsidP="007B3478">
            <w:pPr>
              <w:pStyle w:val="Tabletext"/>
            </w:pPr>
            <w:r w:rsidRPr="00CA61A6">
              <w:t>La CE 2 estudiará otros aspectos y</w:t>
            </w:r>
            <w:r w:rsidR="00226204" w:rsidRPr="00CA61A6">
              <w:t xml:space="preserve"> formas de</w:t>
            </w:r>
            <w:r w:rsidRPr="00CA61A6">
              <w:t xml:space="preserve"> procedimientos de llamada alternativos, incluido</w:t>
            </w:r>
            <w:r w:rsidR="00C15943" w:rsidRPr="00CA61A6">
              <w:t>s</w:t>
            </w:r>
            <w:r w:rsidRPr="00CA61A6">
              <w:t xml:space="preserve"> </w:t>
            </w:r>
            <w:r w:rsidR="00C15943" w:rsidRPr="00CA61A6">
              <w:t>los</w:t>
            </w:r>
            <w:r w:rsidRPr="00CA61A6">
              <w:t xml:space="preserve"> de</w:t>
            </w:r>
            <w:r w:rsidR="00226204" w:rsidRPr="00CA61A6">
              <w:t xml:space="preserve"> </w:t>
            </w:r>
            <w:r w:rsidR="009D3B26" w:rsidRPr="00CA61A6">
              <w:t>llamada por mayorista</w:t>
            </w:r>
            <w:r w:rsidR="00226204" w:rsidRPr="00CA61A6">
              <w:t>,</w:t>
            </w:r>
            <w:r w:rsidRPr="00CA61A6">
              <w:t xml:space="preserve"> llamada sin identificación</w:t>
            </w:r>
            <w:r w:rsidR="00226204" w:rsidRPr="00CA61A6">
              <w:t xml:space="preserve"> y</w:t>
            </w:r>
            <w:r w:rsidR="009D3B26" w:rsidRPr="00CA61A6">
              <w:t xml:space="preserve"> concentración</w:t>
            </w:r>
          </w:p>
        </w:tc>
        <w:tc>
          <w:tcPr>
            <w:tcW w:w="1156" w:type="dxa"/>
            <w:tcBorders>
              <w:top w:val="double" w:sz="6" w:space="0" w:color="auto"/>
              <w:left w:val="nil"/>
              <w:bottom w:val="single" w:sz="4" w:space="0" w:color="auto"/>
              <w:right w:val="single" w:sz="4" w:space="0" w:color="auto"/>
            </w:tcBorders>
            <w:shd w:val="clear" w:color="auto" w:fill="auto"/>
            <w:vAlign w:val="center"/>
            <w:hideMark/>
          </w:tcPr>
          <w:p w:rsidR="00B76260" w:rsidRPr="00CA61A6" w:rsidRDefault="00B76260" w:rsidP="007B3478">
            <w:pPr>
              <w:pStyle w:val="Tabletext"/>
              <w:jc w:val="center"/>
            </w:pPr>
            <w:r w:rsidRPr="00CA61A6">
              <w:t>En curso</w:t>
            </w:r>
          </w:p>
        </w:tc>
        <w:tc>
          <w:tcPr>
            <w:tcW w:w="1190" w:type="dxa"/>
            <w:tcBorders>
              <w:top w:val="double" w:sz="6" w:space="0" w:color="auto"/>
              <w:left w:val="nil"/>
              <w:bottom w:val="single" w:sz="4" w:space="0" w:color="auto"/>
              <w:right w:val="single" w:sz="4" w:space="0" w:color="auto"/>
            </w:tcBorders>
            <w:vAlign w:val="center"/>
          </w:tcPr>
          <w:p w:rsidR="00B76260" w:rsidRPr="00CA61A6" w:rsidRDefault="00AF4D49" w:rsidP="007B3478">
            <w:pPr>
              <w:pStyle w:val="Tabletext"/>
              <w:jc w:val="center"/>
            </w:pPr>
            <w:r w:rsidRPr="00CA61A6">
              <w:sym w:font="Wingdings" w:char="F0FC"/>
            </w:r>
          </w:p>
        </w:tc>
        <w:tc>
          <w:tcPr>
            <w:tcW w:w="1365" w:type="dxa"/>
            <w:tcBorders>
              <w:top w:val="double" w:sz="6" w:space="0" w:color="auto"/>
              <w:left w:val="single" w:sz="4" w:space="0" w:color="auto"/>
              <w:bottom w:val="single" w:sz="4" w:space="0" w:color="auto"/>
              <w:right w:val="single" w:sz="4" w:space="0" w:color="auto"/>
            </w:tcBorders>
            <w:vAlign w:val="center"/>
          </w:tcPr>
          <w:p w:rsidR="00B76260" w:rsidRPr="00CA61A6" w:rsidRDefault="00B76260" w:rsidP="007B3478">
            <w:pPr>
              <w:pStyle w:val="Tabletext"/>
              <w:jc w:val="center"/>
            </w:pPr>
          </w:p>
        </w:tc>
      </w:tr>
      <w:tr w:rsidR="00B76260" w:rsidRPr="00CA61A6" w:rsidTr="005F7C08">
        <w:trPr>
          <w:trHeight w:val="710"/>
        </w:trPr>
        <w:tc>
          <w:tcPr>
            <w:tcW w:w="986" w:type="dxa"/>
            <w:tcBorders>
              <w:top w:val="nil"/>
              <w:left w:val="single" w:sz="4" w:space="0" w:color="auto"/>
              <w:bottom w:val="single" w:sz="4" w:space="0" w:color="auto"/>
              <w:right w:val="single" w:sz="4" w:space="0" w:color="auto"/>
            </w:tcBorders>
            <w:vAlign w:val="center"/>
          </w:tcPr>
          <w:p w:rsidR="00B76260" w:rsidRPr="00CA61A6" w:rsidRDefault="00110CAD" w:rsidP="007B3478">
            <w:pPr>
              <w:pStyle w:val="Tabletext"/>
              <w:jc w:val="center"/>
            </w:pPr>
            <w:hyperlink w:anchor="Item29_02" w:history="1">
              <w:r w:rsidR="00B76260" w:rsidRPr="00CA61A6">
                <w:rPr>
                  <w:rStyle w:val="Hyperlink"/>
                </w:rPr>
                <w:t>29-02</w:t>
              </w:r>
            </w:hyperlink>
          </w:p>
        </w:tc>
        <w:tc>
          <w:tcPr>
            <w:tcW w:w="5135" w:type="dxa"/>
            <w:tcBorders>
              <w:top w:val="nil"/>
              <w:left w:val="single" w:sz="4" w:space="0" w:color="auto"/>
              <w:bottom w:val="single" w:sz="4" w:space="0" w:color="auto"/>
              <w:right w:val="single" w:sz="4" w:space="0" w:color="auto"/>
            </w:tcBorders>
            <w:shd w:val="clear" w:color="auto" w:fill="auto"/>
            <w:vAlign w:val="center"/>
            <w:hideMark/>
          </w:tcPr>
          <w:p w:rsidR="00B76260" w:rsidRPr="00CA61A6" w:rsidRDefault="00B76260" w:rsidP="007B3478">
            <w:pPr>
              <w:pStyle w:val="Tabletext"/>
            </w:pPr>
            <w:r w:rsidRPr="00CA61A6">
              <w:t>La CE 3 estudiará los efectos económicos de</w:t>
            </w:r>
            <w:r w:rsidR="00226204" w:rsidRPr="00CA61A6">
              <w:t xml:space="preserve"> la</w:t>
            </w:r>
            <w:r w:rsidR="004A6A91" w:rsidRPr="00CA61A6">
              <w:t>s llamadas por intermediario</w:t>
            </w:r>
            <w:r w:rsidR="00226204" w:rsidRPr="00CA61A6">
              <w:t>, la</w:t>
            </w:r>
            <w:r w:rsidR="004A6A91" w:rsidRPr="00CA61A6">
              <w:t>s llamadas por mayorista, la</w:t>
            </w:r>
            <w:r w:rsidR="00226204" w:rsidRPr="00CA61A6">
              <w:t xml:space="preserve"> concentración</w:t>
            </w:r>
            <w:r w:rsidR="004A6A91" w:rsidRPr="00CA61A6">
              <w:t xml:space="preserve"> inadecuada y </w:t>
            </w:r>
            <w:r w:rsidR="00226204" w:rsidRPr="00CA61A6">
              <w:t xml:space="preserve">la </w:t>
            </w:r>
            <w:r w:rsidR="009D3B26" w:rsidRPr="00CA61A6">
              <w:t>suplantación de identidad</w:t>
            </w:r>
            <w:r w:rsidR="00226204" w:rsidRPr="00CA61A6">
              <w:t>,</w:t>
            </w:r>
            <w:r w:rsidR="009D3B26" w:rsidRPr="00CA61A6">
              <w:t xml:space="preserve"> entre otras cuestiones,</w:t>
            </w:r>
            <w:r w:rsidRPr="00CA61A6">
              <w:t xml:space="preserve"> en</w:t>
            </w:r>
            <w:r w:rsidR="00C15943" w:rsidRPr="00CA61A6">
              <w:t xml:space="preserve"> el marco de</w:t>
            </w:r>
            <w:r w:rsidRPr="00CA61A6">
              <w:t xml:space="preserve"> los esfuerzos de los países en desarrollo por desarrollar de manera coherente sus redes y servicios de telecomunicaciones locales, y evaluará </w:t>
            </w:r>
            <w:r w:rsidR="009D3B26" w:rsidRPr="00CA61A6">
              <w:t xml:space="preserve">con la CE 2 </w:t>
            </w:r>
            <w:r w:rsidRPr="00CA61A6">
              <w:t>la eficacia de las directrices propuestas para las consultas sobre las llamadas por intermediario</w:t>
            </w:r>
          </w:p>
        </w:tc>
        <w:tc>
          <w:tcPr>
            <w:tcW w:w="1156" w:type="dxa"/>
            <w:tcBorders>
              <w:top w:val="nil"/>
              <w:left w:val="nil"/>
              <w:bottom w:val="single" w:sz="4" w:space="0" w:color="auto"/>
              <w:right w:val="single" w:sz="4" w:space="0" w:color="auto"/>
            </w:tcBorders>
            <w:shd w:val="clear" w:color="auto" w:fill="auto"/>
            <w:vAlign w:val="center"/>
            <w:hideMark/>
          </w:tcPr>
          <w:p w:rsidR="00B76260" w:rsidRPr="00CA61A6" w:rsidRDefault="00B76260" w:rsidP="007B3478">
            <w:pPr>
              <w:pStyle w:val="Tabletext"/>
              <w:jc w:val="center"/>
            </w:pPr>
            <w:r w:rsidRPr="00CA61A6">
              <w:t>En curso</w:t>
            </w:r>
          </w:p>
        </w:tc>
        <w:tc>
          <w:tcPr>
            <w:tcW w:w="1190" w:type="dxa"/>
            <w:tcBorders>
              <w:top w:val="nil"/>
              <w:left w:val="nil"/>
              <w:bottom w:val="single" w:sz="4" w:space="0" w:color="auto"/>
              <w:right w:val="single" w:sz="4" w:space="0" w:color="auto"/>
            </w:tcBorders>
            <w:vAlign w:val="center"/>
          </w:tcPr>
          <w:p w:rsidR="00B76260" w:rsidRPr="00CA61A6" w:rsidRDefault="00AF4D49" w:rsidP="007B3478">
            <w:pPr>
              <w:pStyle w:val="Tabletext"/>
              <w:jc w:val="center"/>
            </w:pPr>
            <w:r w:rsidRPr="00CA61A6">
              <w:sym w:font="Wingdings" w:char="F0FC"/>
            </w:r>
          </w:p>
        </w:tc>
        <w:tc>
          <w:tcPr>
            <w:tcW w:w="1365" w:type="dxa"/>
            <w:tcBorders>
              <w:top w:val="nil"/>
              <w:left w:val="single" w:sz="4" w:space="0" w:color="auto"/>
              <w:bottom w:val="single" w:sz="4" w:space="0" w:color="auto"/>
              <w:right w:val="single" w:sz="4" w:space="0" w:color="auto"/>
            </w:tcBorders>
            <w:vAlign w:val="center"/>
          </w:tcPr>
          <w:p w:rsidR="00B76260" w:rsidRPr="00CA61A6" w:rsidRDefault="00B76260" w:rsidP="007B3478">
            <w:pPr>
              <w:pStyle w:val="Tabletext"/>
              <w:jc w:val="center"/>
            </w:pPr>
          </w:p>
        </w:tc>
      </w:tr>
      <w:tr w:rsidR="00B76260" w:rsidRPr="00CA61A6" w:rsidTr="005F7C08">
        <w:trPr>
          <w:trHeight w:val="530"/>
        </w:trPr>
        <w:tc>
          <w:tcPr>
            <w:tcW w:w="986" w:type="dxa"/>
            <w:tcBorders>
              <w:top w:val="single" w:sz="4" w:space="0" w:color="auto"/>
              <w:left w:val="single" w:sz="4" w:space="0" w:color="auto"/>
              <w:bottom w:val="single" w:sz="4" w:space="0" w:color="auto"/>
              <w:right w:val="single" w:sz="4" w:space="0" w:color="auto"/>
            </w:tcBorders>
            <w:vAlign w:val="center"/>
          </w:tcPr>
          <w:p w:rsidR="00B76260" w:rsidRPr="00CA61A6" w:rsidRDefault="00110CAD" w:rsidP="007B3478">
            <w:pPr>
              <w:pStyle w:val="Tabletext"/>
              <w:jc w:val="center"/>
            </w:pPr>
            <w:hyperlink w:anchor="Item29_03" w:history="1">
              <w:r w:rsidR="00B76260" w:rsidRPr="00CA61A6">
                <w:rPr>
                  <w:rStyle w:val="Hyperlink"/>
                </w:rPr>
                <w:t>29-03</w:t>
              </w:r>
            </w:hyperlink>
          </w:p>
        </w:tc>
        <w:tc>
          <w:tcPr>
            <w:tcW w:w="5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6260" w:rsidRPr="00CA61A6" w:rsidRDefault="00B76260" w:rsidP="007B3478">
            <w:pPr>
              <w:pStyle w:val="Tabletext"/>
            </w:pPr>
            <w:r w:rsidRPr="00CA61A6">
              <w:t xml:space="preserve">El Director </w:t>
            </w:r>
            <w:r w:rsidR="009D3B26" w:rsidRPr="00CA61A6">
              <w:t>facilitará la participación de los países en desarrollo y utilizará los</w:t>
            </w:r>
            <w:r w:rsidRPr="00CA61A6">
              <w:t xml:space="preserve"> trabajos</w:t>
            </w:r>
            <w:r w:rsidR="009D3B26" w:rsidRPr="00CA61A6">
              <w:t xml:space="preserve"> y estudios</w:t>
            </w:r>
            <w:r w:rsidRPr="00CA61A6">
              <w:t xml:space="preserve"> de la CE 2 y la CE 3 sobre los procedimientos de llamada alternativos</w:t>
            </w:r>
          </w:p>
        </w:tc>
        <w:tc>
          <w:tcPr>
            <w:tcW w:w="1156" w:type="dxa"/>
            <w:tcBorders>
              <w:top w:val="single" w:sz="4" w:space="0" w:color="auto"/>
              <w:left w:val="nil"/>
              <w:bottom w:val="single" w:sz="4" w:space="0" w:color="auto"/>
              <w:right w:val="single" w:sz="4" w:space="0" w:color="auto"/>
            </w:tcBorders>
            <w:shd w:val="clear" w:color="auto" w:fill="auto"/>
            <w:vAlign w:val="center"/>
            <w:hideMark/>
          </w:tcPr>
          <w:p w:rsidR="00B76260" w:rsidRPr="00CA61A6" w:rsidRDefault="00B76260" w:rsidP="007B3478">
            <w:pPr>
              <w:pStyle w:val="Tabletext"/>
              <w:jc w:val="center"/>
            </w:pPr>
            <w:r w:rsidRPr="00CA61A6">
              <w:t>En curso</w:t>
            </w:r>
          </w:p>
        </w:tc>
        <w:tc>
          <w:tcPr>
            <w:tcW w:w="1190" w:type="dxa"/>
            <w:tcBorders>
              <w:top w:val="single" w:sz="4" w:space="0" w:color="auto"/>
              <w:left w:val="nil"/>
              <w:bottom w:val="single" w:sz="4" w:space="0" w:color="auto"/>
              <w:right w:val="single" w:sz="4" w:space="0" w:color="auto"/>
            </w:tcBorders>
            <w:vAlign w:val="center"/>
          </w:tcPr>
          <w:p w:rsidR="00B76260" w:rsidRPr="00CA61A6" w:rsidRDefault="00AF4D49" w:rsidP="007B3478">
            <w:pPr>
              <w:pStyle w:val="Tabletext"/>
              <w:jc w:val="center"/>
            </w:pPr>
            <w:r w:rsidRPr="00CA61A6">
              <w:sym w:font="Wingdings" w:char="F0FC"/>
            </w:r>
          </w:p>
        </w:tc>
        <w:tc>
          <w:tcPr>
            <w:tcW w:w="1365" w:type="dxa"/>
            <w:tcBorders>
              <w:top w:val="single" w:sz="4" w:space="0" w:color="auto"/>
              <w:left w:val="single" w:sz="4" w:space="0" w:color="auto"/>
              <w:bottom w:val="single" w:sz="4" w:space="0" w:color="auto"/>
              <w:right w:val="single" w:sz="4" w:space="0" w:color="auto"/>
            </w:tcBorders>
            <w:vAlign w:val="center"/>
          </w:tcPr>
          <w:p w:rsidR="00B76260" w:rsidRPr="00CA61A6" w:rsidRDefault="00B76260" w:rsidP="007B3478">
            <w:pPr>
              <w:pStyle w:val="Tabletext"/>
              <w:jc w:val="center"/>
            </w:pPr>
          </w:p>
        </w:tc>
      </w:tr>
    </w:tbl>
    <w:p w:rsidR="00CE7A7F" w:rsidRPr="00CA61A6" w:rsidRDefault="00CE7A7F" w:rsidP="007B3478">
      <w:pPr>
        <w:pStyle w:val="Headingb"/>
      </w:pPr>
      <w:bookmarkStart w:id="65" w:name="Item29_01"/>
      <w:r w:rsidRPr="00CA61A6">
        <w:t>Acción 29-01: CE</w:t>
      </w:r>
      <w:r w:rsidR="003B47CA" w:rsidRPr="00CA61A6">
        <w:t> </w:t>
      </w:r>
      <w:r w:rsidRPr="00CA61A6">
        <w:t>2</w:t>
      </w:r>
    </w:p>
    <w:bookmarkEnd w:id="65"/>
    <w:p w:rsidR="00CE7A7F" w:rsidRPr="00CA61A6" w:rsidRDefault="0009226A" w:rsidP="002D4174">
      <w:pPr>
        <w:rPr>
          <w:szCs w:val="24"/>
          <w:lang w:eastAsia="ja-JP"/>
        </w:rPr>
      </w:pPr>
      <w:r w:rsidRPr="00CA61A6">
        <w:rPr>
          <w:szCs w:val="24"/>
          <w:lang w:eastAsia="ja-JP"/>
        </w:rPr>
        <w:t>La cuestión de la no identificación fue objeto de</w:t>
      </w:r>
      <w:r w:rsidR="004E43A9">
        <w:rPr>
          <w:szCs w:val="24"/>
          <w:lang w:eastAsia="ja-JP"/>
        </w:rPr>
        <w:t xml:space="preserve"> debate en una reunión de la CE </w:t>
      </w:r>
      <w:r w:rsidRPr="00CA61A6">
        <w:rPr>
          <w:szCs w:val="24"/>
          <w:lang w:eastAsia="ja-JP"/>
        </w:rPr>
        <w:t xml:space="preserve">2 (17-26 de septiembre de 2013). El 2 de junio 2014 tuvo lugar el </w:t>
      </w:r>
      <w:r w:rsidR="00A518A6" w:rsidRPr="00CA61A6">
        <w:t xml:space="preserve">taller </w:t>
      </w:r>
      <w:r w:rsidRPr="00CA61A6">
        <w:t xml:space="preserve">de la UIT sobre "Suplantación de la identificación de la parte llamante", en </w:t>
      </w:r>
      <w:r w:rsidR="00C15943" w:rsidRPr="00CA61A6">
        <w:t>concomitancia con</w:t>
      </w:r>
      <w:r w:rsidRPr="00CA61A6">
        <w:rPr>
          <w:szCs w:val="24"/>
          <w:lang w:eastAsia="ja-JP"/>
        </w:rPr>
        <w:t xml:space="preserve"> la reu</w:t>
      </w:r>
      <w:r w:rsidR="004E43A9">
        <w:rPr>
          <w:szCs w:val="24"/>
          <w:lang w:eastAsia="ja-JP"/>
        </w:rPr>
        <w:t>nión de la CE 2 (Ginebra, 28 </w:t>
      </w:r>
      <w:r w:rsidR="009C644E">
        <w:rPr>
          <w:szCs w:val="24"/>
          <w:lang w:eastAsia="ja-JP"/>
        </w:rPr>
        <w:t>de </w:t>
      </w:r>
      <w:r w:rsidR="00C15943" w:rsidRPr="00CA61A6">
        <w:rPr>
          <w:szCs w:val="24"/>
          <w:lang w:eastAsia="ja-JP"/>
        </w:rPr>
        <w:t>m</w:t>
      </w:r>
      <w:r w:rsidRPr="00CA61A6">
        <w:rPr>
          <w:szCs w:val="24"/>
          <w:lang w:eastAsia="ja-JP"/>
        </w:rPr>
        <w:t>ayo</w:t>
      </w:r>
      <w:r w:rsidR="002D4174" w:rsidRPr="00CA61A6">
        <w:rPr>
          <w:szCs w:val="24"/>
          <w:lang w:eastAsia="ja-JP"/>
        </w:rPr>
        <w:t>-</w:t>
      </w:r>
      <w:r w:rsidRPr="00CA61A6">
        <w:rPr>
          <w:szCs w:val="24"/>
          <w:lang w:eastAsia="ja-JP"/>
        </w:rPr>
        <w:t xml:space="preserve">6 junio de 2014). La </w:t>
      </w:r>
      <w:r w:rsidRPr="00CA61A6">
        <w:t xml:space="preserve">Comisión Federal de Comercio </w:t>
      </w:r>
      <w:r w:rsidRPr="00CA61A6">
        <w:rPr>
          <w:szCs w:val="24"/>
          <w:lang w:eastAsia="ja-JP"/>
        </w:rPr>
        <w:t>de los Estados Unidos realizó una presentación sobre la suplantación de números (</w:t>
      </w:r>
      <w:hyperlink r:id="rId85" w:history="1">
        <w:r w:rsidRPr="00CA61A6">
          <w:rPr>
            <w:color w:val="0000FF"/>
            <w:szCs w:val="24"/>
            <w:u w:val="single"/>
            <w:lang w:eastAsia="ja-JP"/>
          </w:rPr>
          <w:t>TD619/GEN2</w:t>
        </w:r>
      </w:hyperlink>
      <w:r w:rsidR="004E43A9">
        <w:rPr>
          <w:szCs w:val="24"/>
          <w:lang w:eastAsia="ja-JP"/>
        </w:rPr>
        <w:t>) durante la reunión que la CE </w:t>
      </w:r>
      <w:r w:rsidRPr="00CA61A6">
        <w:rPr>
          <w:szCs w:val="24"/>
          <w:lang w:eastAsia="ja-JP"/>
        </w:rPr>
        <w:t>2 celebró del 18 al 27 de marzo de 2015.</w:t>
      </w:r>
    </w:p>
    <w:p w:rsidR="00CE7A7F" w:rsidRPr="00CA61A6" w:rsidRDefault="0009226A" w:rsidP="007B3478">
      <w:pPr>
        <w:rPr>
          <w:szCs w:val="24"/>
          <w:lang w:eastAsia="ja-JP"/>
        </w:rPr>
      </w:pPr>
      <w:r w:rsidRPr="00CA61A6">
        <w:rPr>
          <w:szCs w:val="24"/>
          <w:lang w:eastAsia="ja-JP"/>
        </w:rPr>
        <w:t>En una contribución de Egipto (</w:t>
      </w:r>
      <w:hyperlink r:id="rId86" w:history="1">
        <w:r w:rsidRPr="00CA61A6">
          <w:rPr>
            <w:color w:val="0000FF"/>
            <w:szCs w:val="24"/>
            <w:u w:val="single"/>
            <w:lang w:eastAsia="ja-JP"/>
          </w:rPr>
          <w:t>C121</w:t>
        </w:r>
      </w:hyperlink>
      <w:r w:rsidRPr="00CA61A6">
        <w:rPr>
          <w:szCs w:val="24"/>
          <w:lang w:eastAsia="ja-JP"/>
        </w:rPr>
        <w:t>) se sugiere estudiar, identificar y describir todas las formas y aspectos de</w:t>
      </w:r>
      <w:r w:rsidR="004B6866" w:rsidRPr="00CA61A6">
        <w:rPr>
          <w:szCs w:val="24"/>
          <w:lang w:eastAsia="ja-JP"/>
        </w:rPr>
        <w:t xml:space="preserve"> los</w:t>
      </w:r>
      <w:r w:rsidRPr="00CA61A6">
        <w:rPr>
          <w:szCs w:val="24"/>
          <w:lang w:eastAsia="ja-JP"/>
        </w:rPr>
        <w:t xml:space="preserve"> procedimientos alternativos de llamada </w:t>
      </w:r>
      <w:r w:rsidR="004B6866" w:rsidRPr="00CA61A6">
        <w:rPr>
          <w:szCs w:val="24"/>
          <w:lang w:eastAsia="ja-JP"/>
        </w:rPr>
        <w:t xml:space="preserve">que podrían incorporarse </w:t>
      </w:r>
      <w:r w:rsidRPr="00CA61A6">
        <w:rPr>
          <w:szCs w:val="24"/>
          <w:lang w:eastAsia="ja-JP"/>
        </w:rPr>
        <w:t>en las redes</w:t>
      </w:r>
      <w:r w:rsidR="004B6866" w:rsidRPr="00CA61A6">
        <w:rPr>
          <w:szCs w:val="24"/>
          <w:lang w:eastAsia="ja-JP"/>
        </w:rPr>
        <w:t xml:space="preserve"> mundiales mediante el uso de</w:t>
      </w:r>
      <w:r w:rsidR="004B6866" w:rsidRPr="00CA61A6">
        <w:t xml:space="preserve"> indicativos de país compartidos </w:t>
      </w:r>
      <w:r w:rsidR="004B6866" w:rsidRPr="00CA61A6">
        <w:rPr>
          <w:szCs w:val="24"/>
          <w:lang w:eastAsia="ja-JP"/>
        </w:rPr>
        <w:t>y</w:t>
      </w:r>
      <w:r w:rsidRPr="00CA61A6">
        <w:rPr>
          <w:szCs w:val="24"/>
          <w:lang w:eastAsia="ja-JP"/>
        </w:rPr>
        <w:t>/</w:t>
      </w:r>
      <w:r w:rsidR="004B6866" w:rsidRPr="00CA61A6">
        <w:rPr>
          <w:szCs w:val="24"/>
          <w:lang w:eastAsia="ja-JP"/>
        </w:rPr>
        <w:t>o</w:t>
      </w:r>
      <w:r w:rsidRPr="00CA61A6">
        <w:rPr>
          <w:szCs w:val="24"/>
          <w:lang w:eastAsia="ja-JP"/>
        </w:rPr>
        <w:t xml:space="preserve"> código</w:t>
      </w:r>
      <w:r w:rsidR="004B6866" w:rsidRPr="00CA61A6">
        <w:rPr>
          <w:szCs w:val="24"/>
          <w:lang w:eastAsia="ja-JP"/>
        </w:rPr>
        <w:t>s</w:t>
      </w:r>
      <w:r w:rsidRPr="00CA61A6">
        <w:rPr>
          <w:szCs w:val="24"/>
          <w:lang w:eastAsia="ja-JP"/>
        </w:rPr>
        <w:t xml:space="preserve"> de identificación. Se</w:t>
      </w:r>
      <w:r w:rsidR="004B6866" w:rsidRPr="00CA61A6">
        <w:rPr>
          <w:szCs w:val="24"/>
          <w:lang w:eastAsia="ja-JP"/>
        </w:rPr>
        <w:t xml:space="preserve"> solicitaron contribuciones con el fin de ahondar en la relación existente entre</w:t>
      </w:r>
      <w:r w:rsidRPr="00CA61A6">
        <w:rPr>
          <w:szCs w:val="24"/>
          <w:lang w:eastAsia="ja-JP"/>
        </w:rPr>
        <w:t xml:space="preserve"> </w:t>
      </w:r>
      <w:r w:rsidR="004B6866" w:rsidRPr="00CA61A6">
        <w:rPr>
          <w:szCs w:val="24"/>
          <w:lang w:eastAsia="ja-JP"/>
        </w:rPr>
        <w:t xml:space="preserve">los procedimientos alternativos de llamada </w:t>
      </w:r>
      <w:r w:rsidRPr="00CA61A6">
        <w:rPr>
          <w:szCs w:val="24"/>
          <w:lang w:eastAsia="ja-JP"/>
        </w:rPr>
        <w:t xml:space="preserve">y la Recomendación UIT-T E.157 </w:t>
      </w:r>
      <w:r w:rsidR="004B6866" w:rsidRPr="00CA61A6">
        <w:rPr>
          <w:szCs w:val="24"/>
          <w:lang w:eastAsia="ja-JP"/>
        </w:rPr>
        <w:t xml:space="preserve">sobre </w:t>
      </w:r>
      <w:r w:rsidR="00B26079" w:rsidRPr="00CA61A6">
        <w:rPr>
          <w:szCs w:val="24"/>
          <w:lang w:eastAsia="ja-JP"/>
        </w:rPr>
        <w:t>"</w:t>
      </w:r>
      <w:r w:rsidR="004B6866" w:rsidRPr="00CA61A6">
        <w:rPr>
          <w:szCs w:val="24"/>
          <w:lang w:eastAsia="ja-JP"/>
        </w:rPr>
        <w:t>Comunicación internacional del número de la parte llamante</w:t>
      </w:r>
      <w:r w:rsidR="00B26079" w:rsidRPr="00CA61A6">
        <w:rPr>
          <w:szCs w:val="24"/>
          <w:lang w:eastAsia="ja-JP"/>
        </w:rPr>
        <w:t>"</w:t>
      </w:r>
      <w:r w:rsidRPr="00CA61A6">
        <w:rPr>
          <w:szCs w:val="24"/>
          <w:lang w:eastAsia="ja-JP"/>
        </w:rPr>
        <w:t>.</w:t>
      </w:r>
      <w:r w:rsidR="004B6866" w:rsidRPr="00CA61A6">
        <w:rPr>
          <w:szCs w:val="24"/>
          <w:lang w:eastAsia="ja-JP"/>
        </w:rPr>
        <w:t xml:space="preserve"> Se envió una </w:t>
      </w:r>
      <w:r w:rsidR="007C4FE8" w:rsidRPr="00CA61A6">
        <w:rPr>
          <w:szCs w:val="24"/>
          <w:lang w:eastAsia="ja-JP"/>
        </w:rPr>
        <w:t xml:space="preserve">Declaración </w:t>
      </w:r>
      <w:r w:rsidR="004B6866" w:rsidRPr="00CA61A6">
        <w:rPr>
          <w:szCs w:val="24"/>
          <w:lang w:eastAsia="ja-JP"/>
        </w:rPr>
        <w:t xml:space="preserve">de </w:t>
      </w:r>
      <w:r w:rsidR="007C4FE8" w:rsidRPr="00CA61A6">
        <w:rPr>
          <w:szCs w:val="24"/>
          <w:lang w:eastAsia="ja-JP"/>
        </w:rPr>
        <w:t xml:space="preserve">Coordinación </w:t>
      </w:r>
      <w:r w:rsidR="00D229D1">
        <w:rPr>
          <w:szCs w:val="24"/>
          <w:lang w:eastAsia="ja-JP"/>
        </w:rPr>
        <w:t>a la CE </w:t>
      </w:r>
      <w:r w:rsidRPr="00CA61A6">
        <w:rPr>
          <w:szCs w:val="24"/>
          <w:lang w:eastAsia="ja-JP"/>
        </w:rPr>
        <w:t>3</w:t>
      </w:r>
      <w:r w:rsidR="004B6866" w:rsidRPr="00CA61A6">
        <w:rPr>
          <w:szCs w:val="24"/>
          <w:lang w:eastAsia="ja-JP"/>
        </w:rPr>
        <w:t xml:space="preserve"> para informarla sobre dichos trabajos y solicitarle que formulase observaciones</w:t>
      </w:r>
      <w:r w:rsidRPr="00CA61A6">
        <w:rPr>
          <w:szCs w:val="24"/>
          <w:lang w:eastAsia="ja-JP"/>
        </w:rPr>
        <w:t xml:space="preserve"> y comentarios</w:t>
      </w:r>
      <w:r w:rsidR="004B6866" w:rsidRPr="00CA61A6">
        <w:rPr>
          <w:szCs w:val="24"/>
          <w:lang w:eastAsia="ja-JP"/>
        </w:rPr>
        <w:t xml:space="preserve">, habida cuenta de la </w:t>
      </w:r>
      <w:r w:rsidRPr="00CA61A6">
        <w:rPr>
          <w:szCs w:val="24"/>
          <w:lang w:eastAsia="ja-JP"/>
        </w:rPr>
        <w:t xml:space="preserve">presentación </w:t>
      </w:r>
      <w:r w:rsidR="004B6866" w:rsidRPr="00CA61A6">
        <w:rPr>
          <w:szCs w:val="24"/>
          <w:lang w:eastAsia="ja-JP"/>
        </w:rPr>
        <w:t>al respecto que se había previsto realizar en su marco</w:t>
      </w:r>
      <w:r w:rsidRPr="00CA61A6">
        <w:rPr>
          <w:szCs w:val="24"/>
          <w:lang w:eastAsia="ja-JP"/>
        </w:rPr>
        <w:t>.</w:t>
      </w:r>
    </w:p>
    <w:p w:rsidR="003B47CA" w:rsidRPr="00CA61A6" w:rsidRDefault="003B47CA" w:rsidP="007B3478">
      <w:pPr>
        <w:pStyle w:val="Headingb"/>
      </w:pPr>
      <w:bookmarkStart w:id="66" w:name="Item29_02"/>
      <w:r w:rsidRPr="00CA61A6">
        <w:t>Acción 29-02: CE 2 y CE 3</w:t>
      </w:r>
    </w:p>
    <w:bookmarkEnd w:id="66"/>
    <w:p w:rsidR="00D6025C" w:rsidRPr="00CA61A6" w:rsidRDefault="00C32760" w:rsidP="007B3478">
      <w:pPr>
        <w:rPr>
          <w:szCs w:val="24"/>
          <w:lang w:eastAsia="ja-JP"/>
        </w:rPr>
      </w:pPr>
      <w:r>
        <w:rPr>
          <w:szCs w:val="24"/>
          <w:lang w:eastAsia="ja-JP"/>
        </w:rPr>
        <w:t>En mayo de 2015, la CE 3 del UIT</w:t>
      </w:r>
      <w:r>
        <w:rPr>
          <w:szCs w:val="24"/>
          <w:lang w:eastAsia="ja-JP"/>
        </w:rPr>
        <w:noBreakHyphen/>
      </w:r>
      <w:r w:rsidR="004B6866" w:rsidRPr="00CA61A6">
        <w:rPr>
          <w:szCs w:val="24"/>
          <w:lang w:eastAsia="ja-JP"/>
        </w:rPr>
        <w:t xml:space="preserve">T acordó la </w:t>
      </w:r>
      <w:r w:rsidR="00C15943" w:rsidRPr="00CA61A6">
        <w:rPr>
          <w:szCs w:val="24"/>
          <w:lang w:eastAsia="ja-JP"/>
        </w:rPr>
        <w:t>creación</w:t>
      </w:r>
      <w:r w:rsidR="004B6866" w:rsidRPr="00CA61A6">
        <w:rPr>
          <w:szCs w:val="24"/>
          <w:lang w:eastAsia="ja-JP"/>
        </w:rPr>
        <w:t xml:space="preserve"> de la nueva Cuestión 8/3 sobre procedimientos alternativos de llamada.</w:t>
      </w:r>
    </w:p>
    <w:p w:rsidR="0004566B" w:rsidRPr="00CA61A6" w:rsidRDefault="00C32760" w:rsidP="007B3478">
      <w:pPr>
        <w:rPr>
          <w:szCs w:val="24"/>
          <w:lang w:eastAsia="ja-JP"/>
        </w:rPr>
      </w:pPr>
      <w:r>
        <w:rPr>
          <w:szCs w:val="24"/>
          <w:lang w:eastAsia="ja-JP"/>
        </w:rPr>
        <w:t>La CE 3 del UIT</w:t>
      </w:r>
      <w:r>
        <w:rPr>
          <w:szCs w:val="24"/>
          <w:lang w:eastAsia="ja-JP"/>
        </w:rPr>
        <w:noBreakHyphen/>
      </w:r>
      <w:r w:rsidR="00912CE6" w:rsidRPr="00CA61A6">
        <w:rPr>
          <w:szCs w:val="24"/>
          <w:lang w:eastAsia="ja-JP"/>
        </w:rPr>
        <w:t>T recibió contribuciones de</w:t>
      </w:r>
      <w:r w:rsidR="004B6866" w:rsidRPr="00CA61A6">
        <w:rPr>
          <w:szCs w:val="24"/>
          <w:lang w:eastAsia="ja-JP"/>
        </w:rPr>
        <w:t xml:space="preserve"> Egipto, Gambia, Sudán, Uganda</w:t>
      </w:r>
      <w:r w:rsidR="00912CE6" w:rsidRPr="00CA61A6">
        <w:rPr>
          <w:szCs w:val="24"/>
          <w:lang w:eastAsia="ja-JP"/>
        </w:rPr>
        <w:t xml:space="preserve"> y</w:t>
      </w:r>
      <w:r w:rsidR="004B6866" w:rsidRPr="00CA61A6">
        <w:rPr>
          <w:szCs w:val="24"/>
          <w:lang w:eastAsia="ja-JP"/>
        </w:rPr>
        <w:t xml:space="preserve"> Zimbabwe (C158) </w:t>
      </w:r>
      <w:r w:rsidR="00912CE6" w:rsidRPr="00CA61A6">
        <w:rPr>
          <w:szCs w:val="24"/>
          <w:lang w:eastAsia="ja-JP"/>
        </w:rPr>
        <w:t>en materia de</w:t>
      </w:r>
      <w:r w:rsidR="004B6866" w:rsidRPr="00CA61A6">
        <w:rPr>
          <w:szCs w:val="24"/>
          <w:lang w:eastAsia="ja-JP"/>
        </w:rPr>
        <w:t xml:space="preserve"> procedimientos alternativos de llamada para</w:t>
      </w:r>
      <w:r w:rsidR="00912CE6" w:rsidRPr="00CA61A6">
        <w:rPr>
          <w:szCs w:val="24"/>
          <w:lang w:eastAsia="ja-JP"/>
        </w:rPr>
        <w:t xml:space="preserve"> su reunión de febrero-marzo de</w:t>
      </w:r>
      <w:r w:rsidR="004B6866" w:rsidRPr="00CA61A6">
        <w:rPr>
          <w:szCs w:val="24"/>
          <w:lang w:eastAsia="ja-JP"/>
        </w:rPr>
        <w:t xml:space="preserve"> 2016.</w:t>
      </w:r>
      <w:r w:rsidR="00912CE6" w:rsidRPr="00CA61A6">
        <w:rPr>
          <w:szCs w:val="24"/>
          <w:lang w:eastAsia="ja-JP"/>
        </w:rPr>
        <w:t xml:space="preserve"> También recibió</w:t>
      </w:r>
      <w:r w:rsidR="004B6866" w:rsidRPr="00CA61A6">
        <w:rPr>
          <w:szCs w:val="24"/>
          <w:lang w:eastAsia="ja-JP"/>
        </w:rPr>
        <w:t xml:space="preserve"> </w:t>
      </w:r>
      <w:r w:rsidR="00C15943" w:rsidRPr="00CA61A6">
        <w:rPr>
          <w:szCs w:val="24"/>
          <w:lang w:eastAsia="ja-JP"/>
        </w:rPr>
        <w:t>contribuciones</w:t>
      </w:r>
      <w:r w:rsidR="0004566B" w:rsidRPr="00CA61A6">
        <w:rPr>
          <w:szCs w:val="24"/>
          <w:lang w:eastAsia="ja-JP"/>
        </w:rPr>
        <w:t xml:space="preserve"> al respecto de</w:t>
      </w:r>
      <w:r w:rsidR="004B6866" w:rsidRPr="00CA61A6">
        <w:rPr>
          <w:szCs w:val="24"/>
          <w:lang w:eastAsia="ja-JP"/>
        </w:rPr>
        <w:t xml:space="preserve"> </w:t>
      </w:r>
      <w:r w:rsidR="0004566B" w:rsidRPr="00CA61A6">
        <w:rPr>
          <w:szCs w:val="24"/>
          <w:lang w:eastAsia="ja-JP"/>
        </w:rPr>
        <w:t>Bahrein</w:t>
      </w:r>
      <w:r w:rsidR="004B6866" w:rsidRPr="00CA61A6">
        <w:rPr>
          <w:szCs w:val="24"/>
          <w:lang w:eastAsia="ja-JP"/>
        </w:rPr>
        <w:t>, Kuwait, Jordania, Egipto, Mauritania</w:t>
      </w:r>
      <w:r w:rsidR="0004566B" w:rsidRPr="00CA61A6">
        <w:rPr>
          <w:szCs w:val="24"/>
          <w:lang w:eastAsia="ja-JP"/>
        </w:rPr>
        <w:t xml:space="preserve"> y</w:t>
      </w:r>
      <w:r w:rsidR="00C25757">
        <w:rPr>
          <w:szCs w:val="24"/>
          <w:lang w:eastAsia="ja-JP"/>
        </w:rPr>
        <w:t> </w:t>
      </w:r>
      <w:r w:rsidR="004B6866" w:rsidRPr="00CA61A6">
        <w:rPr>
          <w:szCs w:val="24"/>
          <w:lang w:eastAsia="ja-JP"/>
        </w:rPr>
        <w:t>Sudán. E</w:t>
      </w:r>
      <w:r w:rsidR="0004566B" w:rsidRPr="00CA61A6">
        <w:rPr>
          <w:szCs w:val="24"/>
          <w:lang w:eastAsia="ja-JP"/>
        </w:rPr>
        <w:t xml:space="preserve">n dichas </w:t>
      </w:r>
      <w:r w:rsidR="004B6866" w:rsidRPr="00CA61A6">
        <w:rPr>
          <w:szCs w:val="24"/>
          <w:lang w:eastAsia="ja-JP"/>
        </w:rPr>
        <w:t>contribuciones</w:t>
      </w:r>
      <w:r>
        <w:rPr>
          <w:szCs w:val="24"/>
          <w:lang w:eastAsia="ja-JP"/>
        </w:rPr>
        <w:t xml:space="preserve"> se propuso que la CE 3 del UIT</w:t>
      </w:r>
      <w:r>
        <w:rPr>
          <w:szCs w:val="24"/>
          <w:lang w:eastAsia="ja-JP"/>
        </w:rPr>
        <w:noBreakHyphen/>
      </w:r>
      <w:r w:rsidR="0004566B" w:rsidRPr="00CA61A6">
        <w:rPr>
          <w:szCs w:val="24"/>
          <w:lang w:eastAsia="ja-JP"/>
        </w:rPr>
        <w:t xml:space="preserve">T formulase </w:t>
      </w:r>
      <w:r w:rsidR="004B6866" w:rsidRPr="00CA61A6">
        <w:rPr>
          <w:szCs w:val="24"/>
          <w:lang w:eastAsia="ja-JP"/>
        </w:rPr>
        <w:t xml:space="preserve">una descripción </w:t>
      </w:r>
      <w:r w:rsidR="0004566B" w:rsidRPr="00CA61A6">
        <w:rPr>
          <w:szCs w:val="24"/>
          <w:lang w:eastAsia="ja-JP"/>
        </w:rPr>
        <w:t>y</w:t>
      </w:r>
      <w:r w:rsidR="004B6866" w:rsidRPr="00CA61A6">
        <w:rPr>
          <w:szCs w:val="24"/>
          <w:lang w:eastAsia="ja-JP"/>
        </w:rPr>
        <w:t>/</w:t>
      </w:r>
      <w:r w:rsidR="0004566B" w:rsidRPr="00CA61A6">
        <w:rPr>
          <w:szCs w:val="24"/>
          <w:lang w:eastAsia="ja-JP"/>
        </w:rPr>
        <w:t>o</w:t>
      </w:r>
      <w:r w:rsidR="004B6866" w:rsidRPr="00CA61A6">
        <w:rPr>
          <w:szCs w:val="24"/>
          <w:lang w:eastAsia="ja-JP"/>
        </w:rPr>
        <w:t xml:space="preserve"> definición más precisa de los diferentes tipos de procedimientos alternativos de llamada. </w:t>
      </w:r>
      <w:r w:rsidR="0004566B" w:rsidRPr="00CA61A6">
        <w:rPr>
          <w:szCs w:val="24"/>
          <w:lang w:eastAsia="ja-JP"/>
        </w:rPr>
        <w:t xml:space="preserve">Sus </w:t>
      </w:r>
      <w:r w:rsidR="0004566B" w:rsidRPr="00CA61A6">
        <w:rPr>
          <w:szCs w:val="24"/>
          <w:lang w:eastAsia="ja-JP"/>
        </w:rPr>
        <w:lastRenderedPageBreak/>
        <w:t>autores destacaron la importancia de seguir adelante con esta labor</w:t>
      </w:r>
      <w:r w:rsidR="004B6866" w:rsidRPr="00CA61A6">
        <w:rPr>
          <w:szCs w:val="24"/>
          <w:lang w:eastAsia="ja-JP"/>
        </w:rPr>
        <w:t>, dada la evolución de</w:t>
      </w:r>
      <w:r w:rsidR="0004566B" w:rsidRPr="00CA61A6">
        <w:rPr>
          <w:szCs w:val="24"/>
          <w:lang w:eastAsia="ja-JP"/>
        </w:rPr>
        <w:t xml:space="preserve"> los servicios y </w:t>
      </w:r>
      <w:r w:rsidR="004B6866" w:rsidRPr="00CA61A6">
        <w:rPr>
          <w:szCs w:val="24"/>
          <w:lang w:eastAsia="ja-JP"/>
        </w:rPr>
        <w:t xml:space="preserve">redes </w:t>
      </w:r>
      <w:r w:rsidR="0004566B" w:rsidRPr="00CA61A6">
        <w:rPr>
          <w:szCs w:val="24"/>
          <w:lang w:eastAsia="ja-JP"/>
        </w:rPr>
        <w:t>mundiales</w:t>
      </w:r>
      <w:r w:rsidR="004B6866" w:rsidRPr="00CA61A6">
        <w:rPr>
          <w:szCs w:val="24"/>
          <w:lang w:eastAsia="ja-JP"/>
        </w:rPr>
        <w:t xml:space="preserve">, la convergencia entre </w:t>
      </w:r>
      <w:r w:rsidR="0004566B" w:rsidRPr="00CA61A6">
        <w:rPr>
          <w:szCs w:val="24"/>
          <w:lang w:eastAsia="ja-JP"/>
        </w:rPr>
        <w:t xml:space="preserve">los </w:t>
      </w:r>
      <w:r w:rsidR="004B6866" w:rsidRPr="00CA61A6">
        <w:rPr>
          <w:szCs w:val="24"/>
          <w:lang w:eastAsia="ja-JP"/>
        </w:rPr>
        <w:t>servicios fijo y móvil, en particular l</w:t>
      </w:r>
      <w:r w:rsidR="0004566B" w:rsidRPr="00CA61A6">
        <w:rPr>
          <w:szCs w:val="24"/>
          <w:lang w:eastAsia="ja-JP"/>
        </w:rPr>
        <w:t>o</w:t>
      </w:r>
      <w:r w:rsidR="004B6866" w:rsidRPr="00CA61A6">
        <w:rPr>
          <w:szCs w:val="24"/>
          <w:lang w:eastAsia="ja-JP"/>
        </w:rPr>
        <w:t>s basad</w:t>
      </w:r>
      <w:r w:rsidR="0004566B" w:rsidRPr="00CA61A6">
        <w:rPr>
          <w:szCs w:val="24"/>
          <w:lang w:eastAsia="ja-JP"/>
        </w:rPr>
        <w:t>o</w:t>
      </w:r>
      <w:r w:rsidR="004B6866" w:rsidRPr="00CA61A6">
        <w:rPr>
          <w:szCs w:val="24"/>
          <w:lang w:eastAsia="ja-JP"/>
        </w:rPr>
        <w:t xml:space="preserve">s en </w:t>
      </w:r>
      <w:r w:rsidR="0004566B" w:rsidRPr="00CA61A6">
        <w:t>el interfuncionamiento de la RTPC y las redes basadas en IP</w:t>
      </w:r>
      <w:r w:rsidR="004B6866" w:rsidRPr="00CA61A6">
        <w:rPr>
          <w:szCs w:val="24"/>
          <w:lang w:eastAsia="ja-JP"/>
        </w:rPr>
        <w:t>,</w:t>
      </w:r>
      <w:r w:rsidR="0004566B" w:rsidRPr="00CA61A6">
        <w:t xml:space="preserve"> la mensajería instantánea y multimedios, los OTT, la M2M y la IoT</w:t>
      </w:r>
      <w:r w:rsidR="004B6866" w:rsidRPr="00CA61A6">
        <w:rPr>
          <w:szCs w:val="24"/>
          <w:lang w:eastAsia="ja-JP"/>
        </w:rPr>
        <w:t>.</w:t>
      </w:r>
      <w:r w:rsidR="0004566B" w:rsidRPr="00CA61A6">
        <w:rPr>
          <w:szCs w:val="24"/>
          <w:lang w:eastAsia="ja-JP"/>
        </w:rPr>
        <w:t xml:space="preserve"> El relator de la Cuestión 8/3 tomó nota de todo ello y </w:t>
      </w:r>
      <w:r w:rsidR="00C15943" w:rsidRPr="00CA61A6">
        <w:rPr>
          <w:szCs w:val="24"/>
          <w:lang w:eastAsia="ja-JP"/>
        </w:rPr>
        <w:t>prosiguió los</w:t>
      </w:r>
      <w:r w:rsidR="0004566B" w:rsidRPr="00CA61A6">
        <w:rPr>
          <w:szCs w:val="24"/>
          <w:lang w:eastAsia="ja-JP"/>
        </w:rPr>
        <w:t xml:space="preserve"> estudios en la materia.</w:t>
      </w:r>
    </w:p>
    <w:p w:rsidR="00D6025C" w:rsidRPr="00CA61A6" w:rsidRDefault="0004566B" w:rsidP="00A9070D">
      <w:pPr>
        <w:rPr>
          <w:szCs w:val="24"/>
          <w:lang w:eastAsia="ja-JP"/>
        </w:rPr>
      </w:pPr>
      <w:r w:rsidRPr="00CA61A6">
        <w:rPr>
          <w:szCs w:val="24"/>
          <w:lang w:eastAsia="ja-JP"/>
        </w:rPr>
        <w:t>Los Presidentes de la TSB, la CE</w:t>
      </w:r>
      <w:r w:rsidR="00A9070D">
        <w:rPr>
          <w:szCs w:val="24"/>
          <w:lang w:eastAsia="ja-JP"/>
        </w:rPr>
        <w:t> 2 y la CE </w:t>
      </w:r>
      <w:r w:rsidRPr="00CA61A6">
        <w:rPr>
          <w:szCs w:val="24"/>
          <w:lang w:eastAsia="ja-JP"/>
        </w:rPr>
        <w:t>3 mantuvieron una audioconf</w:t>
      </w:r>
      <w:r w:rsidR="00A50995">
        <w:rPr>
          <w:szCs w:val="24"/>
          <w:lang w:eastAsia="ja-JP"/>
        </w:rPr>
        <w:t>erencia el 30 de abril de </w:t>
      </w:r>
      <w:r w:rsidRPr="00CA61A6">
        <w:rPr>
          <w:szCs w:val="24"/>
          <w:lang w:eastAsia="ja-JP"/>
        </w:rPr>
        <w:t>2013.</w:t>
      </w:r>
    </w:p>
    <w:p w:rsidR="00D6025C" w:rsidRPr="00CA61A6" w:rsidRDefault="00D86FEE" w:rsidP="007B3478">
      <w:pPr>
        <w:rPr>
          <w:szCs w:val="24"/>
          <w:lang w:eastAsia="ja-JP"/>
        </w:rPr>
      </w:pPr>
      <w:r w:rsidRPr="00CA61A6">
        <w:rPr>
          <w:szCs w:val="24"/>
          <w:lang w:eastAsia="ja-JP"/>
        </w:rPr>
        <w:t>Lo</w:t>
      </w:r>
      <w:r w:rsidR="00307F0E" w:rsidRPr="00CA61A6">
        <w:rPr>
          <w:szCs w:val="24"/>
          <w:lang w:eastAsia="ja-JP"/>
        </w:rPr>
        <w:t xml:space="preserve">s Presidentes de las Comisiones de Estudio 2 y 3 </w:t>
      </w:r>
      <w:r w:rsidRPr="00CA61A6">
        <w:rPr>
          <w:szCs w:val="24"/>
          <w:lang w:eastAsia="ja-JP"/>
        </w:rPr>
        <w:t>elaboraron documento temporal,</w:t>
      </w:r>
      <w:r w:rsidR="00307F0E" w:rsidRPr="00CA61A6">
        <w:rPr>
          <w:szCs w:val="24"/>
          <w:lang w:eastAsia="ja-JP"/>
        </w:rPr>
        <w:t xml:space="preserve"> titulado </w:t>
      </w:r>
      <w:r w:rsidR="00B26079" w:rsidRPr="00CA61A6">
        <w:rPr>
          <w:szCs w:val="24"/>
          <w:lang w:eastAsia="ja-JP"/>
        </w:rPr>
        <w:t>"</w:t>
      </w:r>
      <w:r w:rsidR="00307F0E" w:rsidRPr="00CA61A6">
        <w:t>Ámbitos para la cooperación entre la CE</w:t>
      </w:r>
      <w:r w:rsidR="008B5B32" w:rsidRPr="00CA61A6">
        <w:t> </w:t>
      </w:r>
      <w:r w:rsidR="00307F0E" w:rsidRPr="00CA61A6">
        <w:t>2 y la CE</w:t>
      </w:r>
      <w:r w:rsidR="008B5B32" w:rsidRPr="00CA61A6">
        <w:t> </w:t>
      </w:r>
      <w:r w:rsidR="00307F0E" w:rsidRPr="00CA61A6">
        <w:t>3 a tenor</w:t>
      </w:r>
      <w:r w:rsidR="00360589">
        <w:t xml:space="preserve"> de las Resoluciones de la AMNT</w:t>
      </w:r>
      <w:r w:rsidR="00360589">
        <w:noBreakHyphen/>
      </w:r>
      <w:r w:rsidR="00307F0E" w:rsidRPr="00CA61A6">
        <w:t>12</w:t>
      </w:r>
      <w:r w:rsidR="00B26079" w:rsidRPr="00CA61A6">
        <w:t>"</w:t>
      </w:r>
      <w:r w:rsidRPr="00CA61A6">
        <w:t>, que fue objeto de acuerdo</w:t>
      </w:r>
      <w:r w:rsidR="0004566B" w:rsidRPr="00CA61A6">
        <w:rPr>
          <w:szCs w:val="24"/>
          <w:lang w:eastAsia="ja-JP"/>
        </w:rPr>
        <w:t xml:space="preserve">. </w:t>
      </w:r>
      <w:r w:rsidRPr="00CA61A6">
        <w:rPr>
          <w:szCs w:val="24"/>
          <w:lang w:eastAsia="ja-JP"/>
        </w:rPr>
        <w:t>En ese sentido, s</w:t>
      </w:r>
      <w:r w:rsidR="0004566B" w:rsidRPr="00CA61A6">
        <w:rPr>
          <w:szCs w:val="24"/>
          <w:lang w:eastAsia="ja-JP"/>
        </w:rPr>
        <w:t xml:space="preserve">e propusieron </w:t>
      </w:r>
      <w:r w:rsidR="00307F0E" w:rsidRPr="00CA61A6">
        <w:rPr>
          <w:szCs w:val="24"/>
          <w:lang w:eastAsia="ja-JP"/>
        </w:rPr>
        <w:t>ámbito</w:t>
      </w:r>
      <w:r w:rsidRPr="00CA61A6">
        <w:rPr>
          <w:szCs w:val="24"/>
          <w:lang w:eastAsia="ja-JP"/>
        </w:rPr>
        <w:t>s</w:t>
      </w:r>
      <w:r w:rsidR="00307F0E" w:rsidRPr="00CA61A6">
        <w:rPr>
          <w:szCs w:val="24"/>
          <w:lang w:eastAsia="ja-JP"/>
        </w:rPr>
        <w:t xml:space="preserve">, subámbitos y </w:t>
      </w:r>
      <w:r w:rsidR="0004566B" w:rsidRPr="00CA61A6">
        <w:rPr>
          <w:szCs w:val="24"/>
          <w:lang w:eastAsia="ja-JP"/>
        </w:rPr>
        <w:t xml:space="preserve">modalidades de cooperación para </w:t>
      </w:r>
      <w:r w:rsidR="00307F0E" w:rsidRPr="00CA61A6">
        <w:t>la CE</w:t>
      </w:r>
      <w:r w:rsidR="008B5B32" w:rsidRPr="00CA61A6">
        <w:t> </w:t>
      </w:r>
      <w:r w:rsidR="00307F0E" w:rsidRPr="00CA61A6">
        <w:t>2 y la CE</w:t>
      </w:r>
      <w:r w:rsidR="008B5B32" w:rsidRPr="00CA61A6">
        <w:t> </w:t>
      </w:r>
      <w:r w:rsidR="00307F0E" w:rsidRPr="00CA61A6">
        <w:t xml:space="preserve">3 a tenor de las Resoluciones </w:t>
      </w:r>
      <w:r w:rsidR="0004566B" w:rsidRPr="00CA61A6">
        <w:rPr>
          <w:szCs w:val="24"/>
          <w:lang w:eastAsia="ja-JP"/>
        </w:rPr>
        <w:t>29, 61, 64 y 65</w:t>
      </w:r>
      <w:r w:rsidR="00360589">
        <w:rPr>
          <w:szCs w:val="24"/>
          <w:lang w:eastAsia="ja-JP"/>
        </w:rPr>
        <w:t xml:space="preserve"> de la AMNT</w:t>
      </w:r>
      <w:r w:rsidR="00360589">
        <w:rPr>
          <w:szCs w:val="24"/>
          <w:lang w:eastAsia="ja-JP"/>
        </w:rPr>
        <w:noBreakHyphen/>
      </w:r>
      <w:r w:rsidR="00307F0E" w:rsidRPr="00CA61A6">
        <w:rPr>
          <w:szCs w:val="24"/>
          <w:lang w:eastAsia="ja-JP"/>
        </w:rPr>
        <w:t>12</w:t>
      </w:r>
      <w:r w:rsidR="0004566B" w:rsidRPr="00CA61A6">
        <w:rPr>
          <w:szCs w:val="24"/>
          <w:lang w:eastAsia="ja-JP"/>
        </w:rPr>
        <w:t>.</w:t>
      </w:r>
    </w:p>
    <w:p w:rsidR="00D6025C" w:rsidRPr="00CA61A6" w:rsidRDefault="00307F0E" w:rsidP="007B3478">
      <w:pPr>
        <w:rPr>
          <w:szCs w:val="24"/>
          <w:lang w:eastAsia="ja-JP"/>
        </w:rPr>
      </w:pPr>
      <w:r w:rsidRPr="00CA61A6">
        <w:rPr>
          <w:szCs w:val="24"/>
          <w:lang w:eastAsia="ja-JP"/>
        </w:rPr>
        <w:t>En 2013 se propuso la creación de un Gru</w:t>
      </w:r>
      <w:r w:rsidR="0081300A">
        <w:rPr>
          <w:szCs w:val="24"/>
          <w:lang w:eastAsia="ja-JP"/>
        </w:rPr>
        <w:t>po de Relator conjunto de la CE 2 y la CE </w:t>
      </w:r>
      <w:r w:rsidRPr="00CA61A6">
        <w:rPr>
          <w:szCs w:val="24"/>
          <w:lang w:eastAsia="ja-JP"/>
        </w:rPr>
        <w:t>3 del UIT-T para estudiar</w:t>
      </w:r>
      <w:r w:rsidRPr="00CA61A6">
        <w:t xml:space="preserve"> las repercusiones económicas de las llamadas por intermediario, las llamadas por mayorista y la concentrac</w:t>
      </w:r>
      <w:r w:rsidR="00D86FEE" w:rsidRPr="00CA61A6">
        <w:t>ión inadecuada, así como de otros tipos</w:t>
      </w:r>
      <w:r w:rsidRPr="00CA61A6">
        <w:t xml:space="preserve"> de procedimientos alternativos de llamada, tales como la no identificación o la falsificación del origen.</w:t>
      </w:r>
      <w:r w:rsidR="0081300A">
        <w:t xml:space="preserve"> La CE 3 propuso un mandato a la CE </w:t>
      </w:r>
      <w:r w:rsidRPr="00CA61A6">
        <w:t>2. En su</w:t>
      </w:r>
      <w:r w:rsidR="0081300A">
        <w:t xml:space="preserve"> reunión de mayo de 2014, la CE </w:t>
      </w:r>
      <w:r w:rsidRPr="00CA61A6">
        <w:t>3 aceptó l</w:t>
      </w:r>
      <w:r w:rsidR="0081300A">
        <w:t>os cambios propuestos por la CE </w:t>
      </w:r>
      <w:r w:rsidRPr="00CA61A6">
        <w:t>2</w:t>
      </w:r>
      <w:r w:rsidR="00DE5F6E" w:rsidRPr="00CA61A6">
        <w:t xml:space="preserve"> y, </w:t>
      </w:r>
      <w:r w:rsidRPr="00CA61A6">
        <w:t xml:space="preserve">a través de </w:t>
      </w:r>
      <w:r w:rsidR="00DE5F6E" w:rsidRPr="00CA61A6">
        <w:t xml:space="preserve">una </w:t>
      </w:r>
      <w:r w:rsidR="009B213D" w:rsidRPr="00CA61A6">
        <w:t xml:space="preserve">Declaración </w:t>
      </w:r>
      <w:r w:rsidR="00DE5F6E" w:rsidRPr="00CA61A6">
        <w:t xml:space="preserve">de </w:t>
      </w:r>
      <w:r w:rsidR="009B213D" w:rsidRPr="00CA61A6">
        <w:t>Coordinación</w:t>
      </w:r>
      <w:r w:rsidR="00DE5F6E" w:rsidRPr="00CA61A6">
        <w:t xml:space="preserve">, se </w:t>
      </w:r>
      <w:r w:rsidR="00792D99" w:rsidRPr="00CA61A6">
        <w:t>completó</w:t>
      </w:r>
      <w:r w:rsidR="00DE5F6E" w:rsidRPr="00CA61A6">
        <w:t xml:space="preserve"> el mandato y comenzó la colaboración en la materia</w:t>
      </w:r>
      <w:r w:rsidRPr="00CA61A6">
        <w:t>. En su reunión de mayo de</w:t>
      </w:r>
      <w:r w:rsidR="0081300A">
        <w:t xml:space="preserve"> 2015, la CE </w:t>
      </w:r>
      <w:r w:rsidRPr="00CA61A6">
        <w:t>3 sugirió una adición final, a saber, que el Director de la TSB pondría a disposición</w:t>
      </w:r>
      <w:r w:rsidR="00DE5F6E" w:rsidRPr="00CA61A6">
        <w:t xml:space="preserve"> del </w:t>
      </w:r>
      <w:r w:rsidR="008F45C7" w:rsidRPr="00CA61A6">
        <w:t>Grupo</w:t>
      </w:r>
      <w:r w:rsidR="008F45C7">
        <w:t xml:space="preserve"> de</w:t>
      </w:r>
      <w:r w:rsidR="008F45C7" w:rsidRPr="00CA61A6">
        <w:t xml:space="preserve"> Relator </w:t>
      </w:r>
      <w:r w:rsidR="00DE5F6E" w:rsidRPr="00CA61A6">
        <w:t>conjunto</w:t>
      </w:r>
      <w:r w:rsidRPr="00CA61A6">
        <w:t xml:space="preserve"> el resultado de</w:t>
      </w:r>
      <w:r w:rsidR="00DE5F6E" w:rsidRPr="00CA61A6">
        <w:t xml:space="preserve"> </w:t>
      </w:r>
      <w:r w:rsidRPr="00CA61A6">
        <w:t>l</w:t>
      </w:r>
      <w:r w:rsidR="00DE5F6E" w:rsidRPr="00CA61A6">
        <w:t>os</w:t>
      </w:r>
      <w:r w:rsidRPr="00CA61A6">
        <w:t xml:space="preserve"> estudio</w:t>
      </w:r>
      <w:r w:rsidR="00DE5F6E" w:rsidRPr="00CA61A6">
        <w:t>s</w:t>
      </w:r>
      <w:r w:rsidRPr="00CA61A6">
        <w:t xml:space="preserve"> acordado</w:t>
      </w:r>
      <w:r w:rsidR="0081300A">
        <w:t>s por la CE </w:t>
      </w:r>
      <w:r w:rsidR="00DE5F6E" w:rsidRPr="00CA61A6">
        <w:t>2 (véase también</w:t>
      </w:r>
      <w:r w:rsidR="0000133E">
        <w:t xml:space="preserve"> la </w:t>
      </w:r>
      <w:hyperlink w:anchor="Item64_02" w:history="1">
        <w:r w:rsidR="0000133E" w:rsidRPr="004D4B55">
          <w:rPr>
            <w:rStyle w:val="Hyperlink"/>
          </w:rPr>
          <w:t>Acción</w:t>
        </w:r>
        <w:r w:rsidR="00DE5F6E" w:rsidRPr="004D4B55">
          <w:rPr>
            <w:rStyle w:val="Hyperlink"/>
          </w:rPr>
          <w:t xml:space="preserve"> 64-02</w:t>
        </w:r>
      </w:hyperlink>
      <w:r w:rsidRPr="00CA61A6">
        <w:t xml:space="preserve">) para </w:t>
      </w:r>
      <w:r w:rsidR="00DE5F6E" w:rsidRPr="00CA61A6">
        <w:t>supervisa</w:t>
      </w:r>
      <w:r w:rsidRPr="00CA61A6">
        <w:t>r la as</w:t>
      </w:r>
      <w:r w:rsidR="00DE5F6E" w:rsidRPr="00CA61A6">
        <w:t>ignación de direcciones IPv4</w:t>
      </w:r>
      <w:r w:rsidRPr="00CA61A6">
        <w:t>.</w:t>
      </w:r>
    </w:p>
    <w:p w:rsidR="00BE041C" w:rsidRPr="00CA61A6" w:rsidRDefault="00BE041C" w:rsidP="00FA7708">
      <w:pPr>
        <w:pStyle w:val="Headingb"/>
      </w:pPr>
      <w:bookmarkStart w:id="67" w:name="Item29_03"/>
      <w:r w:rsidRPr="00CA61A6">
        <w:t>Acción 29-03: TSB</w:t>
      </w:r>
    </w:p>
    <w:bookmarkEnd w:id="67"/>
    <w:p w:rsidR="00BE041C" w:rsidRPr="00CA61A6" w:rsidRDefault="00C32CBC" w:rsidP="007B3478">
      <w:pPr>
        <w:rPr>
          <w:szCs w:val="24"/>
          <w:lang w:eastAsia="ja-JP"/>
        </w:rPr>
      </w:pPr>
      <w:r w:rsidRPr="00CA61A6">
        <w:rPr>
          <w:szCs w:val="24"/>
          <w:lang w:eastAsia="ja-JP"/>
        </w:rPr>
        <w:t xml:space="preserve">Los resultados de la AMNT y, en particular, </w:t>
      </w:r>
      <w:r w:rsidR="004B7CA3" w:rsidRPr="00CA61A6">
        <w:rPr>
          <w:szCs w:val="24"/>
          <w:lang w:eastAsia="ja-JP"/>
        </w:rPr>
        <w:t>d</w:t>
      </w:r>
      <w:r w:rsidRPr="00CA61A6">
        <w:rPr>
          <w:szCs w:val="24"/>
          <w:lang w:eastAsia="ja-JP"/>
        </w:rPr>
        <w:t xml:space="preserve">el estudio de </w:t>
      </w:r>
      <w:r w:rsidRPr="00CA61A6">
        <w:t>las repercusiones económicas de</w:t>
      </w:r>
      <w:r w:rsidRPr="00CA61A6">
        <w:rPr>
          <w:szCs w:val="24"/>
          <w:lang w:eastAsia="ja-JP"/>
        </w:rPr>
        <w:t xml:space="preserve"> los procedimientos alternativos de llamada </w:t>
      </w:r>
      <w:r w:rsidR="004B7CA3" w:rsidRPr="00CA61A6">
        <w:rPr>
          <w:szCs w:val="24"/>
          <w:lang w:eastAsia="ja-JP"/>
        </w:rPr>
        <w:t xml:space="preserve">han sido </w:t>
      </w:r>
      <w:r w:rsidR="00F65FF8" w:rsidRPr="00CA61A6">
        <w:rPr>
          <w:szCs w:val="24"/>
          <w:lang w:eastAsia="ja-JP"/>
        </w:rPr>
        <w:t>descritos</w:t>
      </w:r>
      <w:r w:rsidR="004B7CA3" w:rsidRPr="00CA61A6">
        <w:rPr>
          <w:szCs w:val="24"/>
          <w:lang w:eastAsia="ja-JP"/>
        </w:rPr>
        <w:t xml:space="preserve"> en todas y cada una de</w:t>
      </w:r>
      <w:r w:rsidR="00754A53" w:rsidRPr="00CA61A6">
        <w:rPr>
          <w:szCs w:val="24"/>
          <w:lang w:eastAsia="ja-JP"/>
        </w:rPr>
        <w:t xml:space="preserve"> las reuniones de</w:t>
      </w:r>
      <w:r w:rsidRPr="00CA61A6">
        <w:rPr>
          <w:szCs w:val="24"/>
          <w:lang w:eastAsia="ja-JP"/>
        </w:rPr>
        <w:t xml:space="preserve"> los </w:t>
      </w:r>
      <w:r w:rsidR="000C17DA" w:rsidRPr="00CA61A6">
        <w:rPr>
          <w:szCs w:val="24"/>
          <w:lang w:eastAsia="ja-JP"/>
        </w:rPr>
        <w:t xml:space="preserve">Grupos Regionales </w:t>
      </w:r>
      <w:r w:rsidR="00754A53" w:rsidRPr="00CA61A6">
        <w:rPr>
          <w:szCs w:val="24"/>
          <w:lang w:eastAsia="ja-JP"/>
        </w:rPr>
        <w:t xml:space="preserve">de las Comisiones de Estudio </w:t>
      </w:r>
      <w:r w:rsidRPr="00CA61A6">
        <w:rPr>
          <w:szCs w:val="24"/>
          <w:lang w:eastAsia="ja-JP"/>
        </w:rPr>
        <w:t>desde 2013 (en</w:t>
      </w:r>
      <w:r w:rsidR="00754A53" w:rsidRPr="00CA61A6">
        <w:rPr>
          <w:szCs w:val="24"/>
          <w:lang w:eastAsia="ja-JP"/>
        </w:rPr>
        <w:t xml:space="preserve"> un total de</w:t>
      </w:r>
      <w:r w:rsidRPr="00CA61A6">
        <w:rPr>
          <w:szCs w:val="24"/>
          <w:lang w:eastAsia="ja-JP"/>
        </w:rPr>
        <w:t xml:space="preserve"> más de 15 reuniones d</w:t>
      </w:r>
      <w:r w:rsidR="00754A53" w:rsidRPr="00CA61A6">
        <w:rPr>
          <w:szCs w:val="24"/>
          <w:lang w:eastAsia="ja-JP"/>
        </w:rPr>
        <w:t>urante</w:t>
      </w:r>
      <w:r w:rsidRPr="00CA61A6">
        <w:rPr>
          <w:szCs w:val="24"/>
          <w:lang w:eastAsia="ja-JP"/>
        </w:rPr>
        <w:t xml:space="preserve"> este periodo de estudio</w:t>
      </w:r>
      <w:r w:rsidR="00754A53" w:rsidRPr="00CA61A6">
        <w:rPr>
          <w:szCs w:val="24"/>
          <w:lang w:eastAsia="ja-JP"/>
        </w:rPr>
        <w:t>s</w:t>
      </w:r>
      <w:r w:rsidRPr="00CA61A6">
        <w:rPr>
          <w:szCs w:val="24"/>
          <w:lang w:eastAsia="ja-JP"/>
        </w:rPr>
        <w:t>), a través de un documento consolidado</w:t>
      </w:r>
      <w:r w:rsidR="00754A53" w:rsidRPr="00CA61A6">
        <w:rPr>
          <w:szCs w:val="24"/>
          <w:lang w:eastAsia="ja-JP"/>
        </w:rPr>
        <w:t xml:space="preserve"> y</w:t>
      </w:r>
      <w:r w:rsidRPr="00CA61A6">
        <w:rPr>
          <w:szCs w:val="24"/>
          <w:lang w:eastAsia="ja-JP"/>
        </w:rPr>
        <w:t xml:space="preserve"> presentado por la TSB</w:t>
      </w:r>
      <w:r w:rsidR="00F65FF8" w:rsidRPr="00CA61A6">
        <w:rPr>
          <w:szCs w:val="24"/>
          <w:lang w:eastAsia="ja-JP"/>
        </w:rPr>
        <w:t>,</w:t>
      </w:r>
      <w:r w:rsidRPr="00CA61A6">
        <w:rPr>
          <w:szCs w:val="24"/>
          <w:lang w:eastAsia="ja-JP"/>
        </w:rPr>
        <w:t xml:space="preserve"> </w:t>
      </w:r>
      <w:r w:rsidR="00754A53" w:rsidRPr="00CA61A6">
        <w:rPr>
          <w:szCs w:val="24"/>
          <w:lang w:eastAsia="ja-JP"/>
        </w:rPr>
        <w:t>en el que figuran los puntos de actuación de</w:t>
      </w:r>
      <w:r w:rsidRPr="00CA61A6">
        <w:rPr>
          <w:szCs w:val="24"/>
          <w:lang w:eastAsia="ja-JP"/>
        </w:rPr>
        <w:t xml:space="preserve"> la Asamblea.</w:t>
      </w:r>
      <w:r w:rsidR="00754A53" w:rsidRPr="00CA61A6">
        <w:rPr>
          <w:szCs w:val="24"/>
          <w:lang w:eastAsia="ja-JP"/>
        </w:rPr>
        <w:t xml:space="preserve"> En las reuniones de los grupos regionales se ha evocado</w:t>
      </w:r>
      <w:r w:rsidRPr="00CA61A6">
        <w:rPr>
          <w:szCs w:val="24"/>
          <w:lang w:eastAsia="ja-JP"/>
        </w:rPr>
        <w:t xml:space="preserve"> </w:t>
      </w:r>
      <w:r w:rsidR="00754A53" w:rsidRPr="00CA61A6">
        <w:rPr>
          <w:szCs w:val="24"/>
          <w:lang w:eastAsia="ja-JP"/>
        </w:rPr>
        <w:t>l</w:t>
      </w:r>
      <w:r w:rsidRPr="00CA61A6">
        <w:rPr>
          <w:szCs w:val="24"/>
          <w:lang w:eastAsia="ja-JP"/>
        </w:rPr>
        <w:t>a importancia de este tema</w:t>
      </w:r>
      <w:r w:rsidR="00754A53" w:rsidRPr="00CA61A6">
        <w:rPr>
          <w:szCs w:val="24"/>
          <w:lang w:eastAsia="ja-JP"/>
        </w:rPr>
        <w:t xml:space="preserve"> para los países en desarrollo</w:t>
      </w:r>
      <w:r w:rsidRPr="00CA61A6">
        <w:rPr>
          <w:szCs w:val="24"/>
          <w:lang w:eastAsia="ja-JP"/>
        </w:rPr>
        <w:t>.</w:t>
      </w:r>
    </w:p>
    <w:p w:rsidR="0039784A" w:rsidRPr="00CA61A6" w:rsidRDefault="00754A53" w:rsidP="002B499B">
      <w:pPr>
        <w:rPr>
          <w:szCs w:val="24"/>
          <w:lang w:eastAsia="ja-JP"/>
        </w:rPr>
      </w:pPr>
      <w:r w:rsidRPr="00CA61A6">
        <w:rPr>
          <w:szCs w:val="24"/>
          <w:lang w:eastAsia="ja-JP"/>
        </w:rPr>
        <w:t xml:space="preserve">El </w:t>
      </w:r>
      <w:r w:rsidR="00E47998" w:rsidRPr="00CA61A6">
        <w:rPr>
          <w:szCs w:val="24"/>
          <w:lang w:eastAsia="ja-JP"/>
        </w:rPr>
        <w:t xml:space="preserve">Grupo </w:t>
      </w:r>
      <w:r w:rsidR="001B5909">
        <w:rPr>
          <w:szCs w:val="24"/>
          <w:lang w:eastAsia="ja-JP"/>
        </w:rPr>
        <w:t>ad hoc de la CE </w:t>
      </w:r>
      <w:r w:rsidRPr="00CA61A6">
        <w:rPr>
          <w:szCs w:val="24"/>
          <w:lang w:eastAsia="ja-JP"/>
        </w:rPr>
        <w:t xml:space="preserve">2 sobre los países en desarrollo se reunió </w:t>
      </w:r>
      <w:r w:rsidR="00F65FF8" w:rsidRPr="00CA61A6">
        <w:rPr>
          <w:szCs w:val="24"/>
          <w:lang w:eastAsia="ja-JP"/>
        </w:rPr>
        <w:t>en conjunción con</w:t>
      </w:r>
      <w:r w:rsidR="001B5909">
        <w:rPr>
          <w:szCs w:val="24"/>
          <w:lang w:eastAsia="ja-JP"/>
        </w:rPr>
        <w:t xml:space="preserve"> la CE 2 del UIT</w:t>
      </w:r>
      <w:r w:rsidRPr="00CA61A6">
        <w:rPr>
          <w:szCs w:val="24"/>
          <w:lang w:eastAsia="ja-JP"/>
        </w:rPr>
        <w:t>-T (22</w:t>
      </w:r>
      <w:r w:rsidR="002B499B" w:rsidRPr="00CA61A6">
        <w:rPr>
          <w:szCs w:val="24"/>
          <w:lang w:eastAsia="ja-JP"/>
        </w:rPr>
        <w:t>-</w:t>
      </w:r>
      <w:r w:rsidRPr="00CA61A6">
        <w:rPr>
          <w:szCs w:val="24"/>
          <w:lang w:eastAsia="ja-JP"/>
        </w:rPr>
        <w:t xml:space="preserve">31 de enero de 2013) y convino en que los </w:t>
      </w:r>
      <w:r w:rsidR="000C17DA" w:rsidRPr="00CA61A6">
        <w:rPr>
          <w:szCs w:val="24"/>
          <w:lang w:eastAsia="ja-JP"/>
        </w:rPr>
        <w:t>Grupos Regional</w:t>
      </w:r>
      <w:r w:rsidR="000C17DA">
        <w:rPr>
          <w:szCs w:val="24"/>
          <w:lang w:eastAsia="ja-JP"/>
        </w:rPr>
        <w:t xml:space="preserve">es </w:t>
      </w:r>
      <w:r w:rsidR="00E91AA7">
        <w:rPr>
          <w:szCs w:val="24"/>
          <w:lang w:eastAsia="ja-JP"/>
        </w:rPr>
        <w:t>de la CE </w:t>
      </w:r>
      <w:r w:rsidRPr="00CA61A6">
        <w:rPr>
          <w:szCs w:val="24"/>
          <w:lang w:eastAsia="ja-JP"/>
        </w:rPr>
        <w:t xml:space="preserve">2 deberían prestar especial atención a los artículos pertinentes </w:t>
      </w:r>
      <w:r w:rsidR="0039784A" w:rsidRPr="00CA61A6">
        <w:t>del nuevo RTI</w:t>
      </w:r>
      <w:r w:rsidR="0039784A" w:rsidRPr="00CA61A6">
        <w:rPr>
          <w:szCs w:val="24"/>
          <w:lang w:eastAsia="ja-JP"/>
        </w:rPr>
        <w:t xml:space="preserve"> </w:t>
      </w:r>
      <w:r w:rsidRPr="00CA61A6">
        <w:rPr>
          <w:szCs w:val="24"/>
          <w:lang w:eastAsia="ja-JP"/>
        </w:rPr>
        <w:t>y todas las Resoluciones</w:t>
      </w:r>
      <w:r w:rsidR="006B7846">
        <w:rPr>
          <w:szCs w:val="24"/>
          <w:lang w:eastAsia="ja-JP"/>
        </w:rPr>
        <w:t xml:space="preserve"> de la AMNT</w:t>
      </w:r>
      <w:r w:rsidR="006B7846">
        <w:rPr>
          <w:szCs w:val="24"/>
          <w:lang w:eastAsia="ja-JP"/>
        </w:rPr>
        <w:noBreakHyphen/>
      </w:r>
      <w:r w:rsidR="0039784A" w:rsidRPr="00CA61A6">
        <w:rPr>
          <w:szCs w:val="24"/>
          <w:lang w:eastAsia="ja-JP"/>
        </w:rPr>
        <w:t xml:space="preserve">12 </w:t>
      </w:r>
      <w:r w:rsidR="00F20BC9">
        <w:rPr>
          <w:szCs w:val="24"/>
          <w:lang w:eastAsia="ja-JP"/>
        </w:rPr>
        <w:t>relacionadas con la CE </w:t>
      </w:r>
      <w:r w:rsidRPr="00CA61A6">
        <w:rPr>
          <w:szCs w:val="24"/>
          <w:lang w:eastAsia="ja-JP"/>
        </w:rPr>
        <w:t>2 y</w:t>
      </w:r>
      <w:r w:rsidR="0039784A" w:rsidRPr="00CA61A6">
        <w:rPr>
          <w:szCs w:val="24"/>
          <w:lang w:eastAsia="ja-JP"/>
        </w:rPr>
        <w:t xml:space="preserve"> las inquietudes de los p</w:t>
      </w:r>
      <w:r w:rsidRPr="00CA61A6">
        <w:rPr>
          <w:szCs w:val="24"/>
          <w:lang w:eastAsia="ja-JP"/>
        </w:rPr>
        <w:t xml:space="preserve">aíses en desarrollo, y </w:t>
      </w:r>
      <w:r w:rsidR="0039784A" w:rsidRPr="00CA61A6">
        <w:rPr>
          <w:szCs w:val="24"/>
          <w:lang w:eastAsia="ja-JP"/>
        </w:rPr>
        <w:t xml:space="preserve">evocar la cuestión y </w:t>
      </w:r>
      <w:r w:rsidR="00F65FF8" w:rsidRPr="00CA61A6">
        <w:rPr>
          <w:szCs w:val="24"/>
          <w:lang w:eastAsia="ja-JP"/>
        </w:rPr>
        <w:t>fomentar la presentación de</w:t>
      </w:r>
      <w:r w:rsidR="0039784A" w:rsidRPr="00CA61A6">
        <w:rPr>
          <w:szCs w:val="24"/>
          <w:lang w:eastAsia="ja-JP"/>
        </w:rPr>
        <w:t xml:space="preserve"> contribuciones al</w:t>
      </w:r>
      <w:r w:rsidRPr="00CA61A6">
        <w:rPr>
          <w:szCs w:val="24"/>
          <w:lang w:eastAsia="ja-JP"/>
        </w:rPr>
        <w:t xml:space="preserve"> respecto </w:t>
      </w:r>
      <w:r w:rsidR="0039784A" w:rsidRPr="00CA61A6">
        <w:rPr>
          <w:szCs w:val="24"/>
          <w:lang w:eastAsia="ja-JP"/>
        </w:rPr>
        <w:t>en</w:t>
      </w:r>
      <w:r w:rsidR="00D84BD8">
        <w:rPr>
          <w:szCs w:val="24"/>
          <w:lang w:eastAsia="ja-JP"/>
        </w:rPr>
        <w:t xml:space="preserve"> la próxima reunión de la CE </w:t>
      </w:r>
      <w:r w:rsidRPr="00CA61A6">
        <w:rPr>
          <w:szCs w:val="24"/>
          <w:lang w:eastAsia="ja-JP"/>
        </w:rPr>
        <w:t xml:space="preserve">2. Este punto </w:t>
      </w:r>
      <w:r w:rsidR="0039784A" w:rsidRPr="00CA61A6">
        <w:rPr>
          <w:szCs w:val="24"/>
          <w:lang w:eastAsia="ja-JP"/>
        </w:rPr>
        <w:t xml:space="preserve">volvió a plantearse </w:t>
      </w:r>
      <w:r w:rsidRPr="00CA61A6">
        <w:rPr>
          <w:szCs w:val="24"/>
          <w:lang w:eastAsia="ja-JP"/>
        </w:rPr>
        <w:t xml:space="preserve">cuando el </w:t>
      </w:r>
      <w:r w:rsidR="003C01FF" w:rsidRPr="00CA61A6">
        <w:rPr>
          <w:szCs w:val="24"/>
          <w:lang w:eastAsia="ja-JP"/>
        </w:rPr>
        <w:t xml:space="preserve">Grupo </w:t>
      </w:r>
      <w:r w:rsidR="0039784A" w:rsidRPr="00CA61A6">
        <w:rPr>
          <w:szCs w:val="24"/>
          <w:lang w:eastAsia="ja-JP"/>
        </w:rPr>
        <w:t>ad hoc de la CE 2 sobre los países en desarrollo se reunió</w:t>
      </w:r>
      <w:r w:rsidR="00F65FF8" w:rsidRPr="00CA61A6">
        <w:rPr>
          <w:szCs w:val="24"/>
          <w:lang w:eastAsia="ja-JP"/>
        </w:rPr>
        <w:t xml:space="preserve"> en paralelo a</w:t>
      </w:r>
      <w:r w:rsidR="0039784A" w:rsidRPr="00CA61A6">
        <w:rPr>
          <w:szCs w:val="24"/>
          <w:lang w:eastAsia="ja-JP"/>
        </w:rPr>
        <w:t xml:space="preserve"> la CE 2 </w:t>
      </w:r>
      <w:r w:rsidRPr="00CA61A6">
        <w:rPr>
          <w:szCs w:val="24"/>
          <w:lang w:eastAsia="ja-JP"/>
        </w:rPr>
        <w:t>(Ginebra, 17</w:t>
      </w:r>
      <w:r w:rsidR="002B499B" w:rsidRPr="00CA61A6">
        <w:rPr>
          <w:szCs w:val="24"/>
          <w:lang w:eastAsia="ja-JP"/>
        </w:rPr>
        <w:t>-</w:t>
      </w:r>
      <w:r w:rsidRPr="00CA61A6">
        <w:rPr>
          <w:szCs w:val="24"/>
          <w:lang w:eastAsia="ja-JP"/>
        </w:rPr>
        <w:t>26 de septiembre de 2013</w:t>
      </w:r>
      <w:r w:rsidR="0039784A" w:rsidRPr="00CA61A6">
        <w:rPr>
          <w:szCs w:val="24"/>
          <w:lang w:eastAsia="ja-JP"/>
        </w:rPr>
        <w:t xml:space="preserve"> y </w:t>
      </w:r>
      <w:r w:rsidRPr="00CA61A6">
        <w:rPr>
          <w:szCs w:val="24"/>
          <w:lang w:eastAsia="ja-JP"/>
        </w:rPr>
        <w:t>28 de mayo</w:t>
      </w:r>
      <w:r w:rsidR="002B499B" w:rsidRPr="00CA61A6">
        <w:rPr>
          <w:szCs w:val="24"/>
          <w:lang w:eastAsia="ja-JP"/>
        </w:rPr>
        <w:t>-</w:t>
      </w:r>
      <w:r w:rsidR="00231652">
        <w:rPr>
          <w:szCs w:val="24"/>
          <w:lang w:eastAsia="ja-JP"/>
        </w:rPr>
        <w:t>6 junio de </w:t>
      </w:r>
      <w:r w:rsidRPr="00CA61A6">
        <w:rPr>
          <w:szCs w:val="24"/>
          <w:lang w:eastAsia="ja-JP"/>
        </w:rPr>
        <w:t>2014).</w:t>
      </w:r>
    </w:p>
    <w:p w:rsidR="00BE041C" w:rsidRPr="00CA61A6" w:rsidRDefault="0039784A" w:rsidP="007B3478">
      <w:pPr>
        <w:rPr>
          <w:szCs w:val="24"/>
          <w:lang w:eastAsia="ja-JP"/>
        </w:rPr>
      </w:pPr>
      <w:r w:rsidRPr="00CA61A6">
        <w:rPr>
          <w:szCs w:val="24"/>
          <w:lang w:eastAsia="ja-JP"/>
        </w:rPr>
        <w:t xml:space="preserve">En la reunión del </w:t>
      </w:r>
      <w:r w:rsidR="00467226" w:rsidRPr="00CA61A6">
        <w:rPr>
          <w:szCs w:val="24"/>
          <w:lang w:eastAsia="ja-JP"/>
        </w:rPr>
        <w:t xml:space="preserve">Grupo </w:t>
      </w:r>
      <w:r w:rsidRPr="00CA61A6">
        <w:rPr>
          <w:szCs w:val="24"/>
          <w:lang w:eastAsia="ja-JP"/>
        </w:rPr>
        <w:t xml:space="preserve">ad hoc, </w:t>
      </w:r>
      <w:r w:rsidR="00F65FF8" w:rsidRPr="00CA61A6">
        <w:rPr>
          <w:szCs w:val="24"/>
          <w:lang w:eastAsia="ja-JP"/>
        </w:rPr>
        <w:t>celebrada</w:t>
      </w:r>
      <w:r w:rsidRPr="00CA61A6">
        <w:rPr>
          <w:szCs w:val="24"/>
          <w:lang w:eastAsia="ja-JP"/>
        </w:rPr>
        <w:t xml:space="preserve"> en paralelo a la de la CE 2 del UIT-T (18-27 de marzo de 2015 y 20-29 de enero de 2016), se evocó la importancia de la utilización indebida y los procedimientos alternativos de llamada para los países en desarroll</w:t>
      </w:r>
      <w:r w:rsidR="00F65FF8" w:rsidRPr="00CA61A6">
        <w:rPr>
          <w:szCs w:val="24"/>
          <w:lang w:eastAsia="ja-JP"/>
        </w:rPr>
        <w:t>o</w:t>
      </w:r>
      <w:r w:rsidRPr="00CA61A6">
        <w:rPr>
          <w:szCs w:val="24"/>
          <w:lang w:eastAsia="ja-JP"/>
        </w:rPr>
        <w:t xml:space="preserve">. En la reunión se acordó alentar a los </w:t>
      </w:r>
      <w:r w:rsidR="000C17DA" w:rsidRPr="00CA61A6">
        <w:rPr>
          <w:szCs w:val="24"/>
          <w:lang w:eastAsia="ja-JP"/>
        </w:rPr>
        <w:t xml:space="preserve">Grupos Regionales </w:t>
      </w:r>
      <w:r w:rsidRPr="00CA61A6">
        <w:rPr>
          <w:szCs w:val="24"/>
          <w:lang w:eastAsia="ja-JP"/>
        </w:rPr>
        <w:t>de la CE 2 del UIT-T a</w:t>
      </w:r>
      <w:r w:rsidR="00F65FF8" w:rsidRPr="00CA61A6">
        <w:rPr>
          <w:szCs w:val="24"/>
          <w:lang w:eastAsia="ja-JP"/>
        </w:rPr>
        <w:t xml:space="preserve"> que</w:t>
      </w:r>
      <w:r w:rsidRPr="00CA61A6">
        <w:rPr>
          <w:szCs w:val="24"/>
          <w:lang w:eastAsia="ja-JP"/>
        </w:rPr>
        <w:t xml:space="preserve"> presentar</w:t>
      </w:r>
      <w:r w:rsidR="00F65FF8" w:rsidRPr="00CA61A6">
        <w:rPr>
          <w:szCs w:val="24"/>
          <w:lang w:eastAsia="ja-JP"/>
        </w:rPr>
        <w:t>an</w:t>
      </w:r>
      <w:r w:rsidRPr="00CA61A6">
        <w:rPr>
          <w:szCs w:val="24"/>
          <w:lang w:eastAsia="ja-JP"/>
        </w:rPr>
        <w:t xml:space="preserve"> contribuciones sobre estos temas en reuniones posteriores de dicha Comisión.</w:t>
      </w:r>
    </w:p>
    <w:bookmarkStart w:id="68" w:name="_Toc335979779"/>
    <w:bookmarkStart w:id="69" w:name="_Toc338837113"/>
    <w:bookmarkStart w:id="70" w:name="_Toc340066385"/>
    <w:p w:rsidR="009C30EC" w:rsidRPr="00CA61A6" w:rsidRDefault="009C30EC" w:rsidP="009C30EC">
      <w:r w:rsidRPr="00CA61A6">
        <w:fldChar w:fldCharType="begin"/>
      </w:r>
      <w:r w:rsidRPr="00CA61A6">
        <w:instrText xml:space="preserve"> HYPERLINK \l "Top" </w:instrText>
      </w:r>
      <w:r w:rsidRPr="00CA61A6">
        <w:fldChar w:fldCharType="separate"/>
      </w:r>
      <w:r w:rsidRPr="00CA61A6">
        <w:rPr>
          <w:rStyle w:val="Hyperlink"/>
        </w:rPr>
        <w:t>» Arriba</w:t>
      </w:r>
      <w:r w:rsidRPr="00CA61A6">
        <w:rPr>
          <w:rStyle w:val="Hyperlink"/>
        </w:rPr>
        <w:fldChar w:fldCharType="end"/>
      </w:r>
    </w:p>
    <w:p w:rsidR="00FA6BFB" w:rsidRPr="00CA61A6" w:rsidRDefault="00FA6BFB" w:rsidP="007B3478">
      <w:pPr>
        <w:pStyle w:val="Heading1"/>
      </w:pPr>
      <w:bookmarkStart w:id="71" w:name="_9_Resolución_31"/>
      <w:bookmarkStart w:id="72" w:name="_Toc463335760"/>
      <w:bookmarkEnd w:id="71"/>
      <w:r w:rsidRPr="00CA61A6">
        <w:lastRenderedPageBreak/>
        <w:t>9</w:t>
      </w:r>
      <w:r w:rsidRPr="00CA61A6">
        <w:tab/>
        <w:t xml:space="preserve">Resolución 31 – </w:t>
      </w:r>
      <w:bookmarkEnd w:id="68"/>
      <w:bookmarkEnd w:id="69"/>
      <w:bookmarkEnd w:id="70"/>
      <w:r w:rsidR="0039784A" w:rsidRPr="00CA61A6">
        <w:t>Admisión de entidades u organizaciones para participar como Asociados en los trabajos del Sector de Normalización de las Telecomunicaciones de la UIT</w:t>
      </w:r>
      <w:bookmarkEnd w:id="72"/>
    </w:p>
    <w:p w:rsidR="00FA6BFB" w:rsidRPr="00CA61A6" w:rsidRDefault="00FA6BFB" w:rsidP="007B3478">
      <w:pPr>
        <w:pStyle w:val="Headingb"/>
      </w:pPr>
      <w:r w:rsidRPr="00CA61A6">
        <w:t>Resolución 31</w:t>
      </w:r>
    </w:p>
    <w:p w:rsidR="004E59DE" w:rsidRPr="00CA61A6" w:rsidRDefault="004E59DE" w:rsidP="007B3478">
      <w:pPr>
        <w:pStyle w:val="Call"/>
      </w:pPr>
      <w:r w:rsidRPr="00CA61A6">
        <w:t>resuelve</w:t>
      </w:r>
    </w:p>
    <w:p w:rsidR="004E59DE" w:rsidRPr="00CA61A6" w:rsidRDefault="004E59DE" w:rsidP="007B3478">
      <w:r w:rsidRPr="00CA61A6">
        <w:t>1</w:t>
      </w:r>
      <w:r w:rsidRPr="00CA61A6">
        <w:tab/>
        <w:t>que una entidad u organización interesada puede incorporarse al UIT</w:t>
      </w:r>
      <w:r w:rsidRPr="00CA61A6">
        <w:noBreakHyphen/>
        <w:t>T como Asociado y tener derecho a participar en los trabajos de una única Comisión de Estudio que elija;</w:t>
      </w:r>
    </w:p>
    <w:p w:rsidR="004E59DE" w:rsidRPr="00CA61A6" w:rsidRDefault="004E59DE" w:rsidP="007B3478">
      <w:r w:rsidRPr="00CA61A6">
        <w:t>2</w:t>
      </w:r>
      <w:r w:rsidRPr="00CA61A6">
        <w:tab/>
        <w:t>que los Asociados están restringidos a los cometidos de la Comisión de Estudio que se describen a continuación, y excluidos de todas las demás:</w:t>
      </w:r>
    </w:p>
    <w:p w:rsidR="004E59DE" w:rsidRPr="00CA61A6" w:rsidRDefault="004E59DE" w:rsidP="007B3478">
      <w:pPr>
        <w:pStyle w:val="enumlev1"/>
      </w:pPr>
      <w:r w:rsidRPr="00CA61A6">
        <w:t>•</w:t>
      </w:r>
      <w:r w:rsidRPr="00CA61A6">
        <w:tab/>
        <w:t>los Asociados pueden tomar parte en el proceso de elaboración de Recomendaciones en una Comisión de Estudio, incluyendo los siguientes cometidos: participante en reuniones, presentador de contribuciones, editor de Recomendaciones y, durante el proceso de aprobación alternativo, presentador de comentarios durante el periodo de "última llamada" (pero no durante el periodo de examen adicional);</w:t>
      </w:r>
    </w:p>
    <w:p w:rsidR="004E59DE" w:rsidRPr="00CA61A6" w:rsidRDefault="004E59DE" w:rsidP="007B3478">
      <w:pPr>
        <w:pStyle w:val="enumlev1"/>
      </w:pPr>
      <w:r w:rsidRPr="00CA61A6">
        <w:t>•</w:t>
      </w:r>
      <w:r w:rsidRPr="00CA61A6">
        <w:tab/>
        <w:t>los Asociados pueden tener acceso a la documentación requerida para su trabajo;</w:t>
      </w:r>
    </w:p>
    <w:p w:rsidR="004E59DE" w:rsidRPr="00CA61A6" w:rsidRDefault="004E59DE" w:rsidP="007B3478">
      <w:pPr>
        <w:pStyle w:val="enumlev1"/>
        <w:keepNext/>
        <w:keepLines/>
      </w:pPr>
      <w:r w:rsidRPr="00CA61A6">
        <w:t>•</w:t>
      </w:r>
      <w:r w:rsidRPr="00CA61A6">
        <w:tab/>
        <w:t>un Asociado puede ser Relator, y tener a su cargo la dirección de los estudios de la Cuestión o Cuestiones pertinentes de la Comisión de Estudio elegida, pero no puede participar en la toma de decisiones ni en las actividades de coordinación, que se realizarán por separado, de acuerdo con lo dispuesto en el número 248B del Convenio;</w:t>
      </w:r>
    </w:p>
    <w:p w:rsidR="004E59DE" w:rsidRPr="00CA61A6" w:rsidRDefault="004E59DE" w:rsidP="007B3478">
      <w:r w:rsidRPr="00CA61A6">
        <w:t>3</w:t>
      </w:r>
      <w:r w:rsidRPr="00CA61A6">
        <w:tab/>
        <w:t>que la cuantía de la contribución financiera de Asociado se base en la unidad contributiva de los Miembros de los Sectores determinada por el Consejo para cualquier periodo presupuestario bienal,</w:t>
      </w:r>
    </w:p>
    <w:p w:rsidR="004E59DE" w:rsidRPr="00CA61A6" w:rsidRDefault="004E59DE" w:rsidP="007B3478">
      <w:pPr>
        <w:pStyle w:val="Call"/>
      </w:pPr>
      <w:r w:rsidRPr="00CA61A6">
        <w:t>pide</w:t>
      </w:r>
    </w:p>
    <w:p w:rsidR="004E59DE" w:rsidRPr="00CA61A6" w:rsidRDefault="004E59DE" w:rsidP="007B3478">
      <w:r w:rsidRPr="00CA61A6">
        <w:t>1</w:t>
      </w:r>
      <w:r w:rsidRPr="00CA61A6">
        <w:tab/>
        <w:t>al Secretario General que admita la participación de entidades u organizaciones como Asociados en los trabajos de una Comisión de Estudio determinada o de sus Subgrupos conforme a lo estipulado en los números 241B, 241C, 241D y 241E del Convenio;</w:t>
      </w:r>
    </w:p>
    <w:p w:rsidR="004E59DE" w:rsidRPr="00CA61A6" w:rsidRDefault="004E59DE" w:rsidP="007B3478">
      <w:r w:rsidRPr="00CA61A6">
        <w:t>2</w:t>
      </w:r>
      <w:r w:rsidRPr="00CA61A6">
        <w:tab/>
        <w:t>al Grupo Asesor de Normalización de las Telecomunicaciones (GANT) que examine continuamente las condiciones que gobiernan la participación de los Asociados (incluidas las repercusiones financieras en el presupuesto del Sector) en base a la experiencia adquirida en el UIT</w:t>
      </w:r>
      <w:r w:rsidRPr="00CA61A6">
        <w:noBreakHyphen/>
        <w:t>T,</w:t>
      </w:r>
    </w:p>
    <w:p w:rsidR="004E59DE" w:rsidRPr="00CA61A6" w:rsidRDefault="004E59DE" w:rsidP="007B3478">
      <w:pPr>
        <w:pStyle w:val="Call"/>
      </w:pPr>
      <w:r w:rsidRPr="00CA61A6">
        <w:t>encarga al Director de la Oficina de Normalización de las Telecomunicaciones</w:t>
      </w:r>
    </w:p>
    <w:p w:rsidR="004E59DE" w:rsidRPr="00CA61A6" w:rsidRDefault="004E59DE" w:rsidP="007B3478">
      <w:pPr>
        <w:spacing w:after="120"/>
      </w:pPr>
      <w:r w:rsidRPr="00CA61A6">
        <w:t>que disponga lo necesario para la participación de los Asociados en los trabajos del UIT</w:t>
      </w:r>
      <w:r w:rsidRPr="00CA61A6">
        <w:noBreakHyphen/>
        <w:t>T, teniendo en cuenta las posibles repercusiones de la reorganización de las Comisiones de Estudio.</w:t>
      </w:r>
    </w:p>
    <w:tbl>
      <w:tblPr>
        <w:tblW w:w="9832" w:type="dxa"/>
        <w:tblInd w:w="-13" w:type="dxa"/>
        <w:tblLook w:val="04A0" w:firstRow="1" w:lastRow="0" w:firstColumn="1" w:lastColumn="0" w:noHBand="0" w:noVBand="1"/>
      </w:tblPr>
      <w:tblGrid>
        <w:gridCol w:w="916"/>
        <w:gridCol w:w="5340"/>
        <w:gridCol w:w="1168"/>
        <w:gridCol w:w="1147"/>
        <w:gridCol w:w="1261"/>
      </w:tblGrid>
      <w:tr w:rsidR="004A13E3" w:rsidRPr="00CA61A6" w:rsidTr="005B6F4E">
        <w:trPr>
          <w:trHeight w:val="647"/>
          <w:tblHeader/>
        </w:trPr>
        <w:tc>
          <w:tcPr>
            <w:tcW w:w="916" w:type="dxa"/>
            <w:tcBorders>
              <w:top w:val="single" w:sz="4" w:space="0" w:color="auto"/>
              <w:left w:val="single" w:sz="4" w:space="0" w:color="auto"/>
              <w:bottom w:val="double" w:sz="6" w:space="0" w:color="auto"/>
              <w:right w:val="single" w:sz="4" w:space="0" w:color="auto"/>
            </w:tcBorders>
            <w:vAlign w:val="center"/>
          </w:tcPr>
          <w:p w:rsidR="004A13E3" w:rsidRPr="00CA61A6" w:rsidRDefault="004A13E3" w:rsidP="007B3478">
            <w:pPr>
              <w:pStyle w:val="Tablehead"/>
            </w:pPr>
            <w:r w:rsidRPr="00CA61A6">
              <w:t>Número</w:t>
            </w:r>
          </w:p>
        </w:tc>
        <w:tc>
          <w:tcPr>
            <w:tcW w:w="5340" w:type="dxa"/>
            <w:tcBorders>
              <w:top w:val="single" w:sz="4" w:space="0" w:color="auto"/>
              <w:left w:val="single" w:sz="4" w:space="0" w:color="auto"/>
              <w:bottom w:val="double" w:sz="6" w:space="0" w:color="auto"/>
              <w:right w:val="single" w:sz="4" w:space="0" w:color="auto"/>
            </w:tcBorders>
            <w:shd w:val="clear" w:color="auto" w:fill="auto"/>
            <w:vAlign w:val="center"/>
            <w:hideMark/>
          </w:tcPr>
          <w:p w:rsidR="004A13E3" w:rsidRPr="00CA61A6" w:rsidRDefault="004A13E3" w:rsidP="007B3478">
            <w:pPr>
              <w:pStyle w:val="Tablehead"/>
            </w:pPr>
            <w:r w:rsidRPr="00CA61A6">
              <w:t>Acción</w:t>
            </w:r>
          </w:p>
        </w:tc>
        <w:tc>
          <w:tcPr>
            <w:tcW w:w="1168" w:type="dxa"/>
            <w:tcBorders>
              <w:top w:val="single" w:sz="4" w:space="0" w:color="auto"/>
              <w:left w:val="nil"/>
              <w:bottom w:val="double" w:sz="6" w:space="0" w:color="auto"/>
              <w:right w:val="single" w:sz="4" w:space="0" w:color="auto"/>
            </w:tcBorders>
            <w:shd w:val="clear" w:color="auto" w:fill="auto"/>
            <w:vAlign w:val="center"/>
            <w:hideMark/>
          </w:tcPr>
          <w:p w:rsidR="004A13E3" w:rsidRPr="00CA61A6" w:rsidRDefault="004A13E3" w:rsidP="007B3478">
            <w:pPr>
              <w:pStyle w:val="Tablehead"/>
            </w:pPr>
            <w:r w:rsidRPr="00CA61A6">
              <w:t>Fecha objetivo</w:t>
            </w:r>
          </w:p>
        </w:tc>
        <w:tc>
          <w:tcPr>
            <w:tcW w:w="1147" w:type="dxa"/>
            <w:tcBorders>
              <w:top w:val="single" w:sz="4" w:space="0" w:color="auto"/>
              <w:left w:val="nil"/>
              <w:bottom w:val="double" w:sz="6" w:space="0" w:color="auto"/>
              <w:right w:val="single" w:sz="4" w:space="0" w:color="auto"/>
            </w:tcBorders>
            <w:vAlign w:val="center"/>
          </w:tcPr>
          <w:p w:rsidR="004A13E3" w:rsidRPr="00CA61A6" w:rsidRDefault="004A13E3" w:rsidP="007B3478">
            <w:pPr>
              <w:pStyle w:val="Tablehead"/>
            </w:pPr>
            <w:r w:rsidRPr="00CA61A6">
              <w:t>Objetivos periódicos cumplidos</w:t>
            </w:r>
          </w:p>
        </w:tc>
        <w:tc>
          <w:tcPr>
            <w:tcW w:w="1261" w:type="dxa"/>
            <w:tcBorders>
              <w:top w:val="single" w:sz="4" w:space="0" w:color="auto"/>
              <w:left w:val="single" w:sz="4" w:space="0" w:color="auto"/>
              <w:bottom w:val="double" w:sz="6" w:space="0" w:color="auto"/>
              <w:right w:val="single" w:sz="4" w:space="0" w:color="auto"/>
            </w:tcBorders>
            <w:vAlign w:val="center"/>
          </w:tcPr>
          <w:p w:rsidR="004A13E3" w:rsidRPr="00CA61A6" w:rsidRDefault="004A13E3" w:rsidP="007B3478">
            <w:pPr>
              <w:pStyle w:val="Tablehead"/>
            </w:pPr>
            <w:r w:rsidRPr="00CA61A6">
              <w:t>Completada</w:t>
            </w:r>
          </w:p>
        </w:tc>
      </w:tr>
      <w:tr w:rsidR="004A13E3" w:rsidRPr="00CA61A6" w:rsidTr="002678A9">
        <w:trPr>
          <w:trHeight w:val="620"/>
        </w:trPr>
        <w:tc>
          <w:tcPr>
            <w:tcW w:w="916" w:type="dxa"/>
            <w:tcBorders>
              <w:top w:val="double" w:sz="6" w:space="0" w:color="auto"/>
              <w:left w:val="single" w:sz="4" w:space="0" w:color="auto"/>
              <w:bottom w:val="single" w:sz="4" w:space="0" w:color="auto"/>
              <w:right w:val="single" w:sz="4" w:space="0" w:color="auto"/>
            </w:tcBorders>
            <w:vAlign w:val="center"/>
          </w:tcPr>
          <w:p w:rsidR="004A13E3" w:rsidRPr="00CA61A6" w:rsidRDefault="00110CAD" w:rsidP="007B3478">
            <w:pPr>
              <w:pStyle w:val="Tabletext"/>
              <w:jc w:val="center"/>
            </w:pPr>
            <w:hyperlink w:anchor="Item31_01" w:history="1">
              <w:r w:rsidR="004A13E3" w:rsidRPr="00CA61A6">
                <w:rPr>
                  <w:rStyle w:val="Hyperlink"/>
                </w:rPr>
                <w:t>31-01</w:t>
              </w:r>
            </w:hyperlink>
          </w:p>
        </w:tc>
        <w:tc>
          <w:tcPr>
            <w:tcW w:w="5340" w:type="dxa"/>
            <w:tcBorders>
              <w:top w:val="double" w:sz="6" w:space="0" w:color="auto"/>
              <w:left w:val="single" w:sz="4" w:space="0" w:color="auto"/>
              <w:bottom w:val="single" w:sz="4" w:space="0" w:color="auto"/>
              <w:right w:val="single" w:sz="4" w:space="0" w:color="auto"/>
            </w:tcBorders>
            <w:shd w:val="clear" w:color="auto" w:fill="auto"/>
            <w:vAlign w:val="center"/>
            <w:hideMark/>
          </w:tcPr>
          <w:p w:rsidR="004A13E3" w:rsidRPr="00CA61A6" w:rsidRDefault="004A13E3" w:rsidP="007B3478">
            <w:pPr>
              <w:pStyle w:val="Tabletext"/>
            </w:pPr>
            <w:r w:rsidRPr="00CA61A6">
              <w:t>El GANT examinará las condiciones que rigen la participación de los Asociados</w:t>
            </w:r>
          </w:p>
        </w:tc>
        <w:tc>
          <w:tcPr>
            <w:tcW w:w="1168" w:type="dxa"/>
            <w:tcBorders>
              <w:top w:val="double" w:sz="6" w:space="0" w:color="auto"/>
              <w:left w:val="nil"/>
              <w:bottom w:val="single" w:sz="4" w:space="0" w:color="auto"/>
              <w:right w:val="single" w:sz="4" w:space="0" w:color="auto"/>
            </w:tcBorders>
            <w:shd w:val="clear" w:color="auto" w:fill="auto"/>
            <w:vAlign w:val="center"/>
            <w:hideMark/>
          </w:tcPr>
          <w:p w:rsidR="004A13E3" w:rsidRPr="00CA61A6" w:rsidRDefault="004A13E3" w:rsidP="007B3478">
            <w:pPr>
              <w:pStyle w:val="Tabletext"/>
              <w:jc w:val="center"/>
            </w:pPr>
            <w:r w:rsidRPr="00CA61A6">
              <w:t>En curso</w:t>
            </w:r>
          </w:p>
        </w:tc>
        <w:tc>
          <w:tcPr>
            <w:tcW w:w="1147" w:type="dxa"/>
            <w:tcBorders>
              <w:top w:val="double" w:sz="6" w:space="0" w:color="auto"/>
              <w:left w:val="nil"/>
              <w:bottom w:val="single" w:sz="4" w:space="0" w:color="auto"/>
              <w:right w:val="single" w:sz="4" w:space="0" w:color="auto"/>
            </w:tcBorders>
            <w:vAlign w:val="center"/>
          </w:tcPr>
          <w:p w:rsidR="004A13E3" w:rsidRPr="00CA61A6" w:rsidRDefault="00AF4D49" w:rsidP="007B3478">
            <w:pPr>
              <w:pStyle w:val="Tabletext"/>
              <w:jc w:val="center"/>
            </w:pPr>
            <w:r w:rsidRPr="00CA61A6">
              <w:sym w:font="Wingdings" w:char="F0FC"/>
            </w:r>
          </w:p>
        </w:tc>
        <w:tc>
          <w:tcPr>
            <w:tcW w:w="1261" w:type="dxa"/>
            <w:tcBorders>
              <w:top w:val="double" w:sz="6" w:space="0" w:color="auto"/>
              <w:left w:val="single" w:sz="4" w:space="0" w:color="auto"/>
              <w:bottom w:val="single" w:sz="4" w:space="0" w:color="auto"/>
              <w:right w:val="single" w:sz="4" w:space="0" w:color="auto"/>
            </w:tcBorders>
            <w:vAlign w:val="center"/>
          </w:tcPr>
          <w:p w:rsidR="004A13E3" w:rsidRPr="00CA61A6" w:rsidRDefault="004A13E3" w:rsidP="007B3478">
            <w:pPr>
              <w:pStyle w:val="Tabletext"/>
              <w:jc w:val="center"/>
            </w:pPr>
          </w:p>
        </w:tc>
      </w:tr>
      <w:tr w:rsidR="004A13E3" w:rsidRPr="00CA61A6" w:rsidTr="002678A9">
        <w:trPr>
          <w:trHeight w:val="710"/>
        </w:trPr>
        <w:tc>
          <w:tcPr>
            <w:tcW w:w="916" w:type="dxa"/>
            <w:tcBorders>
              <w:top w:val="single" w:sz="4" w:space="0" w:color="auto"/>
              <w:left w:val="single" w:sz="4" w:space="0" w:color="auto"/>
              <w:bottom w:val="single" w:sz="4" w:space="0" w:color="auto"/>
              <w:right w:val="single" w:sz="4" w:space="0" w:color="auto"/>
            </w:tcBorders>
            <w:vAlign w:val="center"/>
          </w:tcPr>
          <w:p w:rsidR="004A13E3" w:rsidRPr="00CA61A6" w:rsidRDefault="00110CAD" w:rsidP="007B3478">
            <w:pPr>
              <w:pStyle w:val="Tabletext"/>
              <w:jc w:val="center"/>
            </w:pPr>
            <w:hyperlink w:anchor="Item31_02" w:history="1">
              <w:r w:rsidR="004A13E3" w:rsidRPr="00CA61A6">
                <w:rPr>
                  <w:rStyle w:val="Hyperlink"/>
                </w:rPr>
                <w:t>31-02</w:t>
              </w:r>
            </w:hyperlink>
          </w:p>
        </w:tc>
        <w:tc>
          <w:tcPr>
            <w:tcW w:w="5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13E3" w:rsidRPr="00CA61A6" w:rsidRDefault="004A13E3" w:rsidP="007B3478">
            <w:pPr>
              <w:pStyle w:val="Tabletext"/>
            </w:pPr>
            <w:r w:rsidRPr="00CA61A6">
              <w:t xml:space="preserve">El Director </w:t>
            </w:r>
            <w:r w:rsidR="0039784A" w:rsidRPr="00CA61A6">
              <w:t>seguirá ocupándose</w:t>
            </w:r>
            <w:r w:rsidRPr="00CA61A6">
              <w:t xml:space="preserve"> de la logística necesaria para la participación de los Asociados</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4A13E3" w:rsidRPr="00CA61A6" w:rsidRDefault="004A13E3" w:rsidP="007B3478">
            <w:pPr>
              <w:pStyle w:val="Tabletext"/>
              <w:jc w:val="center"/>
            </w:pPr>
            <w:r w:rsidRPr="00CA61A6">
              <w:t>En curso</w:t>
            </w:r>
          </w:p>
        </w:tc>
        <w:tc>
          <w:tcPr>
            <w:tcW w:w="1147" w:type="dxa"/>
            <w:tcBorders>
              <w:top w:val="single" w:sz="4" w:space="0" w:color="auto"/>
              <w:left w:val="nil"/>
              <w:bottom w:val="single" w:sz="4" w:space="0" w:color="auto"/>
              <w:right w:val="single" w:sz="4" w:space="0" w:color="auto"/>
            </w:tcBorders>
            <w:vAlign w:val="center"/>
          </w:tcPr>
          <w:p w:rsidR="004A13E3" w:rsidRPr="00CA61A6" w:rsidRDefault="00AF4D49" w:rsidP="007B3478">
            <w:pPr>
              <w:pStyle w:val="Tabletext"/>
              <w:jc w:val="center"/>
            </w:pPr>
            <w:r w:rsidRPr="00CA61A6">
              <w:sym w:font="Wingdings" w:char="F0FC"/>
            </w:r>
          </w:p>
        </w:tc>
        <w:tc>
          <w:tcPr>
            <w:tcW w:w="1261" w:type="dxa"/>
            <w:tcBorders>
              <w:top w:val="single" w:sz="4" w:space="0" w:color="auto"/>
              <w:left w:val="single" w:sz="4" w:space="0" w:color="auto"/>
              <w:bottom w:val="single" w:sz="4" w:space="0" w:color="auto"/>
              <w:right w:val="single" w:sz="4" w:space="0" w:color="auto"/>
            </w:tcBorders>
            <w:vAlign w:val="center"/>
          </w:tcPr>
          <w:p w:rsidR="004A13E3" w:rsidRPr="00CA61A6" w:rsidRDefault="004A13E3" w:rsidP="007B3478">
            <w:pPr>
              <w:pStyle w:val="Tabletext"/>
              <w:jc w:val="center"/>
            </w:pPr>
          </w:p>
        </w:tc>
      </w:tr>
    </w:tbl>
    <w:p w:rsidR="005B6F4E" w:rsidRPr="00CA61A6" w:rsidRDefault="005B6F4E" w:rsidP="00FA7708">
      <w:pPr>
        <w:pStyle w:val="Headingb"/>
      </w:pPr>
      <w:bookmarkStart w:id="73" w:name="Item31_01"/>
      <w:r w:rsidRPr="00CA61A6">
        <w:lastRenderedPageBreak/>
        <w:t>Acción 31-01: GANT</w:t>
      </w:r>
    </w:p>
    <w:p w:rsidR="005B6F4E" w:rsidRPr="00CA61A6" w:rsidRDefault="005B6F4E" w:rsidP="007B3478">
      <w:pPr>
        <w:pStyle w:val="Headingb"/>
      </w:pPr>
      <w:bookmarkStart w:id="74" w:name="Item31_02"/>
      <w:bookmarkEnd w:id="73"/>
      <w:r w:rsidRPr="00CA61A6">
        <w:t>Acción 31-02: TSB</w:t>
      </w:r>
    </w:p>
    <w:bookmarkEnd w:id="74"/>
    <w:p w:rsidR="00714ACC" w:rsidRPr="00CA61A6" w:rsidRDefault="00DA00D5" w:rsidP="007B3478">
      <w:pPr>
        <w:rPr>
          <w:szCs w:val="24"/>
          <w:lang w:eastAsia="ja-JP"/>
        </w:rPr>
      </w:pPr>
      <w:r w:rsidRPr="00CA61A6">
        <w:rPr>
          <w:szCs w:val="24"/>
          <w:lang w:eastAsia="ja-JP"/>
        </w:rPr>
        <w:t xml:space="preserve">Se están adoptando todas las medidas </w:t>
      </w:r>
      <w:r w:rsidR="00792D99" w:rsidRPr="00CA61A6">
        <w:rPr>
          <w:szCs w:val="24"/>
          <w:lang w:eastAsia="ja-JP"/>
        </w:rPr>
        <w:t>necesarias</w:t>
      </w:r>
      <w:r w:rsidRPr="00CA61A6">
        <w:rPr>
          <w:szCs w:val="24"/>
          <w:lang w:eastAsia="ja-JP"/>
        </w:rPr>
        <w:t xml:space="preserve"> con respecto a la logística</w:t>
      </w:r>
      <w:r w:rsidR="00714ACC" w:rsidRPr="00CA61A6">
        <w:rPr>
          <w:szCs w:val="24"/>
          <w:lang w:eastAsia="ja-JP"/>
        </w:rPr>
        <w:t>.</w:t>
      </w:r>
    </w:p>
    <w:p w:rsidR="00714ACC" w:rsidRPr="00CA61A6" w:rsidRDefault="00DA00D5" w:rsidP="007B3478">
      <w:pPr>
        <w:rPr>
          <w:szCs w:val="24"/>
          <w:lang w:eastAsia="ja-JP"/>
        </w:rPr>
      </w:pPr>
      <w:r w:rsidRPr="00CA61A6">
        <w:rPr>
          <w:szCs w:val="24"/>
          <w:lang w:eastAsia="ja-JP"/>
        </w:rPr>
        <w:t>En 2015, la participación de los Asociados aumentó ligeramente:</w:t>
      </w:r>
    </w:p>
    <w:p w:rsidR="00714ACC" w:rsidRPr="00CA61A6" w:rsidRDefault="00F65490" w:rsidP="007B3478">
      <w:pPr>
        <w:pStyle w:val="enumlev1"/>
        <w:rPr>
          <w:lang w:eastAsia="ja-JP"/>
        </w:rPr>
      </w:pPr>
      <w:r w:rsidRPr="00CA61A6">
        <w:rPr>
          <w:lang w:eastAsia="ja-JP"/>
        </w:rPr>
        <w:t>•</w:t>
      </w:r>
      <w:r w:rsidRPr="00CA61A6">
        <w:rPr>
          <w:lang w:eastAsia="ja-JP"/>
        </w:rPr>
        <w:tab/>
      </w:r>
      <w:r w:rsidR="00714ACC" w:rsidRPr="00CA61A6">
        <w:rPr>
          <w:lang w:eastAsia="ja-JP"/>
        </w:rPr>
        <w:t xml:space="preserve">31 </w:t>
      </w:r>
      <w:r w:rsidR="00DA00D5" w:rsidRPr="00CA61A6">
        <w:rPr>
          <w:lang w:eastAsia="ja-JP"/>
        </w:rPr>
        <w:t>de diciembre de</w:t>
      </w:r>
      <w:r w:rsidR="00714ACC" w:rsidRPr="00CA61A6">
        <w:rPr>
          <w:lang w:eastAsia="ja-JP"/>
        </w:rPr>
        <w:t xml:space="preserve"> 2010: 125 As</w:t>
      </w:r>
      <w:r w:rsidR="00DA00D5" w:rsidRPr="00CA61A6">
        <w:rPr>
          <w:lang w:eastAsia="ja-JP"/>
        </w:rPr>
        <w:t>ociados</w:t>
      </w:r>
    </w:p>
    <w:p w:rsidR="00714ACC" w:rsidRPr="00CA61A6" w:rsidRDefault="00F65490" w:rsidP="007B3478">
      <w:pPr>
        <w:pStyle w:val="enumlev1"/>
        <w:rPr>
          <w:lang w:eastAsia="ja-JP"/>
        </w:rPr>
      </w:pPr>
      <w:r w:rsidRPr="00CA61A6">
        <w:rPr>
          <w:lang w:eastAsia="ja-JP"/>
        </w:rPr>
        <w:t>•</w:t>
      </w:r>
      <w:r w:rsidRPr="00CA61A6">
        <w:rPr>
          <w:lang w:eastAsia="ja-JP"/>
        </w:rPr>
        <w:tab/>
      </w:r>
      <w:r w:rsidR="00714ACC" w:rsidRPr="00CA61A6">
        <w:rPr>
          <w:lang w:eastAsia="ja-JP"/>
        </w:rPr>
        <w:t xml:space="preserve">31 </w:t>
      </w:r>
      <w:r w:rsidR="00DA00D5" w:rsidRPr="00CA61A6">
        <w:rPr>
          <w:lang w:eastAsia="ja-JP"/>
        </w:rPr>
        <w:t>de diciembre de</w:t>
      </w:r>
      <w:r w:rsidR="00714ACC" w:rsidRPr="00CA61A6">
        <w:rPr>
          <w:lang w:eastAsia="ja-JP"/>
        </w:rPr>
        <w:t xml:space="preserve"> 2011: 136 </w:t>
      </w:r>
      <w:r w:rsidR="00DA00D5" w:rsidRPr="00CA61A6">
        <w:rPr>
          <w:lang w:eastAsia="ja-JP"/>
        </w:rPr>
        <w:t>Asociados</w:t>
      </w:r>
    </w:p>
    <w:p w:rsidR="00714ACC" w:rsidRPr="00CA61A6" w:rsidRDefault="00F65490" w:rsidP="007B3478">
      <w:pPr>
        <w:pStyle w:val="enumlev1"/>
        <w:rPr>
          <w:lang w:eastAsia="ja-JP"/>
        </w:rPr>
      </w:pPr>
      <w:r w:rsidRPr="00CA61A6">
        <w:rPr>
          <w:lang w:eastAsia="ja-JP"/>
        </w:rPr>
        <w:t>•</w:t>
      </w:r>
      <w:r w:rsidRPr="00CA61A6">
        <w:rPr>
          <w:lang w:eastAsia="ja-JP"/>
        </w:rPr>
        <w:tab/>
      </w:r>
      <w:r w:rsidR="00714ACC" w:rsidRPr="00CA61A6">
        <w:rPr>
          <w:lang w:eastAsia="ja-JP"/>
        </w:rPr>
        <w:t xml:space="preserve">31 </w:t>
      </w:r>
      <w:r w:rsidR="00DA00D5" w:rsidRPr="00CA61A6">
        <w:rPr>
          <w:lang w:eastAsia="ja-JP"/>
        </w:rPr>
        <w:t xml:space="preserve">de diciembre de </w:t>
      </w:r>
      <w:r w:rsidR="00714ACC" w:rsidRPr="00CA61A6">
        <w:rPr>
          <w:lang w:eastAsia="ja-JP"/>
        </w:rPr>
        <w:t xml:space="preserve">2012: 144 </w:t>
      </w:r>
      <w:r w:rsidR="00DA00D5" w:rsidRPr="00CA61A6">
        <w:rPr>
          <w:lang w:eastAsia="ja-JP"/>
        </w:rPr>
        <w:t>Asociados</w:t>
      </w:r>
    </w:p>
    <w:p w:rsidR="00714ACC" w:rsidRPr="00CA61A6" w:rsidRDefault="00F65490" w:rsidP="007B3478">
      <w:pPr>
        <w:pStyle w:val="enumlev1"/>
        <w:rPr>
          <w:lang w:eastAsia="ja-JP"/>
        </w:rPr>
      </w:pPr>
      <w:r w:rsidRPr="00CA61A6">
        <w:rPr>
          <w:lang w:eastAsia="ja-JP"/>
        </w:rPr>
        <w:t>•</w:t>
      </w:r>
      <w:r w:rsidRPr="00CA61A6">
        <w:rPr>
          <w:lang w:eastAsia="ja-JP"/>
        </w:rPr>
        <w:tab/>
      </w:r>
      <w:r w:rsidR="00714ACC" w:rsidRPr="00CA61A6">
        <w:rPr>
          <w:lang w:eastAsia="ja-JP"/>
        </w:rPr>
        <w:t xml:space="preserve">31 </w:t>
      </w:r>
      <w:r w:rsidR="00DA00D5" w:rsidRPr="00CA61A6">
        <w:rPr>
          <w:lang w:eastAsia="ja-JP"/>
        </w:rPr>
        <w:t xml:space="preserve">de diciembre de </w:t>
      </w:r>
      <w:r w:rsidR="00714ACC" w:rsidRPr="00CA61A6">
        <w:rPr>
          <w:lang w:eastAsia="ja-JP"/>
        </w:rPr>
        <w:t xml:space="preserve">2013: 139 </w:t>
      </w:r>
      <w:r w:rsidR="00DA00D5" w:rsidRPr="00CA61A6">
        <w:rPr>
          <w:lang w:eastAsia="ja-JP"/>
        </w:rPr>
        <w:t>Asociados</w:t>
      </w:r>
    </w:p>
    <w:p w:rsidR="00714ACC" w:rsidRPr="00CA61A6" w:rsidRDefault="00F65490" w:rsidP="007B3478">
      <w:pPr>
        <w:pStyle w:val="enumlev1"/>
        <w:rPr>
          <w:lang w:eastAsia="ja-JP"/>
        </w:rPr>
      </w:pPr>
      <w:r w:rsidRPr="00CA61A6">
        <w:rPr>
          <w:lang w:eastAsia="ja-JP"/>
        </w:rPr>
        <w:t>•</w:t>
      </w:r>
      <w:r w:rsidRPr="00CA61A6">
        <w:rPr>
          <w:lang w:eastAsia="ja-JP"/>
        </w:rPr>
        <w:tab/>
      </w:r>
      <w:r w:rsidR="00714ACC" w:rsidRPr="00CA61A6">
        <w:rPr>
          <w:lang w:eastAsia="ja-JP"/>
        </w:rPr>
        <w:t xml:space="preserve">31 </w:t>
      </w:r>
      <w:r w:rsidR="00DA00D5" w:rsidRPr="00CA61A6">
        <w:rPr>
          <w:lang w:eastAsia="ja-JP"/>
        </w:rPr>
        <w:t xml:space="preserve">de diciembre de </w:t>
      </w:r>
      <w:r w:rsidR="00714ACC" w:rsidRPr="00CA61A6">
        <w:rPr>
          <w:lang w:eastAsia="ja-JP"/>
        </w:rPr>
        <w:t xml:space="preserve">2014: 138 </w:t>
      </w:r>
      <w:r w:rsidR="00DA00D5" w:rsidRPr="00CA61A6">
        <w:rPr>
          <w:lang w:eastAsia="ja-JP"/>
        </w:rPr>
        <w:t>Asociados</w:t>
      </w:r>
    </w:p>
    <w:p w:rsidR="00714ACC" w:rsidRPr="00CA61A6" w:rsidRDefault="00F65490" w:rsidP="007B3478">
      <w:pPr>
        <w:pStyle w:val="enumlev1"/>
        <w:rPr>
          <w:lang w:eastAsia="ja-JP"/>
        </w:rPr>
      </w:pPr>
      <w:r w:rsidRPr="00CA61A6">
        <w:rPr>
          <w:lang w:eastAsia="ja-JP"/>
        </w:rPr>
        <w:t>•</w:t>
      </w:r>
      <w:r w:rsidRPr="00CA61A6">
        <w:rPr>
          <w:lang w:eastAsia="ja-JP"/>
        </w:rPr>
        <w:tab/>
      </w:r>
      <w:r w:rsidR="00714ACC" w:rsidRPr="00CA61A6">
        <w:rPr>
          <w:lang w:eastAsia="ja-JP"/>
        </w:rPr>
        <w:t xml:space="preserve">31 </w:t>
      </w:r>
      <w:r w:rsidR="00DA00D5" w:rsidRPr="00CA61A6">
        <w:rPr>
          <w:lang w:eastAsia="ja-JP"/>
        </w:rPr>
        <w:t xml:space="preserve">de diciembre de </w:t>
      </w:r>
      <w:r w:rsidR="000F3950" w:rsidRPr="00CA61A6">
        <w:rPr>
          <w:lang w:eastAsia="ja-JP"/>
        </w:rPr>
        <w:t xml:space="preserve">2015: 142 </w:t>
      </w:r>
      <w:r w:rsidR="00DA00D5" w:rsidRPr="00CA61A6">
        <w:rPr>
          <w:lang w:eastAsia="ja-JP"/>
        </w:rPr>
        <w:t>Asociados</w:t>
      </w:r>
    </w:p>
    <w:p w:rsidR="00714ACC" w:rsidRPr="00CA61A6" w:rsidRDefault="00F65490" w:rsidP="007B3478">
      <w:pPr>
        <w:pStyle w:val="enumlev1"/>
        <w:rPr>
          <w:lang w:eastAsia="ja-JP"/>
        </w:rPr>
      </w:pPr>
      <w:r w:rsidRPr="00CA61A6">
        <w:rPr>
          <w:lang w:eastAsia="ja-JP"/>
        </w:rPr>
        <w:t>•</w:t>
      </w:r>
      <w:r w:rsidRPr="00CA61A6">
        <w:rPr>
          <w:lang w:eastAsia="ja-JP"/>
        </w:rPr>
        <w:tab/>
        <w:t xml:space="preserve">31 </w:t>
      </w:r>
      <w:r w:rsidR="00DA00D5" w:rsidRPr="00CA61A6">
        <w:rPr>
          <w:lang w:eastAsia="ja-JP"/>
        </w:rPr>
        <w:t xml:space="preserve">de mayo de </w:t>
      </w:r>
      <w:r w:rsidRPr="00CA61A6">
        <w:rPr>
          <w:lang w:eastAsia="ja-JP"/>
        </w:rPr>
        <w:t xml:space="preserve">2016: 140 </w:t>
      </w:r>
      <w:r w:rsidR="00DA00D5" w:rsidRPr="00CA61A6">
        <w:rPr>
          <w:lang w:eastAsia="ja-JP"/>
        </w:rPr>
        <w:t>Asociados</w:t>
      </w:r>
    </w:p>
    <w:p w:rsidR="00714ACC" w:rsidRPr="00CA61A6" w:rsidRDefault="00DA00D5" w:rsidP="007B3478">
      <w:pPr>
        <w:rPr>
          <w:szCs w:val="24"/>
          <w:lang w:eastAsia="ja-JP"/>
        </w:rPr>
      </w:pPr>
      <w:r w:rsidRPr="00CA61A6">
        <w:rPr>
          <w:szCs w:val="24"/>
          <w:lang w:eastAsia="ja-JP"/>
        </w:rPr>
        <w:t xml:space="preserve">El número total de Asociados del UIT-T disminuyó ligeramente entre enero y mayo de 2016, a pesar de la inscripción de nuevos Asociados a las Comisiones de Estudio 2 y 15. La lista actual de Asociados está disponible en </w:t>
      </w:r>
      <w:hyperlink r:id="rId87" w:history="1">
        <w:r w:rsidR="0009392F" w:rsidRPr="00CA61A6">
          <w:rPr>
            <w:rStyle w:val="Hyperlink"/>
            <w:szCs w:val="24"/>
            <w:lang w:eastAsia="ja-JP"/>
          </w:rPr>
          <w:t>http://itu.int/online/mm/scripts/mm.list?_search=ASSOCIATES</w:t>
        </w:r>
      </w:hyperlink>
      <w:r w:rsidR="00714ACC" w:rsidRPr="00CA61A6">
        <w:rPr>
          <w:szCs w:val="24"/>
          <w:lang w:eastAsia="ja-JP"/>
        </w:rPr>
        <w:t>.</w:t>
      </w:r>
    </w:p>
    <w:bookmarkStart w:id="75" w:name="_Toc335979780"/>
    <w:bookmarkStart w:id="76" w:name="_Toc338837114"/>
    <w:bookmarkStart w:id="77" w:name="_Toc340066386"/>
    <w:p w:rsidR="00EF5E70" w:rsidRPr="00CA61A6" w:rsidRDefault="00EF5E70" w:rsidP="00EF5E70">
      <w:r w:rsidRPr="00CA61A6">
        <w:fldChar w:fldCharType="begin"/>
      </w:r>
      <w:r w:rsidRPr="00CA61A6">
        <w:instrText xml:space="preserve"> HYPERLINK \l "Top" </w:instrText>
      </w:r>
      <w:r w:rsidRPr="00CA61A6">
        <w:fldChar w:fldCharType="separate"/>
      </w:r>
      <w:r w:rsidRPr="00CA61A6">
        <w:rPr>
          <w:rStyle w:val="Hyperlink"/>
        </w:rPr>
        <w:t>» Arriba</w:t>
      </w:r>
      <w:r w:rsidRPr="00CA61A6">
        <w:rPr>
          <w:rStyle w:val="Hyperlink"/>
        </w:rPr>
        <w:fldChar w:fldCharType="end"/>
      </w:r>
    </w:p>
    <w:p w:rsidR="0068050D" w:rsidRPr="00CA61A6" w:rsidRDefault="0068050D" w:rsidP="007B3478">
      <w:pPr>
        <w:pStyle w:val="Heading1"/>
      </w:pPr>
      <w:bookmarkStart w:id="78" w:name="_10_Resolución_32"/>
      <w:bookmarkStart w:id="79" w:name="_Toc463335761"/>
      <w:bookmarkEnd w:id="78"/>
      <w:r w:rsidRPr="00CA61A6">
        <w:t>1</w:t>
      </w:r>
      <w:r w:rsidR="00087B89" w:rsidRPr="00CA61A6">
        <w:t>0</w:t>
      </w:r>
      <w:r w:rsidRPr="00CA61A6">
        <w:tab/>
        <w:t xml:space="preserve">Resolución 32 – </w:t>
      </w:r>
      <w:bookmarkEnd w:id="75"/>
      <w:bookmarkEnd w:id="76"/>
      <w:bookmarkEnd w:id="77"/>
      <w:r w:rsidR="004671E8" w:rsidRPr="00CA61A6">
        <w:t>Fortalecimiento de los métodos de trabajo electrónico del Sector de Normalización de las Telecomunicaciones de la UIT</w:t>
      </w:r>
      <w:bookmarkEnd w:id="79"/>
    </w:p>
    <w:p w:rsidR="0068050D" w:rsidRPr="00CA61A6" w:rsidRDefault="0068050D" w:rsidP="007B3478">
      <w:pPr>
        <w:pStyle w:val="Headingb"/>
      </w:pPr>
      <w:r w:rsidRPr="00CA61A6">
        <w:t>Resolución 32</w:t>
      </w:r>
    </w:p>
    <w:p w:rsidR="00222A8C" w:rsidRPr="00CA61A6" w:rsidRDefault="00222A8C" w:rsidP="007B3478">
      <w:pPr>
        <w:pStyle w:val="Call"/>
      </w:pPr>
      <w:r w:rsidRPr="00CA61A6">
        <w:t>resuelve</w:t>
      </w:r>
    </w:p>
    <w:p w:rsidR="00222A8C" w:rsidRPr="00CA61A6" w:rsidRDefault="00222A8C" w:rsidP="007B3478">
      <w:r w:rsidRPr="00CA61A6">
        <w:t>1</w:t>
      </w:r>
      <w:r w:rsidRPr="00CA61A6">
        <w:tab/>
        <w:t>que los principales objetivos del UIT</w:t>
      </w:r>
      <w:r w:rsidRPr="00CA61A6">
        <w:noBreakHyphen/>
        <w:t>T en materia de EWM son:</w:t>
      </w:r>
    </w:p>
    <w:p w:rsidR="00222A8C" w:rsidRPr="00CA61A6" w:rsidRDefault="00222A8C" w:rsidP="007B3478">
      <w:pPr>
        <w:pStyle w:val="enumlev1"/>
      </w:pPr>
      <w:r w:rsidRPr="00CA61A6">
        <w:t>•</w:t>
      </w:r>
      <w:r w:rsidRPr="00CA61A6">
        <w:tab/>
        <w:t>que la colaboración entre los miembros para elaborar Recomendaciones se efectúe por medios electrónicos;</w:t>
      </w:r>
    </w:p>
    <w:p w:rsidR="00222A8C" w:rsidRPr="00CA61A6" w:rsidRDefault="00222A8C" w:rsidP="007B3478">
      <w:pPr>
        <w:pStyle w:val="enumlev1"/>
      </w:pPr>
      <w:r w:rsidRPr="00CA61A6">
        <w:t>•</w:t>
      </w:r>
      <w:r w:rsidRPr="00CA61A6">
        <w:tab/>
        <w:t>que la TSB, en estrecha colaboración con la Oficina de Desarrollo de las Telecomunicaciones de la UIT (BDT), provea facilidades y capacidades de EWM en las reuniones, talleres y cursos de formación del UIT-T, especialmente para ayudar a los países en desarrollo que tienen limitaciones de ancho de banda y de otra índole;</w:t>
      </w:r>
    </w:p>
    <w:p w:rsidR="00222A8C" w:rsidRPr="00CA61A6" w:rsidRDefault="00222A8C" w:rsidP="007B3478">
      <w:pPr>
        <w:pStyle w:val="enumlev1"/>
      </w:pPr>
      <w:r w:rsidRPr="00CA61A6">
        <w:t>•</w:t>
      </w:r>
      <w:r w:rsidRPr="00CA61A6">
        <w:tab/>
        <w:t>fomente la participación electrónica de países en desarrollo en las reuniones del UIT-T, ofreciendo instalaciones y directrices simplificadas y dispensando a los participantes de cualquier gasto, aparte de los correspondientes a la llamada local o la conexión a Internet;</w:t>
      </w:r>
    </w:p>
    <w:p w:rsidR="00222A8C" w:rsidRPr="00CA61A6" w:rsidRDefault="00222A8C" w:rsidP="007B3478">
      <w:pPr>
        <w:pStyle w:val="enumlev1"/>
      </w:pPr>
      <w:r w:rsidRPr="00CA61A6">
        <w:t>•</w:t>
      </w:r>
      <w:r w:rsidRPr="00CA61A6">
        <w:tab/>
        <w:t>que la TSB, en estrecha colaboración con la BDT, proporcione las instalaciones y capacidades de EWM en las reuniones, talleres y cursos de formación del UIT-T, y fomente la participación de países en desarrollo, dispensando a los participantes de cualquier gasto, en la medida en que se ajusten a los fondos que el Consejo esté facultado a autorizar, aparte de los correspondientes a la llamada local o la conexión a Internet;</w:t>
      </w:r>
    </w:p>
    <w:p w:rsidR="00222A8C" w:rsidRPr="00CA61A6" w:rsidRDefault="00222A8C" w:rsidP="007B3478">
      <w:pPr>
        <w:pStyle w:val="enumlev1"/>
      </w:pPr>
      <w:r w:rsidRPr="00CA61A6">
        <w:t>•</w:t>
      </w:r>
      <w:r w:rsidRPr="00CA61A6">
        <w:tab/>
        <w:t xml:space="preserve">que la TSB proporcione a todos los </w:t>
      </w:r>
      <w:r w:rsidR="000856D6" w:rsidRPr="00CA61A6">
        <w:t xml:space="preserve">Miembros </w:t>
      </w:r>
      <w:r w:rsidRPr="00CA61A6">
        <w:t>del UIT</w:t>
      </w:r>
      <w:r w:rsidRPr="00CA61A6">
        <w:noBreakHyphen/>
        <w:t>T el acceso rápido y eficaz a la documentación electrónica correspondiente a sus trabajos incluida una visión global unificada y consolidada de la trazabilidad de documentos; </w:t>
      </w:r>
    </w:p>
    <w:p w:rsidR="00222A8C" w:rsidRPr="00CA61A6" w:rsidRDefault="00222A8C" w:rsidP="007B3478">
      <w:pPr>
        <w:pStyle w:val="enumlev1"/>
      </w:pPr>
      <w:r w:rsidRPr="00CA61A6">
        <w:t>•</w:t>
      </w:r>
      <w:r w:rsidRPr="00CA61A6">
        <w:tab/>
        <w:t>que la TSB suministre sistemas y facilidades adecuadas para que los trabajos del UIT</w:t>
      </w:r>
      <w:r w:rsidRPr="00CA61A6">
        <w:noBreakHyphen/>
        <w:t>T se efectúen por medios electrónicos; y</w:t>
      </w:r>
    </w:p>
    <w:p w:rsidR="00222A8C" w:rsidRPr="00CA61A6" w:rsidRDefault="00222A8C" w:rsidP="007B3478">
      <w:pPr>
        <w:pStyle w:val="enumlev1"/>
      </w:pPr>
      <w:r w:rsidRPr="00CA61A6">
        <w:lastRenderedPageBreak/>
        <w:t>•</w:t>
      </w:r>
      <w:r w:rsidRPr="00CA61A6">
        <w:tab/>
        <w:t>que todas las actividades, procedimientos, estudios e informes de las Comisiones de Estudio del UIT-T se publiquen en el sitio web del UIT-T de modo que resulte fácil navegar y encontrar toda la información pertinente,</w:t>
      </w:r>
    </w:p>
    <w:p w:rsidR="00222A8C" w:rsidRPr="00CA61A6" w:rsidRDefault="00222A8C" w:rsidP="007B3478">
      <w:r w:rsidRPr="00CA61A6">
        <w:t>2</w:t>
      </w:r>
      <w:r w:rsidRPr="00CA61A6">
        <w:tab/>
        <w:t xml:space="preserve">que estos objetivos se traten sistemáticamente en un Plan de Acción para EWM, incluyendo las medidas que indiquen los </w:t>
      </w:r>
      <w:r w:rsidR="000856D6" w:rsidRPr="00CA61A6">
        <w:t xml:space="preserve">Miembros </w:t>
      </w:r>
      <w:r w:rsidRPr="00CA61A6">
        <w:t>del UIT</w:t>
      </w:r>
      <w:r w:rsidRPr="00CA61A6">
        <w:noBreakHyphen/>
        <w:t>T o la TSB, y que la TSB, con el asesoramiento del Grupo Asesor de Normalización de las Telecomunicaciones (GANT), se ocupe de establecer las prioridades y de la aplicación,</w:t>
      </w:r>
    </w:p>
    <w:p w:rsidR="00222A8C" w:rsidRPr="00CA61A6" w:rsidRDefault="00222A8C" w:rsidP="007B3478">
      <w:pPr>
        <w:pStyle w:val="Call"/>
      </w:pPr>
      <w:r w:rsidRPr="00CA61A6">
        <w:t>encarga</w:t>
      </w:r>
    </w:p>
    <w:p w:rsidR="00222A8C" w:rsidRPr="00CA61A6" w:rsidRDefault="00222A8C" w:rsidP="007B3478">
      <w:r w:rsidRPr="00CA61A6">
        <w:t>1</w:t>
      </w:r>
      <w:r w:rsidRPr="00CA61A6">
        <w:tab/>
        <w:t>al Director de la TSB:</w:t>
      </w:r>
    </w:p>
    <w:p w:rsidR="00222A8C" w:rsidRPr="00CA61A6" w:rsidRDefault="00222A8C" w:rsidP="007B3478">
      <w:pPr>
        <w:pStyle w:val="enumlev1"/>
      </w:pPr>
      <w:r w:rsidRPr="00CA61A6">
        <w:t>•</w:t>
      </w:r>
      <w:r w:rsidRPr="00CA61A6">
        <w:tab/>
        <w:t>que mantenga el Plan de Acción para EWM a fin de solucionar los aspectos prácticos y concretos del uso acrecentado de las capacidades de EWM en el UIT</w:t>
      </w:r>
      <w:r w:rsidRPr="00CA61A6">
        <w:noBreakHyphen/>
        <w:t>T;</w:t>
      </w:r>
    </w:p>
    <w:p w:rsidR="00222A8C" w:rsidRPr="00CA61A6" w:rsidRDefault="00222A8C" w:rsidP="007B3478">
      <w:pPr>
        <w:pStyle w:val="enumlev1"/>
      </w:pPr>
      <w:r w:rsidRPr="00CA61A6">
        <w:t>•</w:t>
      </w:r>
      <w:r w:rsidRPr="00CA61A6">
        <w:tab/>
        <w:t>que identifique y analice periódicamente los costes y beneficios de los elementos de actuación;</w:t>
      </w:r>
    </w:p>
    <w:p w:rsidR="00222A8C" w:rsidRPr="00CA61A6" w:rsidRDefault="00222A8C" w:rsidP="007B3478">
      <w:pPr>
        <w:pStyle w:val="enumlev1"/>
      </w:pPr>
      <w:r w:rsidRPr="00CA61A6">
        <w:t>•</w:t>
      </w:r>
      <w:r w:rsidRPr="00CA61A6">
        <w:tab/>
        <w:t>que informe a cada reunión del GANT sobre la aplicación del Plan de Acción, incluidos los resultados de los análisis de costes y beneficios mencionados más arriba;</w:t>
      </w:r>
    </w:p>
    <w:p w:rsidR="00222A8C" w:rsidRPr="00CA61A6" w:rsidRDefault="00222A8C" w:rsidP="007B3478">
      <w:pPr>
        <w:pStyle w:val="enumlev1"/>
      </w:pPr>
      <w:r w:rsidRPr="00CA61A6">
        <w:t>•</w:t>
      </w:r>
      <w:r w:rsidRPr="00CA61A6">
        <w:tab/>
        <w:t>que proporcione la autoridad ejecutiva, el presupuesto para la TSB, y los recursos para aplicar el Plan de Acción lo antes posible;</w:t>
      </w:r>
    </w:p>
    <w:p w:rsidR="00222A8C" w:rsidRPr="00CA61A6" w:rsidRDefault="00222A8C" w:rsidP="007B3478">
      <w:pPr>
        <w:pStyle w:val="enumlev1"/>
      </w:pPr>
      <w:r w:rsidRPr="00CA61A6">
        <w:t>•</w:t>
      </w:r>
      <w:r w:rsidRPr="00CA61A6">
        <w:tab/>
        <w:t>que elabore y difunda directrices para la utilización de las facilidades y capacidades de EWM del UIT</w:t>
      </w:r>
      <w:r w:rsidRPr="00CA61A6">
        <w:noBreakHyphen/>
        <w:t>T;</w:t>
      </w:r>
    </w:p>
    <w:p w:rsidR="00222A8C" w:rsidRPr="00CA61A6" w:rsidRDefault="00222A8C" w:rsidP="007B3478">
      <w:pPr>
        <w:pStyle w:val="enumlev1"/>
      </w:pPr>
      <w:r w:rsidRPr="00CA61A6">
        <w:t>•</w:t>
      </w:r>
      <w:r w:rsidRPr="00CA61A6">
        <w:tab/>
        <w:t>que tome medidas para proporcionar mecanismos adecuados para la participación u observación por medios electrónicos (por ejemplo, difusión por la web, audioconferencia, conferencias e intercambio de documentos por la web, videoconferencia, etc.) en las reuniones, talleres y cursos de formación del UIT</w:t>
      </w:r>
      <w:r w:rsidRPr="00CA61A6">
        <w:noBreakHyphen/>
        <w:t>T a los delegados que no puedan asistir en persona y que se coordine con la BDT para la prestación de asistencia en el suministro de tales mecanismos; y</w:t>
      </w:r>
    </w:p>
    <w:p w:rsidR="00222A8C" w:rsidRPr="00CA61A6" w:rsidRDefault="00222A8C" w:rsidP="007B3478">
      <w:pPr>
        <w:pStyle w:val="enumlev1"/>
      </w:pPr>
      <w:r w:rsidRPr="00CA61A6">
        <w:t>•</w:t>
      </w:r>
      <w:r w:rsidRPr="00CA61A6">
        <w:tab/>
        <w:t>que cree un sitio web del UIT-T en el que sea fácil navegar para encontrar toda la información pertinente,</w:t>
      </w:r>
    </w:p>
    <w:p w:rsidR="00222A8C" w:rsidRPr="00CA61A6" w:rsidRDefault="00222A8C" w:rsidP="007B3478">
      <w:r w:rsidRPr="00CA61A6">
        <w:t>2</w:t>
      </w:r>
      <w:r w:rsidRPr="00CA61A6">
        <w:tab/>
        <w:t>que el Grupo de Trabajo del GANT sobre EWM siga:</w:t>
      </w:r>
    </w:p>
    <w:p w:rsidR="00222A8C" w:rsidRPr="00CA61A6" w:rsidRDefault="00222A8C" w:rsidP="007B3478">
      <w:pPr>
        <w:pStyle w:val="enumlev1"/>
      </w:pPr>
      <w:r w:rsidRPr="00CA61A6">
        <w:t>•</w:t>
      </w:r>
      <w:r w:rsidRPr="00CA61A6">
        <w:tab/>
        <w:t xml:space="preserve">siendo el punto de contacto entre los </w:t>
      </w:r>
      <w:r w:rsidR="000856D6" w:rsidRPr="00CA61A6">
        <w:t xml:space="preserve">Miembros </w:t>
      </w:r>
      <w:r w:rsidRPr="00CA61A6">
        <w:t>del UIT</w:t>
      </w:r>
      <w:r w:rsidRPr="00CA61A6">
        <w:noBreakHyphen/>
        <w:t>T y la TSB sobre asuntos relativos a los EWM, y en particular que continúe proporcionando información y asesoramiento sobre el contenido, las prioridades y la implementación del Plan de Acción;</w:t>
      </w:r>
    </w:p>
    <w:p w:rsidR="00222A8C" w:rsidRPr="00CA61A6" w:rsidRDefault="00222A8C" w:rsidP="007B3478">
      <w:pPr>
        <w:pStyle w:val="enumlev1"/>
      </w:pPr>
      <w:r w:rsidRPr="00CA61A6">
        <w:t>•</w:t>
      </w:r>
      <w:r w:rsidRPr="00CA61A6">
        <w:tab/>
        <w:t>identificando las necesidades de los usuarios y planificando la introducción de las medidas adecuadas, por intermedio de los subgrupos y programas piloto apropiados;</w:t>
      </w:r>
    </w:p>
    <w:p w:rsidR="00222A8C" w:rsidRPr="00CA61A6" w:rsidRDefault="00222A8C" w:rsidP="007B3478">
      <w:pPr>
        <w:pStyle w:val="enumlev1"/>
      </w:pPr>
      <w:r w:rsidRPr="00CA61A6">
        <w:t>•</w:t>
      </w:r>
      <w:r w:rsidRPr="00CA61A6">
        <w:tab/>
        <w:t>solicitando a los Presidentes de las Comisiones de Estudio que identifiquen la posible coordinación por EWM;</w:t>
      </w:r>
    </w:p>
    <w:p w:rsidR="00222A8C" w:rsidRPr="00CA61A6" w:rsidRDefault="00222A8C" w:rsidP="007B3478">
      <w:pPr>
        <w:pStyle w:val="enumlev1"/>
      </w:pPr>
      <w:r w:rsidRPr="00CA61A6">
        <w:t>•</w:t>
      </w:r>
      <w:r w:rsidRPr="00CA61A6">
        <w:tab/>
        <w:t>fomentando la participación de todas las personas que intervienen en los trabajos del UIT</w:t>
      </w:r>
      <w:r w:rsidRPr="00CA61A6">
        <w:noBreakHyphen/>
        <w:t>T, especialmente a los expertos en EWM del GANT, las Comisiones de Estudio, la TSB y las Oficinas y Departamentos de la UIT correspondientes;</w:t>
      </w:r>
    </w:p>
    <w:p w:rsidR="00222A8C" w:rsidRPr="00CA61A6" w:rsidRDefault="00222A8C" w:rsidP="007B3478">
      <w:pPr>
        <w:pStyle w:val="enumlev1"/>
        <w:spacing w:after="120"/>
      </w:pPr>
      <w:r w:rsidRPr="00CA61A6">
        <w:t>•</w:t>
      </w:r>
      <w:r w:rsidRPr="00CA61A6">
        <w:tab/>
        <w:t>trabajando por medios electrónicos fuera de las reuniones del GANT en la medida de lo necesario para cumplir sus objetivos.</w:t>
      </w:r>
    </w:p>
    <w:tbl>
      <w:tblPr>
        <w:tblW w:w="9832"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5377"/>
        <w:gridCol w:w="1132"/>
        <w:gridCol w:w="1146"/>
        <w:gridCol w:w="1261"/>
      </w:tblGrid>
      <w:tr w:rsidR="0060346B" w:rsidRPr="00CA61A6" w:rsidTr="00363394">
        <w:trPr>
          <w:trHeight w:val="647"/>
          <w:tblHeader/>
        </w:trPr>
        <w:tc>
          <w:tcPr>
            <w:tcW w:w="916" w:type="dxa"/>
            <w:tcBorders>
              <w:bottom w:val="double" w:sz="6" w:space="0" w:color="auto"/>
            </w:tcBorders>
            <w:vAlign w:val="center"/>
          </w:tcPr>
          <w:p w:rsidR="0060346B" w:rsidRPr="00CA61A6" w:rsidRDefault="0060346B" w:rsidP="007B3478">
            <w:pPr>
              <w:pStyle w:val="Tablehead"/>
            </w:pPr>
            <w:r w:rsidRPr="00CA61A6">
              <w:lastRenderedPageBreak/>
              <w:t>Número</w:t>
            </w:r>
          </w:p>
        </w:tc>
        <w:tc>
          <w:tcPr>
            <w:tcW w:w="5377" w:type="dxa"/>
            <w:tcBorders>
              <w:bottom w:val="double" w:sz="6" w:space="0" w:color="auto"/>
            </w:tcBorders>
            <w:shd w:val="clear" w:color="auto" w:fill="auto"/>
            <w:vAlign w:val="center"/>
            <w:hideMark/>
          </w:tcPr>
          <w:p w:rsidR="0060346B" w:rsidRPr="00CA61A6" w:rsidRDefault="0060346B" w:rsidP="007B3478">
            <w:pPr>
              <w:pStyle w:val="Tablehead"/>
            </w:pPr>
            <w:r w:rsidRPr="00CA61A6">
              <w:t>Acción</w:t>
            </w:r>
          </w:p>
        </w:tc>
        <w:tc>
          <w:tcPr>
            <w:tcW w:w="1132" w:type="dxa"/>
            <w:tcBorders>
              <w:bottom w:val="double" w:sz="6" w:space="0" w:color="auto"/>
            </w:tcBorders>
            <w:shd w:val="clear" w:color="auto" w:fill="auto"/>
            <w:vAlign w:val="center"/>
            <w:hideMark/>
          </w:tcPr>
          <w:p w:rsidR="0060346B" w:rsidRPr="00CA61A6" w:rsidRDefault="0060346B" w:rsidP="007B3478">
            <w:pPr>
              <w:pStyle w:val="Tablehead"/>
            </w:pPr>
            <w:r w:rsidRPr="00CA61A6">
              <w:t>Fecha objetivo</w:t>
            </w:r>
          </w:p>
        </w:tc>
        <w:tc>
          <w:tcPr>
            <w:tcW w:w="1146" w:type="dxa"/>
            <w:tcBorders>
              <w:bottom w:val="double" w:sz="6" w:space="0" w:color="auto"/>
            </w:tcBorders>
            <w:vAlign w:val="center"/>
          </w:tcPr>
          <w:p w:rsidR="0060346B" w:rsidRPr="00CA61A6" w:rsidRDefault="0060346B" w:rsidP="007B3478">
            <w:pPr>
              <w:pStyle w:val="Tablehead"/>
            </w:pPr>
            <w:r w:rsidRPr="00CA61A6">
              <w:t>Objetivos periódicos cumplidos</w:t>
            </w:r>
          </w:p>
        </w:tc>
        <w:tc>
          <w:tcPr>
            <w:tcW w:w="1261" w:type="dxa"/>
            <w:tcBorders>
              <w:bottom w:val="double" w:sz="6" w:space="0" w:color="auto"/>
            </w:tcBorders>
            <w:vAlign w:val="center"/>
          </w:tcPr>
          <w:p w:rsidR="0060346B" w:rsidRPr="00CA61A6" w:rsidRDefault="0060346B" w:rsidP="007B3478">
            <w:pPr>
              <w:pStyle w:val="Tablehead"/>
            </w:pPr>
            <w:r w:rsidRPr="00CA61A6">
              <w:t>Completada</w:t>
            </w:r>
          </w:p>
        </w:tc>
      </w:tr>
      <w:tr w:rsidR="0060346B" w:rsidRPr="00CA61A6" w:rsidTr="00673AB8">
        <w:trPr>
          <w:trHeight w:val="323"/>
        </w:trPr>
        <w:tc>
          <w:tcPr>
            <w:tcW w:w="916" w:type="dxa"/>
            <w:tcBorders>
              <w:top w:val="double" w:sz="6" w:space="0" w:color="auto"/>
            </w:tcBorders>
            <w:vAlign w:val="center"/>
          </w:tcPr>
          <w:p w:rsidR="0060346B" w:rsidRPr="00CA61A6" w:rsidRDefault="00110CAD" w:rsidP="007B3478">
            <w:pPr>
              <w:pStyle w:val="Tabletext"/>
              <w:jc w:val="center"/>
            </w:pPr>
            <w:hyperlink w:anchor="Item32_01" w:history="1">
              <w:r w:rsidR="0060346B" w:rsidRPr="00CA61A6">
                <w:rPr>
                  <w:rStyle w:val="Hyperlink"/>
                </w:rPr>
                <w:t>32-01</w:t>
              </w:r>
            </w:hyperlink>
          </w:p>
        </w:tc>
        <w:tc>
          <w:tcPr>
            <w:tcW w:w="5377" w:type="dxa"/>
            <w:tcBorders>
              <w:top w:val="double" w:sz="6" w:space="0" w:color="auto"/>
            </w:tcBorders>
            <w:shd w:val="clear" w:color="auto" w:fill="auto"/>
            <w:vAlign w:val="center"/>
            <w:hideMark/>
          </w:tcPr>
          <w:p w:rsidR="0060346B" w:rsidRPr="00CA61A6" w:rsidRDefault="0060346B" w:rsidP="007B3478">
            <w:pPr>
              <w:pStyle w:val="Tabletext"/>
            </w:pPr>
            <w:r w:rsidRPr="00CA61A6">
              <w:t>La TSB mantendrá el Plan de Acción para EWM</w:t>
            </w:r>
          </w:p>
        </w:tc>
        <w:tc>
          <w:tcPr>
            <w:tcW w:w="1132" w:type="dxa"/>
            <w:tcBorders>
              <w:top w:val="double" w:sz="6" w:space="0" w:color="auto"/>
            </w:tcBorders>
            <w:shd w:val="clear" w:color="auto" w:fill="auto"/>
            <w:vAlign w:val="center"/>
            <w:hideMark/>
          </w:tcPr>
          <w:p w:rsidR="0060346B" w:rsidRPr="00CA61A6" w:rsidRDefault="0060346B" w:rsidP="007B3478">
            <w:pPr>
              <w:pStyle w:val="Tabletext"/>
              <w:jc w:val="center"/>
            </w:pPr>
            <w:r w:rsidRPr="00CA61A6">
              <w:t>En curso</w:t>
            </w:r>
          </w:p>
        </w:tc>
        <w:tc>
          <w:tcPr>
            <w:tcW w:w="1146" w:type="dxa"/>
            <w:tcBorders>
              <w:top w:val="double" w:sz="6" w:space="0" w:color="auto"/>
            </w:tcBorders>
            <w:vAlign w:val="center"/>
          </w:tcPr>
          <w:p w:rsidR="0060346B" w:rsidRPr="00CA61A6" w:rsidRDefault="00AF4D49" w:rsidP="007B3478">
            <w:pPr>
              <w:pStyle w:val="Tabletext"/>
              <w:jc w:val="center"/>
            </w:pPr>
            <w:r w:rsidRPr="00CA61A6">
              <w:sym w:font="Wingdings" w:char="F0FC"/>
            </w:r>
          </w:p>
        </w:tc>
        <w:tc>
          <w:tcPr>
            <w:tcW w:w="1261" w:type="dxa"/>
            <w:tcBorders>
              <w:top w:val="double" w:sz="6" w:space="0" w:color="auto"/>
            </w:tcBorders>
            <w:vAlign w:val="center"/>
          </w:tcPr>
          <w:p w:rsidR="0060346B" w:rsidRPr="00CA61A6" w:rsidRDefault="0060346B" w:rsidP="007B3478">
            <w:pPr>
              <w:pStyle w:val="Tabletext"/>
              <w:jc w:val="center"/>
            </w:pPr>
          </w:p>
        </w:tc>
      </w:tr>
      <w:tr w:rsidR="0060346B" w:rsidRPr="00CA61A6" w:rsidTr="00673AB8">
        <w:trPr>
          <w:trHeight w:val="710"/>
        </w:trPr>
        <w:tc>
          <w:tcPr>
            <w:tcW w:w="916" w:type="dxa"/>
            <w:vAlign w:val="center"/>
          </w:tcPr>
          <w:p w:rsidR="0060346B" w:rsidRPr="00CA61A6" w:rsidRDefault="00110CAD" w:rsidP="007B3478">
            <w:pPr>
              <w:pStyle w:val="Tabletext"/>
              <w:jc w:val="center"/>
            </w:pPr>
            <w:hyperlink w:anchor="Item32_02" w:history="1">
              <w:r w:rsidR="0060346B" w:rsidRPr="00CA61A6">
                <w:rPr>
                  <w:rStyle w:val="Hyperlink"/>
                </w:rPr>
                <w:t>32-02</w:t>
              </w:r>
            </w:hyperlink>
          </w:p>
        </w:tc>
        <w:tc>
          <w:tcPr>
            <w:tcW w:w="5377" w:type="dxa"/>
            <w:shd w:val="clear" w:color="auto" w:fill="auto"/>
            <w:vAlign w:val="center"/>
            <w:hideMark/>
          </w:tcPr>
          <w:p w:rsidR="0060346B" w:rsidRPr="00CA61A6" w:rsidRDefault="00363394" w:rsidP="007B3478">
            <w:pPr>
              <w:pStyle w:val="Tabletext"/>
            </w:pPr>
            <w:r w:rsidRPr="00CA61A6">
              <w:t>La TSB examinará y recomendará capacidades nuevas o revisadas de las herramientas y aplicaciones del UIT</w:t>
            </w:r>
            <w:r w:rsidRPr="00CA61A6">
              <w:noBreakHyphen/>
              <w:t>T</w:t>
            </w:r>
            <w:r w:rsidR="000D50B8" w:rsidRPr="00CA61A6">
              <w:t xml:space="preserve"> e informar</w:t>
            </w:r>
            <w:r w:rsidR="00992BD8" w:rsidRPr="00CA61A6">
              <w:t>á</w:t>
            </w:r>
            <w:r w:rsidR="000D50B8" w:rsidRPr="00CA61A6">
              <w:t xml:space="preserve"> sobre el estado del Plan de Acción para EWM</w:t>
            </w:r>
            <w:r w:rsidRPr="00CA61A6">
              <w:t xml:space="preserve"> a cada reunión del GANT</w:t>
            </w:r>
          </w:p>
        </w:tc>
        <w:tc>
          <w:tcPr>
            <w:tcW w:w="1132" w:type="dxa"/>
            <w:shd w:val="clear" w:color="auto" w:fill="auto"/>
            <w:vAlign w:val="center"/>
            <w:hideMark/>
          </w:tcPr>
          <w:p w:rsidR="0060346B" w:rsidRPr="00CA61A6" w:rsidRDefault="0060346B" w:rsidP="007B3478">
            <w:pPr>
              <w:pStyle w:val="Tabletext"/>
              <w:jc w:val="center"/>
            </w:pPr>
            <w:r w:rsidRPr="00CA61A6">
              <w:t>En curso</w:t>
            </w:r>
          </w:p>
        </w:tc>
        <w:tc>
          <w:tcPr>
            <w:tcW w:w="1146" w:type="dxa"/>
            <w:vAlign w:val="center"/>
          </w:tcPr>
          <w:p w:rsidR="0060346B" w:rsidRPr="00CA61A6" w:rsidRDefault="00AF4D49" w:rsidP="007B3478">
            <w:pPr>
              <w:pStyle w:val="Tabletext"/>
              <w:jc w:val="center"/>
            </w:pPr>
            <w:r w:rsidRPr="00CA61A6">
              <w:sym w:font="Wingdings" w:char="F0FC"/>
            </w:r>
          </w:p>
        </w:tc>
        <w:tc>
          <w:tcPr>
            <w:tcW w:w="1261" w:type="dxa"/>
            <w:vAlign w:val="center"/>
          </w:tcPr>
          <w:p w:rsidR="0060346B" w:rsidRPr="00CA61A6" w:rsidRDefault="0060346B" w:rsidP="007B3478">
            <w:pPr>
              <w:pStyle w:val="Tabletext"/>
              <w:jc w:val="center"/>
            </w:pPr>
          </w:p>
        </w:tc>
      </w:tr>
      <w:tr w:rsidR="0060346B" w:rsidRPr="00CA61A6" w:rsidTr="00673AB8">
        <w:trPr>
          <w:trHeight w:val="530"/>
        </w:trPr>
        <w:tc>
          <w:tcPr>
            <w:tcW w:w="916" w:type="dxa"/>
            <w:vAlign w:val="center"/>
          </w:tcPr>
          <w:p w:rsidR="0060346B" w:rsidRPr="00CA61A6" w:rsidRDefault="00110CAD" w:rsidP="007B3478">
            <w:pPr>
              <w:pStyle w:val="Tabletext"/>
              <w:jc w:val="center"/>
            </w:pPr>
            <w:hyperlink w:anchor="Item32_03" w:history="1">
              <w:r w:rsidR="0060346B" w:rsidRPr="00CA61A6">
                <w:rPr>
                  <w:rStyle w:val="Hyperlink"/>
                </w:rPr>
                <w:t>32-03</w:t>
              </w:r>
            </w:hyperlink>
          </w:p>
        </w:tc>
        <w:tc>
          <w:tcPr>
            <w:tcW w:w="5377" w:type="dxa"/>
            <w:shd w:val="clear" w:color="auto" w:fill="auto"/>
            <w:vAlign w:val="center"/>
            <w:hideMark/>
          </w:tcPr>
          <w:p w:rsidR="0060346B" w:rsidRPr="00CA61A6" w:rsidRDefault="0092440B" w:rsidP="007B3478">
            <w:pPr>
              <w:pStyle w:val="Tabletext"/>
            </w:pPr>
            <w:r w:rsidRPr="00CA61A6">
              <w:t xml:space="preserve">El Director establecerá una estimación presupuestaria para </w:t>
            </w:r>
            <w:r w:rsidR="000D50B8" w:rsidRPr="00CA61A6">
              <w:t>la aplicación d</w:t>
            </w:r>
            <w:r w:rsidRPr="00CA61A6">
              <w:t>el Plan de Acción para EWM, que se incluirá en el presupuesto presentado a la aprobación del Consejo</w:t>
            </w:r>
          </w:p>
        </w:tc>
        <w:tc>
          <w:tcPr>
            <w:tcW w:w="1132" w:type="dxa"/>
            <w:shd w:val="clear" w:color="auto" w:fill="auto"/>
            <w:vAlign w:val="center"/>
            <w:hideMark/>
          </w:tcPr>
          <w:p w:rsidR="0060346B" w:rsidRPr="00CA61A6" w:rsidRDefault="0060346B" w:rsidP="007B3478">
            <w:pPr>
              <w:pStyle w:val="Tabletext"/>
              <w:jc w:val="center"/>
            </w:pPr>
            <w:r w:rsidRPr="00CA61A6">
              <w:t>En curso</w:t>
            </w:r>
          </w:p>
        </w:tc>
        <w:tc>
          <w:tcPr>
            <w:tcW w:w="1146" w:type="dxa"/>
            <w:vAlign w:val="center"/>
          </w:tcPr>
          <w:p w:rsidR="0060346B" w:rsidRPr="00CA61A6" w:rsidRDefault="00AF4D49" w:rsidP="007B3478">
            <w:pPr>
              <w:pStyle w:val="Tabletext"/>
              <w:jc w:val="center"/>
            </w:pPr>
            <w:r w:rsidRPr="00CA61A6">
              <w:sym w:font="Wingdings" w:char="F0FC"/>
            </w:r>
          </w:p>
        </w:tc>
        <w:tc>
          <w:tcPr>
            <w:tcW w:w="1261" w:type="dxa"/>
            <w:vAlign w:val="center"/>
          </w:tcPr>
          <w:p w:rsidR="0060346B" w:rsidRPr="00CA61A6" w:rsidRDefault="0060346B" w:rsidP="007B3478">
            <w:pPr>
              <w:pStyle w:val="Tabletext"/>
              <w:jc w:val="center"/>
            </w:pPr>
          </w:p>
        </w:tc>
      </w:tr>
      <w:tr w:rsidR="0060346B" w:rsidRPr="00CA61A6" w:rsidTr="00673AB8">
        <w:trPr>
          <w:trHeight w:val="530"/>
        </w:trPr>
        <w:tc>
          <w:tcPr>
            <w:tcW w:w="916" w:type="dxa"/>
            <w:vAlign w:val="center"/>
          </w:tcPr>
          <w:p w:rsidR="0060346B" w:rsidRPr="00CA61A6" w:rsidRDefault="00110CAD" w:rsidP="007B3478">
            <w:pPr>
              <w:pStyle w:val="Tabletext"/>
              <w:jc w:val="center"/>
            </w:pPr>
            <w:hyperlink w:anchor="Item32_04" w:history="1">
              <w:r w:rsidR="0060346B" w:rsidRPr="00CA61A6">
                <w:rPr>
                  <w:rStyle w:val="Hyperlink"/>
                </w:rPr>
                <w:t>32-04</w:t>
              </w:r>
            </w:hyperlink>
          </w:p>
        </w:tc>
        <w:tc>
          <w:tcPr>
            <w:tcW w:w="5377" w:type="dxa"/>
            <w:shd w:val="clear" w:color="auto" w:fill="auto"/>
            <w:vAlign w:val="center"/>
          </w:tcPr>
          <w:p w:rsidR="0060346B" w:rsidRPr="00CA61A6" w:rsidRDefault="008122A1" w:rsidP="007B3478">
            <w:pPr>
              <w:pStyle w:val="Tabletext"/>
            </w:pPr>
            <w:r w:rsidRPr="00CA61A6">
              <w:t>La TSB preparará y distribuirá directrices para la utilización de las instalaciones y capacidades de EWM en el UIT-T</w:t>
            </w:r>
          </w:p>
        </w:tc>
        <w:tc>
          <w:tcPr>
            <w:tcW w:w="1132" w:type="dxa"/>
            <w:shd w:val="clear" w:color="auto" w:fill="auto"/>
            <w:vAlign w:val="center"/>
          </w:tcPr>
          <w:p w:rsidR="0060346B" w:rsidRPr="00CA61A6" w:rsidRDefault="0060346B" w:rsidP="007B3478">
            <w:pPr>
              <w:pStyle w:val="Tabletext"/>
              <w:jc w:val="center"/>
            </w:pPr>
            <w:r w:rsidRPr="00CA61A6">
              <w:t>En curso</w:t>
            </w:r>
          </w:p>
        </w:tc>
        <w:tc>
          <w:tcPr>
            <w:tcW w:w="1146" w:type="dxa"/>
            <w:vAlign w:val="center"/>
          </w:tcPr>
          <w:p w:rsidR="0060346B" w:rsidRPr="00CA61A6" w:rsidRDefault="00AF4D49" w:rsidP="007B3478">
            <w:pPr>
              <w:pStyle w:val="Tabletext"/>
              <w:jc w:val="center"/>
            </w:pPr>
            <w:r w:rsidRPr="00CA61A6">
              <w:sym w:font="Wingdings" w:char="F0FC"/>
            </w:r>
          </w:p>
        </w:tc>
        <w:tc>
          <w:tcPr>
            <w:tcW w:w="1261" w:type="dxa"/>
            <w:vAlign w:val="center"/>
          </w:tcPr>
          <w:p w:rsidR="0060346B" w:rsidRPr="00CA61A6" w:rsidRDefault="0060346B" w:rsidP="007B3478">
            <w:pPr>
              <w:pStyle w:val="Tabletext"/>
              <w:jc w:val="center"/>
            </w:pPr>
          </w:p>
        </w:tc>
      </w:tr>
      <w:tr w:rsidR="0060346B" w:rsidRPr="00CA61A6" w:rsidTr="00673AB8">
        <w:trPr>
          <w:trHeight w:val="530"/>
        </w:trPr>
        <w:tc>
          <w:tcPr>
            <w:tcW w:w="916" w:type="dxa"/>
            <w:vAlign w:val="center"/>
          </w:tcPr>
          <w:p w:rsidR="0060346B" w:rsidRPr="00CA61A6" w:rsidRDefault="00110CAD" w:rsidP="007B3478">
            <w:pPr>
              <w:pStyle w:val="Tabletext"/>
              <w:jc w:val="center"/>
            </w:pPr>
            <w:hyperlink w:anchor="Item32_05" w:history="1">
              <w:r w:rsidR="0060346B" w:rsidRPr="00CA61A6">
                <w:rPr>
                  <w:rStyle w:val="Hyperlink"/>
                </w:rPr>
                <w:t>32-05</w:t>
              </w:r>
            </w:hyperlink>
          </w:p>
        </w:tc>
        <w:tc>
          <w:tcPr>
            <w:tcW w:w="5377" w:type="dxa"/>
            <w:shd w:val="clear" w:color="auto" w:fill="auto"/>
            <w:vAlign w:val="center"/>
          </w:tcPr>
          <w:p w:rsidR="0060346B" w:rsidRPr="00CA61A6" w:rsidRDefault="000D50B8" w:rsidP="007B3478">
            <w:pPr>
              <w:pStyle w:val="Tabletext"/>
            </w:pPr>
            <w:r w:rsidRPr="00CA61A6">
              <w:t>El Grupo de Relator del GANT sobre métodos de trabajo</w:t>
            </w:r>
            <w:r w:rsidR="003A1DC1" w:rsidRPr="00CA61A6">
              <w:t xml:space="preserve"> (incl</w:t>
            </w:r>
            <w:r w:rsidRPr="00CA61A6">
              <w:t>uidos los</w:t>
            </w:r>
            <w:r w:rsidR="003A1DC1" w:rsidRPr="00CA61A6">
              <w:t xml:space="preserve"> EWM)</w:t>
            </w:r>
            <w:r w:rsidRPr="00CA61A6">
              <w:t xml:space="preserve"> formulará observaciones y proporcionará asesoramiento </w:t>
            </w:r>
            <w:r w:rsidR="00D54BD2" w:rsidRPr="00CA61A6">
              <w:t xml:space="preserve">a la TSB </w:t>
            </w:r>
            <w:r w:rsidRPr="00CA61A6">
              <w:t>con respecto al Plan de Acción para EWM en cada reunión</w:t>
            </w:r>
          </w:p>
        </w:tc>
        <w:tc>
          <w:tcPr>
            <w:tcW w:w="1132" w:type="dxa"/>
            <w:shd w:val="clear" w:color="auto" w:fill="auto"/>
            <w:vAlign w:val="center"/>
          </w:tcPr>
          <w:p w:rsidR="0060346B" w:rsidRPr="00CA61A6" w:rsidRDefault="00AC13FE" w:rsidP="007B3478">
            <w:pPr>
              <w:pStyle w:val="Tabletext"/>
              <w:jc w:val="center"/>
            </w:pPr>
            <w:r w:rsidRPr="00CA61A6">
              <w:t>En curso</w:t>
            </w:r>
          </w:p>
        </w:tc>
        <w:tc>
          <w:tcPr>
            <w:tcW w:w="1146" w:type="dxa"/>
            <w:vAlign w:val="center"/>
          </w:tcPr>
          <w:p w:rsidR="0060346B" w:rsidRPr="00CA61A6" w:rsidRDefault="00AF4D49" w:rsidP="007B3478">
            <w:pPr>
              <w:pStyle w:val="Tabletext"/>
              <w:jc w:val="center"/>
            </w:pPr>
            <w:r w:rsidRPr="00CA61A6">
              <w:sym w:font="Wingdings" w:char="F0FC"/>
            </w:r>
          </w:p>
        </w:tc>
        <w:tc>
          <w:tcPr>
            <w:tcW w:w="1261" w:type="dxa"/>
            <w:vAlign w:val="center"/>
          </w:tcPr>
          <w:p w:rsidR="0060346B" w:rsidRPr="00CA61A6" w:rsidRDefault="0060346B" w:rsidP="007B3478">
            <w:pPr>
              <w:pStyle w:val="Tabletext"/>
              <w:jc w:val="center"/>
            </w:pPr>
          </w:p>
        </w:tc>
      </w:tr>
    </w:tbl>
    <w:p w:rsidR="00744AD9" w:rsidRPr="00CA61A6" w:rsidRDefault="00744AD9" w:rsidP="007B3478">
      <w:pPr>
        <w:pStyle w:val="Headingb"/>
      </w:pPr>
      <w:bookmarkStart w:id="80" w:name="Item32_01"/>
      <w:r w:rsidRPr="00CA61A6">
        <w:t xml:space="preserve">Acción 32-01: </w:t>
      </w:r>
      <w:r w:rsidRPr="00CA61A6">
        <w:rPr>
          <w:rFonts w:ascii="Times New Roman" w:hAnsi="Times New Roman"/>
          <w:lang w:eastAsia="ja-JP"/>
        </w:rPr>
        <w:t>TSB</w:t>
      </w:r>
    </w:p>
    <w:bookmarkEnd w:id="80"/>
    <w:p w:rsidR="00C11622" w:rsidRPr="00CA61A6" w:rsidRDefault="000D50B8" w:rsidP="007B3478">
      <w:pPr>
        <w:rPr>
          <w:szCs w:val="24"/>
          <w:lang w:eastAsia="ja-JP"/>
        </w:rPr>
      </w:pPr>
      <w:r w:rsidRPr="00CA61A6">
        <w:rPr>
          <w:szCs w:val="24"/>
          <w:lang w:eastAsia="ja-JP"/>
        </w:rPr>
        <w:t xml:space="preserve">El </w:t>
      </w:r>
      <w:r w:rsidRPr="00CA61A6">
        <w:t>Plan de Acción para EWM</w:t>
      </w:r>
      <w:r w:rsidRPr="00CA61A6">
        <w:rPr>
          <w:szCs w:val="24"/>
          <w:lang w:eastAsia="ja-JP"/>
        </w:rPr>
        <w:t xml:space="preserve"> se mantiene actualizado. El GANT recibe periódicamente informes relativos a los progresos obtenidos en materia</w:t>
      </w:r>
      <w:r w:rsidR="00992BD8" w:rsidRPr="00CA61A6">
        <w:rPr>
          <w:szCs w:val="24"/>
          <w:lang w:eastAsia="ja-JP"/>
        </w:rPr>
        <w:t xml:space="preserve"> de EWM</w:t>
      </w:r>
      <w:r w:rsidRPr="00CA61A6">
        <w:rPr>
          <w:szCs w:val="24"/>
          <w:lang w:eastAsia="ja-JP"/>
        </w:rPr>
        <w:t>.</w:t>
      </w:r>
    </w:p>
    <w:p w:rsidR="006472E8" w:rsidRPr="00CA61A6" w:rsidRDefault="006472E8" w:rsidP="007B3478">
      <w:pPr>
        <w:pStyle w:val="Headingb"/>
      </w:pPr>
      <w:bookmarkStart w:id="81" w:name="Item32_02"/>
      <w:r w:rsidRPr="00CA61A6">
        <w:t xml:space="preserve">Acción 32-02: </w:t>
      </w:r>
      <w:r w:rsidRPr="00CA61A6">
        <w:rPr>
          <w:rFonts w:ascii="Times New Roman" w:hAnsi="Times New Roman"/>
          <w:lang w:eastAsia="ja-JP"/>
        </w:rPr>
        <w:t>TSB</w:t>
      </w:r>
    </w:p>
    <w:bookmarkEnd w:id="81"/>
    <w:p w:rsidR="00B54C8D" w:rsidRPr="00CA61A6" w:rsidRDefault="00000B76" w:rsidP="007B3478">
      <w:pPr>
        <w:rPr>
          <w:szCs w:val="24"/>
          <w:lang w:eastAsia="ja-JP"/>
        </w:rPr>
      </w:pPr>
      <w:r w:rsidRPr="00CA61A6">
        <w:rPr>
          <w:szCs w:val="24"/>
          <w:lang w:eastAsia="ja-JP"/>
        </w:rPr>
        <w:t xml:space="preserve">En estrecha colaboración con el Departamento de Informática de la UIT, la TSB </w:t>
      </w:r>
      <w:r w:rsidR="00D54BD2" w:rsidRPr="00CA61A6">
        <w:rPr>
          <w:szCs w:val="24"/>
          <w:lang w:eastAsia="ja-JP"/>
        </w:rPr>
        <w:t>elaboró</w:t>
      </w:r>
      <w:r w:rsidRPr="00CA61A6">
        <w:rPr>
          <w:szCs w:val="24"/>
          <w:lang w:eastAsia="ja-JP"/>
        </w:rPr>
        <w:t xml:space="preserve"> y puso en marcha diversas aplicaciones y servicios electrónicos</w:t>
      </w:r>
      <w:r w:rsidR="00D54BD2" w:rsidRPr="00CA61A6">
        <w:rPr>
          <w:szCs w:val="24"/>
          <w:lang w:eastAsia="ja-JP"/>
        </w:rPr>
        <w:t>,</w:t>
      </w:r>
      <w:r w:rsidRPr="00CA61A6">
        <w:rPr>
          <w:szCs w:val="24"/>
          <w:lang w:eastAsia="ja-JP"/>
        </w:rPr>
        <w:t xml:space="preserve"> y </w:t>
      </w:r>
      <w:r w:rsidR="00D54BD2" w:rsidRPr="00CA61A6">
        <w:rPr>
          <w:szCs w:val="24"/>
          <w:lang w:eastAsia="ja-JP"/>
        </w:rPr>
        <w:t>perfeccionó</w:t>
      </w:r>
      <w:r w:rsidRPr="00CA61A6">
        <w:rPr>
          <w:szCs w:val="24"/>
          <w:lang w:eastAsia="ja-JP"/>
        </w:rPr>
        <w:t xml:space="preserve"> los sistemas electrónicos existentes para dar soporte y mejorar los métodos de trabajo electrónicos de los Miembros</w:t>
      </w:r>
      <w:r w:rsidR="00B54C8D" w:rsidRPr="00CA61A6">
        <w:rPr>
          <w:szCs w:val="24"/>
          <w:lang w:eastAsia="ja-JP"/>
        </w:rPr>
        <w:t xml:space="preserve">. </w:t>
      </w:r>
      <w:r w:rsidR="000D50B8" w:rsidRPr="00CA61A6">
        <w:rPr>
          <w:szCs w:val="24"/>
          <w:lang w:eastAsia="ja-JP"/>
        </w:rPr>
        <w:t>Desde la reunión celebrada por</w:t>
      </w:r>
      <w:r w:rsidR="00D54BD2" w:rsidRPr="00CA61A6">
        <w:rPr>
          <w:szCs w:val="24"/>
          <w:lang w:eastAsia="ja-JP"/>
        </w:rPr>
        <w:t xml:space="preserve"> el </w:t>
      </w:r>
      <w:r w:rsidR="000D50B8" w:rsidRPr="00CA61A6">
        <w:rPr>
          <w:szCs w:val="24"/>
          <w:lang w:eastAsia="ja-JP"/>
        </w:rPr>
        <w:t>GANT en junio de 2</w:t>
      </w:r>
      <w:r w:rsidR="00B54C8D" w:rsidRPr="00CA61A6">
        <w:rPr>
          <w:szCs w:val="24"/>
          <w:lang w:eastAsia="ja-JP"/>
        </w:rPr>
        <w:t xml:space="preserve">015, </w:t>
      </w:r>
      <w:r w:rsidR="000D50B8" w:rsidRPr="00CA61A6">
        <w:rPr>
          <w:szCs w:val="24"/>
          <w:lang w:eastAsia="ja-JP"/>
        </w:rPr>
        <w:t>se han logrado avances tales como</w:t>
      </w:r>
      <w:r w:rsidR="00B54C8D" w:rsidRPr="00CA61A6">
        <w:rPr>
          <w:szCs w:val="24"/>
          <w:lang w:eastAsia="ja-JP"/>
        </w:rPr>
        <w:t>:</w:t>
      </w:r>
    </w:p>
    <w:p w:rsidR="00B54C8D" w:rsidRPr="00CA61A6" w:rsidRDefault="00032DBC" w:rsidP="007B3478">
      <w:pPr>
        <w:pStyle w:val="enumlev1"/>
        <w:rPr>
          <w:lang w:eastAsia="ja-JP"/>
        </w:rPr>
      </w:pPr>
      <w:r w:rsidRPr="00CA61A6">
        <w:rPr>
          <w:lang w:eastAsia="ja-JP"/>
        </w:rPr>
        <w:t>•</w:t>
      </w:r>
      <w:r w:rsidRPr="00CA61A6">
        <w:rPr>
          <w:lang w:eastAsia="ja-JP"/>
        </w:rPr>
        <w:tab/>
      </w:r>
      <w:r w:rsidR="000A2044" w:rsidRPr="00CA61A6">
        <w:rPr>
          <w:lang w:eastAsia="ja-JP"/>
        </w:rPr>
        <w:t xml:space="preserve">Se </w:t>
      </w:r>
      <w:r w:rsidR="00E55E11" w:rsidRPr="00CA61A6">
        <w:rPr>
          <w:lang w:eastAsia="ja-JP"/>
        </w:rPr>
        <w:t>creó</w:t>
      </w:r>
      <w:r w:rsidR="000A2044" w:rsidRPr="00CA61A6">
        <w:rPr>
          <w:lang w:eastAsia="ja-JP"/>
        </w:rPr>
        <w:t xml:space="preserve"> una nueva plataforma de colaboración en línea para seguir mejorando los métodos de trabajo electrónicos de las Comisiones de Estudio del UIT-T. En el sitio de colaboración, que se basa en SharePoint, los </w:t>
      </w:r>
      <w:r w:rsidR="006E5738" w:rsidRPr="00CA61A6">
        <w:rPr>
          <w:lang w:eastAsia="ja-JP"/>
        </w:rPr>
        <w:t xml:space="preserve">Miembros </w:t>
      </w:r>
      <w:r w:rsidR="000A2044" w:rsidRPr="00CA61A6">
        <w:rPr>
          <w:lang w:eastAsia="ja-JP"/>
        </w:rPr>
        <w:t xml:space="preserve">pueden celebrar debates en línea y trabajar sobre documentos en un entorno compartido y seguro. </w:t>
      </w:r>
      <w:r w:rsidR="00D70F9F" w:rsidRPr="00CA61A6">
        <w:rPr>
          <w:lang w:eastAsia="ja-JP"/>
        </w:rPr>
        <w:t>También se</w:t>
      </w:r>
      <w:r w:rsidR="00E55E11" w:rsidRPr="00CA61A6">
        <w:rPr>
          <w:lang w:eastAsia="ja-JP"/>
        </w:rPr>
        <w:t xml:space="preserve"> establecieron </w:t>
      </w:r>
      <w:r w:rsidR="000A2044" w:rsidRPr="00CA61A6">
        <w:rPr>
          <w:lang w:eastAsia="ja-JP"/>
        </w:rPr>
        <w:t>distintas categorías de debates en línea, creadas a partir de la estructura actual de las diferentes Comisiones de Estudio. Además</w:t>
      </w:r>
      <w:r w:rsidR="00E55E11" w:rsidRPr="00CA61A6">
        <w:rPr>
          <w:lang w:eastAsia="ja-JP"/>
        </w:rPr>
        <w:t>, se pusieron a disposición funcionalidades</w:t>
      </w:r>
      <w:r w:rsidR="000A2044" w:rsidRPr="00CA61A6">
        <w:rPr>
          <w:lang w:eastAsia="ja-JP"/>
        </w:rPr>
        <w:t xml:space="preserve"> básicas de medios sociales</w:t>
      </w:r>
      <w:r w:rsidR="00E55E11" w:rsidRPr="00CA61A6">
        <w:rPr>
          <w:lang w:eastAsia="ja-JP"/>
        </w:rPr>
        <w:t>,</w:t>
      </w:r>
      <w:r w:rsidR="000A2044" w:rsidRPr="00CA61A6">
        <w:rPr>
          <w:lang w:eastAsia="ja-JP"/>
        </w:rPr>
        <w:t xml:space="preserve"> con miras a fomentar debate</w:t>
      </w:r>
      <w:r w:rsidR="00A96D7D" w:rsidRPr="00CA61A6">
        <w:rPr>
          <w:lang w:eastAsia="ja-JP"/>
        </w:rPr>
        <w:t>s</w:t>
      </w:r>
      <w:r w:rsidR="000A2044" w:rsidRPr="00CA61A6">
        <w:rPr>
          <w:lang w:eastAsia="ja-JP"/>
        </w:rPr>
        <w:t xml:space="preserve"> animado</w:t>
      </w:r>
      <w:r w:rsidR="00A96D7D" w:rsidRPr="00CA61A6">
        <w:rPr>
          <w:lang w:eastAsia="ja-JP"/>
        </w:rPr>
        <w:t>s</w:t>
      </w:r>
      <w:r w:rsidR="000A2044" w:rsidRPr="00CA61A6">
        <w:rPr>
          <w:lang w:eastAsia="ja-JP"/>
        </w:rPr>
        <w:t xml:space="preserve"> y productivo</w:t>
      </w:r>
      <w:r w:rsidR="00A96D7D" w:rsidRPr="00CA61A6">
        <w:rPr>
          <w:lang w:eastAsia="ja-JP"/>
        </w:rPr>
        <w:t>s</w:t>
      </w:r>
      <w:r w:rsidR="000A2044" w:rsidRPr="00CA61A6">
        <w:rPr>
          <w:lang w:eastAsia="ja-JP"/>
        </w:rPr>
        <w:t xml:space="preserve"> entre los </w:t>
      </w:r>
      <w:r w:rsidR="00E07C7F" w:rsidRPr="00CA61A6">
        <w:rPr>
          <w:lang w:eastAsia="ja-JP"/>
        </w:rPr>
        <w:t>Miembros</w:t>
      </w:r>
      <w:r w:rsidR="00D70F9F" w:rsidRPr="00CA61A6">
        <w:rPr>
          <w:lang w:eastAsia="ja-JP"/>
        </w:rPr>
        <w:t xml:space="preserve">. El acceso a los </w:t>
      </w:r>
      <w:r w:rsidR="000A2044" w:rsidRPr="00CA61A6">
        <w:rPr>
          <w:lang w:eastAsia="ja-JP"/>
        </w:rPr>
        <w:t>sitios de colaboración SharePoint de las Comisiones de Estudio del UIT</w:t>
      </w:r>
      <w:r w:rsidR="00D70F9F" w:rsidRPr="00CA61A6">
        <w:rPr>
          <w:lang w:eastAsia="ja-JP"/>
        </w:rPr>
        <w:t>-</w:t>
      </w:r>
      <w:r w:rsidR="000A2044" w:rsidRPr="00CA61A6">
        <w:rPr>
          <w:lang w:eastAsia="ja-JP"/>
        </w:rPr>
        <w:t>T está restringido a los Miembros del UIT-T y debe realizarse a través de una cuenta TIES</w:t>
      </w:r>
      <w:r w:rsidR="00D70F9F" w:rsidRPr="00CA61A6">
        <w:rPr>
          <w:lang w:eastAsia="ja-JP"/>
        </w:rPr>
        <w:t xml:space="preserve"> </w:t>
      </w:r>
      <w:r w:rsidR="00D70F9F" w:rsidRPr="00CA61A6">
        <w:t>en la siguiente dirección:</w:t>
      </w:r>
      <w:r w:rsidR="00D70F9F" w:rsidRPr="00CA61A6">
        <w:rPr>
          <w:szCs w:val="24"/>
          <w:lang w:eastAsia="ja-JP"/>
        </w:rPr>
        <w:t xml:space="preserve"> </w:t>
      </w:r>
      <w:hyperlink r:id="rId88" w:history="1">
        <w:r w:rsidR="00D70F9F" w:rsidRPr="00CA61A6">
          <w:rPr>
            <w:rStyle w:val="Hyperlink"/>
            <w:lang w:eastAsia="ja-JP"/>
          </w:rPr>
          <w:t>https://extranet.itu.int/ITU-T/2013-2016/SitePages/Home.aspx</w:t>
        </w:r>
      </w:hyperlink>
      <w:r w:rsidR="00C040C8" w:rsidRPr="00CA61A6">
        <w:rPr>
          <w:lang w:eastAsia="ja-JP"/>
        </w:rPr>
        <w:t>.</w:t>
      </w:r>
    </w:p>
    <w:p w:rsidR="00B54C8D" w:rsidRPr="00CA61A6" w:rsidRDefault="00032DBC" w:rsidP="007B3478">
      <w:pPr>
        <w:pStyle w:val="enumlev1"/>
        <w:rPr>
          <w:szCs w:val="24"/>
          <w:lang w:eastAsia="ja-JP"/>
        </w:rPr>
      </w:pPr>
      <w:r w:rsidRPr="00CA61A6">
        <w:rPr>
          <w:lang w:eastAsia="ja-JP"/>
        </w:rPr>
        <w:t>•</w:t>
      </w:r>
      <w:r w:rsidRPr="00CA61A6">
        <w:rPr>
          <w:lang w:eastAsia="ja-JP"/>
        </w:rPr>
        <w:tab/>
      </w:r>
      <w:r w:rsidR="0052540F" w:rsidRPr="00CA61A6">
        <w:rPr>
          <w:lang w:eastAsia="ja-JP"/>
        </w:rPr>
        <w:t xml:space="preserve">Se </w:t>
      </w:r>
      <w:r w:rsidR="00E55E11" w:rsidRPr="00CA61A6">
        <w:rPr>
          <w:lang w:eastAsia="ja-JP"/>
        </w:rPr>
        <w:t>creó</w:t>
      </w:r>
      <w:r w:rsidR="0052540F" w:rsidRPr="00CA61A6">
        <w:rPr>
          <w:lang w:eastAsia="ja-JP"/>
        </w:rPr>
        <w:t xml:space="preserve"> un nuevo sitio de colaboración SharePoint para la </w:t>
      </w:r>
      <w:r w:rsidR="00A96D7D" w:rsidRPr="00CA61A6">
        <w:rPr>
          <w:lang w:eastAsia="ja-JP"/>
        </w:rPr>
        <w:t xml:space="preserve">nueva </w:t>
      </w:r>
      <w:r w:rsidR="0052540F" w:rsidRPr="00CA61A6">
        <w:rPr>
          <w:lang w:eastAsia="ja-JP"/>
        </w:rPr>
        <w:t>Comisión de Estudio</w:t>
      </w:r>
      <w:r w:rsidR="000155B7">
        <w:rPr>
          <w:lang w:eastAsia="ja-JP"/>
        </w:rPr>
        <w:t> </w:t>
      </w:r>
      <w:r w:rsidR="00D70F9F" w:rsidRPr="00CA61A6">
        <w:rPr>
          <w:lang w:eastAsia="ja-JP"/>
        </w:rPr>
        <w:t>20</w:t>
      </w:r>
      <w:r w:rsidR="0052540F" w:rsidRPr="00CA61A6">
        <w:rPr>
          <w:lang w:eastAsia="ja-JP"/>
        </w:rPr>
        <w:t xml:space="preserve"> del UIT-T, </w:t>
      </w:r>
      <w:r w:rsidR="00220544" w:rsidRPr="00CA61A6">
        <w:rPr>
          <w:lang w:eastAsia="ja-JP"/>
        </w:rPr>
        <w:t>con objeto de</w:t>
      </w:r>
      <w:r w:rsidR="00E55E11" w:rsidRPr="00CA61A6">
        <w:rPr>
          <w:lang w:eastAsia="ja-JP"/>
        </w:rPr>
        <w:t xml:space="preserve"> que sus</w:t>
      </w:r>
      <w:r w:rsidR="0052540F" w:rsidRPr="00CA61A6">
        <w:rPr>
          <w:lang w:eastAsia="ja-JP"/>
        </w:rPr>
        <w:t xml:space="preserve"> miembros pud</w:t>
      </w:r>
      <w:r w:rsidR="00E55E11" w:rsidRPr="00CA61A6">
        <w:rPr>
          <w:lang w:eastAsia="ja-JP"/>
        </w:rPr>
        <w:t>ies</w:t>
      </w:r>
      <w:r w:rsidR="0052540F" w:rsidRPr="00CA61A6">
        <w:rPr>
          <w:lang w:eastAsia="ja-JP"/>
        </w:rPr>
        <w:t xml:space="preserve">en </w:t>
      </w:r>
      <w:r w:rsidR="004906CA" w:rsidRPr="00CA61A6">
        <w:rPr>
          <w:lang w:eastAsia="ja-JP"/>
        </w:rPr>
        <w:t>desempeñar sus labores</w:t>
      </w:r>
      <w:r w:rsidR="00D70F9F" w:rsidRPr="00CA61A6">
        <w:rPr>
          <w:lang w:eastAsia="ja-JP"/>
        </w:rPr>
        <w:t xml:space="preserve"> de normalización. </w:t>
      </w:r>
      <w:r w:rsidR="004906CA" w:rsidRPr="00CA61A6">
        <w:rPr>
          <w:lang w:eastAsia="ja-JP"/>
        </w:rPr>
        <w:t>Tambi</w:t>
      </w:r>
      <w:r w:rsidR="00E55E11" w:rsidRPr="00CA61A6">
        <w:rPr>
          <w:lang w:eastAsia="ja-JP"/>
        </w:rPr>
        <w:t>én se crearon</w:t>
      </w:r>
      <w:r w:rsidR="004906CA" w:rsidRPr="00CA61A6">
        <w:rPr>
          <w:lang w:eastAsia="ja-JP"/>
        </w:rPr>
        <w:t xml:space="preserve"> </w:t>
      </w:r>
      <w:r w:rsidR="00D70F9F" w:rsidRPr="00CA61A6">
        <w:rPr>
          <w:lang w:eastAsia="ja-JP"/>
        </w:rPr>
        <w:t xml:space="preserve">sitios </w:t>
      </w:r>
      <w:r w:rsidR="004906CA" w:rsidRPr="00CA61A6">
        <w:rPr>
          <w:lang w:eastAsia="ja-JP"/>
        </w:rPr>
        <w:t>específicos para distinto</w:t>
      </w:r>
      <w:r w:rsidR="00D70F9F" w:rsidRPr="00CA61A6">
        <w:rPr>
          <w:lang w:eastAsia="ja-JP"/>
        </w:rPr>
        <w:t>s grupos de trabajo y</w:t>
      </w:r>
      <w:r w:rsidR="004906CA" w:rsidRPr="00CA61A6">
        <w:rPr>
          <w:lang w:eastAsia="ja-JP"/>
        </w:rPr>
        <w:t xml:space="preserve"> cuestiones de estudio, a fin de que sus administradores pud</w:t>
      </w:r>
      <w:r w:rsidR="00E55E11" w:rsidRPr="00CA61A6">
        <w:rPr>
          <w:lang w:eastAsia="ja-JP"/>
        </w:rPr>
        <w:t>ier</w:t>
      </w:r>
      <w:r w:rsidR="004906CA" w:rsidRPr="00CA61A6">
        <w:rPr>
          <w:lang w:eastAsia="ja-JP"/>
        </w:rPr>
        <w:t>an</w:t>
      </w:r>
      <w:r w:rsidR="00D70F9F" w:rsidRPr="00CA61A6">
        <w:rPr>
          <w:lang w:eastAsia="ja-JP"/>
        </w:rPr>
        <w:t xml:space="preserve"> organizar y gestionar sus documentos</w:t>
      </w:r>
      <w:r w:rsidR="004906CA" w:rsidRPr="00CA61A6">
        <w:rPr>
          <w:lang w:eastAsia="ja-JP"/>
        </w:rPr>
        <w:t xml:space="preserve"> como estim</w:t>
      </w:r>
      <w:r w:rsidR="00E55E11" w:rsidRPr="00CA61A6">
        <w:rPr>
          <w:lang w:eastAsia="ja-JP"/>
        </w:rPr>
        <w:t>as</w:t>
      </w:r>
      <w:r w:rsidR="004906CA" w:rsidRPr="00CA61A6">
        <w:rPr>
          <w:lang w:eastAsia="ja-JP"/>
        </w:rPr>
        <w:t>en necesario.</w:t>
      </w:r>
      <w:r w:rsidR="00D70F9F" w:rsidRPr="00CA61A6">
        <w:rPr>
          <w:lang w:eastAsia="ja-JP"/>
        </w:rPr>
        <w:t xml:space="preserve"> </w:t>
      </w:r>
      <w:r w:rsidR="00220544" w:rsidRPr="00CA61A6">
        <w:rPr>
          <w:lang w:eastAsia="ja-JP"/>
        </w:rPr>
        <w:t>Para</w:t>
      </w:r>
      <w:r w:rsidR="00F13337" w:rsidRPr="00CA61A6">
        <w:rPr>
          <w:lang w:eastAsia="ja-JP"/>
        </w:rPr>
        <w:t xml:space="preserve"> facilitar aún más la colaboración de los participantes en línea, s</w:t>
      </w:r>
      <w:r w:rsidR="00E55E11" w:rsidRPr="00CA61A6">
        <w:rPr>
          <w:lang w:eastAsia="ja-JP"/>
        </w:rPr>
        <w:t>e pusieron</w:t>
      </w:r>
      <w:r w:rsidR="00F13337" w:rsidRPr="00CA61A6">
        <w:rPr>
          <w:lang w:eastAsia="ja-JP"/>
        </w:rPr>
        <w:t xml:space="preserve"> a disposición v</w:t>
      </w:r>
      <w:r w:rsidR="00D70F9F" w:rsidRPr="00CA61A6">
        <w:rPr>
          <w:lang w:eastAsia="ja-JP"/>
        </w:rPr>
        <w:t xml:space="preserve">arias aplicaciones web </w:t>
      </w:r>
      <w:r w:rsidR="00220544" w:rsidRPr="00CA61A6">
        <w:rPr>
          <w:lang w:eastAsia="ja-JP"/>
        </w:rPr>
        <w:t xml:space="preserve">de </w:t>
      </w:r>
      <w:r w:rsidR="00F13337" w:rsidRPr="00CA61A6">
        <w:rPr>
          <w:lang w:eastAsia="ja-JP"/>
        </w:rPr>
        <w:t xml:space="preserve">SharePoint, </w:t>
      </w:r>
      <w:r w:rsidR="00E55E11" w:rsidRPr="00CA61A6">
        <w:rPr>
          <w:lang w:eastAsia="ja-JP"/>
        </w:rPr>
        <w:t>incluidos</w:t>
      </w:r>
      <w:r w:rsidR="00D70F9F" w:rsidRPr="00CA61A6">
        <w:rPr>
          <w:lang w:eastAsia="ja-JP"/>
        </w:rPr>
        <w:t xml:space="preserve"> calendarios, bibliotecas de fotos, foros de d</w:t>
      </w:r>
      <w:r w:rsidR="00F13337" w:rsidRPr="00CA61A6">
        <w:rPr>
          <w:lang w:eastAsia="ja-JP"/>
        </w:rPr>
        <w:t>iscusión</w:t>
      </w:r>
      <w:r w:rsidR="00D70F9F" w:rsidRPr="00CA61A6">
        <w:rPr>
          <w:lang w:eastAsia="ja-JP"/>
        </w:rPr>
        <w:t xml:space="preserve">, </w:t>
      </w:r>
      <w:r w:rsidR="00F13337" w:rsidRPr="00CA61A6">
        <w:rPr>
          <w:lang w:eastAsia="ja-JP"/>
        </w:rPr>
        <w:t xml:space="preserve">canales de </w:t>
      </w:r>
      <w:r w:rsidR="00D70F9F" w:rsidRPr="00CA61A6">
        <w:rPr>
          <w:lang w:eastAsia="ja-JP"/>
        </w:rPr>
        <w:t>noticias, etc. El nuevo sitio</w:t>
      </w:r>
      <w:r w:rsidR="00F13337" w:rsidRPr="00CA61A6">
        <w:rPr>
          <w:lang w:eastAsia="ja-JP"/>
        </w:rPr>
        <w:t xml:space="preserve"> de colaboración de la CE </w:t>
      </w:r>
      <w:r w:rsidR="00D70F9F" w:rsidRPr="00CA61A6">
        <w:rPr>
          <w:lang w:eastAsia="ja-JP"/>
        </w:rPr>
        <w:t xml:space="preserve">20 </w:t>
      </w:r>
      <w:r w:rsidR="00F13337" w:rsidRPr="00CA61A6">
        <w:rPr>
          <w:lang w:eastAsia="ja-JP"/>
        </w:rPr>
        <w:t>del</w:t>
      </w:r>
      <w:r w:rsidR="00D70F9F" w:rsidRPr="00CA61A6">
        <w:rPr>
          <w:lang w:eastAsia="ja-JP"/>
        </w:rPr>
        <w:t xml:space="preserve"> UIT-T está disponible </w:t>
      </w:r>
      <w:r w:rsidR="00F13337" w:rsidRPr="00CA61A6">
        <w:rPr>
          <w:lang w:eastAsia="ja-JP"/>
        </w:rPr>
        <w:t>en</w:t>
      </w:r>
      <w:r w:rsidR="00D70F9F" w:rsidRPr="00CA61A6">
        <w:rPr>
          <w:lang w:eastAsia="ja-JP"/>
        </w:rPr>
        <w:t xml:space="preserve">: </w:t>
      </w:r>
      <w:hyperlink r:id="rId89" w:history="1">
        <w:r w:rsidR="004906CA" w:rsidRPr="00CA61A6">
          <w:rPr>
            <w:rStyle w:val="Hyperlink"/>
            <w:lang w:eastAsia="ja-JP"/>
          </w:rPr>
          <w:t>https://extranet.itu.int/ITU-T/2013-2016/sg20</w:t>
        </w:r>
      </w:hyperlink>
      <w:r w:rsidR="00C040C8" w:rsidRPr="00CA61A6">
        <w:rPr>
          <w:lang w:eastAsia="ja-JP"/>
        </w:rPr>
        <w:t>.</w:t>
      </w:r>
    </w:p>
    <w:p w:rsidR="00B54C8D" w:rsidRPr="00CA61A6" w:rsidRDefault="00032DBC" w:rsidP="00287CB7">
      <w:pPr>
        <w:pStyle w:val="enumlev1"/>
        <w:keepNext/>
        <w:keepLines/>
        <w:rPr>
          <w:szCs w:val="24"/>
          <w:lang w:eastAsia="ja-JP"/>
        </w:rPr>
      </w:pPr>
      <w:r w:rsidRPr="00CA61A6">
        <w:rPr>
          <w:lang w:eastAsia="ja-JP"/>
        </w:rPr>
        <w:lastRenderedPageBreak/>
        <w:t>•</w:t>
      </w:r>
      <w:r w:rsidRPr="00CA61A6">
        <w:rPr>
          <w:lang w:eastAsia="ja-JP"/>
        </w:rPr>
        <w:tab/>
      </w:r>
      <w:r w:rsidR="00C3520B" w:rsidRPr="00CA61A6">
        <w:rPr>
          <w:lang w:eastAsia="ja-JP"/>
        </w:rPr>
        <w:t xml:space="preserve">Los </w:t>
      </w:r>
      <w:r w:rsidR="00447F55" w:rsidRPr="00CA61A6">
        <w:rPr>
          <w:lang w:eastAsia="ja-JP"/>
        </w:rPr>
        <w:t xml:space="preserve">Miembros </w:t>
      </w:r>
      <w:r w:rsidR="00C3520B" w:rsidRPr="00CA61A6">
        <w:rPr>
          <w:lang w:eastAsia="ja-JP"/>
        </w:rPr>
        <w:t>siguen utilizando activamente l</w:t>
      </w:r>
      <w:r w:rsidR="00F13337" w:rsidRPr="00CA61A6">
        <w:rPr>
          <w:lang w:eastAsia="ja-JP"/>
        </w:rPr>
        <w:t xml:space="preserve">a plataforma de colaboración </w:t>
      </w:r>
      <w:r w:rsidR="00C3520B" w:rsidRPr="00CA61A6">
        <w:rPr>
          <w:lang w:eastAsia="ja-JP"/>
        </w:rPr>
        <w:t>SharePoint,</w:t>
      </w:r>
      <w:r w:rsidR="00F13337" w:rsidRPr="00CA61A6">
        <w:rPr>
          <w:lang w:eastAsia="ja-JP"/>
        </w:rPr>
        <w:t xml:space="preserve"> especialmente</w:t>
      </w:r>
      <w:r w:rsidR="00C3520B" w:rsidRPr="00CA61A6">
        <w:rPr>
          <w:lang w:eastAsia="ja-JP"/>
        </w:rPr>
        <w:t>,</w:t>
      </w:r>
      <w:r w:rsidR="00F13337" w:rsidRPr="00CA61A6">
        <w:rPr>
          <w:lang w:eastAsia="ja-JP"/>
        </w:rPr>
        <w:t xml:space="preserve"> para el trabajo de</w:t>
      </w:r>
      <w:r w:rsidR="00C3520B" w:rsidRPr="00CA61A6">
        <w:rPr>
          <w:lang w:eastAsia="ja-JP"/>
        </w:rPr>
        <w:t xml:space="preserve"> </w:t>
      </w:r>
      <w:r w:rsidR="00F13337" w:rsidRPr="00CA61A6">
        <w:rPr>
          <w:lang w:eastAsia="ja-JP"/>
        </w:rPr>
        <w:t>l</w:t>
      </w:r>
      <w:r w:rsidR="00C3520B" w:rsidRPr="00CA61A6">
        <w:rPr>
          <w:lang w:eastAsia="ja-JP"/>
        </w:rPr>
        <w:t>os</w:t>
      </w:r>
      <w:r w:rsidR="00F13337" w:rsidRPr="00CA61A6">
        <w:rPr>
          <w:lang w:eastAsia="ja-JP"/>
        </w:rPr>
        <w:t xml:space="preserve"> </w:t>
      </w:r>
      <w:r w:rsidR="00C3520B" w:rsidRPr="00CA61A6">
        <w:t>Grupos Temáticos del UIT-T</w:t>
      </w:r>
      <w:r w:rsidR="00C3520B" w:rsidRPr="00CA61A6">
        <w:rPr>
          <w:lang w:eastAsia="ja-JP"/>
        </w:rPr>
        <w:t xml:space="preserve">. Actualmente, ciertos Grupos Temáticos </w:t>
      </w:r>
      <w:r w:rsidR="00F13337" w:rsidRPr="00CA61A6">
        <w:rPr>
          <w:lang w:eastAsia="ja-JP"/>
        </w:rPr>
        <w:t>almacena</w:t>
      </w:r>
      <w:r w:rsidR="00C3520B" w:rsidRPr="00CA61A6">
        <w:rPr>
          <w:lang w:eastAsia="ja-JP"/>
        </w:rPr>
        <w:t>n</w:t>
      </w:r>
      <w:r w:rsidR="00F13337" w:rsidRPr="00CA61A6">
        <w:rPr>
          <w:lang w:eastAsia="ja-JP"/>
        </w:rPr>
        <w:t xml:space="preserve"> sus documentos exclusivamente en las bibliotecas de documentos SharePoint</w:t>
      </w:r>
      <w:r w:rsidR="00C3520B" w:rsidRPr="00CA61A6">
        <w:rPr>
          <w:lang w:eastAsia="ja-JP"/>
        </w:rPr>
        <w:t>,</w:t>
      </w:r>
      <w:r w:rsidR="00F13337" w:rsidRPr="00CA61A6">
        <w:rPr>
          <w:lang w:eastAsia="ja-JP"/>
        </w:rPr>
        <w:t xml:space="preserve"> y las características y herramientas </w:t>
      </w:r>
      <w:r w:rsidR="00C3520B" w:rsidRPr="00CA61A6">
        <w:rPr>
          <w:lang w:eastAsia="ja-JP"/>
        </w:rPr>
        <w:t>av</w:t>
      </w:r>
      <w:r w:rsidR="005804CE">
        <w:rPr>
          <w:lang w:eastAsia="ja-JP"/>
        </w:rPr>
        <w:t>anzadas de SharePoint permiten que</w:t>
      </w:r>
      <w:r w:rsidR="00F13337" w:rsidRPr="00CA61A6">
        <w:rPr>
          <w:lang w:eastAsia="ja-JP"/>
        </w:rPr>
        <w:t xml:space="preserve"> los participantes puedan trabajar de manera más eficiente en sus documentos. </w:t>
      </w:r>
      <w:r w:rsidR="00C3520B" w:rsidRPr="00CA61A6">
        <w:rPr>
          <w:lang w:eastAsia="ja-JP"/>
        </w:rPr>
        <w:t>También se crearon sitios específicos para</w:t>
      </w:r>
      <w:r w:rsidR="00F13337" w:rsidRPr="00CA61A6">
        <w:rPr>
          <w:lang w:eastAsia="ja-JP"/>
        </w:rPr>
        <w:t xml:space="preserve"> los diferentes grupos de trabajo</w:t>
      </w:r>
      <w:r w:rsidR="00C3520B" w:rsidRPr="00CA61A6">
        <w:rPr>
          <w:lang w:eastAsia="ja-JP"/>
        </w:rPr>
        <w:t>, a fin de que sus administradores pudieran organizar y gestionar sus documentos como estimasen necesario.</w:t>
      </w:r>
      <w:r w:rsidR="00F13337" w:rsidRPr="00CA61A6">
        <w:rPr>
          <w:lang w:eastAsia="ja-JP"/>
        </w:rPr>
        <w:t xml:space="preserve"> </w:t>
      </w:r>
      <w:r w:rsidR="00C3520B" w:rsidRPr="00CA61A6">
        <w:rPr>
          <w:lang w:eastAsia="ja-JP"/>
        </w:rPr>
        <w:t xml:space="preserve">Con objeto de facilitar aún más la colaboración de los participantes en línea, se pusieron a disposición varias aplicaciones web SharePoint, incluidos </w:t>
      </w:r>
      <w:r w:rsidR="00F13337" w:rsidRPr="00CA61A6">
        <w:rPr>
          <w:lang w:eastAsia="ja-JP"/>
        </w:rPr>
        <w:t xml:space="preserve">calendarios, </w:t>
      </w:r>
      <w:r w:rsidR="00C3520B" w:rsidRPr="00CA61A6">
        <w:rPr>
          <w:lang w:eastAsia="ja-JP"/>
        </w:rPr>
        <w:t xml:space="preserve">encuestas en línea, </w:t>
      </w:r>
      <w:r w:rsidR="00F13337" w:rsidRPr="00CA61A6">
        <w:rPr>
          <w:lang w:eastAsia="ja-JP"/>
        </w:rPr>
        <w:t xml:space="preserve">bibliotecas de fotos, </w:t>
      </w:r>
      <w:r w:rsidR="00C3520B" w:rsidRPr="00CA61A6">
        <w:rPr>
          <w:lang w:eastAsia="ja-JP"/>
        </w:rPr>
        <w:t xml:space="preserve">foros de discusión, canales de noticias, </w:t>
      </w:r>
      <w:r w:rsidR="00F13337" w:rsidRPr="00CA61A6">
        <w:rPr>
          <w:lang w:eastAsia="ja-JP"/>
        </w:rPr>
        <w:t xml:space="preserve">etc. </w:t>
      </w:r>
      <w:r w:rsidR="000B0111" w:rsidRPr="00CA61A6">
        <w:rPr>
          <w:lang w:eastAsia="ja-JP"/>
        </w:rPr>
        <w:t>Los</w:t>
      </w:r>
      <w:r w:rsidR="00F13337" w:rsidRPr="00CA61A6">
        <w:rPr>
          <w:lang w:eastAsia="ja-JP"/>
        </w:rPr>
        <w:t xml:space="preserve"> sitios de colaboración </w:t>
      </w:r>
      <w:r w:rsidR="00BD0512" w:rsidRPr="00CA61A6">
        <w:rPr>
          <w:lang w:eastAsia="ja-JP"/>
        </w:rPr>
        <w:t xml:space="preserve">de </w:t>
      </w:r>
      <w:r w:rsidR="000B0111" w:rsidRPr="00CA61A6">
        <w:rPr>
          <w:lang w:eastAsia="ja-JP"/>
        </w:rPr>
        <w:t>algunos</w:t>
      </w:r>
      <w:r w:rsidR="00BD0512" w:rsidRPr="00CA61A6">
        <w:rPr>
          <w:lang w:eastAsia="ja-JP"/>
        </w:rPr>
        <w:t xml:space="preserve"> </w:t>
      </w:r>
      <w:r w:rsidR="00BD0512" w:rsidRPr="00CA61A6">
        <w:t xml:space="preserve">Grupos Temáticos están </w:t>
      </w:r>
      <w:r w:rsidR="00F13337" w:rsidRPr="00CA61A6">
        <w:rPr>
          <w:lang w:eastAsia="ja-JP"/>
        </w:rPr>
        <w:t xml:space="preserve">disponibles en: </w:t>
      </w:r>
      <w:hyperlink r:id="rId90" w:history="1">
        <w:r w:rsidR="00C3520B" w:rsidRPr="00CA61A6">
          <w:rPr>
            <w:rStyle w:val="Hyperlink"/>
            <w:lang w:eastAsia="ja-JP"/>
          </w:rPr>
          <w:t>https://extranet.itu.int/ITU-T/focusgroups</w:t>
        </w:r>
      </w:hyperlink>
      <w:r w:rsidR="00C040C8" w:rsidRPr="00CA61A6">
        <w:rPr>
          <w:lang w:eastAsia="ja-JP"/>
        </w:rPr>
        <w:t>.</w:t>
      </w:r>
    </w:p>
    <w:p w:rsidR="00B54C8D" w:rsidRPr="00CA61A6" w:rsidRDefault="00032DBC" w:rsidP="007B3478">
      <w:pPr>
        <w:pStyle w:val="enumlev1"/>
        <w:rPr>
          <w:szCs w:val="24"/>
          <w:lang w:eastAsia="ja-JP"/>
        </w:rPr>
      </w:pPr>
      <w:r w:rsidRPr="00CA61A6">
        <w:rPr>
          <w:lang w:eastAsia="ja-JP"/>
        </w:rPr>
        <w:t>•</w:t>
      </w:r>
      <w:r w:rsidRPr="00CA61A6">
        <w:rPr>
          <w:lang w:eastAsia="ja-JP"/>
        </w:rPr>
        <w:tab/>
      </w:r>
      <w:r w:rsidR="00BD0512" w:rsidRPr="00CA61A6">
        <w:rPr>
          <w:lang w:eastAsia="ja-JP"/>
        </w:rPr>
        <w:t>El acceso a la mayoría de los sitios de colaboración SharePoint del UIT-T está restringido a los Miembros del UIT-T y debe realizarse a través de una cuenta TIES.</w:t>
      </w:r>
      <w:r w:rsidR="00BD0512" w:rsidRPr="00CA61A6">
        <w:t xml:space="preserve"> Los no miembros pueden acceder a determinados sitios de colaboración utilizando una cuenta de invitado de la UIT. L</w:t>
      </w:r>
      <w:r w:rsidR="00327A51" w:rsidRPr="00CA61A6">
        <w:t xml:space="preserve">os usuarios disponen de un </w:t>
      </w:r>
      <w:r w:rsidR="00BD0512" w:rsidRPr="00CA61A6">
        <w:rPr>
          <w:lang w:eastAsia="ja-JP"/>
        </w:rPr>
        <w:t xml:space="preserve">sitio dedicado a </w:t>
      </w:r>
      <w:r w:rsidR="00327A51" w:rsidRPr="00CA61A6">
        <w:rPr>
          <w:lang w:eastAsia="ja-JP"/>
        </w:rPr>
        <w:t>la prestación de asistencia en relación con</w:t>
      </w:r>
      <w:r w:rsidR="00BD0512" w:rsidRPr="00CA61A6">
        <w:rPr>
          <w:lang w:eastAsia="ja-JP"/>
        </w:rPr>
        <w:t xml:space="preserve"> los sitios de colaboración SharePoint </w:t>
      </w:r>
      <w:r w:rsidR="00327A51" w:rsidRPr="00CA61A6">
        <w:rPr>
          <w:lang w:eastAsia="ja-JP"/>
        </w:rPr>
        <w:t>en la siguiente dirección</w:t>
      </w:r>
      <w:r w:rsidR="00BD0512" w:rsidRPr="00CA61A6">
        <w:rPr>
          <w:lang w:eastAsia="ja-JP"/>
        </w:rPr>
        <w:t xml:space="preserve">: </w:t>
      </w:r>
      <w:hyperlink r:id="rId91" w:history="1">
        <w:r w:rsidR="00BD0512" w:rsidRPr="00CA61A6">
          <w:rPr>
            <w:rStyle w:val="Hyperlink"/>
            <w:lang w:eastAsia="ja-JP"/>
          </w:rPr>
          <w:t>https://extranet.itu.int/ITU-T/support/</w:t>
        </w:r>
      </w:hyperlink>
      <w:r w:rsidR="00BD0512" w:rsidRPr="00CA61A6">
        <w:rPr>
          <w:lang w:eastAsia="ja-JP"/>
        </w:rPr>
        <w:t>.</w:t>
      </w:r>
    </w:p>
    <w:p w:rsidR="00B54C8D" w:rsidRPr="00CA61A6" w:rsidRDefault="00032DBC" w:rsidP="007B3478">
      <w:pPr>
        <w:pStyle w:val="enumlev1"/>
      </w:pPr>
      <w:r w:rsidRPr="00CA61A6">
        <w:rPr>
          <w:lang w:eastAsia="ja-JP"/>
        </w:rPr>
        <w:t>•</w:t>
      </w:r>
      <w:r w:rsidRPr="00CA61A6">
        <w:rPr>
          <w:lang w:eastAsia="ja-JP"/>
        </w:rPr>
        <w:tab/>
      </w:r>
      <w:r w:rsidR="00327A51" w:rsidRPr="00CA61A6">
        <w:rPr>
          <w:lang w:eastAsia="ja-JP"/>
        </w:rPr>
        <w:t xml:space="preserve">Se ha puesto a disposición una nueva versión de la </w:t>
      </w:r>
      <w:r w:rsidR="00327A51" w:rsidRPr="00CA61A6">
        <w:t>aplicación para sincronizar documentos de reunión.</w:t>
      </w:r>
      <w:r w:rsidR="00B54C8D" w:rsidRPr="00CA61A6">
        <w:t xml:space="preserve"> </w:t>
      </w:r>
      <w:r w:rsidR="0047339D" w:rsidRPr="00CA61A6">
        <w:t>Esta aplicación, creada por el Departamento C&amp;P de la UIT, permite a los participantes sincronizar</w:t>
      </w:r>
      <w:r w:rsidR="000B0111" w:rsidRPr="00CA61A6">
        <w:t xml:space="preserve"> los</w:t>
      </w:r>
      <w:r w:rsidR="0047339D" w:rsidRPr="00CA61A6">
        <w:t xml:space="preserve"> documentos de la reunión en curso de una Comisión de Estudio del UIT-T desde el servidor de la UIT hasta su disco duro local. Entre las mejoras introducidas en la nueva versión figuran la indicación del número de versión, la actualización selectiva, </w:t>
      </w:r>
      <w:r w:rsidR="000B0111" w:rsidRPr="00CA61A6">
        <w:t xml:space="preserve">la </w:t>
      </w:r>
      <w:r w:rsidR="0047339D" w:rsidRPr="00CA61A6">
        <w:t xml:space="preserve">filtración de cuestiones y </w:t>
      </w:r>
      <w:r w:rsidR="000B0111" w:rsidRPr="00CA61A6">
        <w:t>varias</w:t>
      </w:r>
      <w:r w:rsidR="0047339D" w:rsidRPr="00CA61A6">
        <w:t xml:space="preserve"> correcciones de errores.</w:t>
      </w:r>
    </w:p>
    <w:p w:rsidR="0047339D" w:rsidRPr="00CA61A6" w:rsidRDefault="00032DBC" w:rsidP="007B3478">
      <w:pPr>
        <w:pStyle w:val="enumlev1"/>
        <w:rPr>
          <w:lang w:eastAsia="ja-JP"/>
        </w:rPr>
      </w:pPr>
      <w:r w:rsidRPr="00CA61A6">
        <w:rPr>
          <w:lang w:eastAsia="ja-JP"/>
        </w:rPr>
        <w:t>•</w:t>
      </w:r>
      <w:r w:rsidRPr="00CA61A6">
        <w:rPr>
          <w:lang w:eastAsia="ja-JP"/>
        </w:rPr>
        <w:tab/>
      </w:r>
      <w:r w:rsidR="00351275" w:rsidRPr="00CA61A6">
        <w:rPr>
          <w:lang w:eastAsia="ja-JP"/>
        </w:rPr>
        <w:t>A fin de</w:t>
      </w:r>
      <w:r w:rsidR="0047339D" w:rsidRPr="00CA61A6">
        <w:rPr>
          <w:lang w:eastAsia="ja-JP"/>
        </w:rPr>
        <w:t xml:space="preserve"> mejorar la accesibilidad de la información sobre los derechos de propiedad intelectual (DPI) en</w:t>
      </w:r>
      <w:r w:rsidR="000B0111" w:rsidRPr="00CA61A6">
        <w:rPr>
          <w:lang w:eastAsia="ja-JP"/>
        </w:rPr>
        <w:t xml:space="preserve"> las Recomendaciones </w:t>
      </w:r>
      <w:r w:rsidR="0047339D" w:rsidRPr="00CA61A6">
        <w:rPr>
          <w:lang w:eastAsia="ja-JP"/>
        </w:rPr>
        <w:t xml:space="preserve">UIT-T, </w:t>
      </w:r>
      <w:r w:rsidR="000B0111" w:rsidRPr="00CA61A6">
        <w:rPr>
          <w:lang w:eastAsia="ja-JP"/>
        </w:rPr>
        <w:t>todos los</w:t>
      </w:r>
      <w:r w:rsidR="0047339D" w:rsidRPr="00CA61A6">
        <w:rPr>
          <w:lang w:eastAsia="ja-JP"/>
        </w:rPr>
        <w:t xml:space="preserve"> </w:t>
      </w:r>
      <w:r w:rsidR="00351275" w:rsidRPr="00CA61A6">
        <w:rPr>
          <w:lang w:eastAsia="ja-JP"/>
        </w:rPr>
        <w:t>formulario</w:t>
      </w:r>
      <w:r w:rsidR="000B0111" w:rsidRPr="00CA61A6">
        <w:rPr>
          <w:lang w:eastAsia="ja-JP"/>
        </w:rPr>
        <w:t>s</w:t>
      </w:r>
      <w:r w:rsidR="0047339D" w:rsidRPr="00CA61A6">
        <w:rPr>
          <w:lang w:eastAsia="ja-JP"/>
        </w:rPr>
        <w:t xml:space="preserve"> de declaración se escanea</w:t>
      </w:r>
      <w:r w:rsidR="000B0111" w:rsidRPr="00CA61A6">
        <w:rPr>
          <w:lang w:eastAsia="ja-JP"/>
        </w:rPr>
        <w:t>n</w:t>
      </w:r>
      <w:r w:rsidR="0047339D" w:rsidRPr="00CA61A6">
        <w:rPr>
          <w:lang w:eastAsia="ja-JP"/>
        </w:rPr>
        <w:t xml:space="preserve"> en PDF y está</w:t>
      </w:r>
      <w:r w:rsidR="000B0111" w:rsidRPr="00CA61A6">
        <w:rPr>
          <w:lang w:eastAsia="ja-JP"/>
        </w:rPr>
        <w:t>n</w:t>
      </w:r>
      <w:r w:rsidR="0047339D" w:rsidRPr="00CA61A6">
        <w:rPr>
          <w:lang w:eastAsia="ja-JP"/>
        </w:rPr>
        <w:t xml:space="preserve"> disponible</w:t>
      </w:r>
      <w:r w:rsidR="0041144A">
        <w:rPr>
          <w:lang w:eastAsia="ja-JP"/>
        </w:rPr>
        <w:t>s</w:t>
      </w:r>
      <w:r w:rsidR="0047339D" w:rsidRPr="00CA61A6">
        <w:rPr>
          <w:lang w:eastAsia="ja-JP"/>
        </w:rPr>
        <w:t xml:space="preserve"> gratuitamente en </w:t>
      </w:r>
      <w:hyperlink r:id="rId92" w:history="1">
        <w:r w:rsidR="00351275" w:rsidRPr="00CA61A6">
          <w:rPr>
            <w:rStyle w:val="Hyperlink"/>
            <w:lang w:eastAsia="ja-JP"/>
          </w:rPr>
          <w:t>www.itu.int/ipr</w:t>
        </w:r>
      </w:hyperlink>
      <w:r w:rsidR="0047339D" w:rsidRPr="00CA61A6">
        <w:rPr>
          <w:lang w:eastAsia="ja-JP"/>
        </w:rPr>
        <w:t xml:space="preserve">. </w:t>
      </w:r>
      <w:r w:rsidR="00351275" w:rsidRPr="00CA61A6">
        <w:rPr>
          <w:lang w:eastAsia="ja-JP"/>
        </w:rPr>
        <w:t xml:space="preserve">En mayo de 2015, </w:t>
      </w:r>
      <w:r w:rsidR="0047339D" w:rsidRPr="00CA61A6">
        <w:rPr>
          <w:lang w:eastAsia="ja-JP"/>
        </w:rPr>
        <w:t>2</w:t>
      </w:r>
      <w:r w:rsidR="00E90C8E">
        <w:rPr>
          <w:lang w:eastAsia="ja-JP"/>
        </w:rPr>
        <w:t> </w:t>
      </w:r>
      <w:r w:rsidR="0047339D" w:rsidRPr="00CA61A6">
        <w:rPr>
          <w:lang w:eastAsia="ja-JP"/>
        </w:rPr>
        <w:t>069 archivos estaban disponibles</w:t>
      </w:r>
      <w:r w:rsidR="00351275" w:rsidRPr="00CA61A6">
        <w:rPr>
          <w:lang w:eastAsia="ja-JP"/>
        </w:rPr>
        <w:t xml:space="preserve"> en línea</w:t>
      </w:r>
      <w:r w:rsidR="0047339D" w:rsidRPr="00CA61A6">
        <w:rPr>
          <w:lang w:eastAsia="ja-JP"/>
        </w:rPr>
        <w:t xml:space="preserve"> </w:t>
      </w:r>
      <w:r w:rsidR="000B0111" w:rsidRPr="00CA61A6">
        <w:rPr>
          <w:lang w:eastAsia="ja-JP"/>
        </w:rPr>
        <w:t>(</w:t>
      </w:r>
      <w:r w:rsidR="0047339D" w:rsidRPr="00CA61A6">
        <w:rPr>
          <w:lang w:eastAsia="ja-JP"/>
        </w:rPr>
        <w:t>inclu</w:t>
      </w:r>
      <w:r w:rsidR="00351275" w:rsidRPr="00CA61A6">
        <w:rPr>
          <w:lang w:eastAsia="ja-JP"/>
        </w:rPr>
        <w:t>idas declaraciones antiguas</w:t>
      </w:r>
      <w:r w:rsidR="000B0111" w:rsidRPr="00CA61A6">
        <w:rPr>
          <w:lang w:eastAsia="ja-JP"/>
        </w:rPr>
        <w:t>)</w:t>
      </w:r>
      <w:r w:rsidR="0047339D" w:rsidRPr="00CA61A6">
        <w:rPr>
          <w:lang w:eastAsia="ja-JP"/>
        </w:rPr>
        <w:t xml:space="preserve">. Para </w:t>
      </w:r>
      <w:r w:rsidR="000B0111" w:rsidRPr="00CA61A6">
        <w:rPr>
          <w:lang w:eastAsia="ja-JP"/>
        </w:rPr>
        <w:t>facilitar</w:t>
      </w:r>
      <w:r w:rsidR="0047339D" w:rsidRPr="00CA61A6">
        <w:rPr>
          <w:lang w:eastAsia="ja-JP"/>
        </w:rPr>
        <w:t xml:space="preserve"> más información, cada número de patente</w:t>
      </w:r>
      <w:r w:rsidR="00351275" w:rsidRPr="00CA61A6">
        <w:rPr>
          <w:lang w:eastAsia="ja-JP"/>
        </w:rPr>
        <w:t xml:space="preserve"> se asocia a</w:t>
      </w:r>
      <w:r w:rsidR="0047339D" w:rsidRPr="00CA61A6">
        <w:rPr>
          <w:lang w:eastAsia="ja-JP"/>
        </w:rPr>
        <w:t xml:space="preserve"> un enlace directo a su respectivo registro </w:t>
      </w:r>
      <w:r w:rsidR="00351275" w:rsidRPr="00CA61A6">
        <w:rPr>
          <w:lang w:eastAsia="ja-JP"/>
        </w:rPr>
        <w:t>en la</w:t>
      </w:r>
      <w:r w:rsidR="0047339D" w:rsidRPr="00CA61A6">
        <w:rPr>
          <w:lang w:eastAsia="ja-JP"/>
        </w:rPr>
        <w:t xml:space="preserve"> base de datos </w:t>
      </w:r>
      <w:r w:rsidR="00351275" w:rsidRPr="00CA61A6">
        <w:rPr>
          <w:lang w:eastAsia="ja-JP"/>
        </w:rPr>
        <w:t xml:space="preserve">de la </w:t>
      </w:r>
      <w:r w:rsidR="00351275" w:rsidRPr="00CA61A6">
        <w:t>Oficina Europea de Patentes</w:t>
      </w:r>
      <w:r w:rsidR="0047339D" w:rsidRPr="00CA61A6">
        <w:rPr>
          <w:lang w:eastAsia="ja-JP"/>
        </w:rPr>
        <w:t xml:space="preserve">, </w:t>
      </w:r>
      <w:r w:rsidR="000B0111" w:rsidRPr="00CA61A6">
        <w:rPr>
          <w:lang w:eastAsia="ja-JP"/>
        </w:rPr>
        <w:t>si lo hubiera</w:t>
      </w:r>
      <w:r w:rsidR="0047339D" w:rsidRPr="00CA61A6">
        <w:rPr>
          <w:lang w:eastAsia="ja-JP"/>
        </w:rPr>
        <w:t>.</w:t>
      </w:r>
    </w:p>
    <w:p w:rsidR="00B54C8D" w:rsidRPr="00CA61A6" w:rsidRDefault="00032DBC" w:rsidP="007B3478">
      <w:pPr>
        <w:pStyle w:val="enumlev1"/>
        <w:rPr>
          <w:lang w:eastAsia="ja-JP"/>
        </w:rPr>
      </w:pPr>
      <w:r w:rsidRPr="00CA61A6">
        <w:rPr>
          <w:lang w:eastAsia="ja-JP"/>
        </w:rPr>
        <w:t>•</w:t>
      </w:r>
      <w:r w:rsidRPr="00CA61A6">
        <w:rPr>
          <w:lang w:eastAsia="ja-JP"/>
        </w:rPr>
        <w:tab/>
      </w:r>
      <w:r w:rsidR="0060659E" w:rsidRPr="00CA61A6">
        <w:rPr>
          <w:lang w:eastAsia="ja-JP"/>
        </w:rPr>
        <w:t>Se</w:t>
      </w:r>
      <w:r w:rsidR="000B0111" w:rsidRPr="00CA61A6">
        <w:rPr>
          <w:lang w:eastAsia="ja-JP"/>
        </w:rPr>
        <w:t xml:space="preserve"> desarrolló</w:t>
      </w:r>
      <w:r w:rsidR="00B74091" w:rsidRPr="00CA61A6">
        <w:rPr>
          <w:lang w:eastAsia="ja-JP"/>
        </w:rPr>
        <w:t xml:space="preserve"> un </w:t>
      </w:r>
      <w:r w:rsidR="002D06E7">
        <w:rPr>
          <w:lang w:eastAsia="ja-JP"/>
        </w:rPr>
        <w:t xml:space="preserve">nuevo </w:t>
      </w:r>
      <w:r w:rsidR="00B74091" w:rsidRPr="00CA61A6">
        <w:rPr>
          <w:lang w:eastAsia="ja-JP"/>
        </w:rPr>
        <w:t>sistema</w:t>
      </w:r>
      <w:r w:rsidR="00F21C2C" w:rsidRPr="00CA61A6">
        <w:rPr>
          <w:lang w:eastAsia="ja-JP"/>
        </w:rPr>
        <w:t xml:space="preserve">, </w:t>
      </w:r>
      <w:r w:rsidR="00F21C2C" w:rsidRPr="00CA61A6">
        <w:t>basado en MS SharePoint,</w:t>
      </w:r>
      <w:r w:rsidR="00B74091" w:rsidRPr="00CA61A6">
        <w:rPr>
          <w:lang w:eastAsia="ja-JP"/>
        </w:rPr>
        <w:t xml:space="preserve"> </w:t>
      </w:r>
      <w:r w:rsidR="00F21C2C" w:rsidRPr="00CA61A6">
        <w:rPr>
          <w:lang w:eastAsia="ja-JP"/>
        </w:rPr>
        <w:t>para gestionar los</w:t>
      </w:r>
      <w:r w:rsidR="00B74091" w:rsidRPr="00CA61A6">
        <w:rPr>
          <w:lang w:eastAsia="ja-JP"/>
        </w:rPr>
        <w:t xml:space="preserve"> documentos </w:t>
      </w:r>
      <w:r w:rsidR="000B0111" w:rsidRPr="00CA61A6">
        <w:rPr>
          <w:lang w:eastAsia="ja-JP"/>
        </w:rPr>
        <w:t>de</w:t>
      </w:r>
      <w:r w:rsidR="00F21C2C" w:rsidRPr="00CA61A6">
        <w:rPr>
          <w:lang w:eastAsia="ja-JP"/>
        </w:rPr>
        <w:t xml:space="preserve"> </w:t>
      </w:r>
      <w:r w:rsidR="00B74091" w:rsidRPr="00CA61A6">
        <w:rPr>
          <w:lang w:eastAsia="ja-JP"/>
        </w:rPr>
        <w:t>las reuniones de</w:t>
      </w:r>
      <w:r w:rsidR="000B0111" w:rsidRPr="00CA61A6">
        <w:rPr>
          <w:lang w:eastAsia="ja-JP"/>
        </w:rPr>
        <w:t xml:space="preserve"> los</w:t>
      </w:r>
      <w:r w:rsidR="00B74091" w:rsidRPr="00CA61A6">
        <w:rPr>
          <w:lang w:eastAsia="ja-JP"/>
        </w:rPr>
        <w:t xml:space="preserve"> Grupos de Relator del UIT-T. Este nuevo sistema </w:t>
      </w:r>
      <w:r w:rsidR="00F21C2C" w:rsidRPr="00CA61A6">
        <w:rPr>
          <w:lang w:eastAsia="ja-JP"/>
        </w:rPr>
        <w:t xml:space="preserve">permitirá a </w:t>
      </w:r>
      <w:r w:rsidR="00B74091" w:rsidRPr="00CA61A6">
        <w:rPr>
          <w:lang w:eastAsia="ja-JP"/>
        </w:rPr>
        <w:t xml:space="preserve">los delegados del UIT-T gestionar </w:t>
      </w:r>
      <w:r w:rsidR="00F21C2C" w:rsidRPr="00CA61A6">
        <w:rPr>
          <w:lang w:eastAsia="ja-JP"/>
        </w:rPr>
        <w:t xml:space="preserve">los </w:t>
      </w:r>
      <w:r w:rsidR="00B74091" w:rsidRPr="00CA61A6">
        <w:rPr>
          <w:lang w:eastAsia="ja-JP"/>
        </w:rPr>
        <w:t>documentos de</w:t>
      </w:r>
      <w:r w:rsidR="000B0111" w:rsidRPr="00CA61A6">
        <w:rPr>
          <w:lang w:eastAsia="ja-JP"/>
        </w:rPr>
        <w:t>stinados a</w:t>
      </w:r>
      <w:r w:rsidR="00B74091" w:rsidRPr="00CA61A6">
        <w:rPr>
          <w:lang w:eastAsia="ja-JP"/>
        </w:rPr>
        <w:t xml:space="preserve"> las reuniones de </w:t>
      </w:r>
      <w:r w:rsidR="000B0111" w:rsidRPr="00CA61A6">
        <w:rPr>
          <w:lang w:eastAsia="ja-JP"/>
        </w:rPr>
        <w:t xml:space="preserve">los </w:t>
      </w:r>
      <w:r w:rsidR="00B74091" w:rsidRPr="00CA61A6">
        <w:rPr>
          <w:lang w:eastAsia="ja-JP"/>
        </w:rPr>
        <w:t>Grupos de Relator en un entorno bien estructurado y seguro.</w:t>
      </w:r>
    </w:p>
    <w:p w:rsidR="00B54C8D" w:rsidRPr="00CA61A6" w:rsidRDefault="004A15FF" w:rsidP="00792D99">
      <w:pPr>
        <w:pStyle w:val="enumlev1"/>
        <w:rPr>
          <w:szCs w:val="24"/>
          <w:lang w:eastAsia="ja-JP"/>
        </w:rPr>
      </w:pPr>
      <w:r w:rsidRPr="00CA61A6">
        <w:rPr>
          <w:lang w:eastAsia="ja-JP"/>
        </w:rPr>
        <w:tab/>
      </w:r>
      <w:r w:rsidR="003F000A" w:rsidRPr="00CA61A6">
        <w:rPr>
          <w:lang w:eastAsia="ja-JP"/>
        </w:rPr>
        <w:t>Actualmente</w:t>
      </w:r>
      <w:r w:rsidR="00F21C2C" w:rsidRPr="00CA61A6">
        <w:rPr>
          <w:lang w:eastAsia="ja-JP"/>
        </w:rPr>
        <w:t>,</w:t>
      </w:r>
      <w:r w:rsidR="003F000A" w:rsidRPr="00CA61A6">
        <w:rPr>
          <w:lang w:eastAsia="ja-JP"/>
        </w:rPr>
        <w:t xml:space="preserve"> se utilizan zonas FTP informales (IFA) para </w:t>
      </w:r>
      <w:r w:rsidR="00F21C2C" w:rsidRPr="00CA61A6">
        <w:rPr>
          <w:lang w:eastAsia="ja-JP"/>
        </w:rPr>
        <w:t xml:space="preserve">gestionar los documentos </w:t>
      </w:r>
      <w:r w:rsidR="00DB6DFF" w:rsidRPr="00CA61A6">
        <w:rPr>
          <w:lang w:eastAsia="ja-JP"/>
        </w:rPr>
        <w:t>de</w:t>
      </w:r>
      <w:r w:rsidR="00F21C2C" w:rsidRPr="00CA61A6">
        <w:rPr>
          <w:lang w:eastAsia="ja-JP"/>
        </w:rPr>
        <w:t xml:space="preserve"> las reuniones de</w:t>
      </w:r>
      <w:r w:rsidR="00DB6DFF" w:rsidRPr="00CA61A6">
        <w:rPr>
          <w:lang w:eastAsia="ja-JP"/>
        </w:rPr>
        <w:t xml:space="preserve"> los</w:t>
      </w:r>
      <w:r w:rsidR="00F21C2C" w:rsidRPr="00CA61A6">
        <w:rPr>
          <w:lang w:eastAsia="ja-JP"/>
        </w:rPr>
        <w:t xml:space="preserve"> Grupos de Relator </w:t>
      </w:r>
      <w:r w:rsidR="003F000A" w:rsidRPr="00CA61A6">
        <w:rPr>
          <w:lang w:eastAsia="ja-JP"/>
        </w:rPr>
        <w:t xml:space="preserve">con arreglo a un conjunto de </w:t>
      </w:r>
      <w:r w:rsidR="00DB6DFF" w:rsidRPr="00CA61A6">
        <w:rPr>
          <w:lang w:eastAsia="ja-JP"/>
        </w:rPr>
        <w:t>normas</w:t>
      </w:r>
      <w:r w:rsidR="003F000A" w:rsidRPr="00CA61A6">
        <w:rPr>
          <w:lang w:eastAsia="ja-JP"/>
        </w:rPr>
        <w:t xml:space="preserve"> de trabajo menos estrictas que las </w:t>
      </w:r>
      <w:r w:rsidR="00DB6DFF" w:rsidRPr="00CA61A6">
        <w:rPr>
          <w:lang w:eastAsia="ja-JP"/>
        </w:rPr>
        <w:t>aplicables a</w:t>
      </w:r>
      <w:r w:rsidR="003F000A" w:rsidRPr="00CA61A6">
        <w:rPr>
          <w:lang w:eastAsia="ja-JP"/>
        </w:rPr>
        <w:t xml:space="preserve"> las reuniones oficiales de la</w:t>
      </w:r>
      <w:r w:rsidR="00DB6DFF" w:rsidRPr="00CA61A6">
        <w:rPr>
          <w:lang w:eastAsia="ja-JP"/>
        </w:rPr>
        <w:t>s Comisiones de Estudio</w:t>
      </w:r>
      <w:r w:rsidR="003F000A" w:rsidRPr="00CA61A6">
        <w:rPr>
          <w:lang w:eastAsia="ja-JP"/>
        </w:rPr>
        <w:t xml:space="preserve">. </w:t>
      </w:r>
      <w:r w:rsidR="00792D99">
        <w:rPr>
          <w:lang w:eastAsia="ja-JP"/>
        </w:rPr>
        <w:t>Entre</w:t>
      </w:r>
      <w:r w:rsidR="00DB6DFF" w:rsidRPr="00CA61A6">
        <w:rPr>
          <w:lang w:eastAsia="ja-JP"/>
        </w:rPr>
        <w:t xml:space="preserve"> l</w:t>
      </w:r>
      <w:r w:rsidR="00F21C2C" w:rsidRPr="00CA61A6">
        <w:rPr>
          <w:lang w:eastAsia="ja-JP"/>
        </w:rPr>
        <w:t xml:space="preserve">as principales ventajas del nuevo sistema </w:t>
      </w:r>
      <w:r w:rsidR="00DB6DFF" w:rsidRPr="00CA61A6">
        <w:rPr>
          <w:lang w:eastAsia="ja-JP"/>
        </w:rPr>
        <w:t>se cuentan las siguientes</w:t>
      </w:r>
      <w:r w:rsidR="00B54C8D" w:rsidRPr="00CA61A6">
        <w:rPr>
          <w:lang w:eastAsia="ja-JP"/>
        </w:rPr>
        <w:t>:</w:t>
      </w:r>
    </w:p>
    <w:p w:rsidR="00B54C8D" w:rsidRPr="00CA61A6" w:rsidRDefault="002335DA" w:rsidP="007B3478">
      <w:pPr>
        <w:pStyle w:val="enumlev2"/>
        <w:rPr>
          <w:szCs w:val="24"/>
          <w:lang w:eastAsia="ja-JP"/>
        </w:rPr>
      </w:pPr>
      <w:r w:rsidRPr="00CA61A6">
        <w:rPr>
          <w:lang w:eastAsia="ja-JP"/>
        </w:rPr>
        <w:t>1)</w:t>
      </w:r>
      <w:r w:rsidRPr="00CA61A6">
        <w:rPr>
          <w:lang w:eastAsia="ja-JP"/>
        </w:rPr>
        <w:tab/>
      </w:r>
      <w:r w:rsidR="00FB5B27" w:rsidRPr="00CA61A6">
        <w:rPr>
          <w:lang w:eastAsia="ja-JP"/>
        </w:rPr>
        <w:t>A</w:t>
      </w:r>
      <w:r w:rsidR="00F21C2C" w:rsidRPr="00CA61A6">
        <w:rPr>
          <w:lang w:eastAsia="ja-JP"/>
        </w:rPr>
        <w:t>l igual que las IFA, ofrece suma flexibilidad a los Relatores, editores y autores de contribuciones para gestionar los documentos por sí mismos. La Secretaría puede intervenir si sobreviene algún</w:t>
      </w:r>
      <w:r w:rsidR="00FB5B27" w:rsidRPr="00CA61A6">
        <w:rPr>
          <w:lang w:eastAsia="ja-JP"/>
        </w:rPr>
        <w:t xml:space="preserve"> problema.</w:t>
      </w:r>
    </w:p>
    <w:p w:rsidR="00B54C8D" w:rsidRPr="00CA61A6" w:rsidRDefault="002335DA" w:rsidP="007B3478">
      <w:pPr>
        <w:pStyle w:val="enumlev2"/>
        <w:rPr>
          <w:szCs w:val="24"/>
          <w:lang w:eastAsia="ja-JP"/>
        </w:rPr>
      </w:pPr>
      <w:r w:rsidRPr="00CA61A6">
        <w:rPr>
          <w:lang w:eastAsia="ja-JP"/>
        </w:rPr>
        <w:t>2)</w:t>
      </w:r>
      <w:r w:rsidRPr="00CA61A6">
        <w:rPr>
          <w:lang w:eastAsia="ja-JP"/>
        </w:rPr>
        <w:tab/>
      </w:r>
      <w:r w:rsidR="00FB5B27" w:rsidRPr="00CA61A6">
        <w:rPr>
          <w:lang w:eastAsia="ja-JP"/>
        </w:rPr>
        <w:t xml:space="preserve">A </w:t>
      </w:r>
      <w:r w:rsidR="00F21C2C" w:rsidRPr="00CA61A6">
        <w:rPr>
          <w:lang w:eastAsia="ja-JP"/>
        </w:rPr>
        <w:t>diferencia de las</w:t>
      </w:r>
      <w:r w:rsidR="00B54C8D" w:rsidRPr="00CA61A6">
        <w:rPr>
          <w:lang w:eastAsia="ja-JP"/>
        </w:rPr>
        <w:t xml:space="preserve"> IFA, </w:t>
      </w:r>
      <w:r w:rsidR="00F21C2C" w:rsidRPr="00CA61A6">
        <w:rPr>
          <w:lang w:eastAsia="ja-JP"/>
        </w:rPr>
        <w:t xml:space="preserve">permite otorgar </w:t>
      </w:r>
      <w:r w:rsidR="00FB5B27" w:rsidRPr="00CA61A6">
        <w:rPr>
          <w:lang w:eastAsia="ja-JP"/>
        </w:rPr>
        <w:t>unos</w:t>
      </w:r>
      <w:r w:rsidR="00F21C2C" w:rsidRPr="00CA61A6">
        <w:rPr>
          <w:lang w:eastAsia="ja-JP"/>
        </w:rPr>
        <w:t xml:space="preserve"> derechos</w:t>
      </w:r>
      <w:r w:rsidR="00FB5B27" w:rsidRPr="00CA61A6">
        <w:rPr>
          <w:lang w:eastAsia="ja-JP"/>
        </w:rPr>
        <w:t xml:space="preserve"> u otros de acuerdo </w:t>
      </w:r>
      <w:r w:rsidR="00F21C2C" w:rsidRPr="00CA61A6">
        <w:rPr>
          <w:lang w:eastAsia="ja-JP"/>
        </w:rPr>
        <w:t>con las funciones desempeñadas (autor de contribución, presidente</w:t>
      </w:r>
      <w:r w:rsidR="00FB5B27" w:rsidRPr="00CA61A6">
        <w:rPr>
          <w:lang w:eastAsia="ja-JP"/>
        </w:rPr>
        <w:t>, etc.).</w:t>
      </w:r>
    </w:p>
    <w:p w:rsidR="00B54C8D" w:rsidRPr="00CA61A6" w:rsidRDefault="002335DA" w:rsidP="007B3478">
      <w:pPr>
        <w:pStyle w:val="enumlev2"/>
        <w:rPr>
          <w:szCs w:val="24"/>
          <w:lang w:eastAsia="ja-JP"/>
        </w:rPr>
      </w:pPr>
      <w:r w:rsidRPr="00CA61A6">
        <w:rPr>
          <w:lang w:eastAsia="ja-JP"/>
        </w:rPr>
        <w:t>3)</w:t>
      </w:r>
      <w:r w:rsidRPr="00CA61A6">
        <w:rPr>
          <w:lang w:eastAsia="ja-JP"/>
        </w:rPr>
        <w:tab/>
      </w:r>
      <w:r w:rsidR="00FB5B27" w:rsidRPr="00CA61A6">
        <w:rPr>
          <w:lang w:eastAsia="ja-JP"/>
        </w:rPr>
        <w:t>P</w:t>
      </w:r>
      <w:r w:rsidR="00F21C2C" w:rsidRPr="00CA61A6">
        <w:rPr>
          <w:lang w:eastAsia="ja-JP"/>
        </w:rPr>
        <w:t>roporciona</w:t>
      </w:r>
      <w:r w:rsidR="000D725F" w:rsidRPr="00CA61A6">
        <w:rPr>
          <w:lang w:eastAsia="ja-JP"/>
        </w:rPr>
        <w:t xml:space="preserve"> una estructura normalizada y flexible </w:t>
      </w:r>
      <w:r w:rsidR="00FB5B27" w:rsidRPr="00CA61A6">
        <w:rPr>
          <w:lang w:eastAsia="ja-JP"/>
        </w:rPr>
        <w:t>par</w:t>
      </w:r>
      <w:r w:rsidR="000D725F" w:rsidRPr="00CA61A6">
        <w:rPr>
          <w:lang w:eastAsia="ja-JP"/>
        </w:rPr>
        <w:t>a todas las reuniones (plazos, contribuciones tardías, reservas respecto de documentos, etc.)</w:t>
      </w:r>
      <w:r w:rsidR="00FB5B27" w:rsidRPr="00CA61A6">
        <w:rPr>
          <w:lang w:eastAsia="ja-JP"/>
        </w:rPr>
        <w:t>.</w:t>
      </w:r>
    </w:p>
    <w:p w:rsidR="00B54C8D" w:rsidRPr="00CA61A6" w:rsidRDefault="002335DA" w:rsidP="007B3478">
      <w:pPr>
        <w:pStyle w:val="enumlev2"/>
        <w:rPr>
          <w:szCs w:val="24"/>
          <w:lang w:eastAsia="ja-JP"/>
        </w:rPr>
      </w:pPr>
      <w:r w:rsidRPr="00CA61A6">
        <w:rPr>
          <w:lang w:eastAsia="ja-JP"/>
        </w:rPr>
        <w:lastRenderedPageBreak/>
        <w:t>4)</w:t>
      </w:r>
      <w:r w:rsidRPr="00CA61A6">
        <w:rPr>
          <w:lang w:eastAsia="ja-JP"/>
        </w:rPr>
        <w:tab/>
      </w:r>
      <w:r w:rsidR="00FB5B27" w:rsidRPr="00CA61A6">
        <w:rPr>
          <w:lang w:eastAsia="ja-JP"/>
        </w:rPr>
        <w:t>D</w:t>
      </w:r>
      <w:r w:rsidR="00A6439E" w:rsidRPr="00CA61A6">
        <w:t>etermina un sistema de denominación y numeración de documentos en todo</w:t>
      </w:r>
      <w:r w:rsidR="00D312F0">
        <w:t xml:space="preserve"> el </w:t>
      </w:r>
      <w:r w:rsidR="00F21C2C" w:rsidRPr="00CA61A6">
        <w:t>UIT-T</w:t>
      </w:r>
      <w:r w:rsidR="00FB5B27" w:rsidRPr="00CA61A6">
        <w:t>.</w:t>
      </w:r>
    </w:p>
    <w:p w:rsidR="00B54C8D" w:rsidRPr="00CA61A6" w:rsidRDefault="002335DA" w:rsidP="007B3478">
      <w:pPr>
        <w:pStyle w:val="enumlev2"/>
        <w:rPr>
          <w:szCs w:val="24"/>
          <w:lang w:eastAsia="ja-JP"/>
        </w:rPr>
      </w:pPr>
      <w:r w:rsidRPr="00CA61A6">
        <w:rPr>
          <w:lang w:eastAsia="ja-JP"/>
        </w:rPr>
        <w:t>5)</w:t>
      </w:r>
      <w:r w:rsidRPr="00CA61A6">
        <w:rPr>
          <w:lang w:eastAsia="ja-JP"/>
        </w:rPr>
        <w:tab/>
      </w:r>
      <w:r w:rsidR="00FB5B27" w:rsidRPr="00CA61A6">
        <w:rPr>
          <w:lang w:eastAsia="ja-JP"/>
        </w:rPr>
        <w:t>U</w:t>
      </w:r>
      <w:r w:rsidR="006372EF" w:rsidRPr="00CA61A6">
        <w:rPr>
          <w:lang w:eastAsia="ja-JP"/>
        </w:rPr>
        <w:t>tiliza</w:t>
      </w:r>
      <w:r w:rsidR="00F21C2C" w:rsidRPr="00CA61A6">
        <w:rPr>
          <w:lang w:eastAsia="ja-JP"/>
        </w:rPr>
        <w:t xml:space="preserve"> una única plantilla </w:t>
      </w:r>
      <w:r w:rsidR="006372EF" w:rsidRPr="00CA61A6">
        <w:rPr>
          <w:lang w:eastAsia="ja-JP"/>
        </w:rPr>
        <w:t>normalizada</w:t>
      </w:r>
      <w:r w:rsidR="00F21C2C" w:rsidRPr="00CA61A6">
        <w:rPr>
          <w:lang w:eastAsia="ja-JP"/>
        </w:rPr>
        <w:t xml:space="preserve"> para todos los documentos</w:t>
      </w:r>
      <w:r w:rsidR="00FB5B27" w:rsidRPr="00CA61A6">
        <w:rPr>
          <w:lang w:eastAsia="ja-JP"/>
        </w:rPr>
        <w:t>, y</w:t>
      </w:r>
      <w:r w:rsidR="00F21C2C" w:rsidRPr="00CA61A6">
        <w:rPr>
          <w:lang w:eastAsia="ja-JP"/>
        </w:rPr>
        <w:t xml:space="preserve"> reutiliza documentos sin necesidad de</w:t>
      </w:r>
      <w:r w:rsidR="006372EF" w:rsidRPr="00CA61A6">
        <w:rPr>
          <w:lang w:eastAsia="ja-JP"/>
        </w:rPr>
        <w:t xml:space="preserve"> modificar su fo</w:t>
      </w:r>
      <w:r w:rsidR="00F21C2C" w:rsidRPr="00CA61A6">
        <w:rPr>
          <w:lang w:eastAsia="ja-JP"/>
        </w:rPr>
        <w:t>rmato (por ejemplo</w:t>
      </w:r>
      <w:r w:rsidR="006372EF" w:rsidRPr="00CA61A6">
        <w:rPr>
          <w:lang w:eastAsia="ja-JP"/>
        </w:rPr>
        <w:t>,</w:t>
      </w:r>
      <w:r w:rsidR="00E63716" w:rsidRPr="00CA61A6">
        <w:rPr>
          <w:lang w:eastAsia="ja-JP"/>
        </w:rPr>
        <w:t xml:space="preserve"> C a TD, TD a </w:t>
      </w:r>
      <w:r w:rsidR="00F21C2C" w:rsidRPr="00CA61A6">
        <w:rPr>
          <w:lang w:eastAsia="ja-JP"/>
        </w:rPr>
        <w:t>C)</w:t>
      </w:r>
      <w:r w:rsidR="00FB5B27" w:rsidRPr="00CA61A6">
        <w:rPr>
          <w:lang w:eastAsia="ja-JP"/>
        </w:rPr>
        <w:t>.</w:t>
      </w:r>
    </w:p>
    <w:p w:rsidR="00B54C8D" w:rsidRPr="00CA61A6" w:rsidRDefault="002335DA" w:rsidP="007B3478">
      <w:pPr>
        <w:pStyle w:val="enumlev2"/>
        <w:rPr>
          <w:szCs w:val="24"/>
          <w:lang w:eastAsia="ja-JP"/>
        </w:rPr>
      </w:pPr>
      <w:r w:rsidRPr="00CA61A6">
        <w:rPr>
          <w:lang w:eastAsia="ja-JP"/>
        </w:rPr>
        <w:t>6)</w:t>
      </w:r>
      <w:r w:rsidRPr="00CA61A6">
        <w:rPr>
          <w:lang w:eastAsia="ja-JP"/>
        </w:rPr>
        <w:tab/>
      </w:r>
      <w:r w:rsidR="00FB5B27" w:rsidRPr="00CA61A6">
        <w:rPr>
          <w:lang w:eastAsia="ja-JP"/>
        </w:rPr>
        <w:t>P</w:t>
      </w:r>
      <w:r w:rsidR="006372EF" w:rsidRPr="00CA61A6">
        <w:rPr>
          <w:lang w:eastAsia="ja-JP"/>
        </w:rPr>
        <w:t xml:space="preserve">osee </w:t>
      </w:r>
      <w:r w:rsidR="006372EF" w:rsidRPr="00CA61A6">
        <w:t>capacidades de generación de informes y búsqueda</w:t>
      </w:r>
      <w:r w:rsidR="00FB5B27" w:rsidRPr="00CA61A6">
        <w:t>.</w:t>
      </w:r>
    </w:p>
    <w:p w:rsidR="00B54C8D" w:rsidRPr="00CA61A6" w:rsidRDefault="002335DA" w:rsidP="007B3478">
      <w:pPr>
        <w:pStyle w:val="enumlev2"/>
        <w:rPr>
          <w:szCs w:val="24"/>
          <w:lang w:eastAsia="ja-JP"/>
        </w:rPr>
      </w:pPr>
      <w:r w:rsidRPr="00CA61A6">
        <w:rPr>
          <w:lang w:eastAsia="ja-JP"/>
        </w:rPr>
        <w:t>7)</w:t>
      </w:r>
      <w:r w:rsidRPr="00CA61A6">
        <w:rPr>
          <w:lang w:eastAsia="ja-JP"/>
        </w:rPr>
        <w:tab/>
      </w:r>
      <w:r w:rsidR="00FB5B27" w:rsidRPr="00CA61A6">
        <w:rPr>
          <w:lang w:eastAsia="ja-JP"/>
        </w:rPr>
        <w:t>P</w:t>
      </w:r>
      <w:r w:rsidR="006372EF" w:rsidRPr="00CA61A6">
        <w:rPr>
          <w:lang w:eastAsia="ja-JP"/>
        </w:rPr>
        <w:t xml:space="preserve">resenta características de seguridad para establecer permisos de carga y proteger el trabajo de los autores de </w:t>
      </w:r>
      <w:r w:rsidR="00FB5B27" w:rsidRPr="00CA61A6">
        <w:rPr>
          <w:lang w:eastAsia="ja-JP"/>
        </w:rPr>
        <w:t xml:space="preserve">las </w:t>
      </w:r>
      <w:r w:rsidR="006372EF" w:rsidRPr="00CA61A6">
        <w:rPr>
          <w:lang w:eastAsia="ja-JP"/>
        </w:rPr>
        <w:t>contribuciones</w:t>
      </w:r>
      <w:r w:rsidR="00FB5B27" w:rsidRPr="00CA61A6">
        <w:rPr>
          <w:lang w:eastAsia="ja-JP"/>
        </w:rPr>
        <w:t>.</w:t>
      </w:r>
    </w:p>
    <w:p w:rsidR="00B54C8D" w:rsidRPr="00CA61A6" w:rsidRDefault="002335DA" w:rsidP="007B3478">
      <w:pPr>
        <w:pStyle w:val="enumlev2"/>
        <w:rPr>
          <w:szCs w:val="24"/>
          <w:lang w:eastAsia="ja-JP"/>
        </w:rPr>
      </w:pPr>
      <w:r w:rsidRPr="00CA61A6">
        <w:rPr>
          <w:lang w:eastAsia="ja-JP"/>
        </w:rPr>
        <w:t>8)</w:t>
      </w:r>
      <w:r w:rsidRPr="00CA61A6">
        <w:rPr>
          <w:lang w:eastAsia="ja-JP"/>
        </w:rPr>
        <w:tab/>
      </w:r>
      <w:r w:rsidR="00FB5B27" w:rsidRPr="00CA61A6">
        <w:rPr>
          <w:lang w:eastAsia="ja-JP"/>
        </w:rPr>
        <w:t>D</w:t>
      </w:r>
      <w:r w:rsidR="006372EF" w:rsidRPr="00CA61A6">
        <w:rPr>
          <w:lang w:eastAsia="ja-JP"/>
        </w:rPr>
        <w:t>ispone de una interfaz web fácil de utilizar, sobre todo, en lo que atañe a la carga o la visualización de doc</w:t>
      </w:r>
      <w:r w:rsidR="00FB5B27" w:rsidRPr="00CA61A6">
        <w:rPr>
          <w:lang w:eastAsia="ja-JP"/>
        </w:rPr>
        <w:t>umentos.</w:t>
      </w:r>
    </w:p>
    <w:p w:rsidR="00B54C8D" w:rsidRPr="00CA61A6" w:rsidRDefault="002335DA" w:rsidP="007B3478">
      <w:pPr>
        <w:pStyle w:val="enumlev2"/>
        <w:rPr>
          <w:szCs w:val="24"/>
          <w:lang w:eastAsia="ja-JP"/>
        </w:rPr>
      </w:pPr>
      <w:r w:rsidRPr="00CA61A6">
        <w:rPr>
          <w:lang w:eastAsia="ja-JP"/>
        </w:rPr>
        <w:t>9)</w:t>
      </w:r>
      <w:r w:rsidRPr="00CA61A6">
        <w:rPr>
          <w:lang w:eastAsia="ja-JP"/>
        </w:rPr>
        <w:tab/>
      </w:r>
      <w:r w:rsidR="00FB5B27" w:rsidRPr="00CA61A6">
        <w:rPr>
          <w:lang w:eastAsia="ja-JP"/>
        </w:rPr>
        <w:t>U</w:t>
      </w:r>
      <w:r w:rsidR="006372EF" w:rsidRPr="00CA61A6">
        <w:rPr>
          <w:lang w:eastAsia="ja-JP"/>
        </w:rPr>
        <w:t xml:space="preserve">tiliza características avanzadas de SharePoint, </w:t>
      </w:r>
      <w:r w:rsidR="006372EF" w:rsidRPr="00CA61A6">
        <w:t xml:space="preserve">tales como las de búsqueda y clasificación, notificación/noticias RSS, </w:t>
      </w:r>
      <w:r w:rsidR="006372EF" w:rsidRPr="00CA61A6">
        <w:rPr>
          <w:lang w:eastAsia="ja-JP"/>
        </w:rPr>
        <w:t>compresión y descarga</w:t>
      </w:r>
      <w:r w:rsidR="00B54C8D" w:rsidRPr="00CA61A6">
        <w:rPr>
          <w:lang w:eastAsia="ja-JP"/>
        </w:rPr>
        <w:t>, etc.</w:t>
      </w:r>
    </w:p>
    <w:p w:rsidR="00B54C8D" w:rsidRPr="00CA61A6" w:rsidRDefault="002335DA" w:rsidP="007B3478">
      <w:pPr>
        <w:pStyle w:val="enumlev2"/>
        <w:rPr>
          <w:szCs w:val="24"/>
          <w:lang w:eastAsia="ja-JP"/>
        </w:rPr>
      </w:pPr>
      <w:r w:rsidRPr="00CA61A6">
        <w:rPr>
          <w:lang w:eastAsia="ja-JP"/>
        </w:rPr>
        <w:t>10)</w:t>
      </w:r>
      <w:r w:rsidRPr="00CA61A6">
        <w:rPr>
          <w:lang w:eastAsia="ja-JP"/>
        </w:rPr>
        <w:tab/>
      </w:r>
      <w:r w:rsidR="00FB5B27" w:rsidRPr="00CA61A6">
        <w:t>U</w:t>
      </w:r>
      <w:r w:rsidR="00C04FD1" w:rsidRPr="00CA61A6">
        <w:t>tiliza un solo sistema (MS SharePoint) para todas las colaboraciones</w:t>
      </w:r>
      <w:r w:rsidR="00B54C8D" w:rsidRPr="00CA61A6">
        <w:rPr>
          <w:lang w:eastAsia="ja-JP"/>
        </w:rPr>
        <w:t>.</w:t>
      </w:r>
    </w:p>
    <w:p w:rsidR="00B54C8D" w:rsidRPr="00CA61A6" w:rsidRDefault="000E291F" w:rsidP="007B3478">
      <w:pPr>
        <w:pStyle w:val="enumlev1"/>
        <w:rPr>
          <w:szCs w:val="24"/>
          <w:lang w:eastAsia="ja-JP"/>
        </w:rPr>
      </w:pPr>
      <w:r w:rsidRPr="00CA61A6">
        <w:rPr>
          <w:lang w:eastAsia="ja-JP"/>
        </w:rPr>
        <w:tab/>
      </w:r>
      <w:r w:rsidR="00D3489D" w:rsidRPr="00CA61A6">
        <w:t xml:space="preserve">La versión beta del nuevo sistema </w:t>
      </w:r>
      <w:r w:rsidR="00695F60" w:rsidRPr="00CA61A6">
        <w:t>aplicable a este tipo de reuniones</w:t>
      </w:r>
      <w:r w:rsidR="00D3489D" w:rsidRPr="00CA61A6">
        <w:t xml:space="preserve"> se puso a disposición de </w:t>
      </w:r>
      <w:r w:rsidR="00695F60" w:rsidRPr="00CA61A6">
        <w:t>ciertos</w:t>
      </w:r>
      <w:r w:rsidR="00D3489D" w:rsidRPr="00CA61A6">
        <w:t xml:space="preserve"> </w:t>
      </w:r>
      <w:r w:rsidR="00695F60" w:rsidRPr="00CA61A6">
        <w:t>G</w:t>
      </w:r>
      <w:r w:rsidR="00D3489D" w:rsidRPr="00CA61A6">
        <w:t>rupos de Relator en diciembre de 2015</w:t>
      </w:r>
      <w:r w:rsidR="00B54C8D" w:rsidRPr="00CA61A6">
        <w:rPr>
          <w:lang w:eastAsia="ja-JP"/>
        </w:rPr>
        <w:t>.</w:t>
      </w:r>
      <w:r w:rsidR="006372EF" w:rsidRPr="00CA61A6">
        <w:t xml:space="preserve"> </w:t>
      </w:r>
      <w:r w:rsidR="006372EF" w:rsidRPr="00CA61A6">
        <w:rPr>
          <w:lang w:eastAsia="ja-JP"/>
        </w:rPr>
        <w:t>Actualmente se reúnen las condiciones necesarias para realizar pruebas más amplias y se están organizando reuniones de voluntarios para poner</w:t>
      </w:r>
      <w:r w:rsidR="00262EAE" w:rsidRPr="00CA61A6">
        <w:rPr>
          <w:lang w:eastAsia="ja-JP"/>
        </w:rPr>
        <w:t>la</w:t>
      </w:r>
      <w:r w:rsidR="006372EF" w:rsidRPr="00CA61A6">
        <w:rPr>
          <w:lang w:eastAsia="ja-JP"/>
        </w:rPr>
        <w:t xml:space="preserve"> a prueba en condiciones reales.</w:t>
      </w:r>
      <w:r w:rsidR="00262EAE" w:rsidRPr="00CA61A6">
        <w:rPr>
          <w:lang w:eastAsia="ja-JP"/>
        </w:rPr>
        <w:t xml:space="preserve"> </w:t>
      </w:r>
      <w:r w:rsidR="00D3489D" w:rsidRPr="00CA61A6">
        <w:t>Tan pronto</w:t>
      </w:r>
      <w:r w:rsidR="00695F60" w:rsidRPr="00CA61A6">
        <w:t xml:space="preserve"> como</w:t>
      </w:r>
      <w:r w:rsidR="00D3489D" w:rsidRPr="00CA61A6">
        <w:t xml:space="preserve"> se disponga de todos los comentarios</w:t>
      </w:r>
      <w:r w:rsidR="00695F60" w:rsidRPr="00CA61A6">
        <w:t xml:space="preserve"> y contribuciones</w:t>
      </w:r>
      <w:r w:rsidR="00D3489D" w:rsidRPr="00CA61A6">
        <w:t xml:space="preserve"> de los usuarios y se hayan realizado los cambios indispensables o solucionado los problemas, se publicará oficialmente y se pondrá a disposición de todas las Comisiones de Estudio</w:t>
      </w:r>
      <w:r w:rsidR="00B54C8D" w:rsidRPr="00CA61A6">
        <w:rPr>
          <w:lang w:eastAsia="ja-JP"/>
        </w:rPr>
        <w:t>.</w:t>
      </w:r>
    </w:p>
    <w:p w:rsidR="00B54C8D" w:rsidRPr="00CA61A6" w:rsidRDefault="00EE6D77" w:rsidP="008235F4">
      <w:pPr>
        <w:pStyle w:val="enumlev1"/>
        <w:keepNext/>
        <w:keepLines/>
        <w:rPr>
          <w:szCs w:val="24"/>
          <w:lang w:eastAsia="ja-JP"/>
        </w:rPr>
      </w:pPr>
      <w:r w:rsidRPr="00CA61A6">
        <w:rPr>
          <w:lang w:eastAsia="ja-JP"/>
        </w:rPr>
        <w:t>•</w:t>
      </w:r>
      <w:r w:rsidRPr="00CA61A6">
        <w:rPr>
          <w:lang w:eastAsia="ja-JP"/>
        </w:rPr>
        <w:tab/>
      </w:r>
      <w:r w:rsidR="008F49F2" w:rsidRPr="00CA61A6">
        <w:t xml:space="preserve">Desde enero de 2014, Adobe Connect es la herramienta de participación a distancia utilizada por la TSB para todas las reuniones oficiales del UIT-T que se celebran en la </w:t>
      </w:r>
      <w:r w:rsidR="000C7BF1" w:rsidRPr="00CA61A6">
        <w:t xml:space="preserve">Sede </w:t>
      </w:r>
      <w:r w:rsidR="008F49F2" w:rsidRPr="00CA61A6">
        <w:t>de la UIT en Ginebra. Además, los usuarios pueden emplear su cuenta TIES para acceder a las sesiones para las que hay que registrarse</w:t>
      </w:r>
      <w:r w:rsidR="00B54C8D" w:rsidRPr="00CA61A6">
        <w:rPr>
          <w:szCs w:val="24"/>
          <w:lang w:eastAsia="ja-JP"/>
        </w:rPr>
        <w:t xml:space="preserve">. </w:t>
      </w:r>
      <w:r w:rsidR="006E71AC" w:rsidRPr="00CA61A6">
        <w:rPr>
          <w:szCs w:val="24"/>
          <w:lang w:eastAsia="ja-JP"/>
        </w:rPr>
        <w:t>Estas dos posibilidades</w:t>
      </w:r>
      <w:r w:rsidR="00B54C8D" w:rsidRPr="00CA61A6">
        <w:rPr>
          <w:szCs w:val="24"/>
          <w:lang w:eastAsia="ja-JP"/>
        </w:rPr>
        <w:t xml:space="preserve">, </w:t>
      </w:r>
      <w:r w:rsidR="006E71AC" w:rsidRPr="00114270">
        <w:t>sesiones</w:t>
      </w:r>
      <w:r w:rsidR="006E71AC" w:rsidRPr="00114270">
        <w:rPr>
          <w:szCs w:val="24"/>
          <w:lang w:eastAsia="ja-JP"/>
        </w:rPr>
        <w:t xml:space="preserve"> </w:t>
      </w:r>
      <w:r w:rsidR="006E71AC" w:rsidRPr="00114270">
        <w:rPr>
          <w:b/>
          <w:bCs/>
        </w:rPr>
        <w:t>TIES</w:t>
      </w:r>
      <w:r w:rsidR="006E71AC" w:rsidRPr="00CA61A6">
        <w:t xml:space="preserve"> o </w:t>
      </w:r>
      <w:r w:rsidR="006E71AC" w:rsidRPr="00114270">
        <w:rPr>
          <w:b/>
          <w:bCs/>
        </w:rPr>
        <w:t>abiertas a invitados</w:t>
      </w:r>
      <w:r w:rsidR="00B54C8D" w:rsidRPr="00CA61A6">
        <w:rPr>
          <w:szCs w:val="24"/>
          <w:lang w:eastAsia="ja-JP"/>
        </w:rPr>
        <w:t xml:space="preserve">, </w:t>
      </w:r>
      <w:r w:rsidR="002B4005">
        <w:rPr>
          <w:szCs w:val="24"/>
          <w:lang w:eastAsia="ja-JP"/>
        </w:rPr>
        <w:t>o</w:t>
      </w:r>
      <w:r w:rsidR="006E71AC" w:rsidRPr="00CA61A6">
        <w:rPr>
          <w:szCs w:val="24"/>
          <w:lang w:eastAsia="ja-JP"/>
        </w:rPr>
        <w:t xml:space="preserve">frecen mayor flexibilidad y seguridad </w:t>
      </w:r>
      <w:r w:rsidR="00695F60" w:rsidRPr="00CA61A6">
        <w:rPr>
          <w:szCs w:val="24"/>
          <w:lang w:eastAsia="ja-JP"/>
        </w:rPr>
        <w:t>a la hora de organizar</w:t>
      </w:r>
      <w:r w:rsidR="006E71AC" w:rsidRPr="00CA61A6">
        <w:rPr>
          <w:szCs w:val="24"/>
          <w:lang w:eastAsia="ja-JP"/>
        </w:rPr>
        <w:t xml:space="preserve"> las sesiones y simplifican el proceso de registro de los participantes</w:t>
      </w:r>
      <w:r w:rsidR="00B54C8D" w:rsidRPr="00CA61A6">
        <w:rPr>
          <w:szCs w:val="24"/>
          <w:lang w:eastAsia="ja-JP"/>
        </w:rPr>
        <w:t>.</w:t>
      </w:r>
    </w:p>
    <w:p w:rsidR="00B54C8D" w:rsidRPr="00CA61A6" w:rsidRDefault="00EE6D77" w:rsidP="007B3478">
      <w:pPr>
        <w:pStyle w:val="enumlev1"/>
        <w:rPr>
          <w:szCs w:val="24"/>
          <w:lang w:eastAsia="ja-JP"/>
        </w:rPr>
      </w:pPr>
      <w:r w:rsidRPr="00CA61A6">
        <w:rPr>
          <w:lang w:eastAsia="ja-JP"/>
        </w:rPr>
        <w:t>•</w:t>
      </w:r>
      <w:r w:rsidRPr="00CA61A6">
        <w:rPr>
          <w:lang w:eastAsia="ja-JP"/>
        </w:rPr>
        <w:tab/>
      </w:r>
      <w:r w:rsidR="00383107" w:rsidRPr="00CA61A6">
        <w:rPr>
          <w:szCs w:val="24"/>
          <w:lang w:eastAsia="ja-JP"/>
        </w:rPr>
        <w:t>En</w:t>
      </w:r>
      <w:r w:rsidR="00B54C8D" w:rsidRPr="00CA61A6">
        <w:rPr>
          <w:szCs w:val="24"/>
          <w:lang w:eastAsia="ja-JP"/>
        </w:rPr>
        <w:t xml:space="preserve"> 2015, </w:t>
      </w:r>
      <w:r w:rsidR="00383107" w:rsidRPr="00CA61A6">
        <w:t xml:space="preserve">la TSB organizó </w:t>
      </w:r>
      <w:r w:rsidR="00B54C8D" w:rsidRPr="00CA61A6">
        <w:rPr>
          <w:b/>
          <w:bCs/>
          <w:szCs w:val="24"/>
          <w:lang w:eastAsia="ja-JP"/>
        </w:rPr>
        <w:t>1</w:t>
      </w:r>
      <w:r w:rsidR="001B4BAD" w:rsidRPr="00CA61A6">
        <w:rPr>
          <w:b/>
          <w:bCs/>
          <w:szCs w:val="24"/>
          <w:lang w:eastAsia="ja-JP"/>
        </w:rPr>
        <w:t> </w:t>
      </w:r>
      <w:r w:rsidR="00B54C8D" w:rsidRPr="00CA61A6">
        <w:rPr>
          <w:b/>
          <w:bCs/>
          <w:szCs w:val="24"/>
          <w:lang w:eastAsia="ja-JP"/>
        </w:rPr>
        <w:t>125</w:t>
      </w:r>
      <w:r w:rsidR="00B54C8D" w:rsidRPr="00CA61A6">
        <w:rPr>
          <w:lang w:eastAsia="ja-JP"/>
        </w:rPr>
        <w:t xml:space="preserve"> </w:t>
      </w:r>
      <w:r w:rsidR="00383107" w:rsidRPr="00CA61A6">
        <w:t xml:space="preserve">reuniones </w:t>
      </w:r>
      <w:r w:rsidR="00262EAE" w:rsidRPr="00CA61A6">
        <w:t>virtuales</w:t>
      </w:r>
      <w:r w:rsidR="00383107" w:rsidRPr="00CA61A6">
        <w:t xml:space="preserve"> con GoToMeeting y Adobe Connect, que contaron con</w:t>
      </w:r>
      <w:r w:rsidR="00B54C8D" w:rsidRPr="00CA61A6">
        <w:rPr>
          <w:lang w:eastAsia="ja-JP"/>
        </w:rPr>
        <w:t xml:space="preserve"> </w:t>
      </w:r>
      <w:r w:rsidR="00B54C8D" w:rsidRPr="00CA61A6">
        <w:rPr>
          <w:b/>
          <w:bCs/>
          <w:szCs w:val="24"/>
          <w:lang w:eastAsia="ja-JP"/>
        </w:rPr>
        <w:t>5</w:t>
      </w:r>
      <w:r w:rsidR="001B4BAD" w:rsidRPr="00CA61A6">
        <w:rPr>
          <w:b/>
          <w:bCs/>
          <w:szCs w:val="24"/>
          <w:lang w:eastAsia="ja-JP"/>
        </w:rPr>
        <w:t> </w:t>
      </w:r>
      <w:r w:rsidR="00B54C8D" w:rsidRPr="00CA61A6">
        <w:rPr>
          <w:b/>
          <w:bCs/>
          <w:szCs w:val="24"/>
          <w:lang w:eastAsia="ja-JP"/>
        </w:rPr>
        <w:t>411</w:t>
      </w:r>
      <w:r w:rsidR="00B54C8D" w:rsidRPr="00CA61A6">
        <w:rPr>
          <w:szCs w:val="24"/>
          <w:lang w:eastAsia="ja-JP"/>
        </w:rPr>
        <w:t xml:space="preserve"> </w:t>
      </w:r>
      <w:r w:rsidR="00383107" w:rsidRPr="00CA61A6">
        <w:t>participantes en línea.</w:t>
      </w:r>
    </w:p>
    <w:p w:rsidR="00B54C8D" w:rsidRPr="00CA61A6" w:rsidRDefault="00EE6D77" w:rsidP="007B3478">
      <w:pPr>
        <w:pStyle w:val="enumlev1"/>
        <w:rPr>
          <w:lang w:eastAsia="ja-JP"/>
        </w:rPr>
      </w:pPr>
      <w:r w:rsidRPr="00CA61A6">
        <w:rPr>
          <w:lang w:eastAsia="ja-JP"/>
        </w:rPr>
        <w:t>•</w:t>
      </w:r>
      <w:r w:rsidRPr="00CA61A6">
        <w:rPr>
          <w:lang w:eastAsia="ja-JP"/>
        </w:rPr>
        <w:tab/>
      </w:r>
      <w:r w:rsidR="00262EAE" w:rsidRPr="00CA61A6">
        <w:t xml:space="preserve">A fin de </w:t>
      </w:r>
      <w:r w:rsidR="00695F60" w:rsidRPr="00CA61A6">
        <w:t>permitir</w:t>
      </w:r>
      <w:r w:rsidR="00262EAE" w:rsidRPr="00CA61A6">
        <w:t xml:space="preserve"> nuevas características tales como la comprobación de</w:t>
      </w:r>
      <w:r w:rsidR="00695F60" w:rsidRPr="00CA61A6">
        <w:t xml:space="preserve"> la</w:t>
      </w:r>
      <w:r w:rsidR="00262EAE" w:rsidRPr="00CA61A6">
        <w:t xml:space="preserve"> integridad de los datos mediante firma digital, la gestión de la información basada en las funciones, la privacidad de los datos y otras capacidades avanzadas de gestión de la información, a las siguientes entradas de bases de datos se les han asignado identificadores exclusivos y permanentes</w:t>
      </w:r>
      <w:r w:rsidR="00695F60" w:rsidRPr="00CA61A6">
        <w:t>,</w:t>
      </w:r>
      <w:r w:rsidR="00262EAE" w:rsidRPr="00CA61A6">
        <w:t xml:space="preserve"> y sus correspondientes registros se han estructurado con arreglo a la Arquitectura de Objetos Digitales</w:t>
      </w:r>
      <w:r w:rsidR="00B54C8D" w:rsidRPr="00CA61A6">
        <w:rPr>
          <w:lang w:eastAsia="ja-JP"/>
        </w:rPr>
        <w:t xml:space="preserve">: </w:t>
      </w:r>
      <w:r w:rsidR="003E14A2" w:rsidRPr="00CA61A6">
        <w:rPr>
          <w:lang w:eastAsia="ja-JP"/>
        </w:rPr>
        <w:t>Recomendaciones del UIT-T; Declaraciones de conformidad del UIT-T; Patentes y Derechos de Autor de software del UIT-T; Descripciones formales e Identificadores de objetos del UIT-T; Señales de Prueba del UIT-T; y Declaraciones de Coordinación del UIT-T.</w:t>
      </w:r>
    </w:p>
    <w:p w:rsidR="00B54C8D" w:rsidRPr="00CA61A6" w:rsidRDefault="002B66D6" w:rsidP="007B3478">
      <w:pPr>
        <w:pStyle w:val="enumlev1"/>
        <w:rPr>
          <w:szCs w:val="24"/>
          <w:lang w:eastAsia="ja-JP"/>
        </w:rPr>
      </w:pPr>
      <w:r w:rsidRPr="00CA61A6">
        <w:rPr>
          <w:lang w:eastAsia="ja-JP"/>
        </w:rPr>
        <w:t>•</w:t>
      </w:r>
      <w:r w:rsidRPr="00CA61A6">
        <w:rPr>
          <w:lang w:eastAsia="ja-JP"/>
        </w:rPr>
        <w:tab/>
        <w:t xml:space="preserve">El 16 de septiembre de 2015, la CE 3 puso en marcha la versión básica de la </w:t>
      </w:r>
      <w:r w:rsidR="006D784E" w:rsidRPr="00CA61A6">
        <w:t xml:space="preserve">herramienta de la UIT para el análisis de los costes de la itinerancia móvil internacional </w:t>
      </w:r>
      <w:r w:rsidRPr="00CA61A6">
        <w:t>(IMR)</w:t>
      </w:r>
      <w:r w:rsidRPr="00CA61A6">
        <w:rPr>
          <w:lang w:eastAsia="ja-JP"/>
        </w:rPr>
        <w:t>. Esta herramienta en línea se basa en un documento técnico</w:t>
      </w:r>
      <w:r w:rsidR="008879E1" w:rsidRPr="00CA61A6">
        <w:rPr>
          <w:lang w:eastAsia="ja-JP"/>
        </w:rPr>
        <w:t xml:space="preserve"> que se publicó</w:t>
      </w:r>
      <w:r w:rsidRPr="00CA61A6">
        <w:rPr>
          <w:lang w:eastAsia="ja-JP"/>
        </w:rPr>
        <w:t xml:space="preserve"> en septiembre de 2015, y ha sido concebida como una guía en materia de </w:t>
      </w:r>
      <w:r w:rsidR="008879E1" w:rsidRPr="00CA61A6">
        <w:t>análisis de los costes de la IMR</w:t>
      </w:r>
      <w:r w:rsidRPr="00CA61A6">
        <w:rPr>
          <w:lang w:eastAsia="ja-JP"/>
        </w:rPr>
        <w:t xml:space="preserve"> para las autoridades nacionales de reglamentación (ANR).</w:t>
      </w:r>
      <w:r w:rsidR="006D784E" w:rsidRPr="00CA61A6">
        <w:rPr>
          <w:lang w:eastAsia="ja-JP"/>
        </w:rPr>
        <w:t xml:space="preserve"> Su objetivo es </w:t>
      </w:r>
      <w:r w:rsidRPr="00CA61A6">
        <w:rPr>
          <w:lang w:eastAsia="ja-JP"/>
        </w:rPr>
        <w:t xml:space="preserve">ayudar a </w:t>
      </w:r>
      <w:r w:rsidR="006D784E" w:rsidRPr="00CA61A6">
        <w:rPr>
          <w:lang w:eastAsia="ja-JP"/>
        </w:rPr>
        <w:t>las</w:t>
      </w:r>
      <w:r w:rsidRPr="00CA61A6">
        <w:rPr>
          <w:lang w:eastAsia="ja-JP"/>
        </w:rPr>
        <w:t xml:space="preserve"> ANR </w:t>
      </w:r>
      <w:r w:rsidR="006D784E" w:rsidRPr="00CA61A6">
        <w:t>a calcular los costes reales de una llamada telefónica móvil internacional itinerante, en comparación con una llamada telefónica nacional. Dicha herramienta p</w:t>
      </w:r>
      <w:r w:rsidRPr="00CA61A6">
        <w:rPr>
          <w:lang w:eastAsia="ja-JP"/>
        </w:rPr>
        <w:t>roporciona</w:t>
      </w:r>
      <w:r w:rsidR="006D784E" w:rsidRPr="00CA61A6">
        <w:rPr>
          <w:lang w:eastAsia="ja-JP"/>
        </w:rPr>
        <w:t xml:space="preserve"> una</w:t>
      </w:r>
      <w:r w:rsidRPr="00CA61A6">
        <w:rPr>
          <w:lang w:eastAsia="ja-JP"/>
        </w:rPr>
        <w:t xml:space="preserve"> estimación basada en los costos </w:t>
      </w:r>
      <w:r w:rsidR="00DE3C6A" w:rsidRPr="00CA61A6">
        <w:rPr>
          <w:lang w:eastAsia="ja-JP"/>
        </w:rPr>
        <w:t xml:space="preserve">de funcionamiento e </w:t>
      </w:r>
      <w:r w:rsidRPr="00CA61A6">
        <w:rPr>
          <w:lang w:eastAsia="ja-JP"/>
        </w:rPr>
        <w:t>infraestructura</w:t>
      </w:r>
      <w:r w:rsidR="006D784E" w:rsidRPr="00CA61A6">
        <w:rPr>
          <w:lang w:eastAsia="ja-JP"/>
        </w:rPr>
        <w:t xml:space="preserve"> de</w:t>
      </w:r>
      <w:r w:rsidRPr="00CA61A6">
        <w:rPr>
          <w:lang w:eastAsia="ja-JP"/>
        </w:rPr>
        <w:t xml:space="preserve">l tráfico de voz. </w:t>
      </w:r>
      <w:r w:rsidR="005504F5" w:rsidRPr="00CA61A6">
        <w:rPr>
          <w:lang w:eastAsia="ja-JP"/>
        </w:rPr>
        <w:t>En diciembre del año pasado, t</w:t>
      </w:r>
      <w:r w:rsidR="006D784E" w:rsidRPr="00CA61A6">
        <w:rPr>
          <w:lang w:eastAsia="ja-JP"/>
        </w:rPr>
        <w:t>ras su exitoso</w:t>
      </w:r>
      <w:r w:rsidRPr="00CA61A6">
        <w:rPr>
          <w:lang w:eastAsia="ja-JP"/>
        </w:rPr>
        <w:t xml:space="preserve"> lanzamiento, </w:t>
      </w:r>
      <w:r w:rsidR="005504F5" w:rsidRPr="00CA61A6">
        <w:rPr>
          <w:lang w:eastAsia="ja-JP"/>
        </w:rPr>
        <w:t xml:space="preserve">se puso a disposición </w:t>
      </w:r>
      <w:r w:rsidRPr="00CA61A6">
        <w:rPr>
          <w:lang w:eastAsia="ja-JP"/>
        </w:rPr>
        <w:t>una versión beta mejorada de la herramienta.</w:t>
      </w:r>
      <w:r w:rsidR="005504F5" w:rsidRPr="00CA61A6">
        <w:rPr>
          <w:lang w:eastAsia="ja-JP"/>
        </w:rPr>
        <w:t xml:space="preserve"> La </w:t>
      </w:r>
      <w:r w:rsidR="005504F5" w:rsidRPr="00CA61A6">
        <w:lastRenderedPageBreak/>
        <w:t>herramienta de la UIT para el análisis de los costes de la</w:t>
      </w:r>
      <w:r w:rsidRPr="00CA61A6">
        <w:rPr>
          <w:lang w:eastAsia="ja-JP"/>
        </w:rPr>
        <w:t xml:space="preserve"> </w:t>
      </w:r>
      <w:r w:rsidR="00DE3C6A" w:rsidRPr="00CA61A6">
        <w:t xml:space="preserve">itinerancia móvil internacional </w:t>
      </w:r>
      <w:r w:rsidRPr="00CA61A6">
        <w:rPr>
          <w:lang w:eastAsia="ja-JP"/>
        </w:rPr>
        <w:t xml:space="preserve">está disponible en: </w:t>
      </w:r>
      <w:hyperlink r:id="rId93" w:history="1">
        <w:r w:rsidR="005504F5" w:rsidRPr="00CA61A6">
          <w:rPr>
            <w:rStyle w:val="Hyperlink"/>
            <w:lang w:eastAsia="ja-JP"/>
          </w:rPr>
          <w:t>http://www.itu.int/net4/roamingtool/</w:t>
        </w:r>
      </w:hyperlink>
      <w:r w:rsidR="005504F5" w:rsidRPr="00CA61A6">
        <w:rPr>
          <w:lang w:eastAsia="ja-JP"/>
        </w:rPr>
        <w:t>.</w:t>
      </w:r>
    </w:p>
    <w:p w:rsidR="00BB2582" w:rsidRPr="00CA61A6" w:rsidRDefault="00BB2582" w:rsidP="007B3478">
      <w:pPr>
        <w:pStyle w:val="Headingb"/>
      </w:pPr>
      <w:bookmarkStart w:id="82" w:name="Item32_03"/>
      <w:bookmarkEnd w:id="82"/>
      <w:r w:rsidRPr="00CA61A6">
        <w:t xml:space="preserve">Acción 32-03: </w:t>
      </w:r>
      <w:r w:rsidRPr="00CA61A6">
        <w:rPr>
          <w:rFonts w:ascii="Times New Roman" w:hAnsi="Times New Roman"/>
          <w:lang w:eastAsia="ja-JP"/>
        </w:rPr>
        <w:t>TSB</w:t>
      </w:r>
    </w:p>
    <w:p w:rsidR="00B54C8D" w:rsidRPr="00CA61A6" w:rsidRDefault="005504F5" w:rsidP="007B3478">
      <w:pPr>
        <w:rPr>
          <w:szCs w:val="24"/>
          <w:lang w:eastAsia="ja-JP"/>
        </w:rPr>
      </w:pPr>
      <w:r w:rsidRPr="00CA61A6">
        <w:rPr>
          <w:lang w:eastAsia="ja-JP"/>
        </w:rPr>
        <w:t xml:space="preserve">El </w:t>
      </w:r>
      <w:r w:rsidRPr="00CA61A6">
        <w:t>Plan Operacional cuadrienal renovable del UIT-T</w:t>
      </w:r>
      <w:r w:rsidRPr="00CA61A6">
        <w:rPr>
          <w:lang w:eastAsia="ja-JP"/>
        </w:rPr>
        <w:t xml:space="preserve"> (2016-2019), incluidos los requisitos relativos a los recursos, se sometió a la consideración del Consejo en su reunión de 2015 en el </w:t>
      </w:r>
      <w:r w:rsidR="00B8573E" w:rsidRPr="00CA61A6">
        <w:rPr>
          <w:lang w:eastAsia="ja-JP"/>
        </w:rPr>
        <w:t>Documento </w:t>
      </w:r>
      <w:hyperlink r:id="rId94" w:history="1">
        <w:r w:rsidRPr="00CA61A6">
          <w:rPr>
            <w:color w:val="0000FF"/>
            <w:u w:val="single"/>
            <w:lang w:eastAsia="ja-JP"/>
          </w:rPr>
          <w:t>C15/29</w:t>
        </w:r>
      </w:hyperlink>
      <w:r w:rsidRPr="00CA61A6">
        <w:rPr>
          <w:lang w:eastAsia="ja-JP"/>
        </w:rPr>
        <w:t xml:space="preserve">. También se presentó al GANT en junio de 2015, como </w:t>
      </w:r>
      <w:hyperlink r:id="rId95" w:history="1">
        <w:r w:rsidR="000429BF">
          <w:rPr>
            <w:color w:val="0000FF"/>
            <w:u w:val="single"/>
            <w:lang w:eastAsia="ja-JP"/>
          </w:rPr>
          <w:t>TD</w:t>
        </w:r>
        <w:r w:rsidRPr="00CA61A6">
          <w:rPr>
            <w:color w:val="0000FF"/>
            <w:u w:val="single"/>
            <w:lang w:eastAsia="ja-JP"/>
          </w:rPr>
          <w:t>234/TSAG</w:t>
        </w:r>
      </w:hyperlink>
      <w:r w:rsidRPr="00CA61A6">
        <w:rPr>
          <w:lang w:eastAsia="ja-JP"/>
        </w:rPr>
        <w:t>.</w:t>
      </w:r>
    </w:p>
    <w:p w:rsidR="00B81F6C" w:rsidRPr="00CA61A6" w:rsidRDefault="00B81F6C" w:rsidP="007B3478">
      <w:pPr>
        <w:pStyle w:val="Headingb"/>
      </w:pPr>
      <w:bookmarkStart w:id="83" w:name="Item32_04"/>
      <w:bookmarkEnd w:id="83"/>
      <w:r w:rsidRPr="00CA61A6">
        <w:t xml:space="preserve">Acción 32-04: </w:t>
      </w:r>
      <w:r w:rsidRPr="00CA61A6">
        <w:rPr>
          <w:rFonts w:ascii="Times New Roman" w:hAnsi="Times New Roman"/>
          <w:lang w:eastAsia="ja-JP"/>
        </w:rPr>
        <w:t>TSB</w:t>
      </w:r>
    </w:p>
    <w:p w:rsidR="00B54C8D" w:rsidRPr="00CA61A6" w:rsidRDefault="00224B31" w:rsidP="007B3478">
      <w:pPr>
        <w:rPr>
          <w:lang w:eastAsia="ja-JP"/>
        </w:rPr>
      </w:pPr>
      <w:r w:rsidRPr="00CA61A6">
        <w:rPr>
          <w:lang w:eastAsia="ja-JP"/>
        </w:rPr>
        <w:t>Los usuarios de los sitios de colaboración SharePoint cuentan con u</w:t>
      </w:r>
      <w:r w:rsidR="005504F5" w:rsidRPr="00CA61A6">
        <w:rPr>
          <w:lang w:eastAsia="ja-JP"/>
        </w:rPr>
        <w:t>n sitio dedicado a la prestación de asistencia y asesoramiento profesional inmediatos</w:t>
      </w:r>
      <w:r w:rsidRPr="00CA61A6">
        <w:rPr>
          <w:lang w:eastAsia="ja-JP"/>
        </w:rPr>
        <w:t>, que</w:t>
      </w:r>
      <w:r w:rsidR="005504F5" w:rsidRPr="00CA61A6">
        <w:rPr>
          <w:lang w:eastAsia="ja-JP"/>
        </w:rPr>
        <w:t xml:space="preserve"> se actualiza constantemente y está disponible en: </w:t>
      </w:r>
      <w:hyperlink r:id="rId96">
        <w:r w:rsidR="00B54C8D" w:rsidRPr="00CA61A6">
          <w:rPr>
            <w:color w:val="0000FF"/>
            <w:u w:val="single"/>
            <w:lang w:eastAsia="ja-JP"/>
          </w:rPr>
          <w:t>https://extranet.itu.int/ITU-T/support/</w:t>
        </w:r>
      </w:hyperlink>
      <w:r w:rsidR="00B54C8D" w:rsidRPr="00CA61A6">
        <w:rPr>
          <w:lang w:eastAsia="ja-JP"/>
        </w:rPr>
        <w:t>.</w:t>
      </w:r>
    </w:p>
    <w:p w:rsidR="00B54C8D" w:rsidRPr="00CA61A6" w:rsidRDefault="005504F5" w:rsidP="007B3478">
      <w:pPr>
        <w:rPr>
          <w:szCs w:val="24"/>
          <w:lang w:eastAsia="ja-JP"/>
        </w:rPr>
      </w:pPr>
      <w:r w:rsidRPr="00CA61A6">
        <w:rPr>
          <w:szCs w:val="24"/>
          <w:lang w:eastAsia="ja-JP"/>
        </w:rPr>
        <w:t>Se ha simplificado el acceso a las sesiones de participación a distancia proporcionado para las reuniones del UIT-T. A partir de ahora,</w:t>
      </w:r>
      <w:r w:rsidR="00224B31" w:rsidRPr="00CA61A6">
        <w:rPr>
          <w:szCs w:val="24"/>
          <w:lang w:eastAsia="ja-JP"/>
        </w:rPr>
        <w:t xml:space="preserve"> todas</w:t>
      </w:r>
      <w:r w:rsidRPr="00CA61A6">
        <w:rPr>
          <w:szCs w:val="24"/>
          <w:lang w:eastAsia="ja-JP"/>
        </w:rPr>
        <w:t xml:space="preserve"> las cuentas TIES pueden utilizarse para participar en una sesión específica a distancia,</w:t>
      </w:r>
      <w:r w:rsidR="00224B31" w:rsidRPr="00CA61A6">
        <w:rPr>
          <w:szCs w:val="24"/>
          <w:lang w:eastAsia="ja-JP"/>
        </w:rPr>
        <w:t xml:space="preserve"> siempre y cuando dispongan de</w:t>
      </w:r>
      <w:r w:rsidRPr="00CA61A6">
        <w:rPr>
          <w:szCs w:val="24"/>
          <w:lang w:eastAsia="ja-JP"/>
        </w:rPr>
        <w:t xml:space="preserve"> los privilegios necesarios a tal efecto. Se ha creado un sitio w</w:t>
      </w:r>
      <w:r w:rsidR="00224B31" w:rsidRPr="00CA61A6">
        <w:rPr>
          <w:szCs w:val="24"/>
          <w:lang w:eastAsia="ja-JP"/>
        </w:rPr>
        <w:t>e</w:t>
      </w:r>
      <w:r w:rsidRPr="00CA61A6">
        <w:rPr>
          <w:szCs w:val="24"/>
          <w:lang w:eastAsia="ja-JP"/>
        </w:rPr>
        <w:t xml:space="preserve">b dedicado a las reuniones virtuales, en el que se enumeran las próximas reuniones con su </w:t>
      </w:r>
      <w:r w:rsidR="00224B31" w:rsidRPr="00CA61A6">
        <w:rPr>
          <w:szCs w:val="24"/>
          <w:lang w:eastAsia="ja-JP"/>
        </w:rPr>
        <w:t xml:space="preserve">respectivo </w:t>
      </w:r>
      <w:r w:rsidRPr="00CA61A6">
        <w:rPr>
          <w:szCs w:val="24"/>
          <w:lang w:eastAsia="ja-JP"/>
        </w:rPr>
        <w:t>URL</w:t>
      </w:r>
      <w:r w:rsidR="00224B31" w:rsidRPr="00CA61A6">
        <w:rPr>
          <w:szCs w:val="24"/>
          <w:lang w:eastAsia="ja-JP"/>
        </w:rPr>
        <w:t xml:space="preserve"> de reunión virtual</w:t>
      </w:r>
      <w:r w:rsidRPr="00CA61A6">
        <w:rPr>
          <w:szCs w:val="24"/>
          <w:lang w:eastAsia="ja-JP"/>
        </w:rPr>
        <w:t xml:space="preserve">. </w:t>
      </w:r>
      <w:r w:rsidR="003922CA" w:rsidRPr="00CA61A6">
        <w:rPr>
          <w:szCs w:val="24"/>
          <w:lang w:eastAsia="ja-JP"/>
        </w:rPr>
        <w:t>También se ha puesto a disposición u</w:t>
      </w:r>
      <w:r w:rsidRPr="00CA61A6">
        <w:rPr>
          <w:szCs w:val="24"/>
          <w:lang w:eastAsia="ja-JP"/>
        </w:rPr>
        <w:t>na breve guía del usuario para aquellos que aún no est</w:t>
      </w:r>
      <w:r w:rsidR="00224B31" w:rsidRPr="00CA61A6">
        <w:rPr>
          <w:szCs w:val="24"/>
          <w:lang w:eastAsia="ja-JP"/>
        </w:rPr>
        <w:t>é</w:t>
      </w:r>
      <w:r w:rsidRPr="00CA61A6">
        <w:rPr>
          <w:szCs w:val="24"/>
          <w:lang w:eastAsia="ja-JP"/>
        </w:rPr>
        <w:t xml:space="preserve">n familiarizados con la herramienta Adobe Connect. </w:t>
      </w:r>
      <w:r w:rsidR="003922CA" w:rsidRPr="00CA61A6">
        <w:rPr>
          <w:szCs w:val="24"/>
          <w:lang w:eastAsia="ja-JP"/>
        </w:rPr>
        <w:t>El sitio web está disponible</w:t>
      </w:r>
      <w:r w:rsidRPr="00CA61A6">
        <w:rPr>
          <w:szCs w:val="24"/>
          <w:lang w:eastAsia="ja-JP"/>
        </w:rPr>
        <w:t xml:space="preserve"> en:</w:t>
      </w:r>
      <w:r w:rsidR="00B54C8D" w:rsidRPr="00CA61A6">
        <w:rPr>
          <w:lang w:eastAsia="ja-JP"/>
        </w:rPr>
        <w:t xml:space="preserve"> </w:t>
      </w:r>
      <w:hyperlink r:id="rId97" w:history="1">
        <w:r w:rsidR="00B54C8D" w:rsidRPr="00CA61A6">
          <w:rPr>
            <w:color w:val="0000FF"/>
            <w:szCs w:val="24"/>
            <w:u w:val="single"/>
            <w:lang w:eastAsia="ja-JP"/>
          </w:rPr>
          <w:t>http://itu.int/en/ITU-T/events/Pages/emeetings.aspx</w:t>
        </w:r>
      </w:hyperlink>
      <w:r w:rsidR="00B54C8D" w:rsidRPr="00CA61A6">
        <w:rPr>
          <w:szCs w:val="24"/>
          <w:lang w:eastAsia="ja-JP"/>
        </w:rPr>
        <w:t>.</w:t>
      </w:r>
    </w:p>
    <w:p w:rsidR="00B54C8D" w:rsidRPr="00CA61A6" w:rsidRDefault="003922CA" w:rsidP="007B3478">
      <w:pPr>
        <w:rPr>
          <w:szCs w:val="24"/>
          <w:lang w:eastAsia="ja-JP"/>
        </w:rPr>
      </w:pPr>
      <w:r w:rsidRPr="00CA61A6">
        <w:rPr>
          <w:szCs w:val="24"/>
          <w:lang w:eastAsia="ja-JP"/>
        </w:rPr>
        <w:t>A fin de dotarlas de una mayor visibilidad, las noticias relativas a las herramientas y aplicaciones del UIT-T están siendo difundidas a través de un nuevo blog del UIT-T, que resulta más fácil de actualizar y leer. Para obtener más información al respecto, véase:</w:t>
      </w:r>
      <w:r w:rsidR="00B54C8D" w:rsidRPr="00CA61A6">
        <w:rPr>
          <w:lang w:eastAsia="ja-JP"/>
        </w:rPr>
        <w:t xml:space="preserve"> </w:t>
      </w:r>
      <w:hyperlink r:id="rId98" w:history="1">
        <w:r w:rsidR="00B54C8D" w:rsidRPr="00CA61A6">
          <w:rPr>
            <w:color w:val="0000FF"/>
            <w:u w:val="single"/>
            <w:lang w:eastAsia="ja-JP"/>
          </w:rPr>
          <w:t>http://tsbtech.itu.int/</w:t>
        </w:r>
      </w:hyperlink>
      <w:r w:rsidR="00B54C8D" w:rsidRPr="00CA61A6">
        <w:rPr>
          <w:lang w:eastAsia="ja-JP"/>
        </w:rPr>
        <w:t>.</w:t>
      </w:r>
    </w:p>
    <w:p w:rsidR="00E00482" w:rsidRPr="00CA61A6" w:rsidRDefault="00E00482" w:rsidP="007B3478">
      <w:pPr>
        <w:pStyle w:val="Headingb"/>
      </w:pPr>
      <w:bookmarkStart w:id="84" w:name="Item32_05"/>
      <w:r w:rsidRPr="00CA61A6">
        <w:t xml:space="preserve">Acción 32-05: </w:t>
      </w:r>
      <w:r w:rsidRPr="00CA61A6">
        <w:rPr>
          <w:rFonts w:ascii="Times New Roman" w:hAnsi="Times New Roman"/>
          <w:lang w:eastAsia="ja-JP"/>
        </w:rPr>
        <w:t>GANT</w:t>
      </w:r>
    </w:p>
    <w:bookmarkEnd w:id="84"/>
    <w:p w:rsidR="00B54C8D" w:rsidRPr="00CA61A6" w:rsidRDefault="003922CA" w:rsidP="007B3478">
      <w:pPr>
        <w:rPr>
          <w:lang w:eastAsia="ja-JP"/>
        </w:rPr>
      </w:pPr>
      <w:r w:rsidRPr="00CA61A6">
        <w:rPr>
          <w:lang w:eastAsia="ja-JP"/>
        </w:rPr>
        <w:t>Se creó un sitio de colaboración SharePoint para el GANT y se establecieron distintas categorías de debates a partir de la estructura actual de</w:t>
      </w:r>
      <w:r w:rsidR="00224B31" w:rsidRPr="00CA61A6">
        <w:rPr>
          <w:lang w:eastAsia="ja-JP"/>
        </w:rPr>
        <w:t xml:space="preserve"> dicho grupo</w:t>
      </w:r>
      <w:r w:rsidRPr="00CA61A6">
        <w:rPr>
          <w:lang w:eastAsia="ja-JP"/>
        </w:rPr>
        <w:t xml:space="preserve">, incluida un área para los métodos de trabajo. Para obtener más información al respecto, véase: </w:t>
      </w:r>
      <w:hyperlink r:id="rId99" w:history="1">
        <w:r w:rsidR="00B54C8D" w:rsidRPr="00CA61A6">
          <w:rPr>
            <w:color w:val="0000FF"/>
            <w:u w:val="single"/>
            <w:lang w:eastAsia="ja-JP"/>
          </w:rPr>
          <w:t>https://extranet.itu.int/ITU-T/2013-2016/tsag</w:t>
        </w:r>
      </w:hyperlink>
      <w:r w:rsidR="00B54C8D" w:rsidRPr="00CA61A6">
        <w:rPr>
          <w:lang w:eastAsia="ja-JP"/>
        </w:rPr>
        <w:t>.</w:t>
      </w:r>
    </w:p>
    <w:p w:rsidR="00B54C8D" w:rsidRPr="00CA61A6" w:rsidRDefault="003922CA" w:rsidP="00B30918">
      <w:pPr>
        <w:rPr>
          <w:szCs w:val="24"/>
          <w:lang w:eastAsia="ja-JP"/>
        </w:rPr>
      </w:pPr>
      <w:r w:rsidRPr="00CA61A6">
        <w:rPr>
          <w:szCs w:val="24"/>
          <w:lang w:eastAsia="ja-JP"/>
        </w:rPr>
        <w:t xml:space="preserve">En </w:t>
      </w:r>
      <w:r w:rsidR="00224B31" w:rsidRPr="00CA61A6">
        <w:rPr>
          <w:szCs w:val="24"/>
          <w:lang w:eastAsia="ja-JP"/>
        </w:rPr>
        <w:t>su</w:t>
      </w:r>
      <w:r w:rsidRPr="00CA61A6">
        <w:rPr>
          <w:szCs w:val="24"/>
          <w:lang w:eastAsia="ja-JP"/>
        </w:rPr>
        <w:t xml:space="preserve"> reunión de junio de 2014, </w:t>
      </w:r>
      <w:r w:rsidR="00224B31" w:rsidRPr="00CA61A6">
        <w:rPr>
          <w:szCs w:val="24"/>
          <w:lang w:eastAsia="ja-JP"/>
        </w:rPr>
        <w:t xml:space="preserve">el GANT </w:t>
      </w:r>
      <w:r w:rsidRPr="00CA61A6">
        <w:rPr>
          <w:szCs w:val="24"/>
          <w:lang w:eastAsia="ja-JP"/>
        </w:rPr>
        <w:t>cre</w:t>
      </w:r>
      <w:r w:rsidR="00224B31" w:rsidRPr="00CA61A6">
        <w:rPr>
          <w:szCs w:val="24"/>
          <w:lang w:eastAsia="ja-JP"/>
        </w:rPr>
        <w:t>ó</w:t>
      </w:r>
      <w:r w:rsidRPr="00CA61A6">
        <w:rPr>
          <w:szCs w:val="24"/>
          <w:lang w:eastAsia="ja-JP"/>
        </w:rPr>
        <w:t xml:space="preserve"> el </w:t>
      </w:r>
      <w:r w:rsidRPr="00CA61A6">
        <w:t>Grupo de Relator sobre métodos de trabajo,</w:t>
      </w:r>
      <w:r w:rsidR="00224B31" w:rsidRPr="00CA61A6">
        <w:t xml:space="preserve"> autor de</w:t>
      </w:r>
      <w:r w:rsidRPr="00CA61A6">
        <w:t xml:space="preserve"> las directrices de prácticas idóneas en materia de </w:t>
      </w:r>
      <w:r w:rsidRPr="00CA61A6">
        <w:rPr>
          <w:szCs w:val="24"/>
          <w:lang w:eastAsia="ja-JP"/>
        </w:rPr>
        <w:t>participación a distancia</w:t>
      </w:r>
      <w:r w:rsidR="00224B31" w:rsidRPr="00CA61A6">
        <w:rPr>
          <w:szCs w:val="24"/>
          <w:lang w:eastAsia="ja-JP"/>
        </w:rPr>
        <w:t xml:space="preserve"> que </w:t>
      </w:r>
      <w:r w:rsidRPr="00CA61A6">
        <w:rPr>
          <w:szCs w:val="24"/>
          <w:lang w:eastAsia="ja-JP"/>
        </w:rPr>
        <w:t>integran el Suplemento 4 a las Recomendaciones de la serie A del UIT-T, titulado</w:t>
      </w:r>
      <w:r w:rsidR="000775B9" w:rsidRPr="00CA61A6">
        <w:rPr>
          <w:szCs w:val="24"/>
          <w:lang w:eastAsia="ja-JP"/>
        </w:rPr>
        <w:t xml:space="preserve"> </w:t>
      </w:r>
      <w:r w:rsidR="00B44056" w:rsidRPr="00CA61A6">
        <w:rPr>
          <w:szCs w:val="24"/>
          <w:lang w:eastAsia="ja-JP"/>
        </w:rPr>
        <w:t>"</w:t>
      </w:r>
      <w:r w:rsidR="000775B9" w:rsidRPr="00CA61A6">
        <w:rPr>
          <w:szCs w:val="24"/>
          <w:lang w:eastAsia="ja-JP"/>
        </w:rPr>
        <w:t>Suplemento sobre directrices para la participación a distancia</w:t>
      </w:r>
      <w:r w:rsidR="00B44056" w:rsidRPr="00CA61A6">
        <w:rPr>
          <w:szCs w:val="24"/>
          <w:lang w:eastAsia="ja-JP"/>
        </w:rPr>
        <w:t>"</w:t>
      </w:r>
      <w:r w:rsidR="00224B31" w:rsidRPr="00CA61A6">
        <w:rPr>
          <w:szCs w:val="24"/>
          <w:lang w:eastAsia="ja-JP"/>
        </w:rPr>
        <w:t>.</w:t>
      </w:r>
      <w:r w:rsidR="003E712A" w:rsidRPr="00CA61A6">
        <w:rPr>
          <w:szCs w:val="24"/>
          <w:lang w:eastAsia="ja-JP"/>
        </w:rPr>
        <w:t xml:space="preserve"> </w:t>
      </w:r>
      <w:r w:rsidR="00224B31" w:rsidRPr="00CA61A6">
        <w:rPr>
          <w:szCs w:val="24"/>
          <w:lang w:eastAsia="ja-JP"/>
        </w:rPr>
        <w:t>Dicho Suplemento e</w:t>
      </w:r>
      <w:r w:rsidR="003E712A" w:rsidRPr="00CA61A6">
        <w:rPr>
          <w:szCs w:val="24"/>
          <w:lang w:eastAsia="ja-JP"/>
        </w:rPr>
        <w:t>stá disponible en</w:t>
      </w:r>
      <w:r w:rsidR="00B54C8D" w:rsidRPr="00CA61A6">
        <w:rPr>
          <w:szCs w:val="24"/>
          <w:lang w:eastAsia="ja-JP"/>
        </w:rPr>
        <w:t>:</w:t>
      </w:r>
      <w:r w:rsidR="003C5C26" w:rsidRPr="00CA61A6">
        <w:rPr>
          <w:szCs w:val="24"/>
          <w:lang w:eastAsia="ja-JP"/>
        </w:rPr>
        <w:t xml:space="preserve"> </w:t>
      </w:r>
      <w:hyperlink r:id="rId100">
        <w:r w:rsidR="00B54C8D" w:rsidRPr="00CA61A6">
          <w:rPr>
            <w:color w:val="0000FF"/>
            <w:u w:val="single"/>
            <w:lang w:eastAsia="ja-JP"/>
          </w:rPr>
          <w:t>http://www.itu.int/itu-t/recommendations/rec.aspx?rec=12580</w:t>
        </w:r>
      </w:hyperlink>
      <w:r w:rsidR="00B30918" w:rsidRPr="00CA61A6">
        <w:rPr>
          <w:lang w:eastAsia="ja-JP"/>
        </w:rPr>
        <w:t>.</w:t>
      </w:r>
    </w:p>
    <w:bookmarkStart w:id="85" w:name="_Toc335979781"/>
    <w:bookmarkStart w:id="86" w:name="_Toc338837115"/>
    <w:bookmarkStart w:id="87" w:name="_Toc340066387"/>
    <w:p w:rsidR="00824084" w:rsidRPr="00CA61A6" w:rsidRDefault="00824084" w:rsidP="00824084">
      <w:r w:rsidRPr="00CA61A6">
        <w:fldChar w:fldCharType="begin"/>
      </w:r>
      <w:r w:rsidRPr="00CA61A6">
        <w:instrText xml:space="preserve"> HYPERLINK \l "Top" </w:instrText>
      </w:r>
      <w:r w:rsidRPr="00CA61A6">
        <w:fldChar w:fldCharType="separate"/>
      </w:r>
      <w:r w:rsidRPr="00CA61A6">
        <w:rPr>
          <w:rStyle w:val="Hyperlink"/>
        </w:rPr>
        <w:t>» Arriba</w:t>
      </w:r>
      <w:r w:rsidRPr="00CA61A6">
        <w:rPr>
          <w:rStyle w:val="Hyperlink"/>
        </w:rPr>
        <w:fldChar w:fldCharType="end"/>
      </w:r>
    </w:p>
    <w:p w:rsidR="00087B89" w:rsidRPr="00CA61A6" w:rsidRDefault="00087B89" w:rsidP="007B3478">
      <w:pPr>
        <w:pStyle w:val="Heading1"/>
      </w:pPr>
      <w:bookmarkStart w:id="88" w:name="_11_Resolución_33"/>
      <w:bookmarkStart w:id="89" w:name="_Toc463335762"/>
      <w:bookmarkEnd w:id="88"/>
      <w:r w:rsidRPr="00CA61A6">
        <w:t>11</w:t>
      </w:r>
      <w:r w:rsidRPr="00CA61A6">
        <w:tab/>
        <w:t xml:space="preserve">Resolución 33 – </w:t>
      </w:r>
      <w:bookmarkEnd w:id="85"/>
      <w:bookmarkEnd w:id="86"/>
      <w:bookmarkEnd w:id="87"/>
      <w:r w:rsidR="000775B9" w:rsidRPr="00CA61A6">
        <w:t>Directrices para las actividades estratégicas del Sector de Normalización de las Telecomunicaciones de la UIT</w:t>
      </w:r>
      <w:bookmarkEnd w:id="89"/>
    </w:p>
    <w:p w:rsidR="00087B89" w:rsidRPr="00CA61A6" w:rsidRDefault="00087B89" w:rsidP="007B3478">
      <w:pPr>
        <w:pStyle w:val="Headingb"/>
      </w:pPr>
      <w:r w:rsidRPr="00CA61A6">
        <w:t>Resolución 33</w:t>
      </w:r>
    </w:p>
    <w:p w:rsidR="00087B89" w:rsidRPr="00CA61A6" w:rsidRDefault="00087B89" w:rsidP="007B3478">
      <w:pPr>
        <w:pStyle w:val="Call"/>
      </w:pPr>
      <w:r w:rsidRPr="00CA61A6">
        <w:t>resuelve invitar a los Estados Miembros y a los Miembros del Sector</w:t>
      </w:r>
    </w:p>
    <w:p w:rsidR="00087B89" w:rsidRPr="00CA61A6" w:rsidRDefault="00087B89" w:rsidP="007B3478">
      <w:r w:rsidRPr="00CA61A6">
        <w:t>a que continúen aportando al proceso de planificación estratégica del Grupo Asesor de Normalización de las Telecomunicaciones (GANT) sus puntos de vista sobre el Plan Estratégico y las prioridades del UIT</w:t>
      </w:r>
      <w:r w:rsidRPr="00CA61A6">
        <w:noBreakHyphen/>
        <w:t>T,</w:t>
      </w:r>
    </w:p>
    <w:p w:rsidR="00087B89" w:rsidRPr="00CA61A6" w:rsidRDefault="00087B89" w:rsidP="007B3478">
      <w:pPr>
        <w:pStyle w:val="Call"/>
      </w:pPr>
      <w:r w:rsidRPr="00CA61A6">
        <w:t>encarga al Grupo Asesor de Normalización de las Telecomunicaciones</w:t>
      </w:r>
    </w:p>
    <w:p w:rsidR="00087B89" w:rsidRPr="00CA61A6" w:rsidRDefault="00087B89" w:rsidP="007B3478">
      <w:r w:rsidRPr="00CA61A6">
        <w:t>1</w:t>
      </w:r>
      <w:r w:rsidRPr="00CA61A6">
        <w:tab/>
        <w:t>que supervise los trabajos del Sector durante el actual periodo de estudios en función del actual Plan Estratégico adoptado en la Resolución 71 (Rev. Guadalajara, 2010) y la evolución del entorno de las telecomunicaciones, incluido:</w:t>
      </w:r>
    </w:p>
    <w:p w:rsidR="00087B89" w:rsidRPr="00CA61A6" w:rsidRDefault="00087B89" w:rsidP="007B3478">
      <w:pPr>
        <w:pStyle w:val="enumlev1"/>
      </w:pPr>
      <w:r w:rsidRPr="00CA61A6">
        <w:lastRenderedPageBreak/>
        <w:t>•</w:t>
      </w:r>
      <w:r w:rsidRPr="00CA61A6">
        <w:tab/>
        <w:t>el establecimiento de prioridades apropiadas a lo largo del periodo de estudios a fin de alcanzar los objetivos del Sector que sirven para medir el rendimiento del mismo;</w:t>
      </w:r>
    </w:p>
    <w:p w:rsidR="00087B89" w:rsidRPr="00CA61A6" w:rsidRDefault="00087B89" w:rsidP="007B3478">
      <w:pPr>
        <w:pStyle w:val="enumlev1"/>
      </w:pPr>
      <w:r w:rsidRPr="00CA61A6">
        <w:t>•</w:t>
      </w:r>
      <w:r w:rsidRPr="00CA61A6">
        <w:tab/>
        <w:t>la obtención de informes periódicos de los Presidentes de las Comisiones de Estudio y de otras entidades responsables en relación con el cumplimiento de esas prioridades;</w:t>
      </w:r>
    </w:p>
    <w:p w:rsidR="00087B89" w:rsidRPr="00CA61A6" w:rsidRDefault="00087B89" w:rsidP="007B3478">
      <w:pPr>
        <w:pStyle w:val="enumlev1"/>
        <w:keepNext/>
        <w:keepLines/>
      </w:pPr>
      <w:r w:rsidRPr="00CA61A6">
        <w:t>•</w:t>
      </w:r>
      <w:r w:rsidRPr="00CA61A6">
        <w:tab/>
        <w:t>la adopción de las medidas apropiadas para que se puedan modificar las prioridades y los objetivos estratégicos a la luz de los cambios del entorno de las telecomunicaciones o si no se obtienen los resultados previstos;</w:t>
      </w:r>
    </w:p>
    <w:p w:rsidR="00087B89" w:rsidRPr="00CA61A6" w:rsidRDefault="00087B89" w:rsidP="007B3478">
      <w:pPr>
        <w:pStyle w:val="enumlev1"/>
      </w:pPr>
      <w:r w:rsidRPr="00CA61A6">
        <w:t>•</w:t>
      </w:r>
      <w:r w:rsidRPr="00CA61A6">
        <w:tab/>
        <w:t>la evaluación continua de la pertinencia y aplicabilidad del plan actual y proponiendo los cambios necesarios que se precisen;</w:t>
      </w:r>
    </w:p>
    <w:p w:rsidR="00087B89" w:rsidRPr="00CA61A6" w:rsidRDefault="00087B89" w:rsidP="007B3478">
      <w:r w:rsidRPr="00CA61A6">
        <w:t>2</w:t>
      </w:r>
      <w:r w:rsidRPr="00CA61A6">
        <w:tab/>
        <w:t>que elabore propuestas para prestar asistencia en la elaboración del proyecto de Plan Estratégico de la Unión para el próximo periodo de estudios, que reflejen debidamente:</w:t>
      </w:r>
    </w:p>
    <w:p w:rsidR="00087B89" w:rsidRPr="00CA61A6" w:rsidRDefault="00087B89" w:rsidP="007B3478">
      <w:pPr>
        <w:pStyle w:val="enumlev1"/>
      </w:pPr>
      <w:r w:rsidRPr="00CA61A6">
        <w:t>•</w:t>
      </w:r>
      <w:r w:rsidRPr="00CA61A6">
        <w:tab/>
        <w:t>los objetivos principales del Plan Estratégico vigente que sigan siendo pertinentes;</w:t>
      </w:r>
    </w:p>
    <w:p w:rsidR="00087B89" w:rsidRPr="00CA61A6" w:rsidRDefault="00087B89" w:rsidP="007B3478">
      <w:pPr>
        <w:pStyle w:val="enumlev1"/>
      </w:pPr>
      <w:r w:rsidRPr="00CA61A6">
        <w:t>•</w:t>
      </w:r>
      <w:r w:rsidRPr="00CA61A6">
        <w:tab/>
        <w:t>las tecnologías nuevas y convergentes, sus resultados prioritarios y la necesidad de elaborar, con rapidez y fiabilidad, las normas mundiales apropiadas;</w:t>
      </w:r>
    </w:p>
    <w:p w:rsidR="00087B89" w:rsidRPr="00CA61A6" w:rsidRDefault="00087B89" w:rsidP="007B3478">
      <w:pPr>
        <w:pStyle w:val="enumlev1"/>
      </w:pPr>
      <w:r w:rsidRPr="00CA61A6">
        <w:t>•</w:t>
      </w:r>
      <w:r w:rsidRPr="00CA61A6">
        <w:tab/>
        <w:t>los cambios en curso del entorno de las telecomunicaciones, tanto los antiguos como los nuevos;</w:t>
      </w:r>
    </w:p>
    <w:p w:rsidR="00087B89" w:rsidRPr="00CA61A6" w:rsidRDefault="00087B89" w:rsidP="007B3478">
      <w:pPr>
        <w:pStyle w:val="enumlev1"/>
      </w:pPr>
      <w:r w:rsidRPr="00CA61A6">
        <w:t>•</w:t>
      </w:r>
      <w:r w:rsidRPr="00CA61A6">
        <w:tab/>
        <w:t>la necesidad de definir claramente y de establecer relaciones formales con el mayor número de organismos de normalización internacionales, regionales y de otro tipo sobre la base de las directrices acordadas en las Recomendaciones pertinentes de la serie A del UIT-T y aplicar las conclusiones pertinentes del Simposio Mundial de Normalización, de conformidad con la Resolución 122 (Rev. Guadalajara, 2010) de la Conferencia de Plenipotenciarios;</w:t>
      </w:r>
    </w:p>
    <w:p w:rsidR="00087B89" w:rsidRPr="00CA61A6" w:rsidRDefault="00087B89" w:rsidP="007B3478">
      <w:pPr>
        <w:pStyle w:val="enumlev1"/>
      </w:pPr>
      <w:r w:rsidRPr="00CA61A6">
        <w:t>•</w:t>
      </w:r>
      <w:r w:rsidRPr="00CA61A6">
        <w:tab/>
        <w:t>la constante evolución del UIT</w:t>
      </w:r>
      <w:r w:rsidRPr="00CA61A6">
        <w:noBreakHyphen/>
        <w:t>T para aumentar su capacidad integradora de la dinámica del mercado y establecer con otras entidades pertinentes una coordinación y colaboración mutuamente beneficiosas para acelerar la elaboración eficaz de normas internacionales útiles;</w:t>
      </w:r>
    </w:p>
    <w:p w:rsidR="00087B89" w:rsidRPr="00CA61A6" w:rsidRDefault="00087B89" w:rsidP="007B3478">
      <w:pPr>
        <w:pStyle w:val="enumlev1"/>
        <w:spacing w:after="120"/>
      </w:pPr>
      <w:r w:rsidRPr="00CA61A6">
        <w:t>•</w:t>
      </w:r>
      <w:r w:rsidRPr="00CA61A6">
        <w:tab/>
        <w:t>la aplicación de la Resolución 123 (Rev. Guadalajara, 2010) de la Conferencia de Plenipotenciarios sobre reducción de la disparidad entre los países en desarrollo y los desarrollados en materia de normalización, incluidos los países menos adelantados, los pequeños Estados insulares en desarrollo, los países en desarrollo sin litoral y los países con economías en transición.</w:t>
      </w:r>
    </w:p>
    <w:tbl>
      <w:tblPr>
        <w:tblW w:w="9522"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4621"/>
        <w:gridCol w:w="1530"/>
        <w:gridCol w:w="1194"/>
        <w:gridCol w:w="1261"/>
      </w:tblGrid>
      <w:tr w:rsidR="00985D56" w:rsidRPr="00CA61A6" w:rsidTr="0001258C">
        <w:trPr>
          <w:trHeight w:val="647"/>
          <w:tblHeader/>
        </w:trPr>
        <w:tc>
          <w:tcPr>
            <w:tcW w:w="916" w:type="dxa"/>
            <w:tcBorders>
              <w:bottom w:val="double" w:sz="4" w:space="0" w:color="auto"/>
            </w:tcBorders>
            <w:vAlign w:val="center"/>
          </w:tcPr>
          <w:p w:rsidR="00985D56" w:rsidRPr="00CA61A6" w:rsidRDefault="00985D56" w:rsidP="007B3478">
            <w:pPr>
              <w:pStyle w:val="Tablehead"/>
            </w:pPr>
            <w:r w:rsidRPr="00CA61A6">
              <w:t>Número</w:t>
            </w:r>
          </w:p>
        </w:tc>
        <w:tc>
          <w:tcPr>
            <w:tcW w:w="4621" w:type="dxa"/>
            <w:tcBorders>
              <w:bottom w:val="double" w:sz="4" w:space="0" w:color="auto"/>
            </w:tcBorders>
            <w:shd w:val="clear" w:color="auto" w:fill="auto"/>
            <w:vAlign w:val="center"/>
            <w:hideMark/>
          </w:tcPr>
          <w:p w:rsidR="00985D56" w:rsidRPr="00CA61A6" w:rsidRDefault="00985D56" w:rsidP="007B3478">
            <w:pPr>
              <w:pStyle w:val="Tablehead"/>
            </w:pPr>
            <w:r w:rsidRPr="00CA61A6">
              <w:t>Acción</w:t>
            </w:r>
          </w:p>
        </w:tc>
        <w:tc>
          <w:tcPr>
            <w:tcW w:w="1530" w:type="dxa"/>
            <w:tcBorders>
              <w:bottom w:val="double" w:sz="4" w:space="0" w:color="auto"/>
            </w:tcBorders>
            <w:shd w:val="clear" w:color="auto" w:fill="auto"/>
            <w:vAlign w:val="center"/>
            <w:hideMark/>
          </w:tcPr>
          <w:p w:rsidR="00985D56" w:rsidRPr="00CA61A6" w:rsidRDefault="00985D56" w:rsidP="007B3478">
            <w:pPr>
              <w:pStyle w:val="Tablehead"/>
            </w:pPr>
            <w:r w:rsidRPr="00CA61A6">
              <w:t>Fecha objetivo</w:t>
            </w:r>
          </w:p>
        </w:tc>
        <w:tc>
          <w:tcPr>
            <w:tcW w:w="1194" w:type="dxa"/>
            <w:tcBorders>
              <w:bottom w:val="double" w:sz="4" w:space="0" w:color="auto"/>
            </w:tcBorders>
            <w:vAlign w:val="center"/>
          </w:tcPr>
          <w:p w:rsidR="00985D56" w:rsidRPr="00CA61A6" w:rsidRDefault="00985D56" w:rsidP="007B3478">
            <w:pPr>
              <w:pStyle w:val="Tablehead"/>
            </w:pPr>
            <w:r w:rsidRPr="00CA61A6">
              <w:t>Objetivos periódicos cumplidos</w:t>
            </w:r>
          </w:p>
        </w:tc>
        <w:tc>
          <w:tcPr>
            <w:tcW w:w="1261" w:type="dxa"/>
            <w:tcBorders>
              <w:bottom w:val="double" w:sz="4" w:space="0" w:color="auto"/>
            </w:tcBorders>
            <w:vAlign w:val="center"/>
          </w:tcPr>
          <w:p w:rsidR="00985D56" w:rsidRPr="00CA61A6" w:rsidRDefault="00985D56" w:rsidP="007B3478">
            <w:pPr>
              <w:pStyle w:val="Tablehead"/>
            </w:pPr>
            <w:r w:rsidRPr="00CA61A6">
              <w:t>Completada</w:t>
            </w:r>
          </w:p>
        </w:tc>
      </w:tr>
      <w:tr w:rsidR="00985D56" w:rsidRPr="00CA61A6" w:rsidTr="0001258C">
        <w:trPr>
          <w:trHeight w:val="620"/>
        </w:trPr>
        <w:tc>
          <w:tcPr>
            <w:tcW w:w="916" w:type="dxa"/>
            <w:tcBorders>
              <w:top w:val="double" w:sz="4" w:space="0" w:color="auto"/>
            </w:tcBorders>
            <w:vAlign w:val="center"/>
          </w:tcPr>
          <w:p w:rsidR="00985D56" w:rsidRPr="00CA61A6" w:rsidRDefault="00110CAD" w:rsidP="007B3478">
            <w:pPr>
              <w:pStyle w:val="Tabletext"/>
              <w:jc w:val="center"/>
            </w:pPr>
            <w:hyperlink w:anchor="Item33_01" w:history="1">
              <w:r w:rsidR="00985D56" w:rsidRPr="00CA61A6">
                <w:rPr>
                  <w:rStyle w:val="Hyperlink"/>
                </w:rPr>
                <w:t>33-01</w:t>
              </w:r>
            </w:hyperlink>
          </w:p>
        </w:tc>
        <w:tc>
          <w:tcPr>
            <w:tcW w:w="4621" w:type="dxa"/>
            <w:tcBorders>
              <w:top w:val="double" w:sz="4" w:space="0" w:color="auto"/>
            </w:tcBorders>
            <w:shd w:val="clear" w:color="auto" w:fill="auto"/>
            <w:vAlign w:val="center"/>
            <w:hideMark/>
          </w:tcPr>
          <w:p w:rsidR="00985D56" w:rsidRPr="00CA61A6" w:rsidRDefault="00DB7E97" w:rsidP="007B3478">
            <w:pPr>
              <w:pStyle w:val="Tabletext"/>
            </w:pPr>
            <w:r w:rsidRPr="00CA61A6">
              <w:t>El GANT supervisará los trabajos del Sector</w:t>
            </w:r>
            <w:r w:rsidR="00365C93" w:rsidRPr="00CA61A6">
              <w:t>,</w:t>
            </w:r>
            <w:r w:rsidRPr="00CA61A6">
              <w:t xml:space="preserve"> fija</w:t>
            </w:r>
            <w:r w:rsidR="00365C93" w:rsidRPr="00CA61A6">
              <w:t>rá</w:t>
            </w:r>
            <w:r w:rsidRPr="00CA61A6">
              <w:t xml:space="preserve"> prioridades y toma</w:t>
            </w:r>
            <w:r w:rsidR="00365C93" w:rsidRPr="00CA61A6">
              <w:t>rá</w:t>
            </w:r>
            <w:r w:rsidRPr="00CA61A6">
              <w:t xml:space="preserve"> las medidas correspondientes en cada reunión</w:t>
            </w:r>
          </w:p>
        </w:tc>
        <w:tc>
          <w:tcPr>
            <w:tcW w:w="1530" w:type="dxa"/>
            <w:tcBorders>
              <w:top w:val="double" w:sz="4" w:space="0" w:color="auto"/>
            </w:tcBorders>
            <w:shd w:val="clear" w:color="auto" w:fill="auto"/>
            <w:vAlign w:val="center"/>
            <w:hideMark/>
          </w:tcPr>
          <w:p w:rsidR="00985D56" w:rsidRPr="00CA61A6" w:rsidRDefault="00942B20" w:rsidP="007B3478">
            <w:pPr>
              <w:pStyle w:val="Tabletext"/>
              <w:jc w:val="center"/>
            </w:pPr>
            <w:r w:rsidRPr="00CA61A6">
              <w:t>En curso</w:t>
            </w:r>
          </w:p>
        </w:tc>
        <w:tc>
          <w:tcPr>
            <w:tcW w:w="1194" w:type="dxa"/>
            <w:tcBorders>
              <w:top w:val="double" w:sz="4" w:space="0" w:color="auto"/>
            </w:tcBorders>
            <w:vAlign w:val="center"/>
          </w:tcPr>
          <w:p w:rsidR="00985D56" w:rsidRPr="00CA61A6" w:rsidRDefault="00AF4D49" w:rsidP="007B3478">
            <w:pPr>
              <w:pStyle w:val="Tabletext"/>
              <w:jc w:val="center"/>
            </w:pPr>
            <w:r w:rsidRPr="00CA61A6">
              <w:sym w:font="Wingdings" w:char="F0FC"/>
            </w:r>
          </w:p>
        </w:tc>
        <w:tc>
          <w:tcPr>
            <w:tcW w:w="1261" w:type="dxa"/>
            <w:tcBorders>
              <w:top w:val="double" w:sz="4" w:space="0" w:color="auto"/>
            </w:tcBorders>
            <w:vAlign w:val="center"/>
          </w:tcPr>
          <w:p w:rsidR="00985D56" w:rsidRPr="00CA61A6" w:rsidRDefault="00985D56" w:rsidP="007B3478">
            <w:pPr>
              <w:pStyle w:val="Tabletext"/>
              <w:jc w:val="center"/>
            </w:pPr>
          </w:p>
        </w:tc>
      </w:tr>
      <w:tr w:rsidR="00985D56" w:rsidRPr="00CA61A6" w:rsidTr="00EC27B5">
        <w:trPr>
          <w:trHeight w:val="710"/>
        </w:trPr>
        <w:tc>
          <w:tcPr>
            <w:tcW w:w="916" w:type="dxa"/>
            <w:vAlign w:val="center"/>
          </w:tcPr>
          <w:p w:rsidR="00985D56" w:rsidRPr="00CA61A6" w:rsidRDefault="00110CAD" w:rsidP="007B3478">
            <w:pPr>
              <w:pStyle w:val="Tabletext"/>
              <w:jc w:val="center"/>
            </w:pPr>
            <w:hyperlink w:anchor="Item33_02_03" w:history="1">
              <w:r w:rsidR="00985D56" w:rsidRPr="00CA61A6">
                <w:rPr>
                  <w:rStyle w:val="Hyperlink"/>
                </w:rPr>
                <w:t>33-02</w:t>
              </w:r>
            </w:hyperlink>
          </w:p>
        </w:tc>
        <w:tc>
          <w:tcPr>
            <w:tcW w:w="4621" w:type="dxa"/>
            <w:shd w:val="clear" w:color="auto" w:fill="auto"/>
            <w:vAlign w:val="center"/>
            <w:hideMark/>
          </w:tcPr>
          <w:p w:rsidR="00985D56" w:rsidRPr="00CA61A6" w:rsidRDefault="00DB7E97" w:rsidP="007B3478">
            <w:pPr>
              <w:pStyle w:val="Tabletext"/>
            </w:pPr>
            <w:r w:rsidRPr="00CA61A6">
              <w:t xml:space="preserve">El GANT </w:t>
            </w:r>
            <w:r w:rsidR="006B3CDE" w:rsidRPr="00CA61A6">
              <w:t>elaborará</w:t>
            </w:r>
            <w:r w:rsidRPr="00CA61A6">
              <w:t xml:space="preserve"> propuestas para la preparación del Plan Estratégico de la Unión de las que dará cuenta al Consejo en 201</w:t>
            </w:r>
            <w:r w:rsidR="006B3CDE" w:rsidRPr="00CA61A6">
              <w:t>4</w:t>
            </w:r>
          </w:p>
        </w:tc>
        <w:tc>
          <w:tcPr>
            <w:tcW w:w="1530" w:type="dxa"/>
            <w:shd w:val="clear" w:color="auto" w:fill="auto"/>
            <w:vAlign w:val="center"/>
            <w:hideMark/>
          </w:tcPr>
          <w:p w:rsidR="00985D56" w:rsidRPr="00CA61A6" w:rsidRDefault="00EC27B5" w:rsidP="007B3478">
            <w:pPr>
              <w:pStyle w:val="Tabletext"/>
              <w:jc w:val="center"/>
            </w:pPr>
            <w:r w:rsidRPr="00CA61A6">
              <w:t xml:space="preserve">Junio </w:t>
            </w:r>
            <w:r w:rsidR="00942B20" w:rsidRPr="00CA61A6">
              <w:t>de 2014</w:t>
            </w:r>
          </w:p>
        </w:tc>
        <w:tc>
          <w:tcPr>
            <w:tcW w:w="1194" w:type="dxa"/>
            <w:vAlign w:val="center"/>
          </w:tcPr>
          <w:p w:rsidR="00985D56" w:rsidRPr="00CA61A6" w:rsidRDefault="00AF4D49" w:rsidP="007B3478">
            <w:pPr>
              <w:pStyle w:val="Tabletext"/>
              <w:jc w:val="center"/>
            </w:pPr>
            <w:r w:rsidRPr="00CA61A6">
              <w:sym w:font="Wingdings" w:char="F0FC"/>
            </w:r>
          </w:p>
        </w:tc>
        <w:tc>
          <w:tcPr>
            <w:tcW w:w="1261" w:type="dxa"/>
            <w:vAlign w:val="center"/>
          </w:tcPr>
          <w:p w:rsidR="00985D56" w:rsidRPr="00CA61A6" w:rsidRDefault="00985D56" w:rsidP="007B3478">
            <w:pPr>
              <w:pStyle w:val="Tabletext"/>
              <w:jc w:val="center"/>
            </w:pPr>
          </w:p>
        </w:tc>
      </w:tr>
      <w:tr w:rsidR="00985D56" w:rsidRPr="00CA61A6" w:rsidTr="00EC27B5">
        <w:trPr>
          <w:trHeight w:val="530"/>
        </w:trPr>
        <w:tc>
          <w:tcPr>
            <w:tcW w:w="916" w:type="dxa"/>
            <w:vAlign w:val="center"/>
          </w:tcPr>
          <w:p w:rsidR="00985D56" w:rsidRPr="00CA61A6" w:rsidRDefault="00110CAD" w:rsidP="007B3478">
            <w:pPr>
              <w:pStyle w:val="Tabletext"/>
              <w:jc w:val="center"/>
            </w:pPr>
            <w:hyperlink w:anchor="Item33_02_03" w:history="1">
              <w:r w:rsidR="00985D56" w:rsidRPr="00CA61A6">
                <w:rPr>
                  <w:rStyle w:val="Hyperlink"/>
                </w:rPr>
                <w:t>33-03</w:t>
              </w:r>
            </w:hyperlink>
          </w:p>
        </w:tc>
        <w:tc>
          <w:tcPr>
            <w:tcW w:w="4621" w:type="dxa"/>
            <w:shd w:val="clear" w:color="auto" w:fill="auto"/>
            <w:vAlign w:val="center"/>
            <w:hideMark/>
          </w:tcPr>
          <w:p w:rsidR="00985D56" w:rsidRPr="00CA61A6" w:rsidRDefault="006B3CDE" w:rsidP="007B3478">
            <w:pPr>
              <w:pStyle w:val="Tabletext"/>
            </w:pPr>
            <w:r w:rsidRPr="00CA61A6">
              <w:t>El GANT elaborará propuestas para la preparación de la parte del Plan Estratégico correspondiente al UIT-T</w:t>
            </w:r>
            <w:r w:rsidR="00365C93" w:rsidRPr="00CA61A6">
              <w:t>,</w:t>
            </w:r>
            <w:r w:rsidRPr="00CA61A6">
              <w:t xml:space="preserve"> de las que dará cuenta en la reunión de julio de 2014</w:t>
            </w:r>
          </w:p>
        </w:tc>
        <w:tc>
          <w:tcPr>
            <w:tcW w:w="1530" w:type="dxa"/>
            <w:shd w:val="clear" w:color="auto" w:fill="auto"/>
            <w:vAlign w:val="center"/>
            <w:hideMark/>
          </w:tcPr>
          <w:p w:rsidR="00985D56" w:rsidRPr="00CA61A6" w:rsidRDefault="00EC27B5" w:rsidP="007B3478">
            <w:pPr>
              <w:pStyle w:val="Tabletext"/>
              <w:jc w:val="center"/>
            </w:pPr>
            <w:r w:rsidRPr="00CA61A6">
              <w:t xml:space="preserve">Junio </w:t>
            </w:r>
            <w:r w:rsidR="00942B20" w:rsidRPr="00CA61A6">
              <w:t>de 2014</w:t>
            </w:r>
          </w:p>
        </w:tc>
        <w:tc>
          <w:tcPr>
            <w:tcW w:w="1194" w:type="dxa"/>
            <w:vAlign w:val="center"/>
          </w:tcPr>
          <w:p w:rsidR="00985D56" w:rsidRPr="00CA61A6" w:rsidRDefault="00AF4D49" w:rsidP="007B3478">
            <w:pPr>
              <w:pStyle w:val="Tabletext"/>
              <w:jc w:val="center"/>
            </w:pPr>
            <w:r w:rsidRPr="00CA61A6">
              <w:sym w:font="Wingdings" w:char="F0FC"/>
            </w:r>
          </w:p>
        </w:tc>
        <w:tc>
          <w:tcPr>
            <w:tcW w:w="1261" w:type="dxa"/>
            <w:vAlign w:val="center"/>
          </w:tcPr>
          <w:p w:rsidR="00985D56" w:rsidRPr="00CA61A6" w:rsidRDefault="00985D56" w:rsidP="007B3478">
            <w:pPr>
              <w:pStyle w:val="Tabletext"/>
              <w:jc w:val="center"/>
            </w:pPr>
          </w:p>
        </w:tc>
      </w:tr>
      <w:tr w:rsidR="00942B20" w:rsidRPr="00CA61A6" w:rsidTr="00EC27B5">
        <w:trPr>
          <w:trHeight w:val="530"/>
        </w:trPr>
        <w:tc>
          <w:tcPr>
            <w:tcW w:w="916" w:type="dxa"/>
            <w:vAlign w:val="center"/>
          </w:tcPr>
          <w:p w:rsidR="00942B20" w:rsidRPr="00CA61A6" w:rsidRDefault="00110CAD" w:rsidP="007B3478">
            <w:pPr>
              <w:pStyle w:val="Tabletext"/>
              <w:jc w:val="center"/>
            </w:pPr>
            <w:hyperlink w:anchor="Item33_04" w:history="1">
              <w:r w:rsidR="00942B20" w:rsidRPr="00CA61A6">
                <w:rPr>
                  <w:rStyle w:val="Hyperlink"/>
                </w:rPr>
                <w:t>33-04</w:t>
              </w:r>
            </w:hyperlink>
          </w:p>
        </w:tc>
        <w:tc>
          <w:tcPr>
            <w:tcW w:w="4621" w:type="dxa"/>
            <w:shd w:val="clear" w:color="auto" w:fill="auto"/>
            <w:vAlign w:val="center"/>
          </w:tcPr>
          <w:p w:rsidR="00942B20" w:rsidRPr="00CA61A6" w:rsidRDefault="00942B20" w:rsidP="007B3478">
            <w:pPr>
              <w:pStyle w:val="Tabletext"/>
            </w:pPr>
            <w:r w:rsidRPr="00CA61A6">
              <w:t>El GANT preparará propuestas para la AMNT</w:t>
            </w:r>
            <w:r w:rsidRPr="00CA61A6">
              <w:noBreakHyphen/>
              <w:t>2016</w:t>
            </w:r>
          </w:p>
        </w:tc>
        <w:tc>
          <w:tcPr>
            <w:tcW w:w="1530" w:type="dxa"/>
            <w:shd w:val="clear" w:color="auto" w:fill="auto"/>
            <w:vAlign w:val="center"/>
          </w:tcPr>
          <w:p w:rsidR="00942B20" w:rsidRPr="00CA61A6" w:rsidRDefault="00EC27B5" w:rsidP="0091254D">
            <w:pPr>
              <w:pStyle w:val="Tabletext"/>
              <w:jc w:val="center"/>
            </w:pPr>
            <w:r w:rsidRPr="00CA61A6">
              <w:t xml:space="preserve">Última </w:t>
            </w:r>
            <w:r w:rsidR="00365C93" w:rsidRPr="00CA61A6">
              <w:t>reunión del GANT ant</w:t>
            </w:r>
            <w:r w:rsidR="006B3CDE" w:rsidRPr="00CA61A6">
              <w:t>es de la AMNT</w:t>
            </w:r>
            <w:r w:rsidR="00942B20" w:rsidRPr="00CA61A6">
              <w:t>-16</w:t>
            </w:r>
          </w:p>
        </w:tc>
        <w:tc>
          <w:tcPr>
            <w:tcW w:w="1194" w:type="dxa"/>
            <w:vAlign w:val="center"/>
          </w:tcPr>
          <w:p w:rsidR="00942B20" w:rsidRPr="00CA61A6" w:rsidRDefault="00AF4D49" w:rsidP="007B3478">
            <w:pPr>
              <w:pStyle w:val="Tabletext"/>
              <w:jc w:val="center"/>
            </w:pPr>
            <w:r w:rsidRPr="00CA61A6">
              <w:sym w:font="Wingdings" w:char="F0FC"/>
            </w:r>
          </w:p>
        </w:tc>
        <w:tc>
          <w:tcPr>
            <w:tcW w:w="1261" w:type="dxa"/>
            <w:vAlign w:val="center"/>
          </w:tcPr>
          <w:p w:rsidR="00942B20" w:rsidRPr="00CA61A6" w:rsidRDefault="00942B20" w:rsidP="007B3478">
            <w:pPr>
              <w:pStyle w:val="Tabletext"/>
              <w:jc w:val="center"/>
            </w:pPr>
          </w:p>
        </w:tc>
      </w:tr>
    </w:tbl>
    <w:p w:rsidR="003A19EC" w:rsidRPr="00CA61A6" w:rsidRDefault="003A19EC" w:rsidP="007B3478">
      <w:pPr>
        <w:pStyle w:val="Headingb"/>
      </w:pPr>
      <w:bookmarkStart w:id="90" w:name="Item33_01"/>
      <w:r w:rsidRPr="00CA61A6">
        <w:lastRenderedPageBreak/>
        <w:t xml:space="preserve">Acción 33-01: </w:t>
      </w:r>
      <w:r w:rsidRPr="00CA61A6">
        <w:rPr>
          <w:rFonts w:ascii="Times New Roman" w:hAnsi="Times New Roman"/>
          <w:lang w:eastAsia="ja-JP"/>
        </w:rPr>
        <w:t>GANT</w:t>
      </w:r>
    </w:p>
    <w:bookmarkEnd w:id="90"/>
    <w:p w:rsidR="003A19EC" w:rsidRPr="00CA61A6" w:rsidRDefault="00365C93" w:rsidP="007B3478">
      <w:pPr>
        <w:rPr>
          <w:szCs w:val="24"/>
          <w:lang w:eastAsia="ja-JP"/>
        </w:rPr>
      </w:pPr>
      <w:r w:rsidRPr="00CA61A6">
        <w:rPr>
          <w:szCs w:val="24"/>
          <w:lang w:eastAsia="ja-JP"/>
        </w:rPr>
        <w:t>Se llevan a cabo revisiones</w:t>
      </w:r>
      <w:r w:rsidR="006B3CDE" w:rsidRPr="00CA61A6">
        <w:rPr>
          <w:szCs w:val="24"/>
          <w:lang w:eastAsia="ja-JP"/>
        </w:rPr>
        <w:t xml:space="preserve"> periódica</w:t>
      </w:r>
      <w:r w:rsidRPr="00CA61A6">
        <w:rPr>
          <w:szCs w:val="24"/>
          <w:lang w:eastAsia="ja-JP"/>
        </w:rPr>
        <w:t>s</w:t>
      </w:r>
      <w:r w:rsidR="006B3CDE" w:rsidRPr="00CA61A6">
        <w:rPr>
          <w:szCs w:val="24"/>
          <w:lang w:eastAsia="ja-JP"/>
        </w:rPr>
        <w:t xml:space="preserve"> con arreglo a la información recibida.</w:t>
      </w:r>
    </w:p>
    <w:p w:rsidR="00182EC1" w:rsidRPr="00CA61A6" w:rsidRDefault="00182EC1" w:rsidP="007B3478">
      <w:pPr>
        <w:pStyle w:val="Headingb"/>
      </w:pPr>
      <w:bookmarkStart w:id="91" w:name="Item33_04"/>
      <w:bookmarkStart w:id="92" w:name="Item33_02_03"/>
      <w:r w:rsidRPr="00CA61A6">
        <w:t xml:space="preserve">Acciones 33-02 </w:t>
      </w:r>
      <w:bookmarkEnd w:id="91"/>
      <w:r w:rsidRPr="00CA61A6">
        <w:t xml:space="preserve">y </w:t>
      </w:r>
      <w:bookmarkStart w:id="93" w:name="Item33_05"/>
      <w:r w:rsidRPr="00CA61A6">
        <w:t>33-0</w:t>
      </w:r>
      <w:bookmarkEnd w:id="93"/>
      <w:r w:rsidRPr="00CA61A6">
        <w:t>3: GANT</w:t>
      </w:r>
    </w:p>
    <w:bookmarkEnd w:id="92"/>
    <w:p w:rsidR="006B3CDE" w:rsidRPr="00CA61A6" w:rsidRDefault="006B3CDE" w:rsidP="007B3478">
      <w:pPr>
        <w:rPr>
          <w:szCs w:val="24"/>
          <w:lang w:eastAsia="ja-JP"/>
        </w:rPr>
      </w:pPr>
      <w:r w:rsidRPr="00CA61A6">
        <w:rPr>
          <w:szCs w:val="24"/>
          <w:lang w:eastAsia="ja-JP"/>
        </w:rPr>
        <w:t>En su reunión de junio de 2013, el GANT creó el Grupo de Relator sobre el Plan Estratégico.</w:t>
      </w:r>
    </w:p>
    <w:p w:rsidR="00834C0B" w:rsidRPr="00CA61A6" w:rsidRDefault="006B3CDE" w:rsidP="007B3478">
      <w:pPr>
        <w:rPr>
          <w:szCs w:val="24"/>
          <w:lang w:eastAsia="ja-JP"/>
        </w:rPr>
      </w:pPr>
      <w:r w:rsidRPr="00CA61A6">
        <w:rPr>
          <w:szCs w:val="24"/>
          <w:lang w:eastAsia="ja-JP"/>
        </w:rPr>
        <w:t xml:space="preserve">Los cambios relativos a los resultados y productos </w:t>
      </w:r>
      <w:r w:rsidRPr="00CA61A6">
        <w:t>del Plan Estratégico del UIT-T</w:t>
      </w:r>
      <w:r w:rsidRPr="00CA61A6">
        <w:rPr>
          <w:szCs w:val="24"/>
          <w:lang w:eastAsia="ja-JP"/>
        </w:rPr>
        <w:t xml:space="preserve"> que propuso dicho Grupo de Relator fueron aprobad</w:t>
      </w:r>
      <w:r w:rsidR="00365C93" w:rsidRPr="00CA61A6">
        <w:rPr>
          <w:szCs w:val="24"/>
          <w:lang w:eastAsia="ja-JP"/>
        </w:rPr>
        <w:t>o</w:t>
      </w:r>
      <w:r w:rsidRPr="00CA61A6">
        <w:rPr>
          <w:szCs w:val="24"/>
          <w:lang w:eastAsia="ja-JP"/>
        </w:rPr>
        <w:t>s por el GANT en 2014 y adoptados oficialmente en virtud de la Resolución 71 de la PP-14. En su reunión de 2014, el GANT</w:t>
      </w:r>
      <w:r w:rsidR="00365C93" w:rsidRPr="00CA61A6">
        <w:rPr>
          <w:szCs w:val="24"/>
          <w:lang w:eastAsia="ja-JP"/>
        </w:rPr>
        <w:t xml:space="preserve"> decidió que dicha entidad pasaría a llamarse </w:t>
      </w:r>
      <w:r w:rsidRPr="00CA61A6">
        <w:rPr>
          <w:szCs w:val="24"/>
          <w:lang w:eastAsia="ja-JP"/>
        </w:rPr>
        <w:t xml:space="preserve">Grupo Relator </w:t>
      </w:r>
      <w:r w:rsidR="00395023" w:rsidRPr="00CA61A6">
        <w:rPr>
          <w:szCs w:val="24"/>
          <w:lang w:eastAsia="ja-JP"/>
        </w:rPr>
        <w:t xml:space="preserve">del GANT </w:t>
      </w:r>
      <w:r w:rsidR="00395023" w:rsidRPr="00CA61A6">
        <w:t>sobre los planes estratégico y operacionales</w:t>
      </w:r>
      <w:r w:rsidRPr="00CA61A6">
        <w:rPr>
          <w:szCs w:val="24"/>
          <w:lang w:eastAsia="ja-JP"/>
        </w:rPr>
        <w:t>.</w:t>
      </w:r>
    </w:p>
    <w:p w:rsidR="000043DC" w:rsidRPr="00CA61A6" w:rsidRDefault="000043DC" w:rsidP="007B3478">
      <w:pPr>
        <w:pStyle w:val="Headingb"/>
      </w:pPr>
      <w:r w:rsidRPr="00CA61A6">
        <w:t xml:space="preserve">Acción 33-04: </w:t>
      </w:r>
      <w:r w:rsidRPr="00CA61A6">
        <w:rPr>
          <w:rFonts w:ascii="Times New Roman" w:hAnsi="Times New Roman"/>
          <w:lang w:eastAsia="ja-JP"/>
        </w:rPr>
        <w:t>GANT</w:t>
      </w:r>
    </w:p>
    <w:p w:rsidR="000043DC" w:rsidRPr="00CA61A6" w:rsidRDefault="00395023" w:rsidP="007B3478">
      <w:pPr>
        <w:rPr>
          <w:szCs w:val="24"/>
          <w:lang w:eastAsia="ja-JP"/>
        </w:rPr>
      </w:pPr>
      <w:r w:rsidRPr="00CA61A6">
        <w:rPr>
          <w:szCs w:val="24"/>
          <w:lang w:eastAsia="ja-JP"/>
        </w:rPr>
        <w:t>Véase el Doc</w:t>
      </w:r>
      <w:r w:rsidR="003046FF" w:rsidRPr="00CA61A6">
        <w:rPr>
          <w:szCs w:val="24"/>
          <w:lang w:eastAsia="ja-JP"/>
        </w:rPr>
        <w:t>umento</w:t>
      </w:r>
      <w:r w:rsidRPr="00CA61A6">
        <w:rPr>
          <w:szCs w:val="24"/>
          <w:lang w:eastAsia="ja-JP"/>
        </w:rPr>
        <w:t xml:space="preserve"> 24-27 de la AMNT-16: Informe del GANT a la AMNT-16.</w:t>
      </w:r>
    </w:p>
    <w:p w:rsidR="001D515F" w:rsidRPr="00CA61A6" w:rsidRDefault="00110CAD" w:rsidP="001D515F">
      <w:hyperlink w:anchor="Top" w:history="1">
        <w:r w:rsidR="001D515F" w:rsidRPr="00CA61A6">
          <w:rPr>
            <w:rStyle w:val="Hyperlink"/>
          </w:rPr>
          <w:t>» Arriba</w:t>
        </w:r>
      </w:hyperlink>
    </w:p>
    <w:p w:rsidR="0062564D" w:rsidRPr="00CA61A6" w:rsidRDefault="00562558" w:rsidP="007B3478">
      <w:pPr>
        <w:pStyle w:val="Heading1"/>
      </w:pPr>
      <w:bookmarkStart w:id="94" w:name="_12_Resolución_34"/>
      <w:bookmarkStart w:id="95" w:name="_Toc463335763"/>
      <w:bookmarkEnd w:id="94"/>
      <w:r w:rsidRPr="00CA61A6">
        <w:t>12</w:t>
      </w:r>
      <w:r w:rsidRPr="00CA61A6">
        <w:tab/>
      </w:r>
      <w:r w:rsidR="0062564D" w:rsidRPr="00CA61A6">
        <w:t>Resolución 34 – Contribuciones voluntarias</w:t>
      </w:r>
      <w:bookmarkEnd w:id="95"/>
    </w:p>
    <w:p w:rsidR="0062564D" w:rsidRPr="00CA61A6" w:rsidRDefault="0062564D" w:rsidP="007B3478">
      <w:pPr>
        <w:pStyle w:val="Headingb"/>
      </w:pPr>
      <w:r w:rsidRPr="00CA61A6">
        <w:t>Resolución 34</w:t>
      </w:r>
    </w:p>
    <w:p w:rsidR="0062564D" w:rsidRPr="00CA61A6" w:rsidRDefault="0062564D" w:rsidP="007B3478">
      <w:pPr>
        <w:pStyle w:val="Call"/>
      </w:pPr>
      <w:r w:rsidRPr="00CA61A6">
        <w:t>resuelve</w:t>
      </w:r>
    </w:p>
    <w:p w:rsidR="0062564D" w:rsidRPr="00CA61A6" w:rsidRDefault="0062564D" w:rsidP="007B3478">
      <w:r w:rsidRPr="00CA61A6">
        <w:t>1</w:t>
      </w:r>
      <w:r w:rsidRPr="00CA61A6">
        <w:tab/>
        <w:t xml:space="preserve">alentar la financiación a través de contribuciones voluntarias, de proyectos específicos, grupos temáticos u otras iniciativas nuevas, incluida cualquier iniciativa que ayude a lograr los objetivos de la Resolución 44 (Rev. </w:t>
      </w:r>
      <w:r w:rsidR="00792D99" w:rsidRPr="00CA61A6">
        <w:t>Dubái</w:t>
      </w:r>
      <w:r w:rsidRPr="00CA61A6">
        <w:t>, 2012) de esta Asamblea sobre reducción de la disparidad en materia de normalización;</w:t>
      </w:r>
    </w:p>
    <w:p w:rsidR="0062564D" w:rsidRPr="00CA61A6" w:rsidRDefault="0062564D" w:rsidP="007B3478">
      <w:r w:rsidRPr="00CA61A6">
        <w:t>2</w:t>
      </w:r>
      <w:r w:rsidRPr="00CA61A6">
        <w:tab/>
        <w:t>invitar a los Miembros de Sector y a los Asociados a financiar voluntariamente la participación de los países en desarrollo, y en particular la participación a distancia utilizando métodos de trabajo electrónicos en las reuniones y talleres organizados por el UIT-T;</w:t>
      </w:r>
    </w:p>
    <w:p w:rsidR="0062564D" w:rsidRPr="00CA61A6" w:rsidRDefault="0062564D" w:rsidP="00FF6E42">
      <w:pPr>
        <w:spacing w:after="120"/>
      </w:pPr>
      <w:r w:rsidRPr="00CA61A6">
        <w:t>3</w:t>
      </w:r>
      <w:r w:rsidRPr="00CA61A6">
        <w:tab/>
        <w:t>invitar a los Estados Miembros, a los Miembros de Sector y a los Asociados de los países desarrollados y en desarrollo a presentar al Director de la Oficina de Normalización de las Telecomunicaciones (TSB) proyectos y otras iniciativas de interés para el UIT</w:t>
      </w:r>
      <w:r w:rsidRPr="00CA61A6">
        <w:noBreakHyphen/>
        <w:t>T para su financiación a través de contribuciones voluntarias.</w:t>
      </w:r>
    </w:p>
    <w:tbl>
      <w:tblPr>
        <w:tblW w:w="9522" w:type="dxa"/>
        <w:tblInd w:w="-13" w:type="dxa"/>
        <w:tblLook w:val="04A0" w:firstRow="1" w:lastRow="0" w:firstColumn="1" w:lastColumn="0" w:noHBand="0" w:noVBand="1"/>
      </w:tblPr>
      <w:tblGrid>
        <w:gridCol w:w="916"/>
        <w:gridCol w:w="4621"/>
        <w:gridCol w:w="1554"/>
        <w:gridCol w:w="1170"/>
        <w:gridCol w:w="1261"/>
      </w:tblGrid>
      <w:tr w:rsidR="0062564D" w:rsidRPr="00CA61A6" w:rsidTr="005B4188">
        <w:trPr>
          <w:trHeight w:val="647"/>
          <w:tblHeader/>
        </w:trPr>
        <w:tc>
          <w:tcPr>
            <w:tcW w:w="916" w:type="dxa"/>
            <w:tcBorders>
              <w:top w:val="single" w:sz="4" w:space="0" w:color="auto"/>
              <w:left w:val="single" w:sz="4" w:space="0" w:color="auto"/>
              <w:bottom w:val="double" w:sz="6" w:space="0" w:color="auto"/>
              <w:right w:val="single" w:sz="4" w:space="0" w:color="auto"/>
            </w:tcBorders>
            <w:vAlign w:val="center"/>
          </w:tcPr>
          <w:p w:rsidR="0062564D" w:rsidRPr="00CA61A6" w:rsidRDefault="00F449AE" w:rsidP="007B3478">
            <w:pPr>
              <w:pStyle w:val="Tablehead"/>
              <w:spacing w:before="120"/>
            </w:pPr>
            <w:r w:rsidRPr="00CA61A6">
              <w:t>Número</w:t>
            </w:r>
          </w:p>
        </w:tc>
        <w:tc>
          <w:tcPr>
            <w:tcW w:w="4621" w:type="dxa"/>
            <w:tcBorders>
              <w:top w:val="single" w:sz="4" w:space="0" w:color="auto"/>
              <w:left w:val="single" w:sz="4" w:space="0" w:color="auto"/>
              <w:bottom w:val="double" w:sz="6" w:space="0" w:color="auto"/>
              <w:right w:val="single" w:sz="4" w:space="0" w:color="auto"/>
            </w:tcBorders>
            <w:shd w:val="clear" w:color="auto" w:fill="auto"/>
            <w:vAlign w:val="center"/>
            <w:hideMark/>
          </w:tcPr>
          <w:p w:rsidR="0062564D" w:rsidRPr="00CA61A6" w:rsidRDefault="0062564D" w:rsidP="007B3478">
            <w:pPr>
              <w:pStyle w:val="Tablehead"/>
              <w:spacing w:before="120"/>
            </w:pPr>
            <w:r w:rsidRPr="00CA61A6">
              <w:t>Acción</w:t>
            </w:r>
          </w:p>
        </w:tc>
        <w:tc>
          <w:tcPr>
            <w:tcW w:w="1554" w:type="dxa"/>
            <w:tcBorders>
              <w:top w:val="single" w:sz="4" w:space="0" w:color="auto"/>
              <w:left w:val="nil"/>
              <w:bottom w:val="double" w:sz="6" w:space="0" w:color="auto"/>
              <w:right w:val="single" w:sz="4" w:space="0" w:color="auto"/>
            </w:tcBorders>
            <w:shd w:val="clear" w:color="auto" w:fill="auto"/>
            <w:vAlign w:val="center"/>
            <w:hideMark/>
          </w:tcPr>
          <w:p w:rsidR="0062564D" w:rsidRPr="00CA61A6" w:rsidRDefault="0062564D" w:rsidP="007B3478">
            <w:pPr>
              <w:pStyle w:val="Tablehead"/>
              <w:spacing w:before="120"/>
            </w:pPr>
            <w:r w:rsidRPr="00CA61A6">
              <w:t>Fecha objetivo</w:t>
            </w:r>
          </w:p>
        </w:tc>
        <w:tc>
          <w:tcPr>
            <w:tcW w:w="1170" w:type="dxa"/>
            <w:tcBorders>
              <w:top w:val="single" w:sz="4" w:space="0" w:color="auto"/>
              <w:left w:val="nil"/>
              <w:bottom w:val="double" w:sz="6" w:space="0" w:color="auto"/>
              <w:right w:val="single" w:sz="4" w:space="0" w:color="auto"/>
            </w:tcBorders>
            <w:vAlign w:val="center"/>
          </w:tcPr>
          <w:p w:rsidR="0062564D" w:rsidRPr="00CA61A6" w:rsidRDefault="0062564D" w:rsidP="007B3478">
            <w:pPr>
              <w:pStyle w:val="Tablehead"/>
              <w:spacing w:before="120"/>
            </w:pPr>
            <w:r w:rsidRPr="00CA61A6">
              <w:t>Objetivos periódicos cumplidos</w:t>
            </w:r>
          </w:p>
        </w:tc>
        <w:tc>
          <w:tcPr>
            <w:tcW w:w="1261" w:type="dxa"/>
            <w:tcBorders>
              <w:top w:val="single" w:sz="4" w:space="0" w:color="auto"/>
              <w:left w:val="single" w:sz="4" w:space="0" w:color="auto"/>
              <w:bottom w:val="double" w:sz="6" w:space="0" w:color="auto"/>
              <w:right w:val="single" w:sz="4" w:space="0" w:color="auto"/>
            </w:tcBorders>
            <w:vAlign w:val="center"/>
          </w:tcPr>
          <w:p w:rsidR="0062564D" w:rsidRPr="00CA61A6" w:rsidRDefault="0062564D" w:rsidP="007B3478">
            <w:pPr>
              <w:pStyle w:val="Tablehead"/>
              <w:spacing w:before="120"/>
            </w:pPr>
            <w:r w:rsidRPr="00CA61A6">
              <w:t>Completada</w:t>
            </w:r>
          </w:p>
        </w:tc>
      </w:tr>
      <w:tr w:rsidR="0062564D" w:rsidRPr="00CA61A6" w:rsidTr="005B4188">
        <w:trPr>
          <w:trHeight w:val="620"/>
        </w:trPr>
        <w:tc>
          <w:tcPr>
            <w:tcW w:w="916" w:type="dxa"/>
            <w:tcBorders>
              <w:top w:val="double" w:sz="6" w:space="0" w:color="auto"/>
              <w:left w:val="single" w:sz="4" w:space="0" w:color="auto"/>
              <w:bottom w:val="single" w:sz="4" w:space="0" w:color="auto"/>
              <w:right w:val="single" w:sz="4" w:space="0" w:color="auto"/>
            </w:tcBorders>
            <w:vAlign w:val="center"/>
          </w:tcPr>
          <w:p w:rsidR="0062564D" w:rsidRPr="00CA61A6" w:rsidRDefault="00110CAD" w:rsidP="007B3478">
            <w:pPr>
              <w:pStyle w:val="Tabletext"/>
              <w:spacing w:before="120"/>
              <w:jc w:val="center"/>
            </w:pPr>
            <w:hyperlink w:anchor="Item34_01" w:history="1">
              <w:r w:rsidR="0062564D" w:rsidRPr="00ED1147">
                <w:rPr>
                  <w:rStyle w:val="Hyperlink"/>
                </w:rPr>
                <w:t>34-01</w:t>
              </w:r>
            </w:hyperlink>
          </w:p>
        </w:tc>
        <w:tc>
          <w:tcPr>
            <w:tcW w:w="4621" w:type="dxa"/>
            <w:tcBorders>
              <w:top w:val="double" w:sz="6" w:space="0" w:color="auto"/>
              <w:left w:val="single" w:sz="4" w:space="0" w:color="auto"/>
              <w:bottom w:val="single" w:sz="4" w:space="0" w:color="auto"/>
              <w:right w:val="single" w:sz="4" w:space="0" w:color="auto"/>
            </w:tcBorders>
            <w:shd w:val="clear" w:color="auto" w:fill="auto"/>
            <w:vAlign w:val="center"/>
            <w:hideMark/>
          </w:tcPr>
          <w:p w:rsidR="0062564D" w:rsidRPr="00CA61A6" w:rsidRDefault="0062564D" w:rsidP="007B3478">
            <w:pPr>
              <w:pStyle w:val="Tabletext"/>
              <w:spacing w:before="120"/>
            </w:pPr>
            <w:r w:rsidRPr="00CA61A6">
              <w:t>La TSB solicita contribuciones voluntarias para actividades concretas, por ejemplo, proyectos, reuniones, talleres, MTE</w:t>
            </w:r>
          </w:p>
        </w:tc>
        <w:tc>
          <w:tcPr>
            <w:tcW w:w="1554" w:type="dxa"/>
            <w:tcBorders>
              <w:top w:val="double" w:sz="6" w:space="0" w:color="auto"/>
              <w:left w:val="nil"/>
              <w:bottom w:val="single" w:sz="4" w:space="0" w:color="auto"/>
              <w:right w:val="single" w:sz="4" w:space="0" w:color="auto"/>
            </w:tcBorders>
            <w:shd w:val="clear" w:color="auto" w:fill="auto"/>
            <w:vAlign w:val="center"/>
            <w:hideMark/>
          </w:tcPr>
          <w:p w:rsidR="0062564D" w:rsidRPr="00CA61A6" w:rsidRDefault="0062564D" w:rsidP="007B3478">
            <w:pPr>
              <w:pStyle w:val="Tabletext"/>
              <w:spacing w:before="120"/>
              <w:jc w:val="center"/>
            </w:pPr>
            <w:r w:rsidRPr="00CA61A6">
              <w:t>En curso</w:t>
            </w:r>
          </w:p>
        </w:tc>
        <w:tc>
          <w:tcPr>
            <w:tcW w:w="1170" w:type="dxa"/>
            <w:tcBorders>
              <w:top w:val="double" w:sz="6" w:space="0" w:color="auto"/>
              <w:left w:val="nil"/>
              <w:bottom w:val="single" w:sz="4" w:space="0" w:color="auto"/>
              <w:right w:val="single" w:sz="4" w:space="0" w:color="auto"/>
            </w:tcBorders>
            <w:vAlign w:val="center"/>
          </w:tcPr>
          <w:p w:rsidR="0062564D" w:rsidRPr="00CA61A6" w:rsidRDefault="00AF4D49" w:rsidP="0091254D">
            <w:pPr>
              <w:pStyle w:val="Tabletext"/>
              <w:jc w:val="center"/>
            </w:pPr>
            <w:r w:rsidRPr="00CA61A6">
              <w:sym w:font="Wingdings" w:char="F0FC"/>
            </w:r>
          </w:p>
        </w:tc>
        <w:tc>
          <w:tcPr>
            <w:tcW w:w="1261" w:type="dxa"/>
            <w:tcBorders>
              <w:top w:val="double" w:sz="6" w:space="0" w:color="auto"/>
              <w:left w:val="single" w:sz="4" w:space="0" w:color="auto"/>
              <w:bottom w:val="single" w:sz="4" w:space="0" w:color="auto"/>
              <w:right w:val="single" w:sz="4" w:space="0" w:color="auto"/>
            </w:tcBorders>
            <w:shd w:val="clear" w:color="auto" w:fill="auto"/>
            <w:vAlign w:val="center"/>
          </w:tcPr>
          <w:p w:rsidR="0062564D" w:rsidRPr="00CA61A6" w:rsidRDefault="0062564D" w:rsidP="007B3478">
            <w:pPr>
              <w:pStyle w:val="Tabletext"/>
              <w:spacing w:before="120"/>
              <w:jc w:val="center"/>
            </w:pPr>
          </w:p>
        </w:tc>
      </w:tr>
      <w:tr w:rsidR="0062564D" w:rsidRPr="00CA61A6" w:rsidTr="005B4188">
        <w:trPr>
          <w:trHeight w:val="710"/>
        </w:trPr>
        <w:tc>
          <w:tcPr>
            <w:tcW w:w="916" w:type="dxa"/>
            <w:tcBorders>
              <w:top w:val="nil"/>
              <w:left w:val="single" w:sz="4" w:space="0" w:color="auto"/>
              <w:bottom w:val="single" w:sz="4" w:space="0" w:color="auto"/>
              <w:right w:val="single" w:sz="4" w:space="0" w:color="auto"/>
            </w:tcBorders>
            <w:vAlign w:val="center"/>
          </w:tcPr>
          <w:p w:rsidR="0062564D" w:rsidRPr="00CA61A6" w:rsidRDefault="00110CAD" w:rsidP="007B3478">
            <w:pPr>
              <w:pStyle w:val="Tabletext"/>
              <w:spacing w:before="120"/>
              <w:jc w:val="center"/>
            </w:pPr>
            <w:hyperlink w:anchor="Item34_02" w:history="1">
              <w:r w:rsidR="0062564D" w:rsidRPr="00CA61A6">
                <w:rPr>
                  <w:rStyle w:val="Hyperlink"/>
                </w:rPr>
                <w:t>34-02</w:t>
              </w:r>
            </w:hyperlink>
          </w:p>
        </w:tc>
        <w:tc>
          <w:tcPr>
            <w:tcW w:w="4621" w:type="dxa"/>
            <w:tcBorders>
              <w:top w:val="nil"/>
              <w:left w:val="single" w:sz="4" w:space="0" w:color="auto"/>
              <w:bottom w:val="single" w:sz="4" w:space="0" w:color="auto"/>
              <w:right w:val="single" w:sz="4" w:space="0" w:color="auto"/>
            </w:tcBorders>
            <w:shd w:val="clear" w:color="auto" w:fill="auto"/>
            <w:vAlign w:val="center"/>
            <w:hideMark/>
          </w:tcPr>
          <w:p w:rsidR="0062564D" w:rsidRPr="00CA61A6" w:rsidRDefault="0062564D" w:rsidP="007B3478">
            <w:pPr>
              <w:pStyle w:val="Tabletext"/>
              <w:spacing w:before="120"/>
            </w:pPr>
            <w:r w:rsidRPr="00CA61A6">
              <w:t xml:space="preserve">En sus intervenciones en talleres, reuniones regionales y otros eventos promocionales, la TSB animará a contribuir voluntariamente a la financiación de nuevas iniciativas (véase también la </w:t>
            </w:r>
            <w:hyperlink w:anchor="_17_Resolución_44" w:history="1">
              <w:r w:rsidRPr="005175C9">
                <w:rPr>
                  <w:rStyle w:val="Hyperlink"/>
                </w:rPr>
                <w:t>Resolución 44</w:t>
              </w:r>
            </w:hyperlink>
            <w:r w:rsidRPr="00CA61A6">
              <w:t>)</w:t>
            </w:r>
          </w:p>
        </w:tc>
        <w:tc>
          <w:tcPr>
            <w:tcW w:w="1554" w:type="dxa"/>
            <w:tcBorders>
              <w:top w:val="nil"/>
              <w:left w:val="nil"/>
              <w:bottom w:val="single" w:sz="4" w:space="0" w:color="auto"/>
              <w:right w:val="single" w:sz="4" w:space="0" w:color="auto"/>
            </w:tcBorders>
            <w:shd w:val="clear" w:color="auto" w:fill="auto"/>
            <w:vAlign w:val="center"/>
            <w:hideMark/>
          </w:tcPr>
          <w:p w:rsidR="0062564D" w:rsidRPr="00CA61A6" w:rsidRDefault="0062564D" w:rsidP="007B3478">
            <w:pPr>
              <w:pStyle w:val="Tabletext"/>
              <w:spacing w:before="120"/>
              <w:jc w:val="center"/>
            </w:pPr>
            <w:r w:rsidRPr="00CA61A6">
              <w:t>En curso</w:t>
            </w:r>
          </w:p>
        </w:tc>
        <w:tc>
          <w:tcPr>
            <w:tcW w:w="1170" w:type="dxa"/>
            <w:tcBorders>
              <w:top w:val="nil"/>
              <w:left w:val="nil"/>
              <w:bottom w:val="single" w:sz="4" w:space="0" w:color="auto"/>
              <w:right w:val="single" w:sz="4" w:space="0" w:color="auto"/>
            </w:tcBorders>
            <w:vAlign w:val="center"/>
          </w:tcPr>
          <w:p w:rsidR="0062564D" w:rsidRPr="00CA61A6" w:rsidRDefault="00AF4D49" w:rsidP="0091254D">
            <w:pPr>
              <w:pStyle w:val="Tabletext"/>
              <w:jc w:val="center"/>
            </w:pPr>
            <w:r w:rsidRPr="00CA61A6">
              <w:sym w:font="Wingdings" w:char="F0FC"/>
            </w:r>
          </w:p>
        </w:tc>
        <w:tc>
          <w:tcPr>
            <w:tcW w:w="1261" w:type="dxa"/>
            <w:tcBorders>
              <w:top w:val="nil"/>
              <w:left w:val="single" w:sz="4" w:space="0" w:color="auto"/>
              <w:bottom w:val="single" w:sz="4" w:space="0" w:color="auto"/>
              <w:right w:val="single" w:sz="4" w:space="0" w:color="auto"/>
            </w:tcBorders>
            <w:shd w:val="clear" w:color="auto" w:fill="auto"/>
            <w:vAlign w:val="center"/>
          </w:tcPr>
          <w:p w:rsidR="0062564D" w:rsidRPr="00CA61A6" w:rsidRDefault="0062564D" w:rsidP="007B3478">
            <w:pPr>
              <w:pStyle w:val="Tabletext"/>
              <w:spacing w:before="120"/>
              <w:jc w:val="center"/>
            </w:pPr>
          </w:p>
        </w:tc>
      </w:tr>
    </w:tbl>
    <w:p w:rsidR="0062564D" w:rsidRPr="00CA61A6" w:rsidRDefault="00177454" w:rsidP="002A5BD8">
      <w:pPr>
        <w:pStyle w:val="Headingb"/>
      </w:pPr>
      <w:bookmarkStart w:id="96" w:name="lt_pId022"/>
      <w:bookmarkStart w:id="97" w:name="Item34_01"/>
      <w:r w:rsidRPr="00CA61A6">
        <w:t xml:space="preserve">Acción </w:t>
      </w:r>
      <w:r w:rsidR="0062564D" w:rsidRPr="00CA61A6">
        <w:t>34-01: TSB</w:t>
      </w:r>
      <w:bookmarkEnd w:id="96"/>
    </w:p>
    <w:p w:rsidR="0062564D" w:rsidRPr="00CA61A6" w:rsidRDefault="0062564D" w:rsidP="00B2742C">
      <w:pPr>
        <w:rPr>
          <w:szCs w:val="24"/>
          <w:lang w:eastAsia="ja-JP"/>
        </w:rPr>
      </w:pPr>
      <w:bookmarkStart w:id="98" w:name="lt_pId023"/>
      <w:bookmarkEnd w:id="97"/>
      <w:r w:rsidRPr="00CA61A6">
        <w:rPr>
          <w:szCs w:val="24"/>
          <w:lang w:eastAsia="ja-JP"/>
        </w:rPr>
        <w:t xml:space="preserve">Dado </w:t>
      </w:r>
      <w:r w:rsidRPr="00CA61A6">
        <w:t xml:space="preserve">que </w:t>
      </w:r>
      <w:r w:rsidR="00CD13E6">
        <w:t xml:space="preserve">con </w:t>
      </w:r>
      <w:r w:rsidRPr="00CA61A6">
        <w:t xml:space="preserve">el nivel de recursos con que cuenta el UIT-T actualmente resulta imposible aplicar plenamente las </w:t>
      </w:r>
      <w:r w:rsidR="00D6232E">
        <w:rPr>
          <w:szCs w:val="24"/>
          <w:lang w:eastAsia="ja-JP"/>
        </w:rPr>
        <w:t>Resoluciones de la AMNT</w:t>
      </w:r>
      <w:r w:rsidR="00D6232E">
        <w:rPr>
          <w:szCs w:val="24"/>
          <w:lang w:eastAsia="ja-JP"/>
        </w:rPr>
        <w:noBreakHyphen/>
      </w:r>
      <w:r w:rsidRPr="00CA61A6">
        <w:rPr>
          <w:szCs w:val="24"/>
          <w:lang w:eastAsia="ja-JP"/>
        </w:rPr>
        <w:t>12</w:t>
      </w:r>
      <w:r w:rsidRPr="00CA61A6">
        <w:t xml:space="preserve">, ya que se han tomado todas las medidas de ahorro posibles, se pidió a los </w:t>
      </w:r>
      <w:r w:rsidR="000856D6" w:rsidRPr="00CA61A6">
        <w:t xml:space="preserve">miembros </w:t>
      </w:r>
      <w:r w:rsidRPr="00CA61A6">
        <w:t xml:space="preserve">de la UIT que financiaran </w:t>
      </w:r>
      <w:r w:rsidR="006A5DB3">
        <w:t>actividades adicionales del UIT</w:t>
      </w:r>
      <w:r w:rsidR="006A5DB3">
        <w:noBreakHyphen/>
      </w:r>
      <w:r w:rsidRPr="00CA61A6">
        <w:t>T mediante contribuciones voluntarias, en virtud de la Resolución</w:t>
      </w:r>
      <w:r w:rsidRPr="00CA61A6">
        <w:rPr>
          <w:szCs w:val="24"/>
          <w:lang w:eastAsia="ja-JP"/>
        </w:rPr>
        <w:t xml:space="preserve"> 34.</w:t>
      </w:r>
      <w:bookmarkEnd w:id="98"/>
      <w:r w:rsidR="000142E7" w:rsidRPr="00CA61A6">
        <w:rPr>
          <w:szCs w:val="24"/>
          <w:lang w:eastAsia="ja-JP"/>
        </w:rPr>
        <w:t xml:space="preserve"> </w:t>
      </w:r>
      <w:bookmarkStart w:id="99" w:name="lt_pId024"/>
      <w:r w:rsidRPr="00CA61A6">
        <w:rPr>
          <w:szCs w:val="24"/>
          <w:lang w:eastAsia="ja-JP"/>
        </w:rPr>
        <w:t xml:space="preserve">Véase </w:t>
      </w:r>
      <w:r w:rsidR="00B2742C">
        <w:rPr>
          <w:szCs w:val="24"/>
          <w:lang w:eastAsia="ja-JP"/>
        </w:rPr>
        <w:t>la</w:t>
      </w:r>
      <w:hyperlink w:anchor="Item44_05" w:history="1">
        <w:r w:rsidR="00BE5A3A" w:rsidRPr="00CA61A6">
          <w:rPr>
            <w:lang w:eastAsia="ja-JP"/>
          </w:rPr>
          <w:t xml:space="preserve"> </w:t>
        </w:r>
        <w:r w:rsidR="00B2742C">
          <w:rPr>
            <w:rStyle w:val="Hyperlink"/>
          </w:rPr>
          <w:t>Acción</w:t>
        </w:r>
        <w:r w:rsidR="00BE5A3A" w:rsidRPr="00CA61A6">
          <w:rPr>
            <w:rStyle w:val="Hyperlink"/>
          </w:rPr>
          <w:t xml:space="preserve"> </w:t>
        </w:r>
        <w:r w:rsidRPr="00CA61A6">
          <w:rPr>
            <w:rStyle w:val="Hyperlink"/>
          </w:rPr>
          <w:t>44-05</w:t>
        </w:r>
      </w:hyperlink>
      <w:r w:rsidRPr="00CA61A6">
        <w:rPr>
          <w:szCs w:val="24"/>
          <w:lang w:eastAsia="ja-JP"/>
        </w:rPr>
        <w:t xml:space="preserve"> </w:t>
      </w:r>
      <w:r w:rsidRPr="00CA61A6">
        <w:rPr>
          <w:i/>
          <w:iCs/>
          <w:szCs w:val="24"/>
          <w:lang w:eastAsia="ja-JP"/>
        </w:rPr>
        <w:t>infra</w:t>
      </w:r>
      <w:r w:rsidRPr="00CA61A6">
        <w:rPr>
          <w:szCs w:val="24"/>
          <w:lang w:eastAsia="ja-JP"/>
        </w:rPr>
        <w:t>.</w:t>
      </w:r>
      <w:bookmarkEnd w:id="99"/>
    </w:p>
    <w:p w:rsidR="0062564D" w:rsidRPr="00CA61A6" w:rsidRDefault="005477F4" w:rsidP="005477F4">
      <w:pPr>
        <w:pStyle w:val="Headingb"/>
      </w:pPr>
      <w:bookmarkStart w:id="100" w:name="Item34_02"/>
      <w:bookmarkStart w:id="101" w:name="lt_pId025"/>
      <w:bookmarkEnd w:id="100"/>
      <w:r w:rsidRPr="00CA61A6">
        <w:lastRenderedPageBreak/>
        <w:t xml:space="preserve">Acción </w:t>
      </w:r>
      <w:r w:rsidR="0062564D" w:rsidRPr="00CA61A6">
        <w:t>34-02: TSB</w:t>
      </w:r>
      <w:bookmarkEnd w:id="101"/>
    </w:p>
    <w:p w:rsidR="0062564D" w:rsidRPr="00CA61A6" w:rsidRDefault="0062564D" w:rsidP="007B3478">
      <w:pPr>
        <w:rPr>
          <w:b/>
          <w:bCs/>
          <w:szCs w:val="24"/>
          <w:lang w:eastAsia="ja-JP"/>
        </w:rPr>
      </w:pPr>
      <w:bookmarkStart w:id="102" w:name="lt_pId026"/>
      <w:r w:rsidRPr="00CA61A6">
        <w:rPr>
          <w:szCs w:val="24"/>
          <w:lang w:eastAsia="ja-JP"/>
        </w:rPr>
        <w:t>Se insta a efectuar contribuciones voluntarias a la TSB destinadas a financiar nuevas iniciativas (véase también la Resolución 44).</w:t>
      </w:r>
      <w:bookmarkEnd w:id="102"/>
    </w:p>
    <w:p w:rsidR="004B358C" w:rsidRPr="00CA61A6" w:rsidRDefault="00110CAD" w:rsidP="004B358C">
      <w:hyperlink w:anchor="Top" w:history="1">
        <w:r w:rsidR="004B358C" w:rsidRPr="00CA61A6">
          <w:rPr>
            <w:rStyle w:val="Hyperlink"/>
          </w:rPr>
          <w:t>» Arriba</w:t>
        </w:r>
      </w:hyperlink>
    </w:p>
    <w:p w:rsidR="0062564D" w:rsidRPr="00CA61A6" w:rsidRDefault="00AA70AA" w:rsidP="00AA70AA">
      <w:pPr>
        <w:pStyle w:val="Heading1"/>
      </w:pPr>
      <w:bookmarkStart w:id="103" w:name="_13_Resolución_35"/>
      <w:bookmarkStart w:id="104" w:name="_Toc463335764"/>
      <w:bookmarkEnd w:id="103"/>
      <w:r w:rsidRPr="00CA61A6">
        <w:t>13</w:t>
      </w:r>
      <w:r w:rsidRPr="00CA61A6">
        <w:tab/>
        <w:t xml:space="preserve">Resolución </w:t>
      </w:r>
      <w:r w:rsidR="0062564D" w:rsidRPr="00CA61A6">
        <w:t>35</w:t>
      </w:r>
      <w:r w:rsidRPr="00CA61A6">
        <w:t xml:space="preserve"> – </w:t>
      </w:r>
      <w:r w:rsidR="0062564D" w:rsidRPr="00CA61A6">
        <w:t>Nombramiento y duración máxima del mandato de los Presidentes y Vicepresidentes de las Comisiones de Estudio del Sector de Normalización de las Telecomunicaciones de la UIT y del Grupo Asesor de Normalización de las Telecomunicaciones</w:t>
      </w:r>
      <w:bookmarkEnd w:id="104"/>
    </w:p>
    <w:p w:rsidR="0062564D" w:rsidRPr="00CA61A6" w:rsidRDefault="0062564D" w:rsidP="00C62312">
      <w:pPr>
        <w:pStyle w:val="Headingb"/>
      </w:pPr>
      <w:r w:rsidRPr="00CA61A6">
        <w:t>Resolución 35</w:t>
      </w:r>
    </w:p>
    <w:p w:rsidR="0062564D" w:rsidRPr="00CA61A6" w:rsidRDefault="0062564D" w:rsidP="007B3478">
      <w:pPr>
        <w:pStyle w:val="Call"/>
        <w:spacing w:before="200"/>
      </w:pPr>
      <w:r w:rsidRPr="00CA61A6">
        <w:t>resuelve</w:t>
      </w:r>
    </w:p>
    <w:p w:rsidR="0062564D" w:rsidRPr="00CA61A6" w:rsidRDefault="0062564D" w:rsidP="007B3478">
      <w:r w:rsidRPr="00CA61A6">
        <w:t>1</w:t>
      </w:r>
      <w:r w:rsidRPr="00CA61A6">
        <w:tab/>
        <w:t>que se designe a los candidatos para los puestos de Presidente y Vicepresidente de Comisiones de Estudio y los candidatos para los puestos de Presidente y Vicepresidente del GANT aplicando los procedimientos que figuran en el Anexo A, las calificaciones requeridas para dichos puestos, que figuran en el Anexo B, y las directrices contenidas en el Anexo C a la presente Resolución;</w:t>
      </w:r>
    </w:p>
    <w:p w:rsidR="0062564D" w:rsidRPr="00CA61A6" w:rsidRDefault="0062564D" w:rsidP="007B3478">
      <w:r w:rsidRPr="00CA61A6">
        <w:t>2</w:t>
      </w:r>
      <w:r w:rsidRPr="00CA61A6">
        <w:tab/>
        <w:t>que debe identificarse a candidatos para los puestos de Presidente y Vicepresidente de Comisión de Estudio y para los puestos de Presidente y Vicepresidente del GANT, teniendo en cuenta que la AMNT nombrará al Presidente de cada Comisión de Estudio y del GANT, y únicamente al número de Vicepresidentes que se considere necesario para la gestión y el funcionamiento eficientes y eficaces de la comisión o grupo de que se trate con arreglo a las directrices contenidas en el Anexo C;</w:t>
      </w:r>
    </w:p>
    <w:p w:rsidR="0062564D" w:rsidRPr="00CA61A6" w:rsidRDefault="0062564D" w:rsidP="007B3478">
      <w:r w:rsidRPr="00CA61A6">
        <w:t>3</w:t>
      </w:r>
      <w:r w:rsidRPr="00CA61A6">
        <w:tab/>
        <w:t xml:space="preserve">que las candidaturas que se presenten para los puestos de Presidente y Vicepresidente de Comisión de Estudio o los puestos de Presidente y Vicepresidente del GANT deben ir acompañadas de un </w:t>
      </w:r>
      <w:r w:rsidRPr="00CA61A6">
        <w:rPr>
          <w:i/>
          <w:iCs/>
        </w:rPr>
        <w:t>curriculum vitae</w:t>
      </w:r>
      <w:r w:rsidRPr="00CA61A6">
        <w:t xml:space="preserve"> en el que se pongan de manifiesto las calificaciones de la persona o personas propuestas, teniendo muy en cuenta la continuidad de la participación en las Comisiones de Estudio del UIT-T y en el GANT, y que el Director de la Oficina de Normalización de las Telecomunicaciones (TSB) distribuirá estos </w:t>
      </w:r>
      <w:r w:rsidRPr="00CA61A6">
        <w:rPr>
          <w:i/>
          <w:iCs/>
        </w:rPr>
        <w:t>curricula</w:t>
      </w:r>
      <w:r w:rsidRPr="00CA61A6">
        <w:t xml:space="preserve"> entre los Jefes de Delegación presentes en la AMNT;</w:t>
      </w:r>
    </w:p>
    <w:p w:rsidR="0062564D" w:rsidRPr="00CA61A6" w:rsidRDefault="0062564D" w:rsidP="007B3478">
      <w:r w:rsidRPr="00CA61A6">
        <w:t>4</w:t>
      </w:r>
      <w:r w:rsidRPr="00CA61A6">
        <w:tab/>
        <w:t>que la duración del mandato de cada Presidente y Vicepresidente no debe rebasar dos intervalos entre asambleas consecutivas;</w:t>
      </w:r>
    </w:p>
    <w:p w:rsidR="0062564D" w:rsidRPr="00CA61A6" w:rsidRDefault="0062564D" w:rsidP="007B3478">
      <w:r w:rsidRPr="00CA61A6">
        <w:t>5</w:t>
      </w:r>
      <w:r w:rsidRPr="00CA61A6">
        <w:tab/>
        <w:t>que la duración del mandato de un nombramiento (por ejemplo, de Vicepresidente) no se computa a los efectos del mandato de otro nombramiento (por ejemplo, de Presidente), y que deben tomarse medidas para garantizar cierto grado de continuidad entre Presidentes y Vicepresidentes;</w:t>
      </w:r>
    </w:p>
    <w:p w:rsidR="0062564D" w:rsidRPr="00CA61A6" w:rsidRDefault="0062564D" w:rsidP="007B3478">
      <w:r w:rsidRPr="00CA61A6">
        <w:t>6</w:t>
      </w:r>
      <w:r w:rsidRPr="00CA61A6">
        <w:tab/>
        <w:t>que el intervalo entre las Asambleas en las que se elija un Presidente o Vicepresidente con arreglo al número 244 del Convenio no se compute como mandato,</w:t>
      </w:r>
    </w:p>
    <w:p w:rsidR="0062564D" w:rsidRPr="00CA61A6" w:rsidRDefault="0062564D" w:rsidP="007B3478">
      <w:pPr>
        <w:pStyle w:val="Call"/>
      </w:pPr>
      <w:r w:rsidRPr="00CA61A6">
        <w:t>invita a los Estados Miembros y Miembros de Sector</w:t>
      </w:r>
    </w:p>
    <w:p w:rsidR="0062564D" w:rsidRDefault="0062564D" w:rsidP="007B3478">
      <w:pPr>
        <w:spacing w:after="240"/>
      </w:pPr>
      <w:r w:rsidRPr="00CA61A6">
        <w:t>a que ayuden a sus candidatos que han sido elegidos para dichos puestos en el UIT-T, y respalden y faciliten su labor durante todo su mandato.</w:t>
      </w:r>
    </w:p>
    <w:p w:rsidR="00441FD7" w:rsidRDefault="00441FD7" w:rsidP="007B3478">
      <w:pPr>
        <w:spacing w:after="240"/>
      </w:pPr>
    </w:p>
    <w:p w:rsidR="00441FD7" w:rsidRPr="00CA61A6" w:rsidRDefault="00441FD7" w:rsidP="007B3478">
      <w:pPr>
        <w:spacing w:after="240"/>
      </w:pPr>
    </w:p>
    <w:tbl>
      <w:tblPr>
        <w:tblW w:w="5000" w:type="pct"/>
        <w:tblLook w:val="04A0" w:firstRow="1" w:lastRow="0" w:firstColumn="1" w:lastColumn="0" w:noHBand="0" w:noVBand="1"/>
      </w:tblPr>
      <w:tblGrid>
        <w:gridCol w:w="920"/>
        <w:gridCol w:w="4745"/>
        <w:gridCol w:w="1494"/>
        <w:gridCol w:w="1209"/>
        <w:gridCol w:w="1261"/>
      </w:tblGrid>
      <w:tr w:rsidR="0062564D" w:rsidRPr="00CA61A6" w:rsidTr="00B70278">
        <w:trPr>
          <w:trHeight w:val="647"/>
          <w:tblHeader/>
        </w:trPr>
        <w:tc>
          <w:tcPr>
            <w:tcW w:w="477" w:type="pct"/>
            <w:tcBorders>
              <w:top w:val="single" w:sz="4" w:space="0" w:color="auto"/>
              <w:left w:val="single" w:sz="4" w:space="0" w:color="auto"/>
              <w:bottom w:val="double" w:sz="6" w:space="0" w:color="auto"/>
              <w:right w:val="single" w:sz="4" w:space="0" w:color="auto"/>
            </w:tcBorders>
            <w:vAlign w:val="center"/>
          </w:tcPr>
          <w:p w:rsidR="0062564D" w:rsidRPr="00CA61A6" w:rsidRDefault="006017B5" w:rsidP="007B3478">
            <w:pPr>
              <w:pStyle w:val="Tablehead"/>
            </w:pPr>
            <w:r w:rsidRPr="00CA61A6">
              <w:lastRenderedPageBreak/>
              <w:t>Número</w:t>
            </w:r>
          </w:p>
        </w:tc>
        <w:tc>
          <w:tcPr>
            <w:tcW w:w="2464" w:type="pct"/>
            <w:tcBorders>
              <w:top w:val="single" w:sz="4" w:space="0" w:color="auto"/>
              <w:left w:val="single" w:sz="4" w:space="0" w:color="auto"/>
              <w:bottom w:val="double" w:sz="6" w:space="0" w:color="auto"/>
              <w:right w:val="single" w:sz="4" w:space="0" w:color="auto"/>
            </w:tcBorders>
            <w:shd w:val="clear" w:color="auto" w:fill="auto"/>
            <w:vAlign w:val="center"/>
            <w:hideMark/>
          </w:tcPr>
          <w:p w:rsidR="0062564D" w:rsidRPr="00CA61A6" w:rsidRDefault="0062564D" w:rsidP="007B3478">
            <w:pPr>
              <w:pStyle w:val="Tablehead"/>
            </w:pPr>
            <w:r w:rsidRPr="00CA61A6">
              <w:t>Acción</w:t>
            </w:r>
          </w:p>
        </w:tc>
        <w:tc>
          <w:tcPr>
            <w:tcW w:w="776" w:type="pct"/>
            <w:tcBorders>
              <w:top w:val="single" w:sz="4" w:space="0" w:color="auto"/>
              <w:left w:val="nil"/>
              <w:bottom w:val="double" w:sz="6" w:space="0" w:color="auto"/>
              <w:right w:val="single" w:sz="4" w:space="0" w:color="auto"/>
            </w:tcBorders>
            <w:shd w:val="clear" w:color="auto" w:fill="auto"/>
            <w:vAlign w:val="center"/>
            <w:hideMark/>
          </w:tcPr>
          <w:p w:rsidR="0062564D" w:rsidRPr="00CA61A6" w:rsidRDefault="0062564D" w:rsidP="007B3478">
            <w:pPr>
              <w:pStyle w:val="Tablehead"/>
            </w:pPr>
            <w:r w:rsidRPr="00CA61A6">
              <w:t>Fecha objetivo</w:t>
            </w:r>
          </w:p>
        </w:tc>
        <w:tc>
          <w:tcPr>
            <w:tcW w:w="628" w:type="pct"/>
            <w:tcBorders>
              <w:top w:val="single" w:sz="4" w:space="0" w:color="auto"/>
              <w:left w:val="nil"/>
              <w:bottom w:val="double" w:sz="6" w:space="0" w:color="auto"/>
              <w:right w:val="single" w:sz="4" w:space="0" w:color="auto"/>
            </w:tcBorders>
            <w:vAlign w:val="center"/>
          </w:tcPr>
          <w:p w:rsidR="0062564D" w:rsidRPr="00CA61A6" w:rsidRDefault="0062564D" w:rsidP="007B3478">
            <w:pPr>
              <w:pStyle w:val="Tablehead"/>
            </w:pPr>
            <w:r w:rsidRPr="00CA61A6">
              <w:t>Objetivos periódicos cumplidos</w:t>
            </w:r>
          </w:p>
        </w:tc>
        <w:tc>
          <w:tcPr>
            <w:tcW w:w="655" w:type="pct"/>
            <w:tcBorders>
              <w:top w:val="single" w:sz="4" w:space="0" w:color="auto"/>
              <w:left w:val="single" w:sz="4" w:space="0" w:color="auto"/>
              <w:bottom w:val="double" w:sz="6" w:space="0" w:color="auto"/>
              <w:right w:val="single" w:sz="4" w:space="0" w:color="auto"/>
            </w:tcBorders>
            <w:vAlign w:val="center"/>
          </w:tcPr>
          <w:p w:rsidR="0062564D" w:rsidRPr="00CA61A6" w:rsidRDefault="0062564D" w:rsidP="007B3478">
            <w:pPr>
              <w:pStyle w:val="Tablehead"/>
            </w:pPr>
            <w:r w:rsidRPr="00CA61A6">
              <w:t>Completada</w:t>
            </w:r>
          </w:p>
        </w:tc>
      </w:tr>
      <w:tr w:rsidR="0062564D" w:rsidRPr="00CA61A6" w:rsidTr="00B70278">
        <w:trPr>
          <w:trHeight w:val="620"/>
        </w:trPr>
        <w:tc>
          <w:tcPr>
            <w:tcW w:w="477" w:type="pct"/>
            <w:tcBorders>
              <w:top w:val="double" w:sz="6" w:space="0" w:color="auto"/>
              <w:left w:val="single" w:sz="4" w:space="0" w:color="auto"/>
              <w:bottom w:val="single" w:sz="4" w:space="0" w:color="auto"/>
              <w:right w:val="single" w:sz="4" w:space="0" w:color="auto"/>
            </w:tcBorders>
            <w:vAlign w:val="center"/>
          </w:tcPr>
          <w:p w:rsidR="0062564D" w:rsidRPr="00CA61A6" w:rsidRDefault="00110CAD" w:rsidP="007B3478">
            <w:pPr>
              <w:pStyle w:val="Tabletext"/>
              <w:jc w:val="center"/>
            </w:pPr>
            <w:hyperlink w:anchor="Item35_01" w:history="1">
              <w:r w:rsidR="0062564D" w:rsidRPr="00CA61A6">
                <w:rPr>
                  <w:rStyle w:val="Hyperlink"/>
                </w:rPr>
                <w:t>35-01</w:t>
              </w:r>
            </w:hyperlink>
          </w:p>
        </w:tc>
        <w:tc>
          <w:tcPr>
            <w:tcW w:w="2464" w:type="pct"/>
            <w:tcBorders>
              <w:top w:val="double" w:sz="6" w:space="0" w:color="auto"/>
              <w:left w:val="single" w:sz="4" w:space="0" w:color="auto"/>
              <w:bottom w:val="single" w:sz="4" w:space="0" w:color="auto"/>
              <w:right w:val="single" w:sz="4" w:space="0" w:color="auto"/>
            </w:tcBorders>
            <w:shd w:val="clear" w:color="auto" w:fill="auto"/>
            <w:hideMark/>
          </w:tcPr>
          <w:p w:rsidR="0062564D" w:rsidRPr="00CA61A6" w:rsidRDefault="0062564D" w:rsidP="007B3478">
            <w:pPr>
              <w:pStyle w:val="Tabletext"/>
            </w:pPr>
            <w:r w:rsidRPr="00CA61A6">
              <w:t xml:space="preserve">El Director publicará una Circular solicitando candidatos al puesto de Presidente y Vicepresidente de las Comisiones de Estudio, especialmente para conocer las responsabilidades en materia de BSG antes de nombrar al Presidente y los Vicepresidentes del GANT y de las Comisiones de Estudio del UIT-T (véase también la </w:t>
            </w:r>
            <w:hyperlink w:anchor="_17_Resolución_44" w:history="1">
              <w:r w:rsidRPr="00CA61A6">
                <w:rPr>
                  <w:color w:val="0000FF"/>
                  <w:u w:val="single"/>
                </w:rPr>
                <w:t>Resolución 44</w:t>
              </w:r>
            </w:hyperlink>
            <w:r w:rsidRPr="00CA61A6">
              <w:t xml:space="preserve">) y se alentó el nombramiento de mujeres expertas (véase también la </w:t>
            </w:r>
            <w:hyperlink w:anchor="_25_Resolución_55" w:history="1">
              <w:r w:rsidRPr="00CA61A6">
                <w:rPr>
                  <w:rFonts w:eastAsia="Malgun Gothic"/>
                  <w:color w:val="0000FF"/>
                  <w:u w:val="single"/>
                  <w:lang w:eastAsia="ja-JP"/>
                </w:rPr>
                <w:t>Resolución 55</w:t>
              </w:r>
            </w:hyperlink>
            <w:r w:rsidRPr="00CA61A6">
              <w:t>)</w:t>
            </w:r>
          </w:p>
        </w:tc>
        <w:tc>
          <w:tcPr>
            <w:tcW w:w="776" w:type="pct"/>
            <w:tcBorders>
              <w:top w:val="double" w:sz="6" w:space="0" w:color="auto"/>
              <w:left w:val="nil"/>
              <w:bottom w:val="single" w:sz="4" w:space="0" w:color="auto"/>
              <w:right w:val="single" w:sz="4" w:space="0" w:color="auto"/>
            </w:tcBorders>
            <w:shd w:val="clear" w:color="auto" w:fill="auto"/>
            <w:vAlign w:val="center"/>
            <w:hideMark/>
          </w:tcPr>
          <w:p w:rsidR="0062564D" w:rsidRPr="00CA61A6" w:rsidRDefault="00B70278" w:rsidP="00B2712F">
            <w:pPr>
              <w:pStyle w:val="Tabletext"/>
              <w:jc w:val="center"/>
            </w:pPr>
            <w:r>
              <w:t>31 de enero de </w:t>
            </w:r>
            <w:r w:rsidR="00CC11EA">
              <w:t>2016</w:t>
            </w:r>
          </w:p>
        </w:tc>
        <w:tc>
          <w:tcPr>
            <w:tcW w:w="628" w:type="pct"/>
            <w:tcBorders>
              <w:top w:val="double" w:sz="6" w:space="0" w:color="auto"/>
              <w:left w:val="nil"/>
              <w:bottom w:val="single" w:sz="4" w:space="0" w:color="auto"/>
              <w:right w:val="single" w:sz="4" w:space="0" w:color="auto"/>
            </w:tcBorders>
            <w:vAlign w:val="center"/>
          </w:tcPr>
          <w:p w:rsidR="0062564D" w:rsidRPr="00CA61A6" w:rsidRDefault="00AF4D49" w:rsidP="007B3478">
            <w:pPr>
              <w:pStyle w:val="Tabletext"/>
              <w:jc w:val="center"/>
            </w:pPr>
            <w:r w:rsidRPr="00CA61A6">
              <w:sym w:font="Wingdings" w:char="F0FC"/>
            </w:r>
          </w:p>
        </w:tc>
        <w:tc>
          <w:tcPr>
            <w:tcW w:w="655" w:type="pct"/>
            <w:tcBorders>
              <w:top w:val="double" w:sz="6" w:space="0" w:color="auto"/>
              <w:left w:val="single" w:sz="4" w:space="0" w:color="auto"/>
              <w:bottom w:val="single" w:sz="4" w:space="0" w:color="auto"/>
              <w:right w:val="single" w:sz="4" w:space="0" w:color="auto"/>
            </w:tcBorders>
            <w:vAlign w:val="center"/>
          </w:tcPr>
          <w:p w:rsidR="0062564D" w:rsidRPr="00CA61A6" w:rsidRDefault="00AF4D49" w:rsidP="007B3478">
            <w:pPr>
              <w:pStyle w:val="Tabletext"/>
              <w:jc w:val="center"/>
            </w:pPr>
            <w:r w:rsidRPr="00CA61A6">
              <w:sym w:font="Wingdings" w:char="F0FC"/>
            </w:r>
          </w:p>
        </w:tc>
      </w:tr>
    </w:tbl>
    <w:p w:rsidR="0062564D" w:rsidRPr="00CA61A6" w:rsidRDefault="003C12EC" w:rsidP="005B2329">
      <w:pPr>
        <w:pStyle w:val="Headingb"/>
      </w:pPr>
      <w:bookmarkStart w:id="105" w:name="lt_pId055"/>
      <w:bookmarkStart w:id="106" w:name="Item35_01"/>
      <w:r w:rsidRPr="00CA61A6">
        <w:t xml:space="preserve">Acción </w:t>
      </w:r>
      <w:r w:rsidR="0062564D" w:rsidRPr="00CA61A6">
        <w:t>35-01: TSB</w:t>
      </w:r>
      <w:bookmarkEnd w:id="105"/>
    </w:p>
    <w:p w:rsidR="0062564D" w:rsidRPr="00CA61A6" w:rsidRDefault="00F03B13" w:rsidP="007B3478">
      <w:pPr>
        <w:rPr>
          <w:szCs w:val="24"/>
        </w:rPr>
      </w:pPr>
      <w:bookmarkStart w:id="107" w:name="lt_pId056"/>
      <w:bookmarkEnd w:id="106"/>
      <w:r w:rsidRPr="00CA61A6">
        <w:rPr>
          <w:szCs w:val="24"/>
          <w:lang w:eastAsia="ja-JP"/>
        </w:rPr>
        <w:t>Completada</w:t>
      </w:r>
      <w:r w:rsidR="0062564D" w:rsidRPr="00CA61A6">
        <w:rPr>
          <w:szCs w:val="24"/>
          <w:lang w:eastAsia="ja-JP"/>
        </w:rPr>
        <w:t>.</w:t>
      </w:r>
      <w:bookmarkEnd w:id="107"/>
      <w:r w:rsidR="0062564D" w:rsidRPr="00CA61A6">
        <w:rPr>
          <w:szCs w:val="24"/>
          <w:lang w:eastAsia="ja-JP"/>
        </w:rPr>
        <w:t xml:space="preserve"> Véase la </w:t>
      </w:r>
      <w:hyperlink r:id="rId101" w:history="1">
        <w:r w:rsidR="0062564D" w:rsidRPr="00CA61A6">
          <w:rPr>
            <w:color w:val="0000FF"/>
            <w:szCs w:val="24"/>
            <w:u w:val="single"/>
            <w:lang w:eastAsia="ja-JP"/>
          </w:rPr>
          <w:t>Circular TSB 204</w:t>
        </w:r>
      </w:hyperlink>
      <w:r w:rsidR="0062564D" w:rsidRPr="00CA61A6">
        <w:rPr>
          <w:szCs w:val="24"/>
          <w:lang w:eastAsia="ja-JP"/>
        </w:rPr>
        <w:t>, 9 de marzo de 2016: "</w:t>
      </w:r>
      <w:r w:rsidR="0062564D" w:rsidRPr="00CA61A6">
        <w:rPr>
          <w:szCs w:val="24"/>
        </w:rPr>
        <w:t>Candidatos para las Presidencias y Vicepresidencias de las Comisiones de Estudio del UIT-T, del Grupo Asesor de Normalización de las Telecomunicaciones (GANT) y del Comité para la Normalización del Vocabulario (CNV) para 2017-2020".</w:t>
      </w:r>
    </w:p>
    <w:p w:rsidR="00A9266E" w:rsidRPr="00CA61A6" w:rsidRDefault="00110CAD" w:rsidP="00A9266E">
      <w:hyperlink w:anchor="Top" w:history="1">
        <w:r w:rsidR="00A9266E" w:rsidRPr="00CA61A6">
          <w:rPr>
            <w:rStyle w:val="Hyperlink"/>
          </w:rPr>
          <w:t>» Arriba</w:t>
        </w:r>
      </w:hyperlink>
    </w:p>
    <w:p w:rsidR="0062564D" w:rsidRPr="00CA61A6" w:rsidRDefault="00DB1A04" w:rsidP="002B30A0">
      <w:pPr>
        <w:pStyle w:val="Heading1"/>
      </w:pPr>
      <w:bookmarkStart w:id="108" w:name="_14_Resolución_38"/>
      <w:bookmarkStart w:id="109" w:name="_Toc463335765"/>
      <w:bookmarkEnd w:id="108"/>
      <w:r w:rsidRPr="00CA61A6">
        <w:t>14</w:t>
      </w:r>
      <w:r w:rsidRPr="00CA61A6">
        <w:tab/>
        <w:t xml:space="preserve">Resolución </w:t>
      </w:r>
      <w:r w:rsidR="0062564D" w:rsidRPr="00CA61A6">
        <w:t>38</w:t>
      </w:r>
      <w:r w:rsidR="002B30A0" w:rsidRPr="00CA61A6">
        <w:t xml:space="preserve"> – </w:t>
      </w:r>
      <w:r w:rsidR="0062564D" w:rsidRPr="00CA61A6">
        <w:t>Coordinación entre los tres Sectores de la UIT para las actividades relativas a las Telecomunicaciones Móviles Internacionales</w:t>
      </w:r>
      <w:bookmarkEnd w:id="109"/>
    </w:p>
    <w:p w:rsidR="0062564D" w:rsidRPr="00CA61A6" w:rsidRDefault="0062564D" w:rsidP="00521E23">
      <w:pPr>
        <w:pStyle w:val="Headingb"/>
      </w:pPr>
      <w:r w:rsidRPr="00CA61A6">
        <w:t>Resolución 38</w:t>
      </w:r>
    </w:p>
    <w:p w:rsidR="0062564D" w:rsidRPr="00CA61A6" w:rsidRDefault="0062564D" w:rsidP="007B3478">
      <w:pPr>
        <w:pStyle w:val="Call"/>
      </w:pPr>
      <w:r w:rsidRPr="00CA61A6">
        <w:t>resuelve</w:t>
      </w:r>
    </w:p>
    <w:p w:rsidR="0062564D" w:rsidRPr="00CA61A6" w:rsidRDefault="0062564D" w:rsidP="007B3478">
      <w:r w:rsidRPr="00CA61A6">
        <w:t>1</w:t>
      </w:r>
      <w:r w:rsidRPr="00CA61A6">
        <w:tab/>
        <w:t>que el UIT</w:t>
      </w:r>
      <w:r w:rsidRPr="00CA61A6">
        <w:noBreakHyphen/>
        <w:t>T mantenga una hoja de ruta para todas sus actividades de normalización relativas a las IMT;</w:t>
      </w:r>
    </w:p>
    <w:p w:rsidR="0062564D" w:rsidRPr="00CA61A6" w:rsidRDefault="0062564D" w:rsidP="007B3478">
      <w:r w:rsidRPr="00CA61A6">
        <w:t>2</w:t>
      </w:r>
      <w:r w:rsidRPr="00CA61A6">
        <w:tab/>
        <w:t>que prosiga la eficaz coordinación actualmente establecida entre el UIT</w:t>
      </w:r>
      <w:r w:rsidRPr="00CA61A6">
        <w:noBreakHyphen/>
        <w:t>T, el UIT</w:t>
      </w:r>
      <w:r w:rsidRPr="00CA61A6">
        <w:noBreakHyphen/>
        <w:t>R y el UIT</w:t>
      </w:r>
      <w:r w:rsidRPr="00CA61A6">
        <w:noBreakHyphen/>
        <w:t>D para las actividades relativas a las IMT, con el fin de asegurar plenamente el paralelismo y la armonización de los programas de trabajo, incluidas las hojas de ruta de los tres Sectores,</w:t>
      </w:r>
    </w:p>
    <w:p w:rsidR="0062564D" w:rsidRPr="00CA61A6" w:rsidRDefault="0062564D" w:rsidP="007B3478">
      <w:pPr>
        <w:pStyle w:val="Call"/>
      </w:pPr>
      <w:r w:rsidRPr="00CA61A6">
        <w:t>encarga al Director de la Oficina de Normalización de las Telecomunicaciones</w:t>
      </w:r>
    </w:p>
    <w:p w:rsidR="0062564D" w:rsidRPr="00CA61A6" w:rsidRDefault="0062564D" w:rsidP="007B3478">
      <w:r w:rsidRPr="00CA61A6">
        <w:t>que señale a la atención de los Directores de la BR y la BDT la presente Resolución,</w:t>
      </w:r>
    </w:p>
    <w:p w:rsidR="0062564D" w:rsidRPr="00CA61A6" w:rsidRDefault="0062564D" w:rsidP="007B3478">
      <w:pPr>
        <w:pStyle w:val="Call"/>
      </w:pPr>
      <w:r w:rsidRPr="00CA61A6">
        <w:t>alienta a los Directores de las tres Oficinas</w:t>
      </w:r>
    </w:p>
    <w:p w:rsidR="0062564D" w:rsidRPr="00CA61A6" w:rsidRDefault="0062564D" w:rsidP="00AF4D49">
      <w:pPr>
        <w:spacing w:after="120"/>
      </w:pPr>
      <w:r w:rsidRPr="00CA61A6">
        <w:t>a que estudien nuevas posibilidades de mejorar la eficiencia de los trabajos de la UIT en relación con las IMT.</w:t>
      </w:r>
    </w:p>
    <w:tbl>
      <w:tblPr>
        <w:tblW w:w="9522" w:type="dxa"/>
        <w:tblInd w:w="-13" w:type="dxa"/>
        <w:tblLook w:val="04A0" w:firstRow="1" w:lastRow="0" w:firstColumn="1" w:lastColumn="0" w:noHBand="0" w:noVBand="1"/>
      </w:tblPr>
      <w:tblGrid>
        <w:gridCol w:w="986"/>
        <w:gridCol w:w="4409"/>
        <w:gridCol w:w="1507"/>
        <w:gridCol w:w="1255"/>
        <w:gridCol w:w="1365"/>
      </w:tblGrid>
      <w:tr w:rsidR="0062564D" w:rsidRPr="00CA61A6" w:rsidTr="00457602">
        <w:trPr>
          <w:trHeight w:val="647"/>
          <w:tblHeader/>
        </w:trPr>
        <w:tc>
          <w:tcPr>
            <w:tcW w:w="986" w:type="dxa"/>
            <w:tcBorders>
              <w:top w:val="single" w:sz="4" w:space="0" w:color="auto"/>
              <w:left w:val="single" w:sz="4" w:space="0" w:color="auto"/>
              <w:bottom w:val="double" w:sz="6" w:space="0" w:color="auto"/>
              <w:right w:val="single" w:sz="4" w:space="0" w:color="auto"/>
            </w:tcBorders>
            <w:vAlign w:val="center"/>
          </w:tcPr>
          <w:p w:rsidR="0062564D" w:rsidRPr="00CA61A6" w:rsidRDefault="00485759" w:rsidP="0091254D">
            <w:pPr>
              <w:pStyle w:val="Tablehead"/>
            </w:pPr>
            <w:r w:rsidRPr="00CA61A6">
              <w:t>Número</w:t>
            </w:r>
          </w:p>
        </w:tc>
        <w:tc>
          <w:tcPr>
            <w:tcW w:w="4409" w:type="dxa"/>
            <w:tcBorders>
              <w:top w:val="single" w:sz="4" w:space="0" w:color="auto"/>
              <w:left w:val="single" w:sz="4" w:space="0" w:color="auto"/>
              <w:bottom w:val="double" w:sz="6" w:space="0" w:color="auto"/>
              <w:right w:val="single" w:sz="4" w:space="0" w:color="auto"/>
            </w:tcBorders>
            <w:shd w:val="clear" w:color="auto" w:fill="auto"/>
            <w:vAlign w:val="center"/>
            <w:hideMark/>
          </w:tcPr>
          <w:p w:rsidR="0062564D" w:rsidRPr="00CA61A6" w:rsidRDefault="0062564D" w:rsidP="0091254D">
            <w:pPr>
              <w:pStyle w:val="Tablehead"/>
            </w:pPr>
            <w:r w:rsidRPr="00CA61A6">
              <w:t>Acción</w:t>
            </w:r>
          </w:p>
        </w:tc>
        <w:tc>
          <w:tcPr>
            <w:tcW w:w="1507" w:type="dxa"/>
            <w:tcBorders>
              <w:top w:val="single" w:sz="4" w:space="0" w:color="auto"/>
              <w:left w:val="nil"/>
              <w:bottom w:val="double" w:sz="6" w:space="0" w:color="auto"/>
              <w:right w:val="single" w:sz="4" w:space="0" w:color="auto"/>
            </w:tcBorders>
            <w:shd w:val="clear" w:color="auto" w:fill="auto"/>
            <w:vAlign w:val="center"/>
            <w:hideMark/>
          </w:tcPr>
          <w:p w:rsidR="0062564D" w:rsidRPr="00CA61A6" w:rsidRDefault="0062564D" w:rsidP="0091254D">
            <w:pPr>
              <w:pStyle w:val="Tablehead"/>
            </w:pPr>
            <w:r w:rsidRPr="00CA61A6">
              <w:t>Fecha objetivo</w:t>
            </w:r>
          </w:p>
        </w:tc>
        <w:tc>
          <w:tcPr>
            <w:tcW w:w="1255" w:type="dxa"/>
            <w:tcBorders>
              <w:top w:val="single" w:sz="4" w:space="0" w:color="auto"/>
              <w:left w:val="nil"/>
              <w:bottom w:val="double" w:sz="6" w:space="0" w:color="auto"/>
              <w:right w:val="single" w:sz="4" w:space="0" w:color="auto"/>
            </w:tcBorders>
            <w:vAlign w:val="center"/>
          </w:tcPr>
          <w:p w:rsidR="0062564D" w:rsidRPr="00CA61A6" w:rsidRDefault="0062564D" w:rsidP="0091254D">
            <w:pPr>
              <w:pStyle w:val="Tablehead"/>
            </w:pPr>
            <w:r w:rsidRPr="00CA61A6">
              <w:t>Objetivos periódicos cumplidos</w:t>
            </w:r>
          </w:p>
        </w:tc>
        <w:tc>
          <w:tcPr>
            <w:tcW w:w="1365" w:type="dxa"/>
            <w:tcBorders>
              <w:top w:val="single" w:sz="4" w:space="0" w:color="auto"/>
              <w:left w:val="single" w:sz="4" w:space="0" w:color="auto"/>
              <w:bottom w:val="double" w:sz="6" w:space="0" w:color="auto"/>
              <w:right w:val="single" w:sz="4" w:space="0" w:color="auto"/>
            </w:tcBorders>
            <w:vAlign w:val="center"/>
          </w:tcPr>
          <w:p w:rsidR="0062564D" w:rsidRPr="00CA61A6" w:rsidRDefault="0062564D" w:rsidP="0091254D">
            <w:pPr>
              <w:pStyle w:val="Tablehead"/>
            </w:pPr>
            <w:r w:rsidRPr="00CA61A6">
              <w:t>Completada</w:t>
            </w:r>
          </w:p>
        </w:tc>
      </w:tr>
      <w:tr w:rsidR="0062564D" w:rsidRPr="00CA61A6" w:rsidTr="00457602">
        <w:trPr>
          <w:trHeight w:val="620"/>
        </w:trPr>
        <w:tc>
          <w:tcPr>
            <w:tcW w:w="986" w:type="dxa"/>
            <w:tcBorders>
              <w:top w:val="double" w:sz="6" w:space="0" w:color="auto"/>
              <w:left w:val="single" w:sz="4" w:space="0" w:color="auto"/>
              <w:bottom w:val="single" w:sz="4" w:space="0" w:color="auto"/>
              <w:right w:val="single" w:sz="4" w:space="0" w:color="auto"/>
            </w:tcBorders>
            <w:vAlign w:val="center"/>
          </w:tcPr>
          <w:p w:rsidR="0062564D" w:rsidRPr="00CA61A6" w:rsidRDefault="00110CAD" w:rsidP="007B3478">
            <w:pPr>
              <w:pStyle w:val="Tabletext"/>
              <w:jc w:val="center"/>
            </w:pPr>
            <w:hyperlink w:anchor="Item38_01" w:history="1">
              <w:r w:rsidR="0062564D" w:rsidRPr="00CA61A6">
                <w:rPr>
                  <w:rStyle w:val="Hyperlink"/>
                </w:rPr>
                <w:t>38-01</w:t>
              </w:r>
            </w:hyperlink>
          </w:p>
        </w:tc>
        <w:tc>
          <w:tcPr>
            <w:tcW w:w="4409" w:type="dxa"/>
            <w:tcBorders>
              <w:top w:val="double" w:sz="6" w:space="0" w:color="auto"/>
              <w:left w:val="single" w:sz="4" w:space="0" w:color="auto"/>
              <w:bottom w:val="single" w:sz="4" w:space="0" w:color="auto"/>
              <w:right w:val="single" w:sz="4" w:space="0" w:color="auto"/>
            </w:tcBorders>
            <w:shd w:val="clear" w:color="auto" w:fill="auto"/>
            <w:hideMark/>
          </w:tcPr>
          <w:p w:rsidR="0062564D" w:rsidRPr="00CA61A6" w:rsidRDefault="0062564D" w:rsidP="007B3478">
            <w:pPr>
              <w:pStyle w:val="Tabletext"/>
            </w:pPr>
            <w:r w:rsidRPr="00CA61A6">
              <w:t>La TSB y la CE</w:t>
            </w:r>
            <w:r w:rsidR="00615741" w:rsidRPr="00CA61A6">
              <w:t> </w:t>
            </w:r>
            <w:r w:rsidRPr="00CA61A6">
              <w:t>13 mantendrán actualizada la hoja de ruta para todas las actividades de normalización relativas a las IMT con arreglo a las responsabilidades de cada Sector</w:t>
            </w:r>
          </w:p>
        </w:tc>
        <w:tc>
          <w:tcPr>
            <w:tcW w:w="1507" w:type="dxa"/>
            <w:tcBorders>
              <w:top w:val="double" w:sz="6" w:space="0" w:color="auto"/>
              <w:left w:val="nil"/>
              <w:bottom w:val="single" w:sz="4" w:space="0" w:color="auto"/>
              <w:right w:val="single" w:sz="4" w:space="0" w:color="auto"/>
            </w:tcBorders>
            <w:shd w:val="clear" w:color="auto" w:fill="auto"/>
            <w:vAlign w:val="center"/>
            <w:hideMark/>
          </w:tcPr>
          <w:p w:rsidR="0062564D" w:rsidRPr="00CA61A6" w:rsidRDefault="0062564D" w:rsidP="007B3478">
            <w:pPr>
              <w:pStyle w:val="Tabletext"/>
              <w:jc w:val="center"/>
            </w:pPr>
            <w:r w:rsidRPr="00CA61A6">
              <w:t>En curso</w:t>
            </w:r>
          </w:p>
        </w:tc>
        <w:tc>
          <w:tcPr>
            <w:tcW w:w="1255" w:type="dxa"/>
            <w:tcBorders>
              <w:top w:val="double" w:sz="6" w:space="0" w:color="auto"/>
              <w:left w:val="nil"/>
              <w:bottom w:val="single" w:sz="4" w:space="0" w:color="auto"/>
              <w:right w:val="single" w:sz="4" w:space="0" w:color="auto"/>
            </w:tcBorders>
            <w:vAlign w:val="center"/>
          </w:tcPr>
          <w:p w:rsidR="0062564D" w:rsidRPr="00CA61A6" w:rsidRDefault="0062564D" w:rsidP="007B3478">
            <w:pPr>
              <w:pStyle w:val="Tabletext"/>
              <w:jc w:val="center"/>
            </w:pPr>
            <w:r w:rsidRPr="00CA61A6">
              <w:sym w:font="Wingdings" w:char="F0FC"/>
            </w:r>
          </w:p>
        </w:tc>
        <w:tc>
          <w:tcPr>
            <w:tcW w:w="1365" w:type="dxa"/>
            <w:tcBorders>
              <w:top w:val="double" w:sz="6" w:space="0" w:color="auto"/>
              <w:left w:val="single" w:sz="4" w:space="0" w:color="auto"/>
              <w:bottom w:val="single" w:sz="4" w:space="0" w:color="auto"/>
              <w:right w:val="single" w:sz="4" w:space="0" w:color="auto"/>
            </w:tcBorders>
            <w:vAlign w:val="center"/>
          </w:tcPr>
          <w:p w:rsidR="0062564D" w:rsidRPr="00CA61A6" w:rsidRDefault="0062564D" w:rsidP="007B3478">
            <w:pPr>
              <w:pStyle w:val="Tabletext"/>
              <w:jc w:val="center"/>
            </w:pPr>
          </w:p>
        </w:tc>
      </w:tr>
    </w:tbl>
    <w:p w:rsidR="0062564D" w:rsidRPr="00CA61A6" w:rsidRDefault="00823D82" w:rsidP="001E5D53">
      <w:pPr>
        <w:pStyle w:val="Headingb"/>
      </w:pPr>
      <w:bookmarkStart w:id="110" w:name="lt_pId079"/>
      <w:bookmarkStart w:id="111" w:name="Item38_01"/>
      <w:r w:rsidRPr="00CA61A6">
        <w:t xml:space="preserve">Acción </w:t>
      </w:r>
      <w:r w:rsidR="0062564D" w:rsidRPr="00CA61A6">
        <w:t>38-01: TSB y</w:t>
      </w:r>
      <w:r w:rsidR="001E5D53" w:rsidRPr="00CA61A6">
        <w:t xml:space="preserve"> CE </w:t>
      </w:r>
      <w:r w:rsidR="0062564D" w:rsidRPr="00CA61A6">
        <w:t>13</w:t>
      </w:r>
      <w:bookmarkEnd w:id="110"/>
    </w:p>
    <w:p w:rsidR="0062564D" w:rsidRPr="00CA61A6" w:rsidRDefault="0062564D" w:rsidP="005E1841">
      <w:pPr>
        <w:rPr>
          <w:lang w:eastAsia="ja-JP"/>
        </w:rPr>
      </w:pPr>
      <w:bookmarkStart w:id="112" w:name="lt_pId080"/>
      <w:bookmarkEnd w:id="111"/>
      <w:r w:rsidRPr="00CA61A6">
        <w:rPr>
          <w:lang w:eastAsia="ja-JP"/>
        </w:rPr>
        <w:t>La CE</w:t>
      </w:r>
      <w:r w:rsidR="00615741" w:rsidRPr="00CA61A6">
        <w:rPr>
          <w:lang w:eastAsia="ja-JP"/>
        </w:rPr>
        <w:t> </w:t>
      </w:r>
      <w:r w:rsidRPr="00CA61A6">
        <w:rPr>
          <w:lang w:eastAsia="ja-JP"/>
        </w:rPr>
        <w:t xml:space="preserve">13 cuenta con un Grupo </w:t>
      </w:r>
      <w:r w:rsidR="00785159" w:rsidRPr="00CA61A6">
        <w:rPr>
          <w:lang w:eastAsia="ja-JP"/>
        </w:rPr>
        <w:t>ad</w:t>
      </w:r>
      <w:r w:rsidR="00785159">
        <w:rPr>
          <w:lang w:eastAsia="ja-JP"/>
        </w:rPr>
        <w:t xml:space="preserve"> </w:t>
      </w:r>
      <w:r w:rsidR="00785159" w:rsidRPr="00CA61A6">
        <w:rPr>
          <w:lang w:eastAsia="ja-JP"/>
        </w:rPr>
        <w:t xml:space="preserve">hoc </w:t>
      </w:r>
      <w:r w:rsidRPr="00CA61A6">
        <w:rPr>
          <w:lang w:eastAsia="ja-JP"/>
        </w:rPr>
        <w:t>permanente encargado de la aplicación de la Resolución 38.</w:t>
      </w:r>
      <w:bookmarkEnd w:id="112"/>
      <w:r w:rsidRPr="00CA61A6">
        <w:rPr>
          <w:lang w:eastAsia="ja-JP"/>
        </w:rPr>
        <w:t xml:space="preserve"> </w:t>
      </w:r>
      <w:bookmarkStart w:id="113" w:name="lt_pId081"/>
      <w:r w:rsidRPr="00CA61A6">
        <w:rPr>
          <w:lang w:eastAsia="ja-JP"/>
        </w:rPr>
        <w:t xml:space="preserve">El principal producto de este </w:t>
      </w:r>
      <w:r w:rsidR="00673772" w:rsidRPr="00CA61A6">
        <w:rPr>
          <w:lang w:eastAsia="ja-JP"/>
        </w:rPr>
        <w:t xml:space="preserve">Grupo </w:t>
      </w:r>
      <w:r w:rsidRPr="00CA61A6">
        <w:rPr>
          <w:lang w:eastAsia="ja-JP"/>
        </w:rPr>
        <w:t>es la hoja de ruta sobre actividades de normalización de las IMT que se actualiza en cada reunión de la CE</w:t>
      </w:r>
      <w:r w:rsidR="00615741" w:rsidRPr="00CA61A6">
        <w:rPr>
          <w:lang w:eastAsia="ja-JP"/>
        </w:rPr>
        <w:t> </w:t>
      </w:r>
      <w:r w:rsidRPr="00CA61A6">
        <w:rPr>
          <w:lang w:eastAsia="ja-JP"/>
        </w:rPr>
        <w:t>13.</w:t>
      </w:r>
      <w:bookmarkEnd w:id="113"/>
    </w:p>
    <w:p w:rsidR="0062564D" w:rsidRPr="00CA61A6" w:rsidRDefault="0062564D" w:rsidP="005E1841">
      <w:pPr>
        <w:rPr>
          <w:lang w:eastAsia="ja-JP"/>
        </w:rPr>
      </w:pPr>
      <w:r w:rsidRPr="00CA61A6">
        <w:rPr>
          <w:lang w:eastAsia="ja-JP"/>
        </w:rPr>
        <w:lastRenderedPageBreak/>
        <w:t>El Grupo Temático del UIT-T sobre aspectos de red de las IMT 2020 fue creado en mayo de 2015 para analizar cómo interactuarán las tecnologías 5G emergentes en las redes futuras, como estudio preliminar sobre las innovaciones de red necesarias para soportar el desarrollo de sistemas 5G. El Grupo aplicó el punto de vista de un ecosistema a la investigación y el desarrollo de la 5G y publicó el análisis en un </w:t>
      </w:r>
      <w:hyperlink r:id="rId102" w:history="1">
        <w:r w:rsidRPr="00CA61A6">
          <w:rPr>
            <w:lang w:eastAsia="ja-JP"/>
          </w:rPr>
          <w:t>Informe</w:t>
        </w:r>
      </w:hyperlink>
      <w:r w:rsidR="00792D99">
        <w:rPr>
          <w:lang w:eastAsia="ja-JP"/>
        </w:rPr>
        <w:t xml:space="preserve"> </w:t>
      </w:r>
      <w:r w:rsidRPr="00CA61A6">
        <w:rPr>
          <w:lang w:eastAsia="ja-JP"/>
        </w:rPr>
        <w:t>a su Comisión de Estudio rectora, la </w:t>
      </w:r>
      <w:hyperlink r:id="rId103" w:history="1">
        <w:r w:rsidRPr="00CA61A6">
          <w:rPr>
            <w:lang w:eastAsia="ja-JP"/>
          </w:rPr>
          <w:t>Comisión de Estudio 13 del UIT-T</w:t>
        </w:r>
      </w:hyperlink>
      <w:r w:rsidRPr="00CA61A6">
        <w:rPr>
          <w:lang w:eastAsia="ja-JP"/>
        </w:rPr>
        <w:t>.</w:t>
      </w:r>
    </w:p>
    <w:p w:rsidR="0062564D" w:rsidRPr="00CA61A6" w:rsidRDefault="0062564D" w:rsidP="005E1841">
      <w:pPr>
        <w:rPr>
          <w:lang w:eastAsia="ja-JP"/>
        </w:rPr>
      </w:pPr>
      <w:r w:rsidRPr="00CA61A6">
        <w:rPr>
          <w:lang w:eastAsia="ja-JP"/>
        </w:rPr>
        <w:t>En diciembre de 2015, se prolongó la duración de vida del Grupo Temático.</w:t>
      </w:r>
    </w:p>
    <w:p w:rsidR="0062564D" w:rsidRPr="005E1841" w:rsidRDefault="0062564D" w:rsidP="005E1841">
      <w:r w:rsidRPr="00CA61A6">
        <w:rPr>
          <w:lang w:eastAsia="ja-JP"/>
        </w:rPr>
        <w:t>En la actividad de normalización del UIT-T, que se basa en las conclusiones del Grupo Temático, se dará prioridad a la conformidad de los productos finales 5G con los del </w:t>
      </w:r>
      <w:hyperlink r:id="rId104" w:history="1">
        <w:r w:rsidRPr="00CA61A6">
          <w:rPr>
            <w:lang w:eastAsia="ja-JP"/>
          </w:rPr>
          <w:t>UIT-R</w:t>
        </w:r>
      </w:hyperlink>
      <w:r w:rsidRPr="00CA61A6">
        <w:rPr>
          <w:lang w:eastAsia="ja-JP"/>
        </w:rPr>
        <w:t>, y se velará por que la labor de normalización relativa a los aspectos de red de la 5G tenga en cuenta la progresión de sus sistemas de radiotransmisión.</w:t>
      </w:r>
    </w:p>
    <w:p w:rsidR="00792EA4" w:rsidRPr="00CA61A6" w:rsidRDefault="00110CAD" w:rsidP="00792EA4">
      <w:hyperlink w:anchor="Top" w:history="1">
        <w:r w:rsidR="00792EA4" w:rsidRPr="00CA61A6">
          <w:rPr>
            <w:rStyle w:val="Hyperlink"/>
          </w:rPr>
          <w:t>» Arriba</w:t>
        </w:r>
      </w:hyperlink>
    </w:p>
    <w:p w:rsidR="0062564D" w:rsidRPr="00CA61A6" w:rsidRDefault="00467858" w:rsidP="00467858">
      <w:pPr>
        <w:pStyle w:val="Heading1"/>
      </w:pPr>
      <w:bookmarkStart w:id="114" w:name="_15_Resolución_40"/>
      <w:bookmarkStart w:id="115" w:name="_Toc463335766"/>
      <w:bookmarkEnd w:id="114"/>
      <w:r w:rsidRPr="00CA61A6">
        <w:t>15</w:t>
      </w:r>
      <w:r w:rsidRPr="00CA61A6">
        <w:tab/>
      </w:r>
      <w:r w:rsidR="00BB6926" w:rsidRPr="00CA61A6">
        <w:t xml:space="preserve">Resolución </w:t>
      </w:r>
      <w:r w:rsidR="0062564D" w:rsidRPr="00CA61A6">
        <w:t>40</w:t>
      </w:r>
      <w:r w:rsidRPr="00CA61A6">
        <w:t xml:space="preserve"> – </w:t>
      </w:r>
      <w:r w:rsidR="0062564D" w:rsidRPr="00CA61A6">
        <w:t>Aspectos reglamentarios de la labor del Sector de Normalización</w:t>
      </w:r>
      <w:r w:rsidRPr="00CA61A6">
        <w:t xml:space="preserve"> </w:t>
      </w:r>
      <w:r w:rsidR="0062564D" w:rsidRPr="00CA61A6">
        <w:t>de las Telecomunicaciones de la UIT</w:t>
      </w:r>
      <w:bookmarkEnd w:id="115"/>
    </w:p>
    <w:p w:rsidR="0062564D" w:rsidRPr="00CA61A6" w:rsidRDefault="0062564D" w:rsidP="003D196D">
      <w:pPr>
        <w:pStyle w:val="Headingb"/>
      </w:pPr>
      <w:r w:rsidRPr="00CA61A6">
        <w:t>Resolución 40</w:t>
      </w:r>
    </w:p>
    <w:p w:rsidR="0062564D" w:rsidRPr="00CA61A6" w:rsidRDefault="0062564D" w:rsidP="007B3478">
      <w:pPr>
        <w:pStyle w:val="Call"/>
      </w:pPr>
      <w:r w:rsidRPr="00CA61A6">
        <w:t>resuelve</w:t>
      </w:r>
    </w:p>
    <w:p w:rsidR="0062564D" w:rsidRPr="00CA61A6" w:rsidRDefault="0062564D" w:rsidP="007B3478">
      <w:r w:rsidRPr="00CA61A6">
        <w:t>1</w:t>
      </w:r>
      <w:r w:rsidRPr="00CA61A6">
        <w:tab/>
        <w:t>que, al determinar si una Recomendación o una Cuestión tiene implicaciones políticas o reglamentarias, en particular las Recomendaciones o Cuestiones relativas a asuntos de tarificación y contabilidad, las Comisiones de Estudio consideren de un modo más general asuntos como los siguientes:</w:t>
      </w:r>
    </w:p>
    <w:p w:rsidR="0062564D" w:rsidRPr="00CA61A6" w:rsidRDefault="0062564D" w:rsidP="007B3478">
      <w:pPr>
        <w:pStyle w:val="enumlev1"/>
      </w:pPr>
      <w:r w:rsidRPr="00CA61A6">
        <w:sym w:font="Symbol" w:char="F02D"/>
      </w:r>
      <w:r w:rsidRPr="00CA61A6">
        <w:tab/>
        <w:t>el derecho del público a comunicarse;</w:t>
      </w:r>
    </w:p>
    <w:p w:rsidR="0062564D" w:rsidRPr="00CA61A6" w:rsidRDefault="0062564D" w:rsidP="007B3478">
      <w:pPr>
        <w:pStyle w:val="enumlev1"/>
      </w:pPr>
      <w:r w:rsidRPr="00CA61A6">
        <w:sym w:font="Symbol" w:char="F02D"/>
      </w:r>
      <w:r w:rsidRPr="00CA61A6">
        <w:tab/>
        <w:t>la protección de los canales e instalaciones de telecomunicaciones;</w:t>
      </w:r>
    </w:p>
    <w:p w:rsidR="0062564D" w:rsidRPr="00CA61A6" w:rsidRDefault="0062564D" w:rsidP="007B3478">
      <w:pPr>
        <w:pStyle w:val="enumlev1"/>
        <w:keepNext/>
        <w:keepLines/>
      </w:pPr>
      <w:r w:rsidRPr="00CA61A6">
        <w:sym w:font="Symbol" w:char="F02D"/>
      </w:r>
      <w:r w:rsidRPr="00CA61A6">
        <w:tab/>
        <w:t>la utilización de los recursos naturales limitados de numeración y direccionamiento;</w:t>
      </w:r>
    </w:p>
    <w:p w:rsidR="0062564D" w:rsidRPr="00CA61A6" w:rsidRDefault="0062564D" w:rsidP="007B3478">
      <w:pPr>
        <w:pStyle w:val="enumlev1"/>
        <w:keepNext/>
        <w:keepLines/>
      </w:pPr>
      <w:r w:rsidRPr="00CA61A6">
        <w:t>–</w:t>
      </w:r>
      <w:r w:rsidRPr="00CA61A6">
        <w:tab/>
        <w:t>las denominaciones y la identificación;</w:t>
      </w:r>
    </w:p>
    <w:p w:rsidR="0062564D" w:rsidRPr="00CA61A6" w:rsidRDefault="0062564D" w:rsidP="007B3478">
      <w:pPr>
        <w:pStyle w:val="enumlev1"/>
      </w:pPr>
      <w:r w:rsidRPr="00CA61A6">
        <w:sym w:font="Symbol" w:char="F02D"/>
      </w:r>
      <w:r w:rsidRPr="00CA61A6">
        <w:tab/>
        <w:t>el secreto y la autenticidad de las telecomunicaciones;</w:t>
      </w:r>
    </w:p>
    <w:p w:rsidR="0062564D" w:rsidRPr="00CA61A6" w:rsidRDefault="0062564D" w:rsidP="007B3478">
      <w:pPr>
        <w:pStyle w:val="enumlev1"/>
      </w:pPr>
      <w:r w:rsidRPr="00CA61A6">
        <w:sym w:font="Symbol" w:char="F02D"/>
      </w:r>
      <w:r w:rsidRPr="00CA61A6">
        <w:tab/>
        <w:t>la seguridad de la vida humana;</w:t>
      </w:r>
    </w:p>
    <w:p w:rsidR="0062564D" w:rsidRPr="00CA61A6" w:rsidRDefault="0062564D" w:rsidP="007B3478">
      <w:pPr>
        <w:pStyle w:val="enumlev1"/>
      </w:pPr>
      <w:r w:rsidRPr="00CA61A6">
        <w:sym w:font="Symbol" w:char="F02D"/>
      </w:r>
      <w:r w:rsidRPr="00CA61A6">
        <w:tab/>
        <w:t xml:space="preserve">las prácticas aplicables a los mercados competitivos; </w:t>
      </w:r>
    </w:p>
    <w:p w:rsidR="0062564D" w:rsidRPr="00CA61A6" w:rsidRDefault="0062564D" w:rsidP="007B3478">
      <w:pPr>
        <w:pStyle w:val="enumlev1"/>
      </w:pPr>
      <w:r w:rsidRPr="00CA61A6">
        <w:t>–</w:t>
      </w:r>
      <w:r w:rsidRPr="00CA61A6">
        <w:tab/>
        <w:t>la utilización indebida de los recursos de numeración; y</w:t>
      </w:r>
    </w:p>
    <w:p w:rsidR="0062564D" w:rsidRPr="00CA61A6" w:rsidRDefault="0062564D" w:rsidP="007B3478">
      <w:pPr>
        <w:pStyle w:val="enumlev1"/>
      </w:pPr>
      <w:r w:rsidRPr="00CA61A6">
        <w:sym w:font="Symbol" w:char="F02D"/>
      </w:r>
      <w:r w:rsidRPr="00CA61A6">
        <w:tab/>
        <w:t>otros asuntos pertinentes, incluidos los definidos a través de una decisión de los Estados Miembros o recomendados por el GANT, o cuando se planteen dudas respecto al alcance de las Recomendaciones o Cuestiones;</w:t>
      </w:r>
    </w:p>
    <w:p w:rsidR="0062564D" w:rsidRPr="00CA61A6" w:rsidRDefault="0062564D" w:rsidP="007B3478">
      <w:r w:rsidRPr="00CA61A6">
        <w:t>2</w:t>
      </w:r>
      <w:r w:rsidRPr="00CA61A6">
        <w:tab/>
        <w:t>solicitar al GANT que consulte a los Estados Miembros sobre cualquier tema pertinente distinto de los especificados anteriormente;</w:t>
      </w:r>
    </w:p>
    <w:p w:rsidR="0062564D" w:rsidRPr="00CA61A6" w:rsidRDefault="0062564D" w:rsidP="007B3478">
      <w:r w:rsidRPr="00CA61A6">
        <w:t>3</w:t>
      </w:r>
      <w:r w:rsidRPr="00CA61A6">
        <w:tab/>
        <w:t>encargar al GANT que estudie e identifique los aspectos técnicos y operativos relativos a la QoS/QoE de las telecomunicaciones/TIC que podrían ser de naturaleza política o reglamentaria, teniendo en cuenta los estudios que están llevando a cabo las Comisiones de Estudio pertinentes, e informe al respecto en la próxima AMNT,</w:t>
      </w:r>
    </w:p>
    <w:p w:rsidR="0062564D" w:rsidRPr="00CA61A6" w:rsidRDefault="0062564D" w:rsidP="007B3478">
      <w:pPr>
        <w:pStyle w:val="Call"/>
      </w:pPr>
      <w:r w:rsidRPr="00CA61A6">
        <w:t>invita a los Estados Miembros</w:t>
      </w:r>
    </w:p>
    <w:p w:rsidR="0062564D" w:rsidRPr="00CA61A6" w:rsidRDefault="0062564D" w:rsidP="007B3478">
      <w:pPr>
        <w:spacing w:after="120"/>
      </w:pPr>
      <w:r w:rsidRPr="00CA61A6">
        <w:t>a contribuir activamente a los trabajos que se han de realizar sobre este particular.</w:t>
      </w:r>
    </w:p>
    <w:tbl>
      <w:tblPr>
        <w:tblW w:w="9522" w:type="dxa"/>
        <w:tblInd w:w="-13" w:type="dxa"/>
        <w:tblLook w:val="04A0" w:firstRow="1" w:lastRow="0" w:firstColumn="1" w:lastColumn="0" w:noHBand="0" w:noVBand="1"/>
      </w:tblPr>
      <w:tblGrid>
        <w:gridCol w:w="916"/>
        <w:gridCol w:w="4479"/>
        <w:gridCol w:w="1607"/>
        <w:gridCol w:w="1259"/>
        <w:gridCol w:w="1261"/>
      </w:tblGrid>
      <w:tr w:rsidR="0062564D" w:rsidRPr="00CA61A6" w:rsidTr="008A3A1A">
        <w:trPr>
          <w:trHeight w:val="647"/>
          <w:tblHeader/>
        </w:trPr>
        <w:tc>
          <w:tcPr>
            <w:tcW w:w="916" w:type="dxa"/>
            <w:tcBorders>
              <w:top w:val="single" w:sz="4" w:space="0" w:color="auto"/>
              <w:left w:val="single" w:sz="4" w:space="0" w:color="auto"/>
              <w:bottom w:val="double" w:sz="6" w:space="0" w:color="auto"/>
              <w:right w:val="single" w:sz="4" w:space="0" w:color="auto"/>
            </w:tcBorders>
            <w:vAlign w:val="center"/>
          </w:tcPr>
          <w:p w:rsidR="0062564D" w:rsidRPr="00CA61A6" w:rsidRDefault="00FF74DD" w:rsidP="007B3478">
            <w:pPr>
              <w:pStyle w:val="Tablehead"/>
            </w:pPr>
            <w:r w:rsidRPr="00CA61A6">
              <w:lastRenderedPageBreak/>
              <w:t>Número</w:t>
            </w:r>
          </w:p>
        </w:tc>
        <w:tc>
          <w:tcPr>
            <w:tcW w:w="4479" w:type="dxa"/>
            <w:tcBorders>
              <w:top w:val="single" w:sz="4" w:space="0" w:color="auto"/>
              <w:left w:val="single" w:sz="4" w:space="0" w:color="auto"/>
              <w:bottom w:val="double" w:sz="6" w:space="0" w:color="auto"/>
              <w:right w:val="single" w:sz="4" w:space="0" w:color="auto"/>
            </w:tcBorders>
            <w:shd w:val="clear" w:color="auto" w:fill="auto"/>
            <w:vAlign w:val="center"/>
            <w:hideMark/>
          </w:tcPr>
          <w:p w:rsidR="0062564D" w:rsidRPr="00CA61A6" w:rsidRDefault="0062564D" w:rsidP="007B3478">
            <w:pPr>
              <w:pStyle w:val="Tablehead"/>
            </w:pPr>
            <w:r w:rsidRPr="00CA61A6">
              <w:t>Acción</w:t>
            </w:r>
          </w:p>
        </w:tc>
        <w:tc>
          <w:tcPr>
            <w:tcW w:w="1607" w:type="dxa"/>
            <w:tcBorders>
              <w:top w:val="single" w:sz="4" w:space="0" w:color="auto"/>
              <w:left w:val="nil"/>
              <w:bottom w:val="double" w:sz="6" w:space="0" w:color="auto"/>
              <w:right w:val="single" w:sz="4" w:space="0" w:color="auto"/>
            </w:tcBorders>
            <w:shd w:val="clear" w:color="auto" w:fill="auto"/>
            <w:vAlign w:val="center"/>
            <w:hideMark/>
          </w:tcPr>
          <w:p w:rsidR="0062564D" w:rsidRPr="00CA61A6" w:rsidRDefault="0062564D" w:rsidP="007B3478">
            <w:pPr>
              <w:pStyle w:val="Tablehead"/>
            </w:pPr>
            <w:r w:rsidRPr="00CA61A6">
              <w:t>Fecha objetivo</w:t>
            </w:r>
          </w:p>
        </w:tc>
        <w:tc>
          <w:tcPr>
            <w:tcW w:w="1259" w:type="dxa"/>
            <w:tcBorders>
              <w:top w:val="single" w:sz="4" w:space="0" w:color="auto"/>
              <w:left w:val="nil"/>
              <w:bottom w:val="double" w:sz="6" w:space="0" w:color="auto"/>
              <w:right w:val="single" w:sz="4" w:space="0" w:color="auto"/>
            </w:tcBorders>
            <w:vAlign w:val="center"/>
          </w:tcPr>
          <w:p w:rsidR="0062564D" w:rsidRPr="00CA61A6" w:rsidRDefault="0062564D" w:rsidP="007B3478">
            <w:pPr>
              <w:pStyle w:val="Tablehead"/>
            </w:pPr>
            <w:r w:rsidRPr="00CA61A6">
              <w:t>Objetivos periódicos cumplidos</w:t>
            </w:r>
          </w:p>
        </w:tc>
        <w:tc>
          <w:tcPr>
            <w:tcW w:w="1261" w:type="dxa"/>
            <w:tcBorders>
              <w:top w:val="single" w:sz="4" w:space="0" w:color="auto"/>
              <w:left w:val="single" w:sz="4" w:space="0" w:color="auto"/>
              <w:bottom w:val="double" w:sz="6" w:space="0" w:color="auto"/>
              <w:right w:val="single" w:sz="4" w:space="0" w:color="auto"/>
            </w:tcBorders>
            <w:vAlign w:val="center"/>
          </w:tcPr>
          <w:p w:rsidR="0062564D" w:rsidRPr="00CA61A6" w:rsidRDefault="0062564D" w:rsidP="007B3478">
            <w:pPr>
              <w:pStyle w:val="Tablehead"/>
            </w:pPr>
            <w:r w:rsidRPr="00CA61A6">
              <w:t>Completada</w:t>
            </w:r>
          </w:p>
        </w:tc>
      </w:tr>
      <w:tr w:rsidR="0062564D" w:rsidRPr="00CA61A6" w:rsidTr="008A3A1A">
        <w:trPr>
          <w:trHeight w:val="620"/>
        </w:trPr>
        <w:tc>
          <w:tcPr>
            <w:tcW w:w="916" w:type="dxa"/>
            <w:tcBorders>
              <w:top w:val="double" w:sz="6" w:space="0" w:color="auto"/>
              <w:left w:val="single" w:sz="4" w:space="0" w:color="auto"/>
              <w:bottom w:val="single" w:sz="4" w:space="0" w:color="auto"/>
              <w:right w:val="single" w:sz="4" w:space="0" w:color="auto"/>
            </w:tcBorders>
            <w:vAlign w:val="center"/>
          </w:tcPr>
          <w:p w:rsidR="0062564D" w:rsidRPr="00CA61A6" w:rsidRDefault="00110CAD" w:rsidP="007B3478">
            <w:pPr>
              <w:pStyle w:val="Tabletext"/>
              <w:jc w:val="center"/>
            </w:pPr>
            <w:hyperlink w:anchor="Item40_01" w:history="1">
              <w:r w:rsidR="0062564D" w:rsidRPr="00CA61A6">
                <w:rPr>
                  <w:rStyle w:val="Hyperlink"/>
                </w:rPr>
                <w:t>40-01</w:t>
              </w:r>
            </w:hyperlink>
          </w:p>
        </w:tc>
        <w:tc>
          <w:tcPr>
            <w:tcW w:w="4479" w:type="dxa"/>
            <w:tcBorders>
              <w:top w:val="double" w:sz="6" w:space="0" w:color="auto"/>
              <w:left w:val="single" w:sz="4" w:space="0" w:color="auto"/>
              <w:bottom w:val="single" w:sz="4" w:space="0" w:color="auto"/>
              <w:right w:val="single" w:sz="4" w:space="0" w:color="auto"/>
            </w:tcBorders>
            <w:shd w:val="clear" w:color="auto" w:fill="auto"/>
            <w:vAlign w:val="center"/>
            <w:hideMark/>
          </w:tcPr>
          <w:p w:rsidR="0062564D" w:rsidRPr="00CA61A6" w:rsidRDefault="0062564D" w:rsidP="007B3478">
            <w:pPr>
              <w:pStyle w:val="Tabletext"/>
            </w:pPr>
            <w:r w:rsidRPr="00CA61A6">
              <w:t>Las Comisiones de Estudio tendrán en cuenta la Resolución a la hora de determinar si una Cuestión o Recomendación tiene consecuencias políticas o reglamentarias</w:t>
            </w:r>
          </w:p>
        </w:tc>
        <w:tc>
          <w:tcPr>
            <w:tcW w:w="1607" w:type="dxa"/>
            <w:tcBorders>
              <w:top w:val="double" w:sz="6" w:space="0" w:color="auto"/>
              <w:left w:val="nil"/>
              <w:bottom w:val="single" w:sz="4" w:space="0" w:color="auto"/>
              <w:right w:val="single" w:sz="4" w:space="0" w:color="auto"/>
            </w:tcBorders>
            <w:shd w:val="clear" w:color="auto" w:fill="auto"/>
            <w:vAlign w:val="center"/>
            <w:hideMark/>
          </w:tcPr>
          <w:p w:rsidR="0062564D" w:rsidRPr="00CA61A6" w:rsidRDefault="0062564D" w:rsidP="007B3478">
            <w:pPr>
              <w:pStyle w:val="Tabletext"/>
              <w:jc w:val="center"/>
            </w:pPr>
            <w:r w:rsidRPr="00CA61A6">
              <w:t>En curso</w:t>
            </w:r>
          </w:p>
        </w:tc>
        <w:tc>
          <w:tcPr>
            <w:tcW w:w="1259" w:type="dxa"/>
            <w:tcBorders>
              <w:top w:val="double" w:sz="6" w:space="0" w:color="auto"/>
              <w:left w:val="nil"/>
              <w:bottom w:val="single" w:sz="4" w:space="0" w:color="auto"/>
              <w:right w:val="single" w:sz="4" w:space="0" w:color="auto"/>
            </w:tcBorders>
            <w:vAlign w:val="center"/>
          </w:tcPr>
          <w:p w:rsidR="0062564D" w:rsidRPr="00CA61A6" w:rsidRDefault="00582FF9" w:rsidP="007B3478">
            <w:pPr>
              <w:pStyle w:val="Tabletext"/>
              <w:jc w:val="center"/>
            </w:pPr>
            <w:r w:rsidRPr="00CA61A6">
              <w:sym w:font="Wingdings" w:char="F0FC"/>
            </w:r>
          </w:p>
        </w:tc>
        <w:tc>
          <w:tcPr>
            <w:tcW w:w="1261" w:type="dxa"/>
            <w:tcBorders>
              <w:top w:val="double" w:sz="6" w:space="0" w:color="auto"/>
              <w:left w:val="single" w:sz="4" w:space="0" w:color="auto"/>
              <w:bottom w:val="single" w:sz="4" w:space="0" w:color="auto"/>
              <w:right w:val="single" w:sz="4" w:space="0" w:color="auto"/>
            </w:tcBorders>
            <w:vAlign w:val="center"/>
          </w:tcPr>
          <w:p w:rsidR="0062564D" w:rsidRPr="00CA61A6" w:rsidRDefault="0062564D" w:rsidP="00834E7C">
            <w:pPr>
              <w:pStyle w:val="Tabletext"/>
              <w:jc w:val="center"/>
            </w:pPr>
          </w:p>
        </w:tc>
      </w:tr>
      <w:tr w:rsidR="0062564D" w:rsidRPr="00CA61A6" w:rsidTr="008A3A1A">
        <w:trPr>
          <w:trHeight w:val="620"/>
        </w:trPr>
        <w:tc>
          <w:tcPr>
            <w:tcW w:w="916" w:type="dxa"/>
            <w:tcBorders>
              <w:top w:val="single" w:sz="4" w:space="0" w:color="auto"/>
              <w:left w:val="single" w:sz="4" w:space="0" w:color="auto"/>
              <w:bottom w:val="single" w:sz="4" w:space="0" w:color="auto"/>
              <w:right w:val="single" w:sz="4" w:space="0" w:color="auto"/>
            </w:tcBorders>
            <w:vAlign w:val="center"/>
          </w:tcPr>
          <w:p w:rsidR="0062564D" w:rsidRPr="00CA61A6" w:rsidRDefault="00110CAD" w:rsidP="007B3478">
            <w:pPr>
              <w:pStyle w:val="Tabletext"/>
              <w:jc w:val="center"/>
            </w:pPr>
            <w:hyperlink w:anchor="Item40_02" w:history="1">
              <w:r w:rsidR="0062564D" w:rsidRPr="00CA61A6">
                <w:rPr>
                  <w:color w:val="0000FF"/>
                  <w:u w:val="single"/>
                </w:rPr>
                <w:t>40-02</w:t>
              </w:r>
            </w:hyperlink>
          </w:p>
        </w:tc>
        <w:tc>
          <w:tcPr>
            <w:tcW w:w="4479" w:type="dxa"/>
            <w:tcBorders>
              <w:top w:val="single" w:sz="4" w:space="0" w:color="auto"/>
              <w:left w:val="single" w:sz="4" w:space="0" w:color="auto"/>
              <w:bottom w:val="single" w:sz="4" w:space="0" w:color="auto"/>
              <w:right w:val="single" w:sz="4" w:space="0" w:color="auto"/>
            </w:tcBorders>
            <w:shd w:val="clear" w:color="auto" w:fill="auto"/>
            <w:vAlign w:val="center"/>
          </w:tcPr>
          <w:p w:rsidR="0062564D" w:rsidRPr="00CA61A6" w:rsidRDefault="0062564D" w:rsidP="007B3478">
            <w:pPr>
              <w:pStyle w:val="Tabletext"/>
            </w:pPr>
            <w:r w:rsidRPr="00CA61A6">
              <w:t>El GANT tendrá que estudiar e identificar los aspectos técnicos y operativos relativos a la calidad del servicio/ calidad percibida (QoS/</w:t>
            </w:r>
            <w:r w:rsidR="00490A64">
              <w:t>QoE) de las telecomunicaciones/</w:t>
            </w:r>
            <w:r w:rsidRPr="00CA61A6">
              <w:t>TIC que podrían ser de naturaleza política o reglamentaria</w:t>
            </w:r>
          </w:p>
        </w:tc>
        <w:tc>
          <w:tcPr>
            <w:tcW w:w="1607" w:type="dxa"/>
            <w:tcBorders>
              <w:top w:val="single" w:sz="4" w:space="0" w:color="auto"/>
              <w:left w:val="nil"/>
              <w:bottom w:val="single" w:sz="4" w:space="0" w:color="auto"/>
              <w:right w:val="single" w:sz="4" w:space="0" w:color="auto"/>
            </w:tcBorders>
            <w:shd w:val="clear" w:color="auto" w:fill="auto"/>
            <w:vAlign w:val="center"/>
          </w:tcPr>
          <w:p w:rsidR="0062564D" w:rsidRPr="00CA61A6" w:rsidRDefault="0062564D" w:rsidP="007B3478">
            <w:pPr>
              <w:pStyle w:val="Tabletext"/>
              <w:jc w:val="center"/>
            </w:pPr>
          </w:p>
        </w:tc>
        <w:tc>
          <w:tcPr>
            <w:tcW w:w="1259" w:type="dxa"/>
            <w:tcBorders>
              <w:top w:val="single" w:sz="4" w:space="0" w:color="auto"/>
              <w:left w:val="nil"/>
              <w:bottom w:val="single" w:sz="4" w:space="0" w:color="auto"/>
              <w:right w:val="single" w:sz="4" w:space="0" w:color="auto"/>
            </w:tcBorders>
            <w:vAlign w:val="center"/>
          </w:tcPr>
          <w:p w:rsidR="0062564D" w:rsidRPr="00CA61A6" w:rsidRDefault="002C274B" w:rsidP="007B3478">
            <w:pPr>
              <w:pStyle w:val="Tabletext"/>
              <w:jc w:val="center"/>
            </w:pPr>
            <w:r w:rsidRPr="00F74A7B">
              <w:t>×</w:t>
            </w:r>
          </w:p>
        </w:tc>
        <w:tc>
          <w:tcPr>
            <w:tcW w:w="1261" w:type="dxa"/>
            <w:tcBorders>
              <w:top w:val="single" w:sz="4" w:space="0" w:color="auto"/>
              <w:left w:val="single" w:sz="4" w:space="0" w:color="auto"/>
              <w:bottom w:val="single" w:sz="4" w:space="0" w:color="auto"/>
              <w:right w:val="single" w:sz="4" w:space="0" w:color="auto"/>
            </w:tcBorders>
            <w:vAlign w:val="center"/>
          </w:tcPr>
          <w:p w:rsidR="0062564D" w:rsidRPr="00CA61A6" w:rsidRDefault="0062564D" w:rsidP="00834E7C">
            <w:pPr>
              <w:pStyle w:val="Tabletext"/>
              <w:jc w:val="center"/>
            </w:pPr>
          </w:p>
        </w:tc>
      </w:tr>
    </w:tbl>
    <w:p w:rsidR="0062564D" w:rsidRPr="00CA61A6" w:rsidRDefault="00AB3A33" w:rsidP="000B517B">
      <w:pPr>
        <w:pStyle w:val="Headingb"/>
      </w:pPr>
      <w:bookmarkStart w:id="116" w:name="lt_pId128"/>
      <w:bookmarkStart w:id="117" w:name="Item40_01"/>
      <w:r w:rsidRPr="00CA61A6">
        <w:t xml:space="preserve">Acción </w:t>
      </w:r>
      <w:r w:rsidR="0062564D" w:rsidRPr="00CA61A6">
        <w:t xml:space="preserve">40-01: </w:t>
      </w:r>
      <w:bookmarkEnd w:id="116"/>
      <w:r w:rsidR="0062564D" w:rsidRPr="00CA61A6">
        <w:t>CE</w:t>
      </w:r>
    </w:p>
    <w:p w:rsidR="0062564D" w:rsidRPr="00CA61A6" w:rsidRDefault="0062564D" w:rsidP="007B3478">
      <w:pPr>
        <w:rPr>
          <w:szCs w:val="24"/>
          <w:lang w:eastAsia="ja-JP"/>
        </w:rPr>
      </w:pPr>
      <w:bookmarkStart w:id="118" w:name="lt_pId129"/>
      <w:bookmarkEnd w:id="117"/>
      <w:r w:rsidRPr="00CA61A6">
        <w:rPr>
          <w:szCs w:val="24"/>
          <w:lang w:eastAsia="ja-JP"/>
        </w:rPr>
        <w:t>Las Comisiones de Estudio aplican las Resoluciones adecuadas (por ejemplo, la Resolución 1, Resolución 2, Resolución 40) para decidir qué proceso de aprobación debe utilizase para los proyectos de Recomen</w:t>
      </w:r>
      <w:r w:rsidR="00792D99">
        <w:rPr>
          <w:szCs w:val="24"/>
          <w:lang w:eastAsia="ja-JP"/>
        </w:rPr>
        <w:t>da</w:t>
      </w:r>
      <w:r w:rsidRPr="00CA61A6">
        <w:rPr>
          <w:szCs w:val="24"/>
          <w:lang w:eastAsia="ja-JP"/>
        </w:rPr>
        <w:t>ción.</w:t>
      </w:r>
      <w:bookmarkEnd w:id="118"/>
    </w:p>
    <w:p w:rsidR="0062564D" w:rsidRPr="00CA61A6" w:rsidRDefault="0062564D" w:rsidP="007B3478">
      <w:pPr>
        <w:rPr>
          <w:lang w:eastAsia="ja-JP"/>
        </w:rPr>
      </w:pPr>
      <w:bookmarkStart w:id="119" w:name="lt_pId130"/>
      <w:r w:rsidRPr="00CA61A6">
        <w:rPr>
          <w:lang w:eastAsia="ja-JP"/>
        </w:rPr>
        <w:t>En el caso de la CE</w:t>
      </w:r>
      <w:r w:rsidR="00615741" w:rsidRPr="00CA61A6">
        <w:rPr>
          <w:lang w:eastAsia="ja-JP"/>
        </w:rPr>
        <w:t> </w:t>
      </w:r>
      <w:r w:rsidRPr="00CA61A6">
        <w:rPr>
          <w:lang w:eastAsia="ja-JP"/>
        </w:rPr>
        <w:t>17, por ejemplo, la selección del proceso de aprobación se hizo para cada Cuestión en la primera reunión del periodo de estudios.</w:t>
      </w:r>
      <w:bookmarkEnd w:id="119"/>
      <w:r w:rsidRPr="00CA61A6">
        <w:rPr>
          <w:lang w:eastAsia="ja-JP"/>
        </w:rPr>
        <w:t xml:space="preserve"> </w:t>
      </w:r>
      <w:bookmarkStart w:id="120" w:name="lt_pId131"/>
      <w:r w:rsidRPr="00CA61A6">
        <w:rPr>
          <w:szCs w:val="24"/>
          <w:lang w:eastAsia="ja-JP"/>
        </w:rPr>
        <w:t>Para cada Cuestión nueva o revisada, el proceso se aplica al preparar la Cuestión.</w:t>
      </w:r>
      <w:bookmarkEnd w:id="120"/>
      <w:r w:rsidRPr="00CA61A6">
        <w:rPr>
          <w:szCs w:val="24"/>
          <w:lang w:eastAsia="ja-JP"/>
        </w:rPr>
        <w:t xml:space="preserve"> </w:t>
      </w:r>
      <w:bookmarkStart w:id="121" w:name="lt_pId132"/>
      <w:r w:rsidRPr="00CA61A6">
        <w:rPr>
          <w:lang w:eastAsia="ja-JP"/>
        </w:rPr>
        <w:t>En el caso de Recomendaciones, la selección del proceso de aprobación se examina en cada caso, cuando se crean sus temas de estudio.</w:t>
      </w:r>
      <w:bookmarkEnd w:id="121"/>
      <w:r w:rsidRPr="00CA61A6">
        <w:rPr>
          <w:lang w:eastAsia="ja-JP"/>
        </w:rPr>
        <w:t xml:space="preserve"> </w:t>
      </w:r>
    </w:p>
    <w:p w:rsidR="0062564D" w:rsidRPr="00CA61A6" w:rsidRDefault="0062564D" w:rsidP="007B3478">
      <w:pPr>
        <w:rPr>
          <w:szCs w:val="24"/>
          <w:lang w:eastAsia="ja-JP"/>
        </w:rPr>
      </w:pPr>
      <w:bookmarkStart w:id="122" w:name="lt_pId133"/>
      <w:r w:rsidRPr="00CA61A6">
        <w:rPr>
          <w:szCs w:val="24"/>
          <w:lang w:eastAsia="ja-JP"/>
        </w:rPr>
        <w:t>La Resolución indica que al determinar si una Cuestión o Recomendación tiene repercusiones en materia de política o reglamentación, en particular las relacionadas</w:t>
      </w:r>
      <w:r w:rsidR="00000F18">
        <w:rPr>
          <w:szCs w:val="24"/>
          <w:lang w:eastAsia="ja-JP"/>
        </w:rPr>
        <w:t xml:space="preserve"> con</w:t>
      </w:r>
      <w:r w:rsidRPr="00CA61A6">
        <w:rPr>
          <w:szCs w:val="24"/>
          <w:lang w:eastAsia="ja-JP"/>
        </w:rPr>
        <w:t xml:space="preserve"> temas de tarifas y contabilidad, las Comisiones de Estudio considerarán temas tales como las prácticas aplicables a los mercados competitivos, entre otros.</w:t>
      </w:r>
      <w:bookmarkEnd w:id="122"/>
      <w:r w:rsidRPr="00CA61A6">
        <w:rPr>
          <w:szCs w:val="24"/>
          <w:lang w:eastAsia="ja-JP"/>
        </w:rPr>
        <w:t xml:space="preserve"> </w:t>
      </w:r>
      <w:bookmarkStart w:id="123" w:name="lt_pId134"/>
      <w:r w:rsidRPr="00CA61A6">
        <w:rPr>
          <w:szCs w:val="24"/>
          <w:lang w:eastAsia="ja-JP"/>
        </w:rPr>
        <w:t>En este contexto, en su reunión de marzo de 2016, la CE</w:t>
      </w:r>
      <w:r w:rsidR="00615741" w:rsidRPr="00CA61A6">
        <w:rPr>
          <w:szCs w:val="24"/>
          <w:lang w:eastAsia="ja-JP"/>
        </w:rPr>
        <w:t> </w:t>
      </w:r>
      <w:r w:rsidRPr="00CA61A6">
        <w:rPr>
          <w:szCs w:val="24"/>
          <w:lang w:eastAsia="ja-JP"/>
        </w:rPr>
        <w:t xml:space="preserve">3 del UIT-T determinó el proyecto de Recomendación UIT-T D.261 </w:t>
      </w:r>
      <w:bookmarkEnd w:id="123"/>
      <w:r w:rsidRPr="00CA61A6">
        <w:rPr>
          <w:szCs w:val="24"/>
          <w:lang w:eastAsia="ja-JP"/>
        </w:rPr>
        <w:t>relativa a los "Principios de la definición del mercado y la identificación de operadores con capacidad significativa para influir en el mercado – SMP"</w:t>
      </w:r>
      <w:r w:rsidR="00896300" w:rsidRPr="00CA61A6">
        <w:rPr>
          <w:szCs w:val="24"/>
          <w:lang w:eastAsia="ja-JP"/>
        </w:rPr>
        <w:t>.</w:t>
      </w:r>
    </w:p>
    <w:p w:rsidR="0062564D" w:rsidRPr="00CA61A6" w:rsidRDefault="00B02CAE" w:rsidP="000A7416">
      <w:pPr>
        <w:pStyle w:val="Headingb"/>
      </w:pPr>
      <w:bookmarkStart w:id="124" w:name="Item40_02"/>
      <w:bookmarkStart w:id="125" w:name="lt_pId135"/>
      <w:bookmarkEnd w:id="124"/>
      <w:r w:rsidRPr="00CA61A6">
        <w:t xml:space="preserve">Acción </w:t>
      </w:r>
      <w:r w:rsidR="0062564D" w:rsidRPr="00CA61A6">
        <w:t xml:space="preserve">40-02: </w:t>
      </w:r>
      <w:bookmarkEnd w:id="125"/>
      <w:r w:rsidR="0062564D" w:rsidRPr="00CA61A6">
        <w:t>GANT</w:t>
      </w:r>
    </w:p>
    <w:p w:rsidR="0062564D" w:rsidRPr="00CA61A6" w:rsidRDefault="0062564D" w:rsidP="007B3478">
      <w:pPr>
        <w:rPr>
          <w:szCs w:val="24"/>
          <w:lang w:eastAsia="ja-JP"/>
        </w:rPr>
      </w:pPr>
      <w:bookmarkStart w:id="126" w:name="lt_pId136"/>
      <w:r w:rsidRPr="00CA61A6">
        <w:rPr>
          <w:szCs w:val="24"/>
          <w:lang w:eastAsia="ja-JP"/>
        </w:rPr>
        <w:t>No se registró actividad alguna por falta de contribuciones.</w:t>
      </w:r>
      <w:bookmarkEnd w:id="126"/>
    </w:p>
    <w:p w:rsidR="00AC46E8" w:rsidRPr="00CA61A6" w:rsidRDefault="00110CAD" w:rsidP="00AC46E8">
      <w:hyperlink w:anchor="Top" w:history="1">
        <w:r w:rsidR="00AC46E8" w:rsidRPr="00CA61A6">
          <w:rPr>
            <w:rStyle w:val="Hyperlink"/>
          </w:rPr>
          <w:t>» Arriba</w:t>
        </w:r>
      </w:hyperlink>
    </w:p>
    <w:p w:rsidR="0062564D" w:rsidRPr="00CA61A6" w:rsidRDefault="00D20A5F" w:rsidP="00D20A5F">
      <w:pPr>
        <w:pStyle w:val="Heading1"/>
      </w:pPr>
      <w:bookmarkStart w:id="127" w:name="_16_Resolución_43"/>
      <w:bookmarkStart w:id="128" w:name="_Toc463335767"/>
      <w:bookmarkEnd w:id="127"/>
      <w:r w:rsidRPr="00CA61A6">
        <w:t>16</w:t>
      </w:r>
      <w:r w:rsidRPr="00CA61A6">
        <w:tab/>
        <w:t xml:space="preserve">Resolución </w:t>
      </w:r>
      <w:r w:rsidR="0062564D" w:rsidRPr="00CA61A6">
        <w:t>43</w:t>
      </w:r>
      <w:r w:rsidRPr="00CA61A6">
        <w:t xml:space="preserve"> – </w:t>
      </w:r>
      <w:r w:rsidR="0062564D" w:rsidRPr="00CA61A6">
        <w:t>Preparativos regionales para las Asambleas Mundiales de Normalización de las Telecomunicaciones</w:t>
      </w:r>
      <w:bookmarkEnd w:id="128"/>
    </w:p>
    <w:p w:rsidR="0062564D" w:rsidRPr="00CA61A6" w:rsidRDefault="0062564D" w:rsidP="00B814A1">
      <w:pPr>
        <w:pStyle w:val="Headingb"/>
      </w:pPr>
      <w:r w:rsidRPr="00CA61A6">
        <w:t>Resolución 43</w:t>
      </w:r>
    </w:p>
    <w:p w:rsidR="0062564D" w:rsidRPr="00CA61A6" w:rsidRDefault="0062564D" w:rsidP="007B3478">
      <w:pPr>
        <w:pStyle w:val="Call"/>
        <w:rPr>
          <w:spacing w:val="-4"/>
        </w:rPr>
      </w:pPr>
      <w:r w:rsidRPr="00CA61A6">
        <w:rPr>
          <w:spacing w:val="-4"/>
        </w:rPr>
        <w:t>resuelve encargar al Director de la Oficina de Normalización de las Telecomunicaciones</w:t>
      </w:r>
    </w:p>
    <w:p w:rsidR="0062564D" w:rsidRPr="00CA61A6" w:rsidRDefault="0062564D" w:rsidP="007B3478">
      <w:r w:rsidRPr="00CA61A6">
        <w:t>que siga organizando, respetando las limitaciones financieras establecidas por la Conferencia de Plenipotenciarios, al menos una reunión preparatoria regional por región, en una fecha lo más cercana posible a la siguiente AMNT, seguida por una reunión oficiosa de los Presidentes y Vicepresidentes de las reuniones preparatorias regionales y demás partes interesadas, que se habrán de celebrar no antes de doce meses antes de la AMNT,</w:t>
      </w:r>
    </w:p>
    <w:p w:rsidR="0062564D" w:rsidRPr="00CA61A6" w:rsidRDefault="0062564D" w:rsidP="007B3478">
      <w:pPr>
        <w:pStyle w:val="Call"/>
      </w:pPr>
      <w:r w:rsidRPr="00CA61A6">
        <w:t>invita al Secretario General de la UIT a que, en cooperación con los Directores de las Oficinas de los tres Sectores</w:t>
      </w:r>
    </w:p>
    <w:p w:rsidR="0062564D" w:rsidRPr="00CA61A6" w:rsidRDefault="0062564D" w:rsidP="007B3478">
      <w:r w:rsidRPr="00CA61A6">
        <w:t>1</w:t>
      </w:r>
      <w:r w:rsidRPr="00CA61A6">
        <w:tab/>
        <w:t xml:space="preserve">consulte a los Estados Miembros y a las organizaciones regionales y subregionales de telecomunicaciones acerca de la manera de prestar asistencia a fin de apoyar sus preparativos para futuras AMNT, incluido el apoyo con miras a la organización del "Foro para la reducción de la </w:t>
      </w:r>
      <w:r w:rsidRPr="00CA61A6">
        <w:lastRenderedPageBreak/>
        <w:t>disparidad en materia de normalización" en cada región, con el fin de abordar las principales cuestiones de la próxima AMNT que revisten interés para los países en desarrollo</w:t>
      </w:r>
      <w:r w:rsidRPr="00CA61A6">
        <w:rPr>
          <w:rStyle w:val="FootnoteReference"/>
        </w:rPr>
        <w:footnoteReference w:customMarkFollows="1" w:id="2"/>
        <w:t>1</w:t>
      </w:r>
      <w:r w:rsidRPr="00CA61A6">
        <w:t>;</w:t>
      </w:r>
    </w:p>
    <w:p w:rsidR="0062564D" w:rsidRPr="00CA61A6" w:rsidRDefault="0062564D" w:rsidP="007B3478">
      <w:r w:rsidRPr="00CA61A6">
        <w:t>2</w:t>
      </w:r>
      <w:r w:rsidRPr="00CA61A6">
        <w:tab/>
        <w:t>sobre la base de dichas consultas, preste asistencia a los Estados Miembros y a las organizaciones regionales y subregionales de telecomunicaciones en ámbitos tales como:</w:t>
      </w:r>
    </w:p>
    <w:p w:rsidR="0062564D" w:rsidRPr="00CA61A6" w:rsidRDefault="0062564D" w:rsidP="007B3478">
      <w:pPr>
        <w:pStyle w:val="enumlev1"/>
      </w:pPr>
      <w:r w:rsidRPr="00CA61A6">
        <w:t>i)</w:t>
      </w:r>
      <w:r w:rsidRPr="00CA61A6">
        <w:tab/>
        <w:t>la organización de reuniones preparatorias regionales e interregionales oficiosas y, si así lo solicita una región, de reuniones preparatorias regionales oficiales;</w:t>
      </w:r>
    </w:p>
    <w:p w:rsidR="0062564D" w:rsidRPr="00CA61A6" w:rsidRDefault="0062564D" w:rsidP="007B3478">
      <w:pPr>
        <w:pStyle w:val="enumlev1"/>
      </w:pPr>
      <w:r w:rsidRPr="00CA61A6">
        <w:t>ii)</w:t>
      </w:r>
      <w:r w:rsidRPr="00CA61A6">
        <w:tab/>
        <w:t>la identificación de las principales cuestiones que habrá de resolver la siguiente AMNT;</w:t>
      </w:r>
    </w:p>
    <w:p w:rsidR="0062564D" w:rsidRPr="00CA61A6" w:rsidRDefault="0062564D" w:rsidP="007B3478">
      <w:pPr>
        <w:pStyle w:val="enumlev1"/>
      </w:pPr>
      <w:r w:rsidRPr="00CA61A6">
        <w:t>iii)</w:t>
      </w:r>
      <w:r w:rsidRPr="00CA61A6">
        <w:tab/>
        <w:t>el desarrollo de métodos de coordinación;</w:t>
      </w:r>
    </w:p>
    <w:p w:rsidR="0062564D" w:rsidRPr="00CA61A6" w:rsidRDefault="0062564D" w:rsidP="007B3478">
      <w:pPr>
        <w:pStyle w:val="enumlev1"/>
      </w:pPr>
      <w:r w:rsidRPr="00CA61A6">
        <w:t>iv)</w:t>
      </w:r>
      <w:r w:rsidRPr="00CA61A6">
        <w:tab/>
        <w:t>la organización de reuniones de información acerca de los trabajos previstos para la AMNT;</w:t>
      </w:r>
    </w:p>
    <w:p w:rsidR="0062564D" w:rsidRPr="00CA61A6" w:rsidRDefault="0062564D" w:rsidP="007B3478">
      <w:r w:rsidRPr="00CA61A6">
        <w:t>3</w:t>
      </w:r>
      <w:r w:rsidRPr="00CA61A6">
        <w:tab/>
        <w:t>que presente a la reunión del Consejo de la UIT en 2013 a más tardar un informe sobre la información facilitada por los Estados Miembros en lo que respecta a la necesidad de reuniones preparatorias regionales de la AMNT, sus resultados y la aplicación de esta Resolución,</w:t>
      </w:r>
    </w:p>
    <w:p w:rsidR="0062564D" w:rsidRPr="00CA61A6" w:rsidRDefault="0062564D" w:rsidP="007B3478">
      <w:pPr>
        <w:pStyle w:val="Call"/>
      </w:pPr>
      <w:r w:rsidRPr="00CA61A6">
        <w:t>invita a los Estados Miembros</w:t>
      </w:r>
    </w:p>
    <w:p w:rsidR="0062564D" w:rsidRPr="00CA61A6" w:rsidRDefault="0062564D" w:rsidP="007B3478">
      <w:r w:rsidRPr="00CA61A6">
        <w:t>a participar activamente en la aplicación de esta Resolución,</w:t>
      </w:r>
    </w:p>
    <w:p w:rsidR="0062564D" w:rsidRPr="00CA61A6" w:rsidRDefault="0062564D" w:rsidP="007B3478">
      <w:pPr>
        <w:pStyle w:val="Call"/>
      </w:pPr>
      <w:r w:rsidRPr="00CA61A6">
        <w:t>invita a las organizaciones regionales y subregionales de telecomunicaciones</w:t>
      </w:r>
    </w:p>
    <w:p w:rsidR="0062564D" w:rsidRPr="00CA61A6" w:rsidRDefault="0062564D" w:rsidP="007B3478">
      <w:r w:rsidRPr="00CA61A6">
        <w:t>1</w:t>
      </w:r>
      <w:r w:rsidRPr="00CA61A6">
        <w:tab/>
        <w:t>a participar en la coordinación y armonización de las contribuciones de sus respectivos Estados Miembros, a fin de elaborar propuestas comunes siempre que sea posible;</w:t>
      </w:r>
    </w:p>
    <w:p w:rsidR="0062564D" w:rsidRPr="00CA61A6" w:rsidRDefault="0062564D" w:rsidP="007B3478">
      <w:pPr>
        <w:spacing w:after="240"/>
      </w:pPr>
      <w:r w:rsidRPr="00CA61A6">
        <w:t>2</w:t>
      </w:r>
      <w:r w:rsidRPr="00CA61A6">
        <w:tab/>
        <w:t>a convocar, si fuera posible, reuniones interregionales oficiosas con el fin de lograr propuestas comunes interregionales.</w:t>
      </w:r>
    </w:p>
    <w:tbl>
      <w:tblPr>
        <w:tblW w:w="9522" w:type="dxa"/>
        <w:tblInd w:w="-13" w:type="dxa"/>
        <w:tblLook w:val="04A0" w:firstRow="1" w:lastRow="0" w:firstColumn="1" w:lastColumn="0" w:noHBand="0" w:noVBand="1"/>
      </w:tblPr>
      <w:tblGrid>
        <w:gridCol w:w="916"/>
        <w:gridCol w:w="4621"/>
        <w:gridCol w:w="1550"/>
        <w:gridCol w:w="1174"/>
        <w:gridCol w:w="1261"/>
      </w:tblGrid>
      <w:tr w:rsidR="0062564D" w:rsidRPr="00CA61A6" w:rsidTr="00585D65">
        <w:trPr>
          <w:trHeight w:val="647"/>
          <w:tblHeader/>
        </w:trPr>
        <w:tc>
          <w:tcPr>
            <w:tcW w:w="916" w:type="dxa"/>
            <w:tcBorders>
              <w:top w:val="single" w:sz="4" w:space="0" w:color="auto"/>
              <w:left w:val="single" w:sz="4" w:space="0" w:color="auto"/>
              <w:bottom w:val="double" w:sz="6" w:space="0" w:color="auto"/>
              <w:right w:val="single" w:sz="4" w:space="0" w:color="auto"/>
            </w:tcBorders>
            <w:vAlign w:val="center"/>
          </w:tcPr>
          <w:p w:rsidR="0062564D" w:rsidRPr="00CA61A6" w:rsidRDefault="004A40D8" w:rsidP="007B3478">
            <w:pPr>
              <w:pStyle w:val="Tablehead"/>
            </w:pPr>
            <w:r w:rsidRPr="00CA61A6">
              <w:t>Número</w:t>
            </w:r>
          </w:p>
        </w:tc>
        <w:tc>
          <w:tcPr>
            <w:tcW w:w="4621" w:type="dxa"/>
            <w:tcBorders>
              <w:top w:val="single" w:sz="4" w:space="0" w:color="auto"/>
              <w:left w:val="single" w:sz="4" w:space="0" w:color="auto"/>
              <w:bottom w:val="double" w:sz="6" w:space="0" w:color="auto"/>
              <w:right w:val="single" w:sz="4" w:space="0" w:color="auto"/>
            </w:tcBorders>
            <w:shd w:val="clear" w:color="auto" w:fill="auto"/>
            <w:vAlign w:val="center"/>
            <w:hideMark/>
          </w:tcPr>
          <w:p w:rsidR="0062564D" w:rsidRPr="00CA61A6" w:rsidRDefault="0062564D" w:rsidP="007B3478">
            <w:pPr>
              <w:pStyle w:val="Tablehead"/>
            </w:pPr>
            <w:r w:rsidRPr="00CA61A6">
              <w:t>Acción</w:t>
            </w:r>
          </w:p>
        </w:tc>
        <w:tc>
          <w:tcPr>
            <w:tcW w:w="1550" w:type="dxa"/>
            <w:tcBorders>
              <w:top w:val="single" w:sz="4" w:space="0" w:color="auto"/>
              <w:left w:val="nil"/>
              <w:bottom w:val="double" w:sz="6" w:space="0" w:color="auto"/>
              <w:right w:val="single" w:sz="4" w:space="0" w:color="auto"/>
            </w:tcBorders>
            <w:shd w:val="clear" w:color="auto" w:fill="auto"/>
            <w:vAlign w:val="center"/>
            <w:hideMark/>
          </w:tcPr>
          <w:p w:rsidR="0062564D" w:rsidRPr="00CA61A6" w:rsidRDefault="0062564D" w:rsidP="007B3478">
            <w:pPr>
              <w:pStyle w:val="Tablehead"/>
            </w:pPr>
            <w:r w:rsidRPr="00CA61A6">
              <w:t>Fecha objetivo</w:t>
            </w:r>
          </w:p>
        </w:tc>
        <w:tc>
          <w:tcPr>
            <w:tcW w:w="1174" w:type="dxa"/>
            <w:tcBorders>
              <w:top w:val="single" w:sz="4" w:space="0" w:color="auto"/>
              <w:left w:val="nil"/>
              <w:bottom w:val="double" w:sz="6" w:space="0" w:color="auto"/>
              <w:right w:val="single" w:sz="4" w:space="0" w:color="auto"/>
            </w:tcBorders>
            <w:vAlign w:val="center"/>
          </w:tcPr>
          <w:p w:rsidR="0062564D" w:rsidRPr="00CA61A6" w:rsidRDefault="0062564D" w:rsidP="007B3478">
            <w:pPr>
              <w:pStyle w:val="Tablehead"/>
            </w:pPr>
            <w:r w:rsidRPr="00CA61A6">
              <w:t>Objetivos periódicos cumplidos</w:t>
            </w:r>
          </w:p>
        </w:tc>
        <w:tc>
          <w:tcPr>
            <w:tcW w:w="1261" w:type="dxa"/>
            <w:tcBorders>
              <w:top w:val="single" w:sz="4" w:space="0" w:color="auto"/>
              <w:left w:val="single" w:sz="4" w:space="0" w:color="auto"/>
              <w:bottom w:val="double" w:sz="6" w:space="0" w:color="auto"/>
              <w:right w:val="single" w:sz="4" w:space="0" w:color="auto"/>
            </w:tcBorders>
            <w:vAlign w:val="center"/>
          </w:tcPr>
          <w:p w:rsidR="0062564D" w:rsidRPr="00CA61A6" w:rsidRDefault="0062564D" w:rsidP="007B3478">
            <w:pPr>
              <w:pStyle w:val="Tablehead"/>
            </w:pPr>
            <w:r w:rsidRPr="00CA61A6">
              <w:t>Completada</w:t>
            </w:r>
          </w:p>
        </w:tc>
      </w:tr>
      <w:tr w:rsidR="0062564D" w:rsidRPr="00CA61A6" w:rsidTr="00585D65">
        <w:trPr>
          <w:trHeight w:val="620"/>
        </w:trPr>
        <w:tc>
          <w:tcPr>
            <w:tcW w:w="916" w:type="dxa"/>
            <w:tcBorders>
              <w:top w:val="double" w:sz="6" w:space="0" w:color="auto"/>
              <w:left w:val="single" w:sz="4" w:space="0" w:color="auto"/>
              <w:bottom w:val="single" w:sz="4" w:space="0" w:color="auto"/>
              <w:right w:val="single" w:sz="4" w:space="0" w:color="auto"/>
            </w:tcBorders>
            <w:vAlign w:val="center"/>
          </w:tcPr>
          <w:p w:rsidR="0062564D" w:rsidRPr="00CA61A6" w:rsidRDefault="00110CAD" w:rsidP="007B3478">
            <w:pPr>
              <w:pStyle w:val="Tabletext"/>
              <w:jc w:val="center"/>
            </w:pPr>
            <w:hyperlink w:anchor="Item43_01" w:history="1">
              <w:r w:rsidR="0062564D" w:rsidRPr="00CA61A6">
                <w:rPr>
                  <w:rStyle w:val="Hyperlink"/>
                </w:rPr>
                <w:t>43-01</w:t>
              </w:r>
            </w:hyperlink>
          </w:p>
        </w:tc>
        <w:tc>
          <w:tcPr>
            <w:tcW w:w="4621" w:type="dxa"/>
            <w:tcBorders>
              <w:top w:val="double" w:sz="6" w:space="0" w:color="auto"/>
              <w:left w:val="single" w:sz="4" w:space="0" w:color="auto"/>
              <w:bottom w:val="single" w:sz="4" w:space="0" w:color="auto"/>
              <w:right w:val="single" w:sz="4" w:space="0" w:color="auto"/>
            </w:tcBorders>
            <w:shd w:val="clear" w:color="auto" w:fill="auto"/>
            <w:vAlign w:val="center"/>
            <w:hideMark/>
          </w:tcPr>
          <w:p w:rsidR="0062564D" w:rsidRPr="00CA61A6" w:rsidRDefault="0062564D" w:rsidP="007B3478">
            <w:pPr>
              <w:pStyle w:val="Tabletext"/>
            </w:pPr>
            <w:r w:rsidRPr="00CA61A6">
              <w:t>El Director organizará, a petición de las regiones, una reunión prepa</w:t>
            </w:r>
            <w:r w:rsidR="00D41050">
              <w:t>ratoria regional para la AMNT</w:t>
            </w:r>
            <w:r w:rsidR="00D41050">
              <w:noBreakHyphen/>
              <w:t>16</w:t>
            </w:r>
            <w:r w:rsidRPr="00CA61A6">
              <w:t xml:space="preserve"> por región, entre octubre de 2015 y junio de 2016</w:t>
            </w:r>
          </w:p>
        </w:tc>
        <w:tc>
          <w:tcPr>
            <w:tcW w:w="1550" w:type="dxa"/>
            <w:tcBorders>
              <w:top w:val="double" w:sz="6" w:space="0" w:color="auto"/>
              <w:left w:val="nil"/>
              <w:bottom w:val="single" w:sz="4" w:space="0" w:color="auto"/>
              <w:right w:val="single" w:sz="4" w:space="0" w:color="auto"/>
            </w:tcBorders>
            <w:shd w:val="clear" w:color="auto" w:fill="auto"/>
            <w:vAlign w:val="center"/>
            <w:hideMark/>
          </w:tcPr>
          <w:p w:rsidR="0062564D" w:rsidRPr="00CA61A6" w:rsidRDefault="00585D65" w:rsidP="007B3478">
            <w:pPr>
              <w:pStyle w:val="Tabletext"/>
              <w:jc w:val="center"/>
            </w:pPr>
            <w:r>
              <w:t>30 de septiembre de 2015</w:t>
            </w:r>
          </w:p>
        </w:tc>
        <w:tc>
          <w:tcPr>
            <w:tcW w:w="1174" w:type="dxa"/>
            <w:tcBorders>
              <w:top w:val="double" w:sz="6" w:space="0" w:color="auto"/>
              <w:left w:val="nil"/>
              <w:bottom w:val="single" w:sz="4" w:space="0" w:color="auto"/>
              <w:right w:val="single" w:sz="4" w:space="0" w:color="auto"/>
            </w:tcBorders>
            <w:vAlign w:val="center"/>
          </w:tcPr>
          <w:p w:rsidR="0062564D" w:rsidRPr="00CA61A6" w:rsidRDefault="0062564D" w:rsidP="007B3478">
            <w:pPr>
              <w:pStyle w:val="Tabletext"/>
              <w:jc w:val="center"/>
            </w:pPr>
          </w:p>
        </w:tc>
        <w:tc>
          <w:tcPr>
            <w:tcW w:w="1261" w:type="dxa"/>
            <w:tcBorders>
              <w:top w:val="double" w:sz="6" w:space="0" w:color="auto"/>
              <w:left w:val="single" w:sz="4" w:space="0" w:color="auto"/>
              <w:bottom w:val="single" w:sz="4" w:space="0" w:color="auto"/>
              <w:right w:val="single" w:sz="4" w:space="0" w:color="auto"/>
            </w:tcBorders>
            <w:vAlign w:val="center"/>
          </w:tcPr>
          <w:p w:rsidR="0062564D" w:rsidRPr="00CA61A6" w:rsidRDefault="0062564D" w:rsidP="007B3478">
            <w:pPr>
              <w:pStyle w:val="Tabletext"/>
              <w:jc w:val="center"/>
            </w:pPr>
            <w:r w:rsidRPr="00CA61A6">
              <w:sym w:font="Wingdings" w:char="F0FC"/>
            </w:r>
          </w:p>
        </w:tc>
      </w:tr>
      <w:tr w:rsidR="0062564D" w:rsidRPr="00CA61A6" w:rsidTr="00585D65">
        <w:trPr>
          <w:trHeight w:val="710"/>
        </w:trPr>
        <w:tc>
          <w:tcPr>
            <w:tcW w:w="916" w:type="dxa"/>
            <w:tcBorders>
              <w:top w:val="nil"/>
              <w:left w:val="single" w:sz="4" w:space="0" w:color="auto"/>
              <w:bottom w:val="single" w:sz="4" w:space="0" w:color="auto"/>
              <w:right w:val="single" w:sz="4" w:space="0" w:color="auto"/>
            </w:tcBorders>
            <w:vAlign w:val="center"/>
          </w:tcPr>
          <w:p w:rsidR="0062564D" w:rsidRPr="00CA61A6" w:rsidRDefault="00110CAD" w:rsidP="007B3478">
            <w:pPr>
              <w:pStyle w:val="Tabletext"/>
              <w:jc w:val="center"/>
            </w:pPr>
            <w:hyperlink w:anchor="Item43_02" w:history="1">
              <w:r w:rsidR="0062564D" w:rsidRPr="00CA61A6">
                <w:rPr>
                  <w:rStyle w:val="Hyperlink"/>
                </w:rPr>
                <w:t>43-02</w:t>
              </w:r>
            </w:hyperlink>
          </w:p>
        </w:tc>
        <w:tc>
          <w:tcPr>
            <w:tcW w:w="4621" w:type="dxa"/>
            <w:tcBorders>
              <w:top w:val="nil"/>
              <w:left w:val="single" w:sz="4" w:space="0" w:color="auto"/>
              <w:bottom w:val="single" w:sz="4" w:space="0" w:color="auto"/>
              <w:right w:val="single" w:sz="4" w:space="0" w:color="auto"/>
            </w:tcBorders>
            <w:shd w:val="clear" w:color="auto" w:fill="auto"/>
            <w:vAlign w:val="center"/>
            <w:hideMark/>
          </w:tcPr>
          <w:p w:rsidR="0062564D" w:rsidRPr="00CA61A6" w:rsidRDefault="0062564D" w:rsidP="007B3478">
            <w:pPr>
              <w:pStyle w:val="Tabletext"/>
            </w:pPr>
            <w:r w:rsidRPr="00CA61A6">
              <w:t>El Director invitará al Secretario General a celebrar con los Estados Miembros y las organizaciones regionales de telecomunicaciones consultas sobre los medios necesarios par</w:t>
            </w:r>
            <w:r w:rsidR="00312941">
              <w:t>a su preparación para la AMNT</w:t>
            </w:r>
            <w:r w:rsidR="00312941">
              <w:noBreakHyphen/>
            </w:r>
            <w:r w:rsidR="00746FDD">
              <w:t>16</w:t>
            </w:r>
            <w:r w:rsidRPr="00CA61A6">
              <w:t>, incluido el apoyo necesario para la creación de un Foro sobre el cierre de la bre</w:t>
            </w:r>
            <w:r w:rsidR="00F73791" w:rsidRPr="00CA61A6">
              <w:t>cha de normalización por región</w:t>
            </w:r>
          </w:p>
        </w:tc>
        <w:tc>
          <w:tcPr>
            <w:tcW w:w="1550" w:type="dxa"/>
            <w:tcBorders>
              <w:top w:val="nil"/>
              <w:left w:val="nil"/>
              <w:bottom w:val="single" w:sz="4" w:space="0" w:color="auto"/>
              <w:right w:val="single" w:sz="4" w:space="0" w:color="auto"/>
            </w:tcBorders>
            <w:shd w:val="clear" w:color="auto" w:fill="auto"/>
            <w:vAlign w:val="center"/>
            <w:hideMark/>
          </w:tcPr>
          <w:p w:rsidR="0062564D" w:rsidRPr="00CA61A6" w:rsidRDefault="00757C12" w:rsidP="007B3478">
            <w:pPr>
              <w:pStyle w:val="Tabletext"/>
              <w:jc w:val="center"/>
              <w:rPr>
                <w:highlight w:val="yellow"/>
              </w:rPr>
            </w:pPr>
            <w:r>
              <w:t>30 de junio de 2015</w:t>
            </w:r>
          </w:p>
        </w:tc>
        <w:tc>
          <w:tcPr>
            <w:tcW w:w="1174" w:type="dxa"/>
            <w:tcBorders>
              <w:top w:val="nil"/>
              <w:left w:val="nil"/>
              <w:bottom w:val="single" w:sz="4" w:space="0" w:color="auto"/>
              <w:right w:val="single" w:sz="4" w:space="0" w:color="auto"/>
            </w:tcBorders>
            <w:shd w:val="clear" w:color="auto" w:fill="auto"/>
            <w:vAlign w:val="center"/>
          </w:tcPr>
          <w:p w:rsidR="0062564D" w:rsidRPr="00CA61A6" w:rsidRDefault="0062564D" w:rsidP="007B3478">
            <w:pPr>
              <w:pStyle w:val="Tabletext"/>
              <w:jc w:val="center"/>
            </w:pPr>
          </w:p>
        </w:tc>
        <w:tc>
          <w:tcPr>
            <w:tcW w:w="1261" w:type="dxa"/>
            <w:tcBorders>
              <w:top w:val="nil"/>
              <w:left w:val="single" w:sz="4" w:space="0" w:color="auto"/>
              <w:bottom w:val="single" w:sz="4" w:space="0" w:color="auto"/>
              <w:right w:val="single" w:sz="4" w:space="0" w:color="auto"/>
            </w:tcBorders>
            <w:vAlign w:val="center"/>
          </w:tcPr>
          <w:p w:rsidR="0062564D" w:rsidRPr="00CA61A6" w:rsidRDefault="00A842E4" w:rsidP="007B3478">
            <w:pPr>
              <w:pStyle w:val="Tabletext"/>
              <w:jc w:val="center"/>
            </w:pPr>
            <w:r w:rsidRPr="00CA61A6">
              <w:sym w:font="Wingdings" w:char="F0FC"/>
            </w:r>
          </w:p>
        </w:tc>
      </w:tr>
      <w:tr w:rsidR="0062564D" w:rsidRPr="00CA61A6" w:rsidTr="00585D65">
        <w:trPr>
          <w:trHeight w:val="530"/>
        </w:trPr>
        <w:tc>
          <w:tcPr>
            <w:tcW w:w="916" w:type="dxa"/>
            <w:tcBorders>
              <w:top w:val="single" w:sz="4" w:space="0" w:color="auto"/>
              <w:left w:val="single" w:sz="4" w:space="0" w:color="auto"/>
              <w:bottom w:val="single" w:sz="4" w:space="0" w:color="auto"/>
              <w:right w:val="single" w:sz="4" w:space="0" w:color="auto"/>
            </w:tcBorders>
            <w:vAlign w:val="center"/>
          </w:tcPr>
          <w:p w:rsidR="0062564D" w:rsidRPr="00CA61A6" w:rsidRDefault="00110CAD" w:rsidP="007B3478">
            <w:pPr>
              <w:pStyle w:val="Tabletext"/>
              <w:jc w:val="center"/>
            </w:pPr>
            <w:hyperlink w:anchor="Item43_03" w:history="1">
              <w:r w:rsidR="0062564D" w:rsidRPr="00CA61A6">
                <w:rPr>
                  <w:rStyle w:val="Hyperlink"/>
                </w:rPr>
                <w:t>43-03</w:t>
              </w:r>
            </w:hyperlink>
          </w:p>
        </w:tc>
        <w:tc>
          <w:tcPr>
            <w:tcW w:w="4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2564D" w:rsidRPr="00CA61A6" w:rsidRDefault="0062564D" w:rsidP="007B3478">
            <w:pPr>
              <w:pStyle w:val="Tabletext"/>
            </w:pPr>
            <w:r w:rsidRPr="00CA61A6">
              <w:t>El Director presentará al Consejo un Informe sobre las respuestas de los Estados Miembros en relación con las reuniones preparato</w:t>
            </w:r>
            <w:r w:rsidR="00EA5AC1">
              <w:t>rias regionales para la AMNT</w:t>
            </w:r>
            <w:r w:rsidR="00EA5AC1">
              <w:noBreakHyphen/>
            </w:r>
            <w:r w:rsidR="00F73791" w:rsidRPr="00CA61A6">
              <w:t>12</w:t>
            </w:r>
          </w:p>
        </w:tc>
        <w:tc>
          <w:tcPr>
            <w:tcW w:w="1550" w:type="dxa"/>
            <w:tcBorders>
              <w:top w:val="single" w:sz="4" w:space="0" w:color="auto"/>
              <w:left w:val="nil"/>
              <w:bottom w:val="single" w:sz="4" w:space="0" w:color="auto"/>
              <w:right w:val="single" w:sz="4" w:space="0" w:color="auto"/>
            </w:tcBorders>
            <w:shd w:val="clear" w:color="auto" w:fill="auto"/>
            <w:vAlign w:val="center"/>
            <w:hideMark/>
          </w:tcPr>
          <w:p w:rsidR="0062564D" w:rsidRPr="00CA61A6" w:rsidRDefault="0034058F" w:rsidP="0034058F">
            <w:pPr>
              <w:pStyle w:val="Tabletext"/>
              <w:jc w:val="center"/>
            </w:pPr>
            <w:r>
              <w:t>1 de abril de 2013</w:t>
            </w:r>
          </w:p>
        </w:tc>
        <w:tc>
          <w:tcPr>
            <w:tcW w:w="1174" w:type="dxa"/>
            <w:tcBorders>
              <w:top w:val="single" w:sz="4" w:space="0" w:color="auto"/>
              <w:left w:val="nil"/>
              <w:bottom w:val="single" w:sz="4" w:space="0" w:color="auto"/>
              <w:right w:val="single" w:sz="4" w:space="0" w:color="auto"/>
            </w:tcBorders>
            <w:vAlign w:val="center"/>
          </w:tcPr>
          <w:p w:rsidR="0062564D" w:rsidRPr="00CA61A6" w:rsidRDefault="0062564D" w:rsidP="007B3478">
            <w:pPr>
              <w:pStyle w:val="Tabletext"/>
              <w:jc w:val="center"/>
            </w:pPr>
          </w:p>
        </w:tc>
        <w:tc>
          <w:tcPr>
            <w:tcW w:w="1261" w:type="dxa"/>
            <w:tcBorders>
              <w:top w:val="single" w:sz="4" w:space="0" w:color="auto"/>
              <w:left w:val="single" w:sz="4" w:space="0" w:color="auto"/>
              <w:bottom w:val="single" w:sz="4" w:space="0" w:color="auto"/>
              <w:right w:val="single" w:sz="4" w:space="0" w:color="auto"/>
            </w:tcBorders>
            <w:vAlign w:val="center"/>
          </w:tcPr>
          <w:p w:rsidR="0062564D" w:rsidRPr="00CA61A6" w:rsidRDefault="0062564D" w:rsidP="007B3478">
            <w:pPr>
              <w:pStyle w:val="Tabletext"/>
              <w:jc w:val="center"/>
            </w:pPr>
            <w:r w:rsidRPr="00CA61A6">
              <w:sym w:font="Wingdings" w:char="F0FC"/>
            </w:r>
          </w:p>
        </w:tc>
      </w:tr>
    </w:tbl>
    <w:p w:rsidR="0062564D" w:rsidRPr="00CA61A6" w:rsidRDefault="005016C8" w:rsidP="005016C8">
      <w:pPr>
        <w:pStyle w:val="Headingb"/>
      </w:pPr>
      <w:bookmarkStart w:id="129" w:name="Item43_01"/>
      <w:r w:rsidRPr="00CA61A6">
        <w:t xml:space="preserve">Acción </w:t>
      </w:r>
      <w:r w:rsidR="0062564D" w:rsidRPr="00CA61A6">
        <w:t>43-01: TSB</w:t>
      </w:r>
    </w:p>
    <w:p w:rsidR="0062564D" w:rsidRPr="00CA61A6" w:rsidRDefault="00157850" w:rsidP="007B3478">
      <w:pPr>
        <w:rPr>
          <w:szCs w:val="24"/>
          <w:lang w:eastAsia="ja-JP"/>
        </w:rPr>
      </w:pPr>
      <w:bookmarkStart w:id="130" w:name="lt_pId182"/>
      <w:bookmarkEnd w:id="129"/>
      <w:r w:rsidRPr="00157850">
        <w:rPr>
          <w:szCs w:val="24"/>
          <w:lang w:eastAsia="ja-JP"/>
        </w:rPr>
        <w:t>Completada</w:t>
      </w:r>
      <w:r w:rsidR="0062564D" w:rsidRPr="00CA61A6">
        <w:rPr>
          <w:szCs w:val="24"/>
          <w:lang w:eastAsia="ja-JP"/>
        </w:rPr>
        <w:t>.</w:t>
      </w:r>
      <w:bookmarkEnd w:id="130"/>
      <w:r w:rsidR="0062564D" w:rsidRPr="00CA61A6">
        <w:rPr>
          <w:szCs w:val="24"/>
          <w:lang w:eastAsia="ja-JP"/>
        </w:rPr>
        <w:t xml:space="preserve"> </w:t>
      </w:r>
      <w:bookmarkStart w:id="131" w:name="lt_pId183"/>
      <w:r w:rsidR="0062564D" w:rsidRPr="00CA61A6">
        <w:rPr>
          <w:szCs w:val="24"/>
          <w:lang w:eastAsia="ja-JP"/>
        </w:rPr>
        <w:t xml:space="preserve">El UIT-T organizó de consuno con organizaciones regionales de telecomunicaciones reuniones preparatorias para la AMNT-16, véase: </w:t>
      </w:r>
      <w:hyperlink r:id="rId105" w:history="1">
        <w:r w:rsidR="00F22B7A" w:rsidRPr="00CA61A6">
          <w:rPr>
            <w:rStyle w:val="Hyperlink"/>
            <w:szCs w:val="24"/>
            <w:lang w:eastAsia="ja-JP"/>
          </w:rPr>
          <w:t>http://www.itu.int/en/ITU</w:t>
        </w:r>
        <w:r w:rsidR="00F22B7A" w:rsidRPr="00CA61A6">
          <w:rPr>
            <w:rStyle w:val="Hyperlink"/>
            <w:szCs w:val="24"/>
            <w:lang w:eastAsia="ja-JP"/>
          </w:rPr>
          <w:noBreakHyphen/>
          <w:t>T/wtsa16/prepmeet/Pages/default.aspx</w:t>
        </w:r>
      </w:hyperlink>
      <w:r w:rsidR="0062564D" w:rsidRPr="00553783">
        <w:t>.</w:t>
      </w:r>
      <w:bookmarkEnd w:id="131"/>
    </w:p>
    <w:p w:rsidR="0062564D" w:rsidRPr="00CA61A6" w:rsidRDefault="00F22B7A" w:rsidP="00F22B7A">
      <w:pPr>
        <w:pStyle w:val="Headingb"/>
      </w:pPr>
      <w:bookmarkStart w:id="132" w:name="Item43_02"/>
      <w:bookmarkStart w:id="133" w:name="lt_pId184"/>
      <w:bookmarkEnd w:id="132"/>
      <w:r w:rsidRPr="00CA61A6">
        <w:lastRenderedPageBreak/>
        <w:t xml:space="preserve">Acción </w:t>
      </w:r>
      <w:r w:rsidR="002D4EFE">
        <w:t xml:space="preserve">43-02: TSB y </w:t>
      </w:r>
      <w:r w:rsidR="0062564D" w:rsidRPr="00CA61A6">
        <w:t>Secretaría General</w:t>
      </w:r>
      <w:bookmarkEnd w:id="133"/>
    </w:p>
    <w:p w:rsidR="0062564D" w:rsidRPr="00CA61A6" w:rsidRDefault="0062564D" w:rsidP="007B3478">
      <w:pPr>
        <w:rPr>
          <w:szCs w:val="24"/>
          <w:lang w:eastAsia="ja-JP"/>
        </w:rPr>
      </w:pPr>
      <w:bookmarkStart w:id="134" w:name="lt_pId185"/>
      <w:r w:rsidRPr="00CA61A6">
        <w:rPr>
          <w:szCs w:val="24"/>
          <w:lang w:eastAsia="ja-JP"/>
        </w:rPr>
        <w:t>Después de la AMNT-12 siguió aplicándose la estrategia de organizar las reuniones regionales con ocasión de otros eventos. Se celebraron eventos informativos de la AMNT-12/CMTI en Bangkok (Tailandia), 7-8 de marzo de 2013, para la región Asia-Pacífico, en Durban (Sudáfrica), 10-11 de julio de 2013 para la región de África y en Rabat (Marruecos) 2-3 de septiembre 2013 para la región Árabe.</w:t>
      </w:r>
      <w:bookmarkEnd w:id="134"/>
    </w:p>
    <w:p w:rsidR="0062564D" w:rsidRPr="00CA61A6" w:rsidRDefault="0062564D" w:rsidP="00E703D5">
      <w:pPr>
        <w:rPr>
          <w:szCs w:val="24"/>
          <w:lang w:eastAsia="ja-JP"/>
        </w:rPr>
      </w:pPr>
      <w:bookmarkStart w:id="135" w:name="lt_pId186"/>
      <w:r w:rsidRPr="00CA61A6">
        <w:rPr>
          <w:szCs w:val="24"/>
          <w:lang w:eastAsia="ja-JP"/>
        </w:rPr>
        <w:t xml:space="preserve">Véase también </w:t>
      </w:r>
      <w:r w:rsidR="00E703D5">
        <w:rPr>
          <w:szCs w:val="24"/>
          <w:lang w:eastAsia="ja-JP"/>
        </w:rPr>
        <w:t>la</w:t>
      </w:r>
      <w:r w:rsidRPr="00CA61A6">
        <w:rPr>
          <w:szCs w:val="24"/>
          <w:lang w:eastAsia="ja-JP"/>
        </w:rPr>
        <w:t xml:space="preserve"> </w:t>
      </w:r>
      <w:hyperlink w:anchor="Item44_24" w:history="1">
        <w:r w:rsidR="00E703D5">
          <w:rPr>
            <w:rStyle w:val="Hyperlink"/>
            <w:szCs w:val="24"/>
            <w:lang w:eastAsia="ja-JP"/>
          </w:rPr>
          <w:t>Acción</w:t>
        </w:r>
        <w:r w:rsidR="00936C68" w:rsidRPr="00CA61A6">
          <w:rPr>
            <w:rStyle w:val="Hyperlink"/>
            <w:szCs w:val="24"/>
            <w:lang w:eastAsia="ja-JP"/>
          </w:rPr>
          <w:t xml:space="preserve"> </w:t>
        </w:r>
        <w:r w:rsidRPr="00CA61A6">
          <w:rPr>
            <w:rStyle w:val="Hyperlink"/>
            <w:szCs w:val="24"/>
            <w:lang w:eastAsia="ja-JP"/>
          </w:rPr>
          <w:t>44-24</w:t>
        </w:r>
      </w:hyperlink>
      <w:r w:rsidRPr="00CA61A6">
        <w:rPr>
          <w:szCs w:val="24"/>
          <w:lang w:eastAsia="ja-JP"/>
        </w:rPr>
        <w:t xml:space="preserve"> sobre las actividades del Foro Regional de Normalización</w:t>
      </w:r>
      <w:bookmarkEnd w:id="135"/>
      <w:r w:rsidR="00D73CA0" w:rsidRPr="00CA61A6">
        <w:rPr>
          <w:szCs w:val="24"/>
          <w:lang w:eastAsia="ja-JP"/>
        </w:rPr>
        <w:t>.</w:t>
      </w:r>
    </w:p>
    <w:p w:rsidR="0062564D" w:rsidRPr="00CA61A6" w:rsidRDefault="001142E0" w:rsidP="004317FC">
      <w:pPr>
        <w:pStyle w:val="Headingb"/>
        <w:tabs>
          <w:tab w:val="clear" w:pos="2268"/>
          <w:tab w:val="left" w:pos="8867"/>
        </w:tabs>
      </w:pPr>
      <w:bookmarkStart w:id="136" w:name="Item43_03"/>
      <w:bookmarkStart w:id="137" w:name="lt_pId187"/>
      <w:bookmarkEnd w:id="136"/>
      <w:r w:rsidRPr="00CA61A6">
        <w:t xml:space="preserve">Acción </w:t>
      </w:r>
      <w:r w:rsidR="0062564D" w:rsidRPr="00CA61A6">
        <w:t>43-03: TSB</w:t>
      </w:r>
      <w:bookmarkEnd w:id="137"/>
    </w:p>
    <w:p w:rsidR="0062564D" w:rsidRPr="00CA61A6" w:rsidRDefault="004612F7" w:rsidP="007B3478">
      <w:pPr>
        <w:rPr>
          <w:szCs w:val="24"/>
          <w:lang w:eastAsia="ja-JP"/>
        </w:rPr>
      </w:pPr>
      <w:bookmarkStart w:id="138" w:name="lt_pId188"/>
      <w:r w:rsidRPr="00157850">
        <w:rPr>
          <w:szCs w:val="24"/>
          <w:lang w:eastAsia="ja-JP"/>
        </w:rPr>
        <w:t>Completada</w:t>
      </w:r>
      <w:r w:rsidR="0062564D" w:rsidRPr="00CA61A6">
        <w:rPr>
          <w:szCs w:val="24"/>
          <w:lang w:eastAsia="ja-JP"/>
        </w:rPr>
        <w:t>.</w:t>
      </w:r>
      <w:bookmarkEnd w:id="138"/>
      <w:r w:rsidR="0062564D" w:rsidRPr="00CA61A6">
        <w:rPr>
          <w:szCs w:val="24"/>
          <w:lang w:eastAsia="ja-JP"/>
        </w:rPr>
        <w:t xml:space="preserve"> </w:t>
      </w:r>
      <w:bookmarkStart w:id="139" w:name="lt_pId189"/>
      <w:r w:rsidR="0062564D" w:rsidRPr="00CA61A6">
        <w:rPr>
          <w:szCs w:val="24"/>
          <w:lang w:eastAsia="ja-JP"/>
        </w:rPr>
        <w:t xml:space="preserve">En el </w:t>
      </w:r>
      <w:r w:rsidR="000749E5" w:rsidRPr="00CA61A6">
        <w:rPr>
          <w:szCs w:val="24"/>
          <w:lang w:eastAsia="ja-JP"/>
        </w:rPr>
        <w:t xml:space="preserve">Informe </w:t>
      </w:r>
      <w:r w:rsidR="0062564D" w:rsidRPr="00CA61A6">
        <w:rPr>
          <w:szCs w:val="24"/>
          <w:lang w:eastAsia="ja-JP"/>
        </w:rPr>
        <w:t>sobre actividades de la UIT presentado a la reunión de 2013 del Consejo (</w:t>
      </w:r>
      <w:hyperlink r:id="rId106" w:history="1">
        <w:r w:rsidR="0062564D" w:rsidRPr="00CA61A6">
          <w:rPr>
            <w:color w:val="0000FF"/>
            <w:szCs w:val="24"/>
            <w:u w:val="single"/>
            <w:lang w:eastAsia="ja-JP"/>
          </w:rPr>
          <w:t>C13/35</w:t>
        </w:r>
      </w:hyperlink>
      <w:r w:rsidR="0062564D" w:rsidRPr="00CA61A6">
        <w:rPr>
          <w:szCs w:val="24"/>
          <w:lang w:eastAsia="ja-JP"/>
        </w:rPr>
        <w:t xml:space="preserve">), el Director de la TSB informó sobre las </w:t>
      </w:r>
      <w:hyperlink r:id="rId107" w:history="1">
        <w:r w:rsidR="0062564D" w:rsidRPr="003D750F">
          <w:rPr>
            <w:rStyle w:val="Hyperlink"/>
          </w:rPr>
          <w:t>reuniones preparatorias regionales de la AMNT</w:t>
        </w:r>
        <w:r w:rsidR="006E0A9D" w:rsidRPr="003D750F">
          <w:rPr>
            <w:rStyle w:val="Hyperlink"/>
          </w:rPr>
          <w:noBreakHyphen/>
        </w:r>
        <w:r w:rsidR="0062564D" w:rsidRPr="003D750F">
          <w:rPr>
            <w:rStyle w:val="Hyperlink"/>
          </w:rPr>
          <w:t>12 y la CMTI-12</w:t>
        </w:r>
        <w:bookmarkEnd w:id="139"/>
      </w:hyperlink>
      <w:r w:rsidR="009F7D03" w:rsidRPr="00CA61A6">
        <w:rPr>
          <w:szCs w:val="24"/>
          <w:lang w:eastAsia="ja-JP"/>
        </w:rPr>
        <w:t>.</w:t>
      </w:r>
    </w:p>
    <w:p w:rsidR="00D8027A" w:rsidRPr="00CA61A6" w:rsidRDefault="00110CAD" w:rsidP="00D8027A">
      <w:hyperlink w:anchor="Top" w:history="1">
        <w:r w:rsidR="00D8027A" w:rsidRPr="00CA61A6">
          <w:rPr>
            <w:rStyle w:val="Hyperlink"/>
          </w:rPr>
          <w:t>» Arriba</w:t>
        </w:r>
      </w:hyperlink>
    </w:p>
    <w:p w:rsidR="0062564D" w:rsidRPr="00CA61A6" w:rsidRDefault="00935E24" w:rsidP="003B2831">
      <w:pPr>
        <w:pStyle w:val="Heading1"/>
      </w:pPr>
      <w:bookmarkStart w:id="140" w:name="_17_Resolución_44"/>
      <w:bookmarkStart w:id="141" w:name="_Toc463335768"/>
      <w:bookmarkEnd w:id="140"/>
      <w:r w:rsidRPr="00CA61A6">
        <w:t>17</w:t>
      </w:r>
      <w:r w:rsidRPr="00CA61A6">
        <w:tab/>
        <w:t xml:space="preserve">Resolución </w:t>
      </w:r>
      <w:r w:rsidR="0062564D" w:rsidRPr="00CA61A6">
        <w:t>44</w:t>
      </w:r>
      <w:r w:rsidR="003B2831" w:rsidRPr="00CA61A6">
        <w:t xml:space="preserve"> – </w:t>
      </w:r>
      <w:r w:rsidR="0062564D" w:rsidRPr="00CA61A6">
        <w:t>Reducción de la disparidad entre los países en desarrollo y desarrollados en materia de normalización</w:t>
      </w:r>
      <w:bookmarkEnd w:id="141"/>
    </w:p>
    <w:p w:rsidR="0062564D" w:rsidRPr="00CA61A6" w:rsidRDefault="0062564D" w:rsidP="002526D2">
      <w:pPr>
        <w:pStyle w:val="Headingb"/>
      </w:pPr>
      <w:r w:rsidRPr="00CA61A6">
        <w:t>Resolución 44</w:t>
      </w:r>
    </w:p>
    <w:p w:rsidR="0062564D" w:rsidRPr="00CA61A6" w:rsidRDefault="0062564D" w:rsidP="007B3478">
      <w:pPr>
        <w:pStyle w:val="Call"/>
      </w:pPr>
      <w:r w:rsidRPr="00CA61A6">
        <w:t>resuelve</w:t>
      </w:r>
    </w:p>
    <w:p w:rsidR="0062564D" w:rsidRPr="00CA61A6" w:rsidRDefault="0062564D" w:rsidP="007B3478">
      <w:pPr>
        <w:keepNext/>
        <w:keepLines/>
        <w:rPr>
          <w:lang w:eastAsia="ja-JP"/>
        </w:rPr>
      </w:pPr>
      <w:r w:rsidRPr="00CA61A6">
        <w:t>1</w:t>
      </w:r>
      <w:r w:rsidRPr="00CA61A6">
        <w:tab/>
        <w:t xml:space="preserve">que el plan de acción anexo a la presente </w:t>
      </w:r>
      <w:r w:rsidRPr="00CA61A6">
        <w:rPr>
          <w:lang w:eastAsia="ja-JP"/>
        </w:rPr>
        <w:t>Resolución, cuyo objetivo es reducir la brecha de normalización entre países desarrollados y en desarrollo,</w:t>
      </w:r>
      <w:r w:rsidRPr="00CA61A6">
        <w:t xml:space="preserve"> se siga aplicando y revisando anualmente para tener en cuenta las necesidades de los países en desarrollo</w:t>
      </w:r>
      <w:r w:rsidRPr="00CA61A6">
        <w:rPr>
          <w:lang w:eastAsia="ja-JP"/>
        </w:rPr>
        <w:t>;</w:t>
      </w:r>
    </w:p>
    <w:p w:rsidR="0062564D" w:rsidRPr="00CA61A6" w:rsidRDefault="0062564D" w:rsidP="007B3478">
      <w:pPr>
        <w:rPr>
          <w:lang w:eastAsia="ja-JP"/>
        </w:rPr>
      </w:pPr>
      <w:r w:rsidRPr="00CA61A6">
        <w:rPr>
          <w:lang w:eastAsia="ja-JP"/>
        </w:rPr>
        <w:t>2</w:t>
      </w:r>
      <w:r w:rsidRPr="00CA61A6">
        <w:rPr>
          <w:lang w:eastAsia="ja-JP"/>
        </w:rPr>
        <w:tab/>
        <w:t>que el UIT-T desarrolle, en colaboración, si procede, con los demás Sectores, un programa para:</w:t>
      </w:r>
    </w:p>
    <w:p w:rsidR="0062564D" w:rsidRPr="00CA61A6" w:rsidRDefault="0062564D" w:rsidP="007B3478">
      <w:pPr>
        <w:pStyle w:val="enumlev1"/>
        <w:rPr>
          <w:lang w:eastAsia="ja-JP"/>
        </w:rPr>
      </w:pPr>
      <w:r w:rsidRPr="00CA61A6">
        <w:rPr>
          <w:lang w:eastAsia="ja-JP"/>
        </w:rPr>
        <w:t>i)</w:t>
      </w:r>
      <w:r w:rsidRPr="00CA61A6">
        <w:rPr>
          <w:lang w:eastAsia="ja-JP"/>
        </w:rPr>
        <w:tab/>
        <w:t>ayudar a los países en desarrollo a elaborar métodos que faciliten el proceso de vinculación de las innovaciones al proceso de normalización;</w:t>
      </w:r>
    </w:p>
    <w:p w:rsidR="0062564D" w:rsidRPr="00CA61A6" w:rsidRDefault="0062564D" w:rsidP="007B3478">
      <w:pPr>
        <w:pStyle w:val="enumlev1"/>
        <w:rPr>
          <w:lang w:eastAsia="ja-JP"/>
        </w:rPr>
      </w:pPr>
      <w:r w:rsidRPr="00CA61A6">
        <w:rPr>
          <w:lang w:eastAsia="ja-JP"/>
        </w:rPr>
        <w:t>ii)</w:t>
      </w:r>
      <w:r w:rsidRPr="00CA61A6">
        <w:rPr>
          <w:lang w:eastAsia="ja-JP"/>
        </w:rPr>
        <w:tab/>
        <w:t>ayudar a los países en desarrollo a dotarse de mecanismos para armonizar sus estrategias nacionales industriales y en materia de innovación a fin de que su influencia en sus ecosistemas socioeconómicos sea lo mayor posible;</w:t>
      </w:r>
    </w:p>
    <w:p w:rsidR="0062564D" w:rsidRPr="00CA61A6" w:rsidRDefault="0062564D" w:rsidP="007B3478">
      <w:r w:rsidRPr="00CA61A6">
        <w:t>3</w:t>
      </w:r>
      <w:r w:rsidRPr="00CA61A6">
        <w:tab/>
        <w:t>solicitar al Director de la TSB que intensifique la cooperación y la coordinación con las organizaciones regionales correspondientes, en particular con las de los países en desarrollo;</w:t>
      </w:r>
    </w:p>
    <w:p w:rsidR="0062564D" w:rsidRPr="00CA61A6" w:rsidRDefault="0062564D" w:rsidP="007B3478">
      <w:r w:rsidRPr="00CA61A6">
        <w:t>4</w:t>
      </w:r>
      <w:r w:rsidRPr="00CA61A6">
        <w:tab/>
        <w:t>que, a reserva de la aprobación del Consejo, se ofrezca acceso gratuito en línea a los manuales, directrices y otro material de la UIT relacionados con la comprensión y la aplicación de las Recomendaciones del UIT</w:t>
      </w:r>
      <w:r w:rsidRPr="00CA61A6">
        <w:noBreakHyphen/>
        <w:t>T, especialmente en el campo de la planificación, la explotación y el mantenimiento de redes de telecomunicaciones;</w:t>
      </w:r>
    </w:p>
    <w:p w:rsidR="0062564D" w:rsidRPr="00CA61A6" w:rsidRDefault="0062564D" w:rsidP="007B3478">
      <w:r w:rsidRPr="00CA61A6">
        <w:t>5</w:t>
      </w:r>
      <w:r w:rsidRPr="00CA61A6">
        <w:tab/>
        <w:t>ayudar, con sujeción a los recursos disponibles o que se aporten por otra vía, y estudiando cada caso individualmente, a la creación coordinada de Grupos Regionales de las Comisiones de Estudio del UIT-T, y alentar la cooperación y la colaboración entre estos grupos y otras entidades regionales de normalización;</w:t>
      </w:r>
    </w:p>
    <w:p w:rsidR="0062564D" w:rsidRPr="00CA61A6" w:rsidRDefault="0062564D" w:rsidP="007B3478">
      <w:r w:rsidRPr="00CA61A6">
        <w:t>6</w:t>
      </w:r>
      <w:r w:rsidRPr="00CA61A6">
        <w:tab/>
        <w:t>que se mantenga en el presupuesto anual de la Unión una partida de gastos separada para las actividades relativas a la reducción de la brecha de normalización y, además, sigan alentando las contribuciones voluntarias;</w:t>
      </w:r>
    </w:p>
    <w:p w:rsidR="0062564D" w:rsidRPr="00CA61A6" w:rsidRDefault="0062564D" w:rsidP="007B3478">
      <w:r w:rsidRPr="00CA61A6">
        <w:t>7</w:t>
      </w:r>
      <w:r w:rsidRPr="00CA61A6">
        <w:tab/>
        <w:t>que todos los Presidentes y Vicepresidentes de países en desarrollo nombrados para puestos directivos en el GANT y las Comisiones de Estudio del UIT-T tengan, entre otras, las siguientes responsabilidades:</w:t>
      </w:r>
    </w:p>
    <w:p w:rsidR="0062564D" w:rsidRPr="00CA61A6" w:rsidRDefault="0062564D" w:rsidP="007B3478">
      <w:pPr>
        <w:pStyle w:val="enumlev1"/>
      </w:pPr>
      <w:r w:rsidRPr="00CA61A6">
        <w:lastRenderedPageBreak/>
        <w:t>i)</w:t>
      </w:r>
      <w:r w:rsidRPr="00CA61A6">
        <w:tab/>
        <w:t xml:space="preserve">colaborar estrechamente con los </w:t>
      </w:r>
      <w:r w:rsidR="000856D6" w:rsidRPr="00CA61A6">
        <w:t xml:space="preserve">Miembros </w:t>
      </w:r>
      <w:r w:rsidRPr="00CA61A6">
        <w:t>de la UIT en la región a fin de movilizarlos a participar en las actividades de normalización de la UIT para que contribuyan a reducir la brecha de normalización;</w:t>
      </w:r>
    </w:p>
    <w:p w:rsidR="0062564D" w:rsidRPr="00CA61A6" w:rsidRDefault="0062564D" w:rsidP="007B3478">
      <w:pPr>
        <w:pStyle w:val="enumlev1"/>
      </w:pPr>
      <w:r w:rsidRPr="00CA61A6">
        <w:t>ii)</w:t>
      </w:r>
      <w:r w:rsidRPr="00CA61A6">
        <w:tab/>
        <w:t>elaborar informes sobre movilización y participación para el órgano de la UIT dedicado a esa región;</w:t>
      </w:r>
    </w:p>
    <w:p w:rsidR="0062564D" w:rsidRPr="00CA61A6" w:rsidRDefault="0062564D" w:rsidP="007B3478">
      <w:pPr>
        <w:pStyle w:val="enumlev1"/>
      </w:pPr>
      <w:r w:rsidRPr="00CA61A6">
        <w:t>iii)</w:t>
      </w:r>
      <w:r w:rsidRPr="00CA61A6">
        <w:tab/>
        <w:t>preparar un programa de movilización para las regiones que representen y presentarlo a la primera reunión del GANT o de una Comisión de Estudio y transmitir un informe al GANT,</w:t>
      </w:r>
    </w:p>
    <w:p w:rsidR="0062564D" w:rsidRPr="00CA61A6" w:rsidRDefault="0062564D" w:rsidP="007B3478">
      <w:pPr>
        <w:pStyle w:val="Call"/>
      </w:pPr>
      <w:r w:rsidRPr="00CA61A6">
        <w:t>resuelve además que las Oficinas Regionales de la UIT</w:t>
      </w:r>
    </w:p>
    <w:p w:rsidR="0062564D" w:rsidRPr="00CA61A6" w:rsidRDefault="0062564D" w:rsidP="007B3478">
      <w:pPr>
        <w:keepNext/>
        <w:keepLines/>
      </w:pPr>
      <w:r w:rsidRPr="00CA61A6">
        <w:t>1</w:t>
      </w:r>
      <w:r w:rsidRPr="00CA61A6">
        <w:tab/>
        <w:t>participen en las actividades de la TSB con el fin de promover y coordinar las actividades de normalización en sus regiones en pro de la aplicación de las partes pertinentes de la presente Resolución y cumplir con los objetivos del plan de acción, así como para poner en marcha campañas destinadas a fomentar la afiliación al UIT</w:t>
      </w:r>
      <w:r w:rsidRPr="00CA61A6">
        <w:noBreakHyphen/>
        <w:t xml:space="preserve">T de nuevos Miembros del Sector, Asociados e instituciones académicas de países en desarrollo; </w:t>
      </w:r>
    </w:p>
    <w:p w:rsidR="0062564D" w:rsidRPr="00CA61A6" w:rsidRDefault="0062564D" w:rsidP="007B3478">
      <w:r w:rsidRPr="00CA61A6">
        <w:t>2</w:t>
      </w:r>
      <w:r w:rsidRPr="00CA61A6">
        <w:tab/>
        <w:t>presten asistencia a los Vicepresidentes, con sujeción al presupuesto de cada Oficina, para movilizar a los Miembros en sus respectivas regiones con el fin de aumentar la participación en los trabajos de normalización;</w:t>
      </w:r>
    </w:p>
    <w:p w:rsidR="0062564D" w:rsidRPr="00CA61A6" w:rsidRDefault="0062564D" w:rsidP="007B3478">
      <w:r w:rsidRPr="00CA61A6">
        <w:t>3</w:t>
      </w:r>
      <w:r w:rsidRPr="00CA61A6">
        <w:tab/>
        <w:t>organicen y coordinen las actividades de los Grupos Regionales de las Comisiones de Estudio del UIT-T;</w:t>
      </w:r>
    </w:p>
    <w:p w:rsidR="0062564D" w:rsidRPr="00CA61A6" w:rsidRDefault="0062564D" w:rsidP="007B3478">
      <w:r w:rsidRPr="00CA61A6">
        <w:t>4</w:t>
      </w:r>
      <w:r w:rsidRPr="00CA61A6">
        <w:tab/>
        <w:t>presten la asistencia necesaria a los Grupos Regionales de las Comisiones de Estudio del UIT-T;</w:t>
      </w:r>
    </w:p>
    <w:p w:rsidR="0062564D" w:rsidRPr="00CA61A6" w:rsidRDefault="0062564D" w:rsidP="007B3478">
      <w:r w:rsidRPr="00CA61A6">
        <w:t>5</w:t>
      </w:r>
      <w:r w:rsidRPr="00CA61A6">
        <w:tab/>
        <w:t>presten asistencia a las organizaciones regionales de telecomunicaciones en el establecimiento y gestión de los organismos de normalización regionales,</w:t>
      </w:r>
    </w:p>
    <w:p w:rsidR="0062564D" w:rsidRPr="00CA61A6" w:rsidRDefault="0062564D" w:rsidP="007B3478">
      <w:pPr>
        <w:pStyle w:val="Call"/>
        <w:rPr>
          <w:lang w:eastAsia="ja-JP"/>
        </w:rPr>
      </w:pPr>
      <w:r w:rsidRPr="00CA61A6">
        <w:rPr>
          <w:lang w:eastAsia="ja-JP"/>
        </w:rPr>
        <w:t>invita al Consejo</w:t>
      </w:r>
    </w:p>
    <w:p w:rsidR="0062564D" w:rsidRPr="00CA61A6" w:rsidRDefault="0062564D" w:rsidP="007B3478">
      <w:pPr>
        <w:rPr>
          <w:lang w:eastAsia="ja-JP"/>
        </w:rPr>
      </w:pPr>
      <w:r w:rsidRPr="00CA61A6">
        <w:rPr>
          <w:lang w:eastAsia="ja-JP"/>
        </w:rPr>
        <w:t>1</w:t>
      </w:r>
      <w:r w:rsidRPr="00CA61A6">
        <w:rPr>
          <w:lang w:eastAsia="ja-JP"/>
        </w:rPr>
        <w:tab/>
        <w:t>a que aumente los créditos presupuestarios del UIT-T para becas, interpretación y traducción de documentos para reuniones del GANT, de las Comisiones de Estudio del UIT-T y de los Grupos Regionales de las Comisiones de Estudio del UIT-T;</w:t>
      </w:r>
    </w:p>
    <w:p w:rsidR="0062564D" w:rsidRPr="00CA61A6" w:rsidRDefault="0062564D" w:rsidP="007B3478">
      <w:pPr>
        <w:rPr>
          <w:lang w:eastAsia="ja-JP"/>
        </w:rPr>
      </w:pPr>
      <w:r w:rsidRPr="00CA61A6">
        <w:rPr>
          <w:lang w:eastAsia="ja-JP"/>
        </w:rPr>
        <w:t>2</w:t>
      </w:r>
      <w:r w:rsidRPr="00CA61A6">
        <w:rPr>
          <w:lang w:eastAsia="ja-JP"/>
        </w:rPr>
        <w:tab/>
        <w:t>a que fomente la creación, en el marco del UIT-T, de un grupo especializado para fomentar la innovación en TIC con el objetivo de aumentar la colaboración mundial a fin de reducir la brecha de normalización entre países desarrollados y en desarrollo, así como para identificar y ayudar a las innovaciones procedentes de países en desarrollo;</w:t>
      </w:r>
    </w:p>
    <w:p w:rsidR="0062564D" w:rsidRPr="00CA61A6" w:rsidRDefault="0062564D" w:rsidP="007B3478">
      <w:pPr>
        <w:rPr>
          <w:lang w:eastAsia="ja-JP"/>
        </w:rPr>
      </w:pPr>
      <w:r w:rsidRPr="00CA61A6">
        <w:rPr>
          <w:lang w:eastAsia="ja-JP"/>
        </w:rPr>
        <w:t>3</w:t>
      </w:r>
      <w:r w:rsidRPr="00CA61A6">
        <w:rPr>
          <w:lang w:eastAsia="ja-JP"/>
        </w:rPr>
        <w:tab/>
        <w:t>a que informe, según proceda, sobre esta cuestión a la Conferencia de Plenipotenciarios de 2014;</w:t>
      </w:r>
    </w:p>
    <w:p w:rsidR="0062564D" w:rsidRPr="00CA61A6" w:rsidRDefault="0062564D" w:rsidP="007B3478">
      <w:pPr>
        <w:rPr>
          <w:lang w:eastAsia="ja-JP"/>
        </w:rPr>
      </w:pPr>
      <w:r w:rsidRPr="00CA61A6">
        <w:rPr>
          <w:lang w:eastAsia="ja-JP"/>
        </w:rPr>
        <w:t>4</w:t>
      </w:r>
      <w:r w:rsidRPr="00CA61A6">
        <w:rPr>
          <w:lang w:eastAsia="ja-JP"/>
        </w:rPr>
        <w:tab/>
        <w:t xml:space="preserve">a que asesore a la Conferencia de Plenipotenciarios de 2014 sobre la aplicación del </w:t>
      </w:r>
      <w:r w:rsidRPr="00CA61A6">
        <w:rPr>
          <w:i/>
          <w:iCs/>
          <w:lang w:eastAsia="ja-JP"/>
        </w:rPr>
        <w:t>invita al Consejo</w:t>
      </w:r>
      <w:r w:rsidRPr="00CA61A6">
        <w:rPr>
          <w:lang w:eastAsia="ja-JP"/>
        </w:rPr>
        <w:t>,</w:t>
      </w:r>
    </w:p>
    <w:p w:rsidR="0062564D" w:rsidRPr="00CA61A6" w:rsidRDefault="0062564D" w:rsidP="007B3478">
      <w:pPr>
        <w:pStyle w:val="Call"/>
      </w:pPr>
      <w:r w:rsidRPr="00CA61A6">
        <w:rPr>
          <w:lang w:eastAsia="ja-JP"/>
        </w:rPr>
        <w:t xml:space="preserve">encarga al Director de la </w:t>
      </w:r>
      <w:r w:rsidRPr="00CA61A6">
        <w:t>Oficina de Normalización de las Telecomunicaciones, en colaboración con los Directores de la Oficina de Desarrollo de las Telecomunicaciones y la Oficina de Radiocomunicaciones, con sujeción a los recursos disponibles,</w:t>
      </w:r>
    </w:p>
    <w:p w:rsidR="0062564D" w:rsidRPr="00CA61A6" w:rsidRDefault="0062564D" w:rsidP="007B3478">
      <w:pPr>
        <w:rPr>
          <w:lang w:eastAsia="ja-JP"/>
        </w:rPr>
      </w:pPr>
      <w:r w:rsidRPr="00CA61A6">
        <w:t>1</w:t>
      </w:r>
      <w:r w:rsidRPr="00CA61A6">
        <w:tab/>
        <w:t xml:space="preserve">que siga aplicando los objetivos del plan de acción anexo a la presente </w:t>
      </w:r>
      <w:r w:rsidRPr="00CA61A6">
        <w:rPr>
          <w:lang w:eastAsia="ja-JP"/>
        </w:rPr>
        <w:t>Resolución;</w:t>
      </w:r>
    </w:p>
    <w:p w:rsidR="0062564D" w:rsidRPr="00CA61A6" w:rsidRDefault="0062564D" w:rsidP="007B3478">
      <w:pPr>
        <w:rPr>
          <w:lang w:eastAsia="ja-JP"/>
        </w:rPr>
      </w:pPr>
      <w:r w:rsidRPr="00CA61A6">
        <w:rPr>
          <w:lang w:eastAsia="ja-JP"/>
        </w:rPr>
        <w:t>2</w:t>
      </w:r>
      <w:r w:rsidRPr="00CA61A6">
        <w:rPr>
          <w:lang w:eastAsia="ja-JP"/>
        </w:rPr>
        <w:tab/>
        <w:t>que preste asistencia a los países en desarrollo en sus estudios, especialmente los relativos a sus cuestiones prioritarias, y en la preparación y aplicación de Recomendaciones del UIT</w:t>
      </w:r>
      <w:r w:rsidRPr="00CA61A6">
        <w:rPr>
          <w:lang w:eastAsia="ja-JP"/>
        </w:rPr>
        <w:noBreakHyphen/>
        <w:t>T;</w:t>
      </w:r>
    </w:p>
    <w:p w:rsidR="0062564D" w:rsidRPr="00CA61A6" w:rsidRDefault="0062564D" w:rsidP="007B3478">
      <w:pPr>
        <w:rPr>
          <w:lang w:eastAsia="ja-JP"/>
        </w:rPr>
      </w:pPr>
      <w:r w:rsidRPr="00CA61A6">
        <w:rPr>
          <w:lang w:eastAsia="ja-JP"/>
        </w:rPr>
        <w:lastRenderedPageBreak/>
        <w:t>3</w:t>
      </w:r>
      <w:r w:rsidRPr="00CA61A6">
        <w:rPr>
          <w:lang w:eastAsia="ja-JP"/>
        </w:rPr>
        <w:tab/>
        <w:t>que prosiga con las actividades del grupo de aplicación establecido en el seno de la TSB para organizar, movilizar recursos, coordinar esfuerzos y supervisar los trabajos relacionados con la presente Resolución y su plan de acción;</w:t>
      </w:r>
    </w:p>
    <w:p w:rsidR="0062564D" w:rsidRPr="00CA61A6" w:rsidRDefault="0062564D" w:rsidP="007B3478">
      <w:pPr>
        <w:rPr>
          <w:lang w:eastAsia="ja-JP"/>
        </w:rPr>
      </w:pPr>
      <w:r w:rsidRPr="00CA61A6">
        <w:rPr>
          <w:lang w:eastAsia="ja-JP"/>
        </w:rPr>
        <w:t>4</w:t>
      </w:r>
      <w:r w:rsidRPr="00CA61A6">
        <w:rPr>
          <w:lang w:eastAsia="ja-JP"/>
        </w:rPr>
        <w:tab/>
        <w:t>que tome las medidas necesarias para cada nueva Recomendación que se haya de aplicar, y examine la necesidad de preparar directrices sobre su aplicación;</w:t>
      </w:r>
    </w:p>
    <w:p w:rsidR="0062564D" w:rsidRPr="00CA61A6" w:rsidRDefault="0062564D" w:rsidP="007B3478">
      <w:r w:rsidRPr="00CA61A6">
        <w:rPr>
          <w:lang w:eastAsia="ja-JP"/>
        </w:rPr>
        <w:t>5</w:t>
      </w:r>
      <w:r w:rsidRPr="00CA61A6">
        <w:rPr>
          <w:lang w:eastAsia="ja-JP"/>
        </w:rPr>
        <w:tab/>
      </w:r>
      <w:r w:rsidRPr="00CA61A6">
        <w:t>que organice la preparación de un conjunto de directrices sobre la aplicación a escala nacional de las Recomendaciones de la UIT, habida cuenta de lo dispuesto en la Resolución 168 (Rev. Guadalajara, 2010) de la Conferencia de Plenipotenciarios;</w:t>
      </w:r>
    </w:p>
    <w:p w:rsidR="0062564D" w:rsidRPr="00CA61A6" w:rsidRDefault="0062564D" w:rsidP="007B3478">
      <w:r w:rsidRPr="00CA61A6">
        <w:t>6</w:t>
      </w:r>
      <w:r w:rsidRPr="00CA61A6">
        <w:tab/>
        <w:t>que ofrezca la ayuda necesaria para la movilización regional en el ámbito de la normalización;</w:t>
      </w:r>
    </w:p>
    <w:p w:rsidR="0062564D" w:rsidRPr="00CA61A6" w:rsidRDefault="0062564D" w:rsidP="007B3478">
      <w:r w:rsidRPr="00CA61A6">
        <w:t>7</w:t>
      </w:r>
      <w:r w:rsidRPr="00CA61A6">
        <w:tab/>
        <w:t>que realice los estudios necesarios sobre el papel de la gestión de la innovación y de los programas de fomento de la innovación en la reducción de la brecha de normalización entre los países en desarrollo y los desarrollados;</w:t>
      </w:r>
    </w:p>
    <w:p w:rsidR="0062564D" w:rsidRPr="00CA61A6" w:rsidRDefault="0062564D" w:rsidP="007B3478">
      <w:r w:rsidRPr="00CA61A6">
        <w:t>8</w:t>
      </w:r>
      <w:r w:rsidRPr="00CA61A6">
        <w:tab/>
        <w:t>que en la propuesta de presupuesto de la TSB destinada al Consejo de la UIT incluya fondos para la aplicación de la presente Resolución, habida cuenta de las limitaciones financieras y las actividades presentes y previstas de la BDT;</w:t>
      </w:r>
    </w:p>
    <w:p w:rsidR="0062564D" w:rsidRPr="00CA61A6" w:rsidRDefault="0062564D" w:rsidP="007B3478">
      <w:pPr>
        <w:rPr>
          <w:lang w:eastAsia="ja-JP"/>
        </w:rPr>
      </w:pPr>
      <w:r w:rsidRPr="00CA61A6">
        <w:rPr>
          <w:lang w:eastAsia="ja-JP"/>
        </w:rPr>
        <w:t>9</w:t>
      </w:r>
      <w:r w:rsidRPr="00CA61A6">
        <w:rPr>
          <w:lang w:eastAsia="ja-JP"/>
        </w:rPr>
        <w:tab/>
        <w:t xml:space="preserve">que ayude a institucionalizar el mandato especificado en el </w:t>
      </w:r>
      <w:r w:rsidRPr="00CA61A6">
        <w:rPr>
          <w:i/>
          <w:iCs/>
          <w:lang w:eastAsia="ja-JP"/>
        </w:rPr>
        <w:t xml:space="preserve">resuelve </w:t>
      </w:r>
      <w:r w:rsidRPr="00CA61A6">
        <w:rPr>
          <w:lang w:eastAsia="ja-JP"/>
        </w:rPr>
        <w:t>7 en los trabajos del GANT y de las Comisiones de Estudio del UIT</w:t>
      </w:r>
      <w:r w:rsidRPr="00CA61A6">
        <w:rPr>
          <w:lang w:eastAsia="ja-JP"/>
        </w:rPr>
        <w:noBreakHyphen/>
        <w:t>T, para asegurarse de que los candidatos a Vicepresidentes conozcan las responsabilidades que les incumben antes de su nombramiento;</w:t>
      </w:r>
    </w:p>
    <w:p w:rsidR="0062564D" w:rsidRPr="00CA61A6" w:rsidRDefault="0062564D" w:rsidP="007B3478">
      <w:pPr>
        <w:rPr>
          <w:lang w:eastAsia="ja-JP"/>
        </w:rPr>
      </w:pPr>
      <w:r w:rsidRPr="00CA61A6">
        <w:rPr>
          <w:lang w:eastAsia="ja-JP"/>
        </w:rPr>
        <w:t>10</w:t>
      </w:r>
      <w:r w:rsidRPr="00CA61A6">
        <w:rPr>
          <w:lang w:eastAsia="ja-JP"/>
        </w:rPr>
        <w:tab/>
        <w:t>que informe sobre la aplicación de este plan a las futuras Asambleas Mundiales de Normalización de las Telecomunicaciones y Conferencias de Plenipotenciarios, con miras a examinar la presente Resolución e introducir las enmiendas necesarias en función de los resultados de su aplicación y de los ajustes presupuestarios necesarios para la aplicación de la presente Resolución;</w:t>
      </w:r>
    </w:p>
    <w:p w:rsidR="0062564D" w:rsidRPr="00CA61A6" w:rsidRDefault="0062564D" w:rsidP="007B3478">
      <w:pPr>
        <w:rPr>
          <w:lang w:eastAsia="ja-JP"/>
        </w:rPr>
      </w:pPr>
      <w:r w:rsidRPr="00CA61A6">
        <w:rPr>
          <w:lang w:eastAsia="ja-JP"/>
        </w:rPr>
        <w:t>11</w:t>
      </w:r>
      <w:r w:rsidRPr="00CA61A6">
        <w:rPr>
          <w:lang w:eastAsia="ja-JP"/>
        </w:rPr>
        <w:tab/>
        <w:t>que preste asistencia, cuando se le solicite, a los países en desarrollo para preparar directrices destinadas a entidades nacionales del país solicitante, con el fin de mejorar su participación en las Comisiones de Estudio del UIT-T, con la asistencia de las Oficinas Regionales de la UIT, para reducir la brecha de normalización;</w:t>
      </w:r>
    </w:p>
    <w:p w:rsidR="0062564D" w:rsidRPr="00CA61A6" w:rsidRDefault="0062564D" w:rsidP="007B3478">
      <w:pPr>
        <w:rPr>
          <w:lang w:eastAsia="ja-JP"/>
        </w:rPr>
      </w:pPr>
      <w:r w:rsidRPr="00CA61A6">
        <w:rPr>
          <w:lang w:eastAsia="ja-JP"/>
        </w:rPr>
        <w:t>12</w:t>
      </w:r>
      <w:r w:rsidRPr="00CA61A6">
        <w:rPr>
          <w:lang w:eastAsia="ja-JP"/>
        </w:rPr>
        <w:tab/>
        <w:t>que aumente la utilización de medios electrónicos, tales como seminarios web o ciberenseñanza para la educación y formación sobre la aplicación de Recomendaciones UIT-T:</w:t>
      </w:r>
    </w:p>
    <w:p w:rsidR="0062564D" w:rsidRPr="00CA61A6" w:rsidRDefault="0062564D" w:rsidP="007B3478">
      <w:r w:rsidRPr="00CA61A6">
        <w:t>13</w:t>
      </w:r>
      <w:r w:rsidRPr="00CA61A6">
        <w:tab/>
        <w:t>que aporte todo el apoyo necesario para la creación y el buen funcionamiento de los Grupos Regionales;</w:t>
      </w:r>
    </w:p>
    <w:p w:rsidR="0062564D" w:rsidRPr="00CA61A6" w:rsidRDefault="0062564D" w:rsidP="007B3478">
      <w:r w:rsidRPr="00CA61A6">
        <w:t>14</w:t>
      </w:r>
      <w:r w:rsidRPr="00CA61A6">
        <w:tab/>
        <w:t>que adopte todas las medidas necesarias para facilitar la organización de reuniones y de talleres de los Grupos Regionales;</w:t>
      </w:r>
    </w:p>
    <w:p w:rsidR="0062564D" w:rsidRPr="00CA61A6" w:rsidRDefault="0062564D" w:rsidP="007B3478">
      <w:r w:rsidRPr="00CA61A6">
        <w:t>15</w:t>
      </w:r>
      <w:r w:rsidRPr="00CA61A6">
        <w:tab/>
        <w:t>que informe al Consejo de la UIT sobre la eficacia de los Grupos Regionales;</w:t>
      </w:r>
    </w:p>
    <w:p w:rsidR="0062564D" w:rsidRPr="00CA61A6" w:rsidRDefault="0062564D" w:rsidP="007B3478">
      <w:r w:rsidRPr="00CA61A6">
        <w:t>16</w:t>
      </w:r>
      <w:r w:rsidRPr="00CA61A6">
        <w:tab/>
        <w:t>que organice los talleres y seminarios que estime conveniente para divulgar información y aumentar la comprensión de las nuevas Recomendaciones, en particular para países en desarrollo,</w:t>
      </w:r>
    </w:p>
    <w:p w:rsidR="0062564D" w:rsidRPr="00CA61A6" w:rsidRDefault="0062564D" w:rsidP="007B3478">
      <w:pPr>
        <w:pStyle w:val="Call"/>
      </w:pPr>
      <w:r w:rsidRPr="00CA61A6">
        <w:t>encarga a las Comisiones de Estudio del UIT-T y al Grupo Asesor de Normalización de las Telecomunicaciones</w:t>
      </w:r>
    </w:p>
    <w:p w:rsidR="0062564D" w:rsidRPr="00CA61A6" w:rsidRDefault="0062564D" w:rsidP="007B3478">
      <w:pPr>
        <w:keepNext/>
        <w:keepLines/>
      </w:pPr>
      <w:r w:rsidRPr="00CA61A6">
        <w:t>1</w:t>
      </w:r>
      <w:r w:rsidRPr="00CA61A6">
        <w:tab/>
        <w:t>que participen activamente en la aplicación de los programas del plan de acción anexo a esta Resolución;</w:t>
      </w:r>
    </w:p>
    <w:p w:rsidR="0062564D" w:rsidRPr="00CA61A6" w:rsidRDefault="0062564D" w:rsidP="007B3478">
      <w:pPr>
        <w:rPr>
          <w:lang w:eastAsia="ja-JP"/>
        </w:rPr>
      </w:pPr>
      <w:r w:rsidRPr="00CA61A6">
        <w:rPr>
          <w:lang w:eastAsia="ja-JP"/>
        </w:rPr>
        <w:t>2</w:t>
      </w:r>
      <w:r w:rsidRPr="00CA61A6">
        <w:rPr>
          <w:lang w:eastAsia="ja-JP"/>
        </w:rPr>
        <w:tab/>
        <w:t>que coordinen las reuniones conjuntas de los Grupos Regionales de las Comisiones de Estudio del UIT-T,</w:t>
      </w:r>
    </w:p>
    <w:p w:rsidR="0062564D" w:rsidRPr="00CA61A6" w:rsidRDefault="0062564D" w:rsidP="007B3478">
      <w:pPr>
        <w:pStyle w:val="Call"/>
      </w:pPr>
      <w:r w:rsidRPr="00CA61A6">
        <w:lastRenderedPageBreak/>
        <w:t>encarga además a las Comisiones de Estudio</w:t>
      </w:r>
    </w:p>
    <w:p w:rsidR="0062564D" w:rsidRPr="00CA61A6" w:rsidRDefault="0062564D" w:rsidP="007B3478">
      <w:pPr>
        <w:rPr>
          <w:lang w:eastAsia="ja-JP"/>
        </w:rPr>
      </w:pPr>
      <w:r w:rsidRPr="00CA61A6">
        <w:rPr>
          <w:lang w:eastAsia="ja-JP"/>
        </w:rPr>
        <w:t>1</w:t>
      </w:r>
      <w:r w:rsidRPr="00CA61A6">
        <w:rPr>
          <w:lang w:eastAsia="ja-JP"/>
        </w:rPr>
        <w:tab/>
      </w:r>
      <w:r w:rsidRPr="00CA61A6">
        <w:t>que tengan en cuenta las características específicas del entorno de telecomunicaciones de los países en desarrollo en el proceso de elaboración de normas sobre temas de planificación, servicios, sistemas, explotación, tarificación y mantenimiento, y que, en la medida de lo posible, proporcionen soluciones/opciones pertinentes a los países en desarrollo;</w:t>
      </w:r>
    </w:p>
    <w:p w:rsidR="0062564D" w:rsidRPr="00CA61A6" w:rsidRDefault="0062564D" w:rsidP="007B3478">
      <w:r w:rsidRPr="00CA61A6">
        <w:rPr>
          <w:lang w:eastAsia="ja-JP"/>
        </w:rPr>
        <w:t>2</w:t>
      </w:r>
      <w:r w:rsidRPr="00CA61A6">
        <w:rPr>
          <w:lang w:eastAsia="ja-JP"/>
        </w:rPr>
        <w:tab/>
      </w:r>
      <w:r w:rsidRPr="00CA61A6">
        <w:t>que adopten las medidas apropiadas para que se estudien las cuestiones relacionadas con la normalización que determinen las Conferencias Mundiales de Desarrollo de las Telecomunicaciones;</w:t>
      </w:r>
    </w:p>
    <w:p w:rsidR="0062564D" w:rsidRPr="00CA61A6" w:rsidRDefault="0062564D" w:rsidP="007B3478">
      <w:r w:rsidRPr="00CA61A6">
        <w:rPr>
          <w:lang w:eastAsia="ja-JP"/>
        </w:rPr>
        <w:t>3</w:t>
      </w:r>
      <w:r w:rsidRPr="00CA61A6">
        <w:rPr>
          <w:lang w:eastAsia="ja-JP"/>
        </w:rPr>
        <w:tab/>
      </w:r>
      <w:r w:rsidRPr="00CA61A6">
        <w:t>que sigan entablando relaciones de coordinación con las Comisiones de Estudio del Sector de Desarrollo de las Telecomunicaciones de la UIT, en los casos en que así se estime oportuno, a la hora de preparar Recomendaciones del UIT</w:t>
      </w:r>
      <w:r w:rsidRPr="00CA61A6">
        <w:noBreakHyphen/>
        <w:t>T nuevas o revisadas sobre las necesidades y los requisitos de los países en desarrollo, y de este modo suscitar mayor interés y ampliar la aplicabilidad de las Recomendaciones en dichos países,</w:t>
      </w:r>
    </w:p>
    <w:p w:rsidR="0062564D" w:rsidRPr="00CA61A6" w:rsidRDefault="0062564D" w:rsidP="007B3478">
      <w:pPr>
        <w:pStyle w:val="Call"/>
        <w:rPr>
          <w:lang w:eastAsia="ja-JP"/>
        </w:rPr>
      </w:pPr>
      <w:r w:rsidRPr="00CA61A6">
        <w:rPr>
          <w:lang w:eastAsia="ja-JP"/>
        </w:rPr>
        <w:t xml:space="preserve">invita al Director de la </w:t>
      </w:r>
      <w:r w:rsidRPr="00CA61A6">
        <w:t>Oficina de Normalización de las Telecomunicaciones</w:t>
      </w:r>
    </w:p>
    <w:p w:rsidR="0062564D" w:rsidRPr="00CA61A6" w:rsidRDefault="0062564D" w:rsidP="007B3478">
      <w:pPr>
        <w:rPr>
          <w:lang w:eastAsia="ja-JP"/>
        </w:rPr>
      </w:pPr>
      <w:r w:rsidRPr="00CA61A6">
        <w:rPr>
          <w:lang w:eastAsia="ja-JP"/>
        </w:rPr>
        <w:t>1</w:t>
      </w:r>
      <w:r w:rsidRPr="00CA61A6">
        <w:rPr>
          <w:lang w:eastAsia="ja-JP"/>
        </w:rPr>
        <w:tab/>
        <w:t>a que trabaje en estrecha colaboración con los Directores de la BDT y de la Oficina de Radiocomunicaciones (BR) para alentar la constitución de asociaciones bajo los auspicios del UIT</w:t>
      </w:r>
      <w:r w:rsidRPr="00CA61A6">
        <w:rPr>
          <w:lang w:eastAsia="ja-JP"/>
        </w:rPr>
        <w:noBreakHyphen/>
        <w:t>T como uno de los mecanismos para financiar el plan de acción;</w:t>
      </w:r>
    </w:p>
    <w:p w:rsidR="0062564D" w:rsidRPr="00CA61A6" w:rsidRDefault="0062564D" w:rsidP="007B3478">
      <w:pPr>
        <w:rPr>
          <w:lang w:eastAsia="ja-JP"/>
        </w:rPr>
      </w:pPr>
      <w:r w:rsidRPr="00CA61A6">
        <w:rPr>
          <w:lang w:eastAsia="ja-JP"/>
        </w:rPr>
        <w:t>2</w:t>
      </w:r>
      <w:r w:rsidRPr="00CA61A6">
        <w:rPr>
          <w:lang w:eastAsia="ja-JP"/>
        </w:rPr>
        <w:tab/>
        <w:t>a que estudie la posibilidad de celebrar, cuando sea posible, talleres en paralelo a las reuniones de los Grupos Regionales del UIT-T, en coordinación y colaboración con el Director de la BDT,</w:t>
      </w:r>
    </w:p>
    <w:p w:rsidR="0062564D" w:rsidRPr="00CA61A6" w:rsidRDefault="0062564D" w:rsidP="007B3478">
      <w:pPr>
        <w:pStyle w:val="Call"/>
        <w:rPr>
          <w:lang w:eastAsia="ja-JP"/>
        </w:rPr>
      </w:pPr>
      <w:r w:rsidRPr="00CA61A6">
        <w:rPr>
          <w:lang w:eastAsia="ja-JP"/>
        </w:rPr>
        <w:t>invita a las Regiones y a sus Estados Miembros</w:t>
      </w:r>
    </w:p>
    <w:p w:rsidR="0062564D" w:rsidRPr="00CA61A6" w:rsidRDefault="0062564D" w:rsidP="007B3478">
      <w:pPr>
        <w:rPr>
          <w:lang w:eastAsia="ja-JP"/>
        </w:rPr>
      </w:pPr>
      <w:r w:rsidRPr="00CA61A6">
        <w:rPr>
          <w:lang w:eastAsia="ja-JP"/>
        </w:rPr>
        <w:t>1</w:t>
      </w:r>
      <w:r w:rsidRPr="00CA61A6">
        <w:rPr>
          <w:lang w:eastAsia="ja-JP"/>
        </w:rPr>
        <w:tab/>
        <w:t xml:space="preserve">a proseguir la creación de Grupos Regionales de las Comisiones de Estudio rectoras del UIT-T en sus regiones respectivas, de acuerdo con el </w:t>
      </w:r>
      <w:r w:rsidRPr="00CA61A6">
        <w:rPr>
          <w:i/>
          <w:iCs/>
          <w:lang w:eastAsia="ja-JP"/>
        </w:rPr>
        <w:t xml:space="preserve">resuelve </w:t>
      </w:r>
      <w:r w:rsidRPr="00CA61A6">
        <w:rPr>
          <w:lang w:eastAsia="ja-JP"/>
        </w:rPr>
        <w:t xml:space="preserve">5 de la presente Resolución y la Resolución 54 (Rev. </w:t>
      </w:r>
      <w:r w:rsidR="00792D99" w:rsidRPr="00CA61A6">
        <w:rPr>
          <w:lang w:eastAsia="ja-JP"/>
        </w:rPr>
        <w:t>Dubái</w:t>
      </w:r>
      <w:r w:rsidRPr="00CA61A6">
        <w:rPr>
          <w:lang w:eastAsia="ja-JP"/>
        </w:rPr>
        <w:t>, 2012) de esta Asamblea, y a promover sus reuniones y sus actividades, según lo estime conveniente, en coordinación con la TSB;</w:t>
      </w:r>
    </w:p>
    <w:p w:rsidR="0062564D" w:rsidRPr="00CA61A6" w:rsidRDefault="0062564D" w:rsidP="007B3478">
      <w:pPr>
        <w:rPr>
          <w:lang w:eastAsia="ja-JP"/>
        </w:rPr>
      </w:pPr>
      <w:r w:rsidRPr="00CA61A6">
        <w:rPr>
          <w:lang w:eastAsia="ja-JP"/>
        </w:rPr>
        <w:t>2</w:t>
      </w:r>
      <w:r w:rsidRPr="00CA61A6">
        <w:rPr>
          <w:lang w:eastAsia="ja-JP"/>
        </w:rPr>
        <w:tab/>
        <w:t>a participar activamente en las actividades de los Grupos Regionales del UIT-T y a apoyar a las organizaciones regionales en el establecimiento de marcos regionales para el desarrollo de actividades de normalización;</w:t>
      </w:r>
    </w:p>
    <w:p w:rsidR="0062564D" w:rsidRPr="00CA61A6" w:rsidRDefault="0062564D" w:rsidP="007B3478">
      <w:pPr>
        <w:rPr>
          <w:lang w:eastAsia="ja-JP"/>
        </w:rPr>
      </w:pPr>
      <w:r w:rsidRPr="00CA61A6">
        <w:rPr>
          <w:lang w:eastAsia="ja-JP"/>
        </w:rPr>
        <w:t>3</w:t>
      </w:r>
      <w:r w:rsidRPr="00CA61A6">
        <w:rPr>
          <w:lang w:eastAsia="ja-JP"/>
        </w:rPr>
        <w:tab/>
        <w:t>a crear organismos regionales de normalización, según estime conveniente, y a alentar la celebración de reuniones conjuntas y coordinadas con los Grupos Regionales de las Comisiones de Estudio del UIT-T en las regiones respectivas, a fin de que estos organismos de normalización puedan acoger estas reuniones de los Grupos Regionales;</w:t>
      </w:r>
    </w:p>
    <w:p w:rsidR="0062564D" w:rsidRPr="00CA61A6" w:rsidRDefault="0062564D" w:rsidP="007B3478">
      <w:pPr>
        <w:rPr>
          <w:lang w:eastAsia="ja-JP"/>
        </w:rPr>
      </w:pPr>
      <w:r w:rsidRPr="00CA61A6">
        <w:rPr>
          <w:lang w:eastAsia="ja-JP"/>
        </w:rPr>
        <w:t>4</w:t>
      </w:r>
      <w:r w:rsidRPr="00CA61A6">
        <w:rPr>
          <w:lang w:eastAsia="ja-JP"/>
        </w:rPr>
        <w:tab/>
      </w:r>
      <w:r w:rsidRPr="00CA61A6">
        <w:t>a elaborar proyectos de mandato y de métodos de trabajo para los Grupos Regionales que haya de aprobar la Comisión de Estudio rectora,</w:t>
      </w:r>
    </w:p>
    <w:p w:rsidR="0062564D" w:rsidRPr="00CA61A6" w:rsidRDefault="0062564D" w:rsidP="007B3478">
      <w:pPr>
        <w:pStyle w:val="Call"/>
      </w:pPr>
      <w:r w:rsidRPr="00CA61A6">
        <w:t>alienta a los Estados Miembros y a los Miembros del Sector</w:t>
      </w:r>
    </w:p>
    <w:p w:rsidR="0062564D" w:rsidRDefault="0062564D" w:rsidP="007B3478">
      <w:pPr>
        <w:spacing w:after="120"/>
      </w:pPr>
      <w:r w:rsidRPr="00CA61A6">
        <w:t>a tener en cuenta los objetivos establecidos en el plan de acción consignado en el Anexo a la presente Resolución a la hora de participar en el UIT</w:t>
      </w:r>
      <w:r w:rsidRPr="00CA61A6">
        <w:noBreakHyphen/>
        <w:t>T.</w:t>
      </w:r>
    </w:p>
    <w:p w:rsidR="00A15A5D" w:rsidRDefault="00A15A5D" w:rsidP="007B3478">
      <w:pPr>
        <w:spacing w:after="120"/>
      </w:pPr>
    </w:p>
    <w:p w:rsidR="00A15A5D" w:rsidRPr="00CA61A6" w:rsidRDefault="00A15A5D" w:rsidP="007B3478">
      <w:pPr>
        <w:spacing w:after="120"/>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4608"/>
        <w:gridCol w:w="1548"/>
        <w:gridCol w:w="1167"/>
        <w:gridCol w:w="1395"/>
      </w:tblGrid>
      <w:tr w:rsidR="0062564D" w:rsidRPr="00CA61A6" w:rsidTr="00F40EFF">
        <w:trPr>
          <w:cantSplit/>
          <w:tblHeader/>
          <w:jc w:val="center"/>
        </w:trPr>
        <w:tc>
          <w:tcPr>
            <w:tcW w:w="916" w:type="dxa"/>
            <w:tcBorders>
              <w:bottom w:val="double" w:sz="4" w:space="0" w:color="auto"/>
            </w:tcBorders>
            <w:shd w:val="clear" w:color="auto" w:fill="auto"/>
            <w:vAlign w:val="center"/>
          </w:tcPr>
          <w:p w:rsidR="0062564D" w:rsidRPr="00CA61A6" w:rsidRDefault="003D010C" w:rsidP="000B7056">
            <w:pPr>
              <w:pStyle w:val="Tablehead"/>
            </w:pPr>
            <w:r w:rsidRPr="00CA61A6">
              <w:lastRenderedPageBreak/>
              <w:t>Número</w:t>
            </w:r>
          </w:p>
        </w:tc>
        <w:tc>
          <w:tcPr>
            <w:tcW w:w="4608" w:type="dxa"/>
            <w:tcBorders>
              <w:bottom w:val="double" w:sz="4" w:space="0" w:color="auto"/>
            </w:tcBorders>
            <w:shd w:val="clear" w:color="auto" w:fill="auto"/>
            <w:vAlign w:val="center"/>
            <w:hideMark/>
          </w:tcPr>
          <w:p w:rsidR="0062564D" w:rsidRPr="00CA61A6" w:rsidRDefault="0062564D" w:rsidP="000B7056">
            <w:pPr>
              <w:pStyle w:val="Tablehead"/>
            </w:pPr>
            <w:r w:rsidRPr="00CA61A6">
              <w:t>Acción</w:t>
            </w:r>
          </w:p>
        </w:tc>
        <w:tc>
          <w:tcPr>
            <w:tcW w:w="1548" w:type="dxa"/>
            <w:tcBorders>
              <w:bottom w:val="double" w:sz="4" w:space="0" w:color="auto"/>
            </w:tcBorders>
            <w:shd w:val="clear" w:color="auto" w:fill="auto"/>
            <w:vAlign w:val="center"/>
            <w:hideMark/>
          </w:tcPr>
          <w:p w:rsidR="0062564D" w:rsidRPr="00CA61A6" w:rsidRDefault="0062564D" w:rsidP="000B7056">
            <w:pPr>
              <w:pStyle w:val="Tablehead"/>
            </w:pPr>
            <w:r w:rsidRPr="00CA61A6">
              <w:t>Fecha objetivo</w:t>
            </w:r>
          </w:p>
        </w:tc>
        <w:tc>
          <w:tcPr>
            <w:tcW w:w="1167" w:type="dxa"/>
            <w:tcBorders>
              <w:bottom w:val="double" w:sz="4" w:space="0" w:color="auto"/>
            </w:tcBorders>
            <w:shd w:val="clear" w:color="auto" w:fill="auto"/>
            <w:vAlign w:val="center"/>
          </w:tcPr>
          <w:p w:rsidR="0062564D" w:rsidRPr="00CA61A6" w:rsidRDefault="0062564D" w:rsidP="000B7056">
            <w:pPr>
              <w:pStyle w:val="Tablehead"/>
            </w:pPr>
            <w:r w:rsidRPr="00CA61A6">
              <w:t>Objetivos periódicos cumplidos</w:t>
            </w:r>
          </w:p>
        </w:tc>
        <w:tc>
          <w:tcPr>
            <w:tcW w:w="1395" w:type="dxa"/>
            <w:tcBorders>
              <w:bottom w:val="double" w:sz="4" w:space="0" w:color="auto"/>
            </w:tcBorders>
            <w:shd w:val="clear" w:color="auto" w:fill="auto"/>
            <w:vAlign w:val="center"/>
          </w:tcPr>
          <w:p w:rsidR="0062564D" w:rsidRPr="00CA61A6" w:rsidRDefault="0062564D" w:rsidP="000B7056">
            <w:pPr>
              <w:pStyle w:val="Tablehead"/>
            </w:pPr>
            <w:r w:rsidRPr="00CA61A6">
              <w:t>Completada</w:t>
            </w:r>
          </w:p>
        </w:tc>
      </w:tr>
      <w:tr w:rsidR="0062564D" w:rsidRPr="00CA61A6" w:rsidTr="00F40EFF">
        <w:trPr>
          <w:cantSplit/>
          <w:jc w:val="center"/>
        </w:trPr>
        <w:tc>
          <w:tcPr>
            <w:tcW w:w="916" w:type="dxa"/>
            <w:tcBorders>
              <w:top w:val="double" w:sz="4" w:space="0" w:color="auto"/>
            </w:tcBorders>
            <w:shd w:val="clear" w:color="auto" w:fill="auto"/>
            <w:vAlign w:val="center"/>
          </w:tcPr>
          <w:p w:rsidR="0062564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44_01" w:history="1">
              <w:r w:rsidR="0062564D" w:rsidRPr="00CA61A6">
                <w:rPr>
                  <w:color w:val="0000FF"/>
                  <w:sz w:val="20"/>
                  <w:u w:val="single"/>
                </w:rPr>
                <w:t>44-01</w:t>
              </w:r>
            </w:hyperlink>
          </w:p>
        </w:tc>
        <w:tc>
          <w:tcPr>
            <w:tcW w:w="4608" w:type="dxa"/>
            <w:tcBorders>
              <w:top w:val="double" w:sz="4" w:space="0" w:color="auto"/>
            </w:tcBorders>
            <w:shd w:val="clear" w:color="auto" w:fill="auto"/>
            <w:vAlign w:val="center"/>
          </w:tcPr>
          <w:p w:rsidR="0062564D" w:rsidRPr="00CA61A6" w:rsidRDefault="007C6177" w:rsidP="001F29EB">
            <w:pPr>
              <w:pStyle w:val="Tabletext"/>
            </w:pPr>
            <w:bookmarkStart w:id="142" w:name="lt_pId305"/>
            <w:r w:rsidRPr="00CA61A6">
              <w:t xml:space="preserve">La </w:t>
            </w:r>
            <w:r w:rsidR="0062564D" w:rsidRPr="00CA61A6">
              <w:t>TSB continuará aplicando el plan de acción BSG adjunto en el anexo y lo revisará anualmente</w:t>
            </w:r>
            <w:bookmarkEnd w:id="142"/>
          </w:p>
        </w:tc>
        <w:tc>
          <w:tcPr>
            <w:tcW w:w="1548" w:type="dxa"/>
            <w:tcBorders>
              <w:top w:val="double" w:sz="4" w:space="0" w:color="auto"/>
            </w:tcBorders>
            <w:shd w:val="clear" w:color="auto" w:fill="auto"/>
            <w:vAlign w:val="center"/>
          </w:tcPr>
          <w:p w:rsidR="0062564D" w:rsidRPr="00CA61A6" w:rsidRDefault="0062564D" w:rsidP="0050246A">
            <w:pPr>
              <w:pStyle w:val="Tabletext"/>
              <w:jc w:val="center"/>
            </w:pPr>
            <w:r w:rsidRPr="00CA61A6">
              <w:t>En curso</w:t>
            </w:r>
          </w:p>
        </w:tc>
        <w:tc>
          <w:tcPr>
            <w:tcW w:w="1167" w:type="dxa"/>
            <w:tcBorders>
              <w:top w:val="double" w:sz="4" w:space="0" w:color="auto"/>
            </w:tcBorders>
            <w:shd w:val="clear" w:color="auto" w:fill="auto"/>
            <w:vAlign w:val="center"/>
          </w:tcPr>
          <w:p w:rsidR="0062564D" w:rsidRPr="00CA61A6" w:rsidRDefault="00B97DBF" w:rsidP="00110FFC">
            <w:pPr>
              <w:pStyle w:val="Tabletext"/>
              <w:jc w:val="center"/>
            </w:pPr>
            <w:r w:rsidRPr="00CA61A6">
              <w:sym w:font="Wingdings" w:char="F0FC"/>
            </w:r>
          </w:p>
        </w:tc>
        <w:tc>
          <w:tcPr>
            <w:tcW w:w="1395" w:type="dxa"/>
            <w:shd w:val="clear" w:color="auto" w:fill="auto"/>
            <w:vAlign w:val="center"/>
          </w:tcPr>
          <w:p w:rsidR="0062564D" w:rsidRPr="00CA61A6" w:rsidRDefault="0062564D" w:rsidP="00110FFC">
            <w:pPr>
              <w:pStyle w:val="Tabletext"/>
              <w:jc w:val="center"/>
            </w:pPr>
          </w:p>
        </w:tc>
      </w:tr>
      <w:tr w:rsidR="0062564D" w:rsidRPr="00CA61A6" w:rsidTr="00F40EFF">
        <w:trPr>
          <w:cantSplit/>
          <w:jc w:val="center"/>
        </w:trPr>
        <w:tc>
          <w:tcPr>
            <w:tcW w:w="916" w:type="dxa"/>
            <w:shd w:val="clear" w:color="auto" w:fill="auto"/>
            <w:vAlign w:val="center"/>
          </w:tcPr>
          <w:p w:rsidR="0062564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44_02" w:history="1">
              <w:r w:rsidR="0062564D" w:rsidRPr="00CA61A6">
                <w:rPr>
                  <w:color w:val="0000FF"/>
                  <w:sz w:val="20"/>
                  <w:u w:val="single"/>
                </w:rPr>
                <w:t>44-02</w:t>
              </w:r>
            </w:hyperlink>
          </w:p>
        </w:tc>
        <w:tc>
          <w:tcPr>
            <w:tcW w:w="4608" w:type="dxa"/>
            <w:shd w:val="clear" w:color="auto" w:fill="auto"/>
            <w:vAlign w:val="center"/>
          </w:tcPr>
          <w:p w:rsidR="0062564D" w:rsidRPr="00CA61A6" w:rsidRDefault="007C6177" w:rsidP="001F29EB">
            <w:pPr>
              <w:pStyle w:val="Tabletext"/>
            </w:pPr>
            <w:bookmarkStart w:id="143" w:name="lt_pId309"/>
            <w:r w:rsidRPr="00CA61A6">
              <w:t xml:space="preserve">La </w:t>
            </w:r>
            <w:r w:rsidR="0062564D" w:rsidRPr="00CA61A6">
              <w:t>TSB seguirá desarrollando un programa para ayudar a los países en desarrollo a elaborar métodos y mecanismos para vincular las innovaciones nacionales a los procesos de normalización</w:t>
            </w:r>
            <w:bookmarkEnd w:id="143"/>
          </w:p>
        </w:tc>
        <w:tc>
          <w:tcPr>
            <w:tcW w:w="1548" w:type="dxa"/>
            <w:shd w:val="clear" w:color="auto" w:fill="auto"/>
            <w:vAlign w:val="center"/>
          </w:tcPr>
          <w:p w:rsidR="0062564D" w:rsidRPr="00CA61A6" w:rsidRDefault="0062564D" w:rsidP="0050246A">
            <w:pPr>
              <w:pStyle w:val="Tabletext"/>
              <w:jc w:val="center"/>
            </w:pPr>
            <w:r w:rsidRPr="00CA61A6">
              <w:t>En curso</w:t>
            </w:r>
          </w:p>
        </w:tc>
        <w:tc>
          <w:tcPr>
            <w:tcW w:w="1167" w:type="dxa"/>
            <w:shd w:val="clear" w:color="auto" w:fill="auto"/>
            <w:vAlign w:val="center"/>
          </w:tcPr>
          <w:p w:rsidR="0062564D" w:rsidRPr="00CA61A6" w:rsidRDefault="00B97DBF" w:rsidP="00110FFC">
            <w:pPr>
              <w:pStyle w:val="Tabletext"/>
              <w:jc w:val="center"/>
            </w:pPr>
            <w:r w:rsidRPr="00CA61A6">
              <w:sym w:font="Wingdings" w:char="F0FC"/>
            </w:r>
          </w:p>
        </w:tc>
        <w:tc>
          <w:tcPr>
            <w:tcW w:w="1395" w:type="dxa"/>
            <w:shd w:val="clear" w:color="auto" w:fill="auto"/>
            <w:vAlign w:val="center"/>
          </w:tcPr>
          <w:p w:rsidR="0062564D" w:rsidRPr="00CA61A6" w:rsidRDefault="0062564D" w:rsidP="00110FFC">
            <w:pPr>
              <w:pStyle w:val="Tabletext"/>
              <w:jc w:val="center"/>
            </w:pPr>
          </w:p>
        </w:tc>
      </w:tr>
      <w:tr w:rsidR="0062564D" w:rsidRPr="00CA61A6" w:rsidTr="00F40EFF">
        <w:trPr>
          <w:cantSplit/>
          <w:jc w:val="center"/>
        </w:trPr>
        <w:tc>
          <w:tcPr>
            <w:tcW w:w="916" w:type="dxa"/>
            <w:shd w:val="clear" w:color="auto" w:fill="auto"/>
            <w:vAlign w:val="center"/>
          </w:tcPr>
          <w:p w:rsidR="0062564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44_03" w:history="1">
              <w:r w:rsidR="0062564D" w:rsidRPr="00CA61A6">
                <w:rPr>
                  <w:color w:val="0000FF"/>
                  <w:sz w:val="20"/>
                  <w:u w:val="single"/>
                </w:rPr>
                <w:t>44-03</w:t>
              </w:r>
            </w:hyperlink>
          </w:p>
        </w:tc>
        <w:tc>
          <w:tcPr>
            <w:tcW w:w="4608" w:type="dxa"/>
            <w:shd w:val="clear" w:color="auto" w:fill="auto"/>
            <w:vAlign w:val="center"/>
          </w:tcPr>
          <w:p w:rsidR="0062564D" w:rsidRPr="00CA61A6" w:rsidRDefault="0062564D" w:rsidP="001F29EB">
            <w:pPr>
              <w:pStyle w:val="Tabletext"/>
            </w:pPr>
            <w:bookmarkStart w:id="144" w:name="lt_pId313"/>
            <w:r w:rsidRPr="00CA61A6">
              <w:t xml:space="preserve">El Director de la TSB reforzará la cooperación y </w:t>
            </w:r>
            <w:r w:rsidR="008F6B9F">
              <w:t>l</w:t>
            </w:r>
            <w:r w:rsidRPr="00CA61A6">
              <w:t xml:space="preserve">a coordinación con las organizaciones regionales, en particular las de </w:t>
            </w:r>
            <w:r w:rsidR="008F6B9F">
              <w:t xml:space="preserve">los </w:t>
            </w:r>
            <w:r w:rsidRPr="00CA61A6">
              <w:t>países en desarrollo</w:t>
            </w:r>
            <w:bookmarkEnd w:id="144"/>
          </w:p>
        </w:tc>
        <w:tc>
          <w:tcPr>
            <w:tcW w:w="1548" w:type="dxa"/>
            <w:shd w:val="clear" w:color="auto" w:fill="auto"/>
            <w:vAlign w:val="center"/>
          </w:tcPr>
          <w:p w:rsidR="0062564D" w:rsidRPr="00CA61A6" w:rsidRDefault="0062564D" w:rsidP="0050246A">
            <w:pPr>
              <w:pStyle w:val="Tabletext"/>
              <w:jc w:val="center"/>
            </w:pPr>
            <w:r w:rsidRPr="00CA61A6">
              <w:t>En curso</w:t>
            </w:r>
          </w:p>
        </w:tc>
        <w:tc>
          <w:tcPr>
            <w:tcW w:w="1167" w:type="dxa"/>
            <w:shd w:val="clear" w:color="auto" w:fill="auto"/>
            <w:vAlign w:val="center"/>
          </w:tcPr>
          <w:p w:rsidR="0062564D" w:rsidRPr="00CA61A6" w:rsidRDefault="00B97DBF" w:rsidP="00110FFC">
            <w:pPr>
              <w:pStyle w:val="Tabletext"/>
              <w:jc w:val="center"/>
            </w:pPr>
            <w:r w:rsidRPr="00CA61A6">
              <w:sym w:font="Wingdings" w:char="F0FC"/>
            </w:r>
          </w:p>
        </w:tc>
        <w:tc>
          <w:tcPr>
            <w:tcW w:w="1395" w:type="dxa"/>
            <w:shd w:val="clear" w:color="auto" w:fill="auto"/>
            <w:vAlign w:val="center"/>
          </w:tcPr>
          <w:p w:rsidR="0062564D" w:rsidRPr="00CA61A6" w:rsidRDefault="0062564D" w:rsidP="00110FFC">
            <w:pPr>
              <w:pStyle w:val="Tabletext"/>
              <w:jc w:val="center"/>
            </w:pPr>
          </w:p>
        </w:tc>
      </w:tr>
      <w:tr w:rsidR="0062564D" w:rsidRPr="00CA61A6" w:rsidTr="00F40EFF">
        <w:trPr>
          <w:cantSplit/>
          <w:jc w:val="center"/>
        </w:trPr>
        <w:tc>
          <w:tcPr>
            <w:tcW w:w="916" w:type="dxa"/>
            <w:shd w:val="clear" w:color="auto" w:fill="auto"/>
            <w:vAlign w:val="center"/>
          </w:tcPr>
          <w:p w:rsidR="0062564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44_04" w:history="1">
              <w:r w:rsidR="0062564D" w:rsidRPr="00CA61A6">
                <w:rPr>
                  <w:color w:val="0000FF"/>
                  <w:sz w:val="20"/>
                  <w:u w:val="single"/>
                </w:rPr>
                <w:t>44-04</w:t>
              </w:r>
            </w:hyperlink>
          </w:p>
        </w:tc>
        <w:tc>
          <w:tcPr>
            <w:tcW w:w="4608" w:type="dxa"/>
            <w:shd w:val="clear" w:color="auto" w:fill="auto"/>
            <w:vAlign w:val="center"/>
          </w:tcPr>
          <w:p w:rsidR="0062564D" w:rsidRPr="00CA61A6" w:rsidRDefault="0062564D" w:rsidP="001F29EB">
            <w:pPr>
              <w:pStyle w:val="Tabletext"/>
            </w:pPr>
            <w:bookmarkStart w:id="145" w:name="lt_pId317"/>
            <w:r w:rsidRPr="00CA61A6">
              <w:t>El Director de la TSB propondrá al Consejo que examine la posibilidad de ofrecer acceso gratuito en línea a manuales, directivas y otro material de la UIT para aplicar las Recomendaciones del UIT-T</w:t>
            </w:r>
            <w:bookmarkEnd w:id="145"/>
          </w:p>
        </w:tc>
        <w:tc>
          <w:tcPr>
            <w:tcW w:w="1548" w:type="dxa"/>
            <w:shd w:val="clear" w:color="auto" w:fill="auto"/>
            <w:vAlign w:val="center"/>
          </w:tcPr>
          <w:p w:rsidR="0062564D" w:rsidRPr="00CA61A6" w:rsidRDefault="002526D2" w:rsidP="0050246A">
            <w:pPr>
              <w:pStyle w:val="Tabletext"/>
              <w:jc w:val="center"/>
            </w:pPr>
            <w:bookmarkStart w:id="146" w:name="lt_pId318"/>
            <w:r w:rsidRPr="00CA61A6">
              <w:t>Consejo</w:t>
            </w:r>
            <w:r w:rsidR="0062564D" w:rsidRPr="00CA61A6">
              <w:t xml:space="preserve"> </w:t>
            </w:r>
            <w:r w:rsidR="001A7421">
              <w:t xml:space="preserve">de </w:t>
            </w:r>
            <w:r w:rsidR="0062564D" w:rsidRPr="00CA61A6">
              <w:t>2013</w:t>
            </w:r>
            <w:bookmarkEnd w:id="146"/>
          </w:p>
        </w:tc>
        <w:tc>
          <w:tcPr>
            <w:tcW w:w="1167" w:type="dxa"/>
            <w:shd w:val="clear" w:color="auto" w:fill="auto"/>
            <w:vAlign w:val="center"/>
          </w:tcPr>
          <w:p w:rsidR="0062564D" w:rsidRPr="00CA61A6" w:rsidRDefault="0062564D" w:rsidP="00110FFC">
            <w:pPr>
              <w:pStyle w:val="Tabletext"/>
              <w:jc w:val="center"/>
            </w:pPr>
          </w:p>
        </w:tc>
        <w:tc>
          <w:tcPr>
            <w:tcW w:w="1395" w:type="dxa"/>
            <w:shd w:val="clear" w:color="auto" w:fill="auto"/>
            <w:vAlign w:val="center"/>
          </w:tcPr>
          <w:p w:rsidR="0062564D" w:rsidRPr="00CA61A6" w:rsidRDefault="00B97DBF" w:rsidP="00110FFC">
            <w:pPr>
              <w:pStyle w:val="Tabletext"/>
              <w:jc w:val="center"/>
            </w:pPr>
            <w:r w:rsidRPr="00CA61A6">
              <w:sym w:font="Wingdings" w:char="F0FC"/>
            </w:r>
          </w:p>
        </w:tc>
      </w:tr>
      <w:tr w:rsidR="0062564D" w:rsidRPr="00CA61A6" w:rsidTr="00F40EFF">
        <w:trPr>
          <w:cantSplit/>
          <w:jc w:val="center"/>
        </w:trPr>
        <w:tc>
          <w:tcPr>
            <w:tcW w:w="916" w:type="dxa"/>
            <w:tcBorders>
              <w:top w:val="single" w:sz="4" w:space="0" w:color="auto"/>
            </w:tcBorders>
            <w:shd w:val="clear" w:color="auto" w:fill="auto"/>
            <w:vAlign w:val="center"/>
          </w:tcPr>
          <w:p w:rsidR="0062564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44_05" w:history="1">
              <w:r w:rsidR="0062564D" w:rsidRPr="00CA61A6">
                <w:rPr>
                  <w:color w:val="0000FF"/>
                  <w:sz w:val="20"/>
                  <w:u w:val="single"/>
                </w:rPr>
                <w:t>44-05</w:t>
              </w:r>
            </w:hyperlink>
          </w:p>
        </w:tc>
        <w:tc>
          <w:tcPr>
            <w:tcW w:w="4608" w:type="dxa"/>
            <w:shd w:val="clear" w:color="auto" w:fill="auto"/>
            <w:vAlign w:val="center"/>
          </w:tcPr>
          <w:p w:rsidR="0062564D" w:rsidRPr="00CA61A6" w:rsidRDefault="0062564D" w:rsidP="005E1E17">
            <w:pPr>
              <w:pStyle w:val="Tabletext"/>
            </w:pPr>
            <w:bookmarkStart w:id="147" w:name="lt_pId321"/>
            <w:r w:rsidRPr="00CA61A6">
              <w:t xml:space="preserve">La TSB sigue instando a que se efectúen contribuciones voluntarias al fondo para la reducción de la brecha de normalización (véase también la </w:t>
            </w:r>
            <w:hyperlink w:anchor="_12_Resolución_34" w:history="1">
              <w:r w:rsidRPr="00CA61A6">
                <w:rPr>
                  <w:color w:val="0000FF"/>
                  <w:u w:val="single"/>
                </w:rPr>
                <w:t>Resolución 34</w:t>
              </w:r>
            </w:hyperlink>
            <w:r w:rsidRPr="00CA61A6">
              <w:t>)</w:t>
            </w:r>
            <w:bookmarkEnd w:id="147"/>
          </w:p>
        </w:tc>
        <w:tc>
          <w:tcPr>
            <w:tcW w:w="1548" w:type="dxa"/>
            <w:shd w:val="clear" w:color="auto" w:fill="auto"/>
            <w:vAlign w:val="center"/>
          </w:tcPr>
          <w:p w:rsidR="0062564D" w:rsidRPr="00CA61A6" w:rsidRDefault="0062564D" w:rsidP="0050246A">
            <w:pPr>
              <w:pStyle w:val="Tabletext"/>
              <w:jc w:val="center"/>
            </w:pPr>
            <w:r w:rsidRPr="00CA61A6">
              <w:t>En curso</w:t>
            </w:r>
          </w:p>
        </w:tc>
        <w:tc>
          <w:tcPr>
            <w:tcW w:w="1167" w:type="dxa"/>
            <w:shd w:val="clear" w:color="auto" w:fill="auto"/>
            <w:vAlign w:val="center"/>
          </w:tcPr>
          <w:p w:rsidR="0062564D" w:rsidRPr="00CA61A6" w:rsidRDefault="00B97DBF" w:rsidP="00745AC5">
            <w:pPr>
              <w:pStyle w:val="Tabletext"/>
              <w:jc w:val="center"/>
            </w:pPr>
            <w:r w:rsidRPr="00CA61A6">
              <w:sym w:font="Wingdings" w:char="F0FC"/>
            </w:r>
          </w:p>
        </w:tc>
        <w:tc>
          <w:tcPr>
            <w:tcW w:w="1395" w:type="dxa"/>
            <w:shd w:val="clear" w:color="auto" w:fill="auto"/>
            <w:vAlign w:val="center"/>
          </w:tcPr>
          <w:p w:rsidR="0062564D" w:rsidRPr="00CA61A6" w:rsidRDefault="0062564D" w:rsidP="00745AC5">
            <w:pPr>
              <w:pStyle w:val="Tabletext"/>
              <w:jc w:val="center"/>
            </w:pPr>
          </w:p>
        </w:tc>
      </w:tr>
      <w:tr w:rsidR="0062564D" w:rsidRPr="00CA61A6" w:rsidTr="00F40EFF">
        <w:trPr>
          <w:cantSplit/>
          <w:jc w:val="center"/>
        </w:trPr>
        <w:tc>
          <w:tcPr>
            <w:tcW w:w="916" w:type="dxa"/>
            <w:shd w:val="clear" w:color="auto" w:fill="auto"/>
            <w:vAlign w:val="center"/>
          </w:tcPr>
          <w:p w:rsidR="0062564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44_06" w:history="1">
              <w:r w:rsidR="0062564D" w:rsidRPr="00CA61A6">
                <w:rPr>
                  <w:color w:val="0000FF"/>
                  <w:sz w:val="20"/>
                  <w:u w:val="single"/>
                </w:rPr>
                <w:t>44-06</w:t>
              </w:r>
            </w:hyperlink>
          </w:p>
        </w:tc>
        <w:tc>
          <w:tcPr>
            <w:tcW w:w="4608" w:type="dxa"/>
            <w:shd w:val="clear" w:color="auto" w:fill="auto"/>
            <w:vAlign w:val="center"/>
          </w:tcPr>
          <w:p w:rsidR="0062564D" w:rsidRPr="00CA61A6" w:rsidRDefault="0062564D" w:rsidP="00A13E57">
            <w:pPr>
              <w:pStyle w:val="Tabletext"/>
            </w:pPr>
            <w:bookmarkStart w:id="148" w:name="lt_pId325"/>
            <w:r w:rsidRPr="00CA61A6">
              <w:t>Las CE deberán movilizar al Presidente y a los Vicepresidentes de países en desarrollo para BSG en la primer reunión e informar al GANT</w:t>
            </w:r>
            <w:bookmarkEnd w:id="148"/>
          </w:p>
        </w:tc>
        <w:tc>
          <w:tcPr>
            <w:tcW w:w="1548" w:type="dxa"/>
            <w:shd w:val="clear" w:color="auto" w:fill="auto"/>
            <w:vAlign w:val="center"/>
          </w:tcPr>
          <w:p w:rsidR="0062564D" w:rsidRPr="00CA61A6" w:rsidRDefault="004B2DD7" w:rsidP="0050246A">
            <w:pPr>
              <w:pStyle w:val="Tabletext"/>
              <w:jc w:val="center"/>
            </w:pPr>
            <w:bookmarkStart w:id="149" w:name="lt_pId326"/>
            <w:r w:rsidRPr="00CA61A6">
              <w:t>GANT</w:t>
            </w:r>
            <w:r w:rsidR="0062564D" w:rsidRPr="00CA61A6">
              <w:t xml:space="preserve"> 2013</w:t>
            </w:r>
            <w:bookmarkEnd w:id="149"/>
          </w:p>
        </w:tc>
        <w:tc>
          <w:tcPr>
            <w:tcW w:w="1167" w:type="dxa"/>
            <w:shd w:val="clear" w:color="auto" w:fill="auto"/>
            <w:vAlign w:val="center"/>
          </w:tcPr>
          <w:p w:rsidR="0062564D" w:rsidRPr="00CA61A6" w:rsidRDefault="00B97DBF" w:rsidP="00745AC5">
            <w:pPr>
              <w:pStyle w:val="Tabletext"/>
              <w:jc w:val="center"/>
            </w:pPr>
            <w:r w:rsidRPr="00CA61A6">
              <w:sym w:font="Wingdings" w:char="F0FC"/>
            </w:r>
          </w:p>
        </w:tc>
        <w:tc>
          <w:tcPr>
            <w:tcW w:w="1395" w:type="dxa"/>
            <w:shd w:val="clear" w:color="auto" w:fill="auto"/>
            <w:vAlign w:val="center"/>
          </w:tcPr>
          <w:p w:rsidR="0062564D" w:rsidRPr="00CA61A6" w:rsidRDefault="0062564D" w:rsidP="00745AC5">
            <w:pPr>
              <w:pStyle w:val="Tabletext"/>
              <w:jc w:val="center"/>
            </w:pPr>
          </w:p>
        </w:tc>
      </w:tr>
      <w:tr w:rsidR="0062564D" w:rsidRPr="00CA61A6" w:rsidTr="00F40EFF">
        <w:trPr>
          <w:cantSplit/>
          <w:jc w:val="center"/>
        </w:trPr>
        <w:tc>
          <w:tcPr>
            <w:tcW w:w="916" w:type="dxa"/>
            <w:shd w:val="clear" w:color="auto" w:fill="auto"/>
            <w:vAlign w:val="center"/>
          </w:tcPr>
          <w:p w:rsidR="0062564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44_07" w:history="1">
              <w:r w:rsidR="0062564D" w:rsidRPr="00CA61A6">
                <w:rPr>
                  <w:color w:val="0000FF"/>
                  <w:sz w:val="20"/>
                  <w:u w:val="single"/>
                </w:rPr>
                <w:t>44-07</w:t>
              </w:r>
            </w:hyperlink>
          </w:p>
        </w:tc>
        <w:tc>
          <w:tcPr>
            <w:tcW w:w="4608" w:type="dxa"/>
            <w:shd w:val="clear" w:color="auto" w:fill="auto"/>
            <w:vAlign w:val="center"/>
          </w:tcPr>
          <w:p w:rsidR="0062564D" w:rsidRPr="00CA61A6" w:rsidRDefault="0062564D" w:rsidP="0050246A">
            <w:pPr>
              <w:pStyle w:val="Tabletext"/>
            </w:pPr>
            <w:bookmarkStart w:id="150" w:name="lt_pId329"/>
            <w:r w:rsidRPr="00CA61A6">
              <w:t xml:space="preserve">Las Oficinas Regionales de la UIT deberán participar en la ejecución del plan de acción BSG, ayudar a aumentar la participación en la normalización, atraer nuevos Miembros del UIT-T, organizar/coordinar/ayudar a los </w:t>
            </w:r>
            <w:r w:rsidR="000C17DA" w:rsidRPr="00CA61A6">
              <w:t xml:space="preserve">Grupos Regionales </w:t>
            </w:r>
            <w:r w:rsidRPr="00CA61A6">
              <w:t>de las CE del UIT-T, ayudar a la organización regional de telecomunicación a configurar y gestionar órganos de normalización regionales</w:t>
            </w:r>
            <w:bookmarkEnd w:id="150"/>
          </w:p>
        </w:tc>
        <w:tc>
          <w:tcPr>
            <w:tcW w:w="1548" w:type="dxa"/>
            <w:shd w:val="clear" w:color="auto" w:fill="auto"/>
            <w:vAlign w:val="center"/>
          </w:tcPr>
          <w:p w:rsidR="0062564D" w:rsidRPr="00CA61A6" w:rsidRDefault="0062564D" w:rsidP="0050246A">
            <w:pPr>
              <w:pStyle w:val="Tabletext"/>
              <w:jc w:val="center"/>
            </w:pPr>
            <w:r w:rsidRPr="00CA61A6">
              <w:t>En curso</w:t>
            </w:r>
          </w:p>
        </w:tc>
        <w:tc>
          <w:tcPr>
            <w:tcW w:w="1167" w:type="dxa"/>
            <w:shd w:val="clear" w:color="auto" w:fill="auto"/>
            <w:vAlign w:val="center"/>
          </w:tcPr>
          <w:p w:rsidR="0062564D" w:rsidRPr="00CA61A6" w:rsidRDefault="00B97DBF" w:rsidP="00745AC5">
            <w:pPr>
              <w:pStyle w:val="Tabletext"/>
              <w:jc w:val="center"/>
            </w:pPr>
            <w:r w:rsidRPr="00CA61A6">
              <w:sym w:font="Wingdings" w:char="F0FC"/>
            </w:r>
          </w:p>
        </w:tc>
        <w:tc>
          <w:tcPr>
            <w:tcW w:w="1395" w:type="dxa"/>
            <w:shd w:val="clear" w:color="auto" w:fill="auto"/>
            <w:vAlign w:val="center"/>
          </w:tcPr>
          <w:p w:rsidR="0062564D" w:rsidRPr="00CA61A6" w:rsidRDefault="0062564D" w:rsidP="00745AC5">
            <w:pPr>
              <w:pStyle w:val="Tabletext"/>
              <w:jc w:val="center"/>
            </w:pPr>
          </w:p>
        </w:tc>
      </w:tr>
      <w:tr w:rsidR="0062564D" w:rsidRPr="00CA61A6" w:rsidTr="00F40EFF">
        <w:trPr>
          <w:cantSplit/>
          <w:jc w:val="center"/>
        </w:trPr>
        <w:tc>
          <w:tcPr>
            <w:tcW w:w="916" w:type="dxa"/>
            <w:shd w:val="clear" w:color="auto" w:fill="auto"/>
            <w:vAlign w:val="center"/>
          </w:tcPr>
          <w:p w:rsidR="0062564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44_08" w:history="1">
              <w:r w:rsidR="0062564D" w:rsidRPr="00CA61A6">
                <w:rPr>
                  <w:color w:val="0000FF"/>
                  <w:sz w:val="20"/>
                  <w:u w:val="single"/>
                </w:rPr>
                <w:t>44-08</w:t>
              </w:r>
            </w:hyperlink>
          </w:p>
        </w:tc>
        <w:tc>
          <w:tcPr>
            <w:tcW w:w="4608" w:type="dxa"/>
            <w:shd w:val="clear" w:color="auto" w:fill="auto"/>
            <w:vAlign w:val="center"/>
          </w:tcPr>
          <w:p w:rsidR="0062564D" w:rsidRPr="00CA61A6" w:rsidRDefault="0062564D" w:rsidP="00896536">
            <w:pPr>
              <w:pStyle w:val="Tabletext"/>
            </w:pPr>
            <w:bookmarkStart w:id="151" w:name="lt_pId333"/>
            <w:r w:rsidRPr="00CA61A6">
              <w:t>El Director de la TSB deberá proponer al Consejo que considere la posibilidad de mantener en el presupuesto anual de la Unión una partida de gastos dedicada a BSG y proponer los fondos identificados para la ejecución de esta Resolución</w:t>
            </w:r>
            <w:r w:rsidR="000F3950" w:rsidRPr="00CA61A6">
              <w:t xml:space="preserve">, </w:t>
            </w:r>
            <w:r w:rsidRPr="00CA61A6">
              <w:t xml:space="preserve">y aumentar las disposiciones presupuestarias del UIT-T para becas, interpretación y traducción de documentos de reuniones del GANT, CE del UIT-T y </w:t>
            </w:r>
            <w:r w:rsidR="000C17DA" w:rsidRPr="00CA61A6">
              <w:t xml:space="preserve">Grupos Regionales </w:t>
            </w:r>
            <w:r w:rsidRPr="00CA61A6">
              <w:t>de</w:t>
            </w:r>
            <w:r w:rsidR="00C2474E">
              <w:t xml:space="preserve"> </w:t>
            </w:r>
            <w:r w:rsidRPr="00CA61A6">
              <w:t>l</w:t>
            </w:r>
            <w:r w:rsidR="00C2474E">
              <w:t>as</w:t>
            </w:r>
            <w:r w:rsidRPr="00CA61A6">
              <w:t xml:space="preserve"> CE </w:t>
            </w:r>
            <w:r w:rsidR="00C2474E">
              <w:t xml:space="preserve">del </w:t>
            </w:r>
            <w:r w:rsidRPr="00CA61A6">
              <w:t>UIT-T</w:t>
            </w:r>
            <w:bookmarkEnd w:id="151"/>
          </w:p>
        </w:tc>
        <w:tc>
          <w:tcPr>
            <w:tcW w:w="1548" w:type="dxa"/>
            <w:shd w:val="clear" w:color="auto" w:fill="auto"/>
            <w:vAlign w:val="center"/>
          </w:tcPr>
          <w:p w:rsidR="0062564D" w:rsidRPr="00CA61A6" w:rsidRDefault="0062564D" w:rsidP="0050246A">
            <w:pPr>
              <w:pStyle w:val="Tabletext"/>
              <w:jc w:val="center"/>
            </w:pPr>
            <w:bookmarkStart w:id="152" w:name="lt_pId334"/>
            <w:r w:rsidRPr="00CA61A6">
              <w:t xml:space="preserve">Consejo </w:t>
            </w:r>
            <w:r w:rsidR="001A7421">
              <w:t xml:space="preserve">de </w:t>
            </w:r>
            <w:r w:rsidRPr="00CA61A6">
              <w:t>2013</w:t>
            </w:r>
            <w:bookmarkEnd w:id="152"/>
          </w:p>
        </w:tc>
        <w:tc>
          <w:tcPr>
            <w:tcW w:w="1167" w:type="dxa"/>
            <w:shd w:val="clear" w:color="auto" w:fill="auto"/>
            <w:vAlign w:val="center"/>
          </w:tcPr>
          <w:p w:rsidR="0062564D" w:rsidRPr="00CA61A6" w:rsidRDefault="0062564D" w:rsidP="00745AC5">
            <w:pPr>
              <w:pStyle w:val="Tabletext"/>
              <w:jc w:val="center"/>
            </w:pPr>
          </w:p>
        </w:tc>
        <w:tc>
          <w:tcPr>
            <w:tcW w:w="1395" w:type="dxa"/>
            <w:shd w:val="clear" w:color="auto" w:fill="auto"/>
            <w:vAlign w:val="center"/>
          </w:tcPr>
          <w:p w:rsidR="0062564D" w:rsidRPr="00CA61A6" w:rsidRDefault="00B97DBF" w:rsidP="00745AC5">
            <w:pPr>
              <w:pStyle w:val="Tabletext"/>
              <w:jc w:val="center"/>
            </w:pPr>
            <w:r w:rsidRPr="00CA61A6">
              <w:sym w:font="Wingdings" w:char="F0FC"/>
            </w:r>
          </w:p>
        </w:tc>
      </w:tr>
      <w:tr w:rsidR="0062564D" w:rsidRPr="00CA61A6" w:rsidTr="00F40EFF">
        <w:trPr>
          <w:cantSplit/>
          <w:jc w:val="center"/>
        </w:trPr>
        <w:tc>
          <w:tcPr>
            <w:tcW w:w="916" w:type="dxa"/>
            <w:shd w:val="clear" w:color="auto" w:fill="auto"/>
            <w:vAlign w:val="center"/>
          </w:tcPr>
          <w:p w:rsidR="0062564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44_09" w:history="1">
              <w:r w:rsidR="0062564D" w:rsidRPr="00CA61A6">
                <w:rPr>
                  <w:color w:val="0000FF"/>
                  <w:sz w:val="20"/>
                  <w:u w:val="single"/>
                </w:rPr>
                <w:t>44-09</w:t>
              </w:r>
            </w:hyperlink>
          </w:p>
        </w:tc>
        <w:tc>
          <w:tcPr>
            <w:tcW w:w="4608" w:type="dxa"/>
            <w:shd w:val="clear" w:color="auto" w:fill="auto"/>
            <w:vAlign w:val="center"/>
          </w:tcPr>
          <w:p w:rsidR="0062564D" w:rsidRPr="00CA61A6" w:rsidRDefault="0062564D" w:rsidP="00896536">
            <w:pPr>
              <w:pStyle w:val="Tabletext"/>
            </w:pPr>
            <w:bookmarkStart w:id="153" w:name="lt_pId337"/>
            <w:r w:rsidRPr="00CA61A6">
              <w:t>El Director de la TSB propondrá al Consejo considerar la posibilidad de crear un grupo especializado para incentivar la innovación en TIC, en el marco del UIT-T</w:t>
            </w:r>
            <w:bookmarkEnd w:id="153"/>
          </w:p>
        </w:tc>
        <w:tc>
          <w:tcPr>
            <w:tcW w:w="1548" w:type="dxa"/>
            <w:shd w:val="clear" w:color="auto" w:fill="auto"/>
            <w:vAlign w:val="center"/>
          </w:tcPr>
          <w:p w:rsidR="0062564D" w:rsidRPr="00CA61A6" w:rsidRDefault="0062564D" w:rsidP="0050246A">
            <w:pPr>
              <w:pStyle w:val="Tabletext"/>
              <w:jc w:val="center"/>
            </w:pPr>
            <w:bookmarkStart w:id="154" w:name="lt_pId338"/>
            <w:r w:rsidRPr="00CA61A6">
              <w:t>Consejo</w:t>
            </w:r>
            <w:r w:rsidR="001A7421">
              <w:t xml:space="preserve"> de</w:t>
            </w:r>
            <w:r w:rsidRPr="00CA61A6">
              <w:t xml:space="preserve"> 2013</w:t>
            </w:r>
            <w:bookmarkEnd w:id="154"/>
          </w:p>
        </w:tc>
        <w:tc>
          <w:tcPr>
            <w:tcW w:w="1167" w:type="dxa"/>
            <w:shd w:val="clear" w:color="auto" w:fill="auto"/>
            <w:vAlign w:val="center"/>
          </w:tcPr>
          <w:p w:rsidR="0062564D" w:rsidRPr="00CA61A6" w:rsidRDefault="0062564D" w:rsidP="00745AC5">
            <w:pPr>
              <w:pStyle w:val="Tabletext"/>
              <w:jc w:val="center"/>
            </w:pPr>
          </w:p>
        </w:tc>
        <w:tc>
          <w:tcPr>
            <w:tcW w:w="1395" w:type="dxa"/>
            <w:shd w:val="clear" w:color="auto" w:fill="auto"/>
            <w:vAlign w:val="center"/>
          </w:tcPr>
          <w:p w:rsidR="0062564D" w:rsidRPr="00CA61A6" w:rsidRDefault="00B97DBF" w:rsidP="00745AC5">
            <w:pPr>
              <w:pStyle w:val="Tabletext"/>
              <w:jc w:val="center"/>
            </w:pPr>
            <w:r w:rsidRPr="00CA61A6">
              <w:sym w:font="Wingdings" w:char="F0FC"/>
            </w:r>
          </w:p>
        </w:tc>
      </w:tr>
      <w:tr w:rsidR="0062564D" w:rsidRPr="00CA61A6" w:rsidTr="00F40EFF">
        <w:trPr>
          <w:cantSplit/>
          <w:jc w:val="center"/>
        </w:trPr>
        <w:tc>
          <w:tcPr>
            <w:tcW w:w="916" w:type="dxa"/>
            <w:shd w:val="clear" w:color="auto" w:fill="auto"/>
            <w:vAlign w:val="center"/>
          </w:tcPr>
          <w:p w:rsidR="0062564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44_10" w:history="1">
              <w:r w:rsidR="0062564D" w:rsidRPr="00CA61A6">
                <w:rPr>
                  <w:color w:val="0000FF"/>
                  <w:sz w:val="20"/>
                  <w:u w:val="single"/>
                </w:rPr>
                <w:t>44-10</w:t>
              </w:r>
            </w:hyperlink>
          </w:p>
        </w:tc>
        <w:tc>
          <w:tcPr>
            <w:tcW w:w="4608" w:type="dxa"/>
            <w:shd w:val="clear" w:color="auto" w:fill="auto"/>
            <w:vAlign w:val="center"/>
          </w:tcPr>
          <w:p w:rsidR="0062564D" w:rsidRPr="00CA61A6" w:rsidRDefault="0062564D" w:rsidP="00F12C0C">
            <w:pPr>
              <w:pStyle w:val="Tabletext"/>
            </w:pPr>
            <w:bookmarkStart w:id="155" w:name="lt_pId341"/>
            <w:r w:rsidRPr="00CA61A6">
              <w:t>El Consejo informará y asesorará a la PP-14 sobre la creación de un grupo especializado para incentivar la innovación en TIC, en el marco del UIT-T</w:t>
            </w:r>
            <w:bookmarkEnd w:id="155"/>
          </w:p>
        </w:tc>
        <w:tc>
          <w:tcPr>
            <w:tcW w:w="1548" w:type="dxa"/>
            <w:shd w:val="clear" w:color="auto" w:fill="auto"/>
            <w:vAlign w:val="center"/>
          </w:tcPr>
          <w:p w:rsidR="0062564D" w:rsidRPr="00CA61A6" w:rsidRDefault="0062564D" w:rsidP="0050246A">
            <w:pPr>
              <w:pStyle w:val="Tabletext"/>
              <w:jc w:val="center"/>
            </w:pPr>
          </w:p>
        </w:tc>
        <w:tc>
          <w:tcPr>
            <w:tcW w:w="1167" w:type="dxa"/>
            <w:shd w:val="clear" w:color="auto" w:fill="auto"/>
            <w:vAlign w:val="center"/>
          </w:tcPr>
          <w:p w:rsidR="0062564D" w:rsidRPr="00CA61A6" w:rsidRDefault="0062564D" w:rsidP="00745AC5">
            <w:pPr>
              <w:pStyle w:val="Tabletext"/>
              <w:jc w:val="center"/>
            </w:pPr>
          </w:p>
        </w:tc>
        <w:tc>
          <w:tcPr>
            <w:tcW w:w="1395" w:type="dxa"/>
            <w:shd w:val="clear" w:color="auto" w:fill="auto"/>
            <w:vAlign w:val="center"/>
          </w:tcPr>
          <w:p w:rsidR="0062564D" w:rsidRPr="00CA61A6" w:rsidRDefault="00B97DBF" w:rsidP="00745AC5">
            <w:pPr>
              <w:pStyle w:val="Tabletext"/>
              <w:jc w:val="center"/>
            </w:pPr>
            <w:r w:rsidRPr="00CA61A6">
              <w:sym w:font="Wingdings" w:char="F0FC"/>
            </w:r>
          </w:p>
        </w:tc>
      </w:tr>
      <w:tr w:rsidR="0062564D" w:rsidRPr="00CA61A6" w:rsidTr="00F40EFF">
        <w:trPr>
          <w:cantSplit/>
          <w:jc w:val="center"/>
        </w:trPr>
        <w:tc>
          <w:tcPr>
            <w:tcW w:w="916" w:type="dxa"/>
            <w:shd w:val="clear" w:color="auto" w:fill="auto"/>
            <w:vAlign w:val="center"/>
          </w:tcPr>
          <w:p w:rsidR="0062564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44_11" w:history="1">
              <w:r w:rsidR="0062564D" w:rsidRPr="00CA61A6">
                <w:rPr>
                  <w:color w:val="0000FF"/>
                  <w:sz w:val="20"/>
                  <w:u w:val="single"/>
                </w:rPr>
                <w:t>44-11</w:t>
              </w:r>
            </w:hyperlink>
          </w:p>
        </w:tc>
        <w:tc>
          <w:tcPr>
            <w:tcW w:w="4608" w:type="dxa"/>
            <w:shd w:val="clear" w:color="auto" w:fill="auto"/>
            <w:vAlign w:val="center"/>
          </w:tcPr>
          <w:p w:rsidR="0062564D" w:rsidRPr="00CA61A6" w:rsidRDefault="0062564D" w:rsidP="00F12C0C">
            <w:pPr>
              <w:pStyle w:val="Tabletext"/>
            </w:pPr>
            <w:bookmarkStart w:id="156" w:name="lt_pId344"/>
            <w:r w:rsidRPr="00CA61A6">
              <w:t>Las CE tendrán en cuenta las características específicas del entorno de las telecomunicaciones en países en desarrollo y proporcionar soluciones/opciones pertinentes para países en desarrollo en la medida de lo posible</w:t>
            </w:r>
            <w:bookmarkEnd w:id="156"/>
          </w:p>
        </w:tc>
        <w:tc>
          <w:tcPr>
            <w:tcW w:w="1548" w:type="dxa"/>
            <w:shd w:val="clear" w:color="auto" w:fill="auto"/>
            <w:vAlign w:val="center"/>
          </w:tcPr>
          <w:p w:rsidR="0062564D" w:rsidRPr="00CA61A6" w:rsidRDefault="0062564D" w:rsidP="0050246A">
            <w:pPr>
              <w:pStyle w:val="Tabletext"/>
              <w:jc w:val="center"/>
            </w:pPr>
            <w:r w:rsidRPr="00CA61A6">
              <w:t>En curso</w:t>
            </w:r>
          </w:p>
        </w:tc>
        <w:tc>
          <w:tcPr>
            <w:tcW w:w="1167" w:type="dxa"/>
            <w:shd w:val="clear" w:color="auto" w:fill="auto"/>
            <w:vAlign w:val="center"/>
          </w:tcPr>
          <w:p w:rsidR="0062564D" w:rsidRPr="00CA61A6" w:rsidRDefault="00B97DBF" w:rsidP="00745AC5">
            <w:pPr>
              <w:pStyle w:val="Tabletext"/>
              <w:jc w:val="center"/>
            </w:pPr>
            <w:r w:rsidRPr="00CA61A6">
              <w:sym w:font="Wingdings" w:char="F0FC"/>
            </w:r>
          </w:p>
        </w:tc>
        <w:tc>
          <w:tcPr>
            <w:tcW w:w="1395" w:type="dxa"/>
            <w:shd w:val="clear" w:color="auto" w:fill="auto"/>
            <w:vAlign w:val="center"/>
          </w:tcPr>
          <w:p w:rsidR="0062564D" w:rsidRPr="00CA61A6" w:rsidRDefault="0062564D" w:rsidP="00745AC5">
            <w:pPr>
              <w:pStyle w:val="Tabletext"/>
              <w:jc w:val="center"/>
            </w:pPr>
          </w:p>
        </w:tc>
      </w:tr>
      <w:tr w:rsidR="0062564D" w:rsidRPr="00CA61A6" w:rsidTr="00F40EFF">
        <w:trPr>
          <w:cantSplit/>
          <w:jc w:val="center"/>
        </w:trPr>
        <w:tc>
          <w:tcPr>
            <w:tcW w:w="916" w:type="dxa"/>
            <w:shd w:val="clear" w:color="auto" w:fill="auto"/>
            <w:vAlign w:val="center"/>
          </w:tcPr>
          <w:p w:rsidR="0062564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44_12" w:history="1">
              <w:r w:rsidR="0062564D" w:rsidRPr="00CA61A6">
                <w:rPr>
                  <w:color w:val="0000FF"/>
                  <w:sz w:val="20"/>
                  <w:u w:val="single"/>
                </w:rPr>
                <w:t>44-12</w:t>
              </w:r>
            </w:hyperlink>
          </w:p>
        </w:tc>
        <w:tc>
          <w:tcPr>
            <w:tcW w:w="4608" w:type="dxa"/>
            <w:shd w:val="clear" w:color="auto" w:fill="auto"/>
            <w:vAlign w:val="center"/>
          </w:tcPr>
          <w:p w:rsidR="0062564D" w:rsidRPr="00CA61A6" w:rsidRDefault="0062564D" w:rsidP="00F12C0C">
            <w:pPr>
              <w:pStyle w:val="Tabletext"/>
            </w:pPr>
            <w:bookmarkStart w:id="157" w:name="lt_pId348"/>
            <w:r w:rsidRPr="00CA61A6">
              <w:t>Las CE continuarán coordinándose con las CE del UIT-D para ayudar a los países en desarrollo en sus cuestiones prioritarias para estudio, como las identificadas por la CMDT</w:t>
            </w:r>
            <w:bookmarkEnd w:id="157"/>
          </w:p>
        </w:tc>
        <w:tc>
          <w:tcPr>
            <w:tcW w:w="1548" w:type="dxa"/>
            <w:shd w:val="clear" w:color="auto" w:fill="auto"/>
            <w:vAlign w:val="center"/>
          </w:tcPr>
          <w:p w:rsidR="0062564D" w:rsidRPr="00CA61A6" w:rsidRDefault="0062564D" w:rsidP="0050246A">
            <w:pPr>
              <w:pStyle w:val="Tabletext"/>
              <w:jc w:val="center"/>
            </w:pPr>
            <w:r w:rsidRPr="00CA61A6">
              <w:t>En curso</w:t>
            </w:r>
          </w:p>
        </w:tc>
        <w:tc>
          <w:tcPr>
            <w:tcW w:w="1167" w:type="dxa"/>
            <w:shd w:val="clear" w:color="auto" w:fill="auto"/>
            <w:vAlign w:val="center"/>
          </w:tcPr>
          <w:p w:rsidR="0062564D" w:rsidRPr="00CA61A6" w:rsidRDefault="00B97DBF" w:rsidP="00745AC5">
            <w:pPr>
              <w:pStyle w:val="Tabletext"/>
              <w:jc w:val="center"/>
            </w:pPr>
            <w:r w:rsidRPr="00CA61A6">
              <w:sym w:font="Wingdings" w:char="F0FC"/>
            </w:r>
          </w:p>
        </w:tc>
        <w:tc>
          <w:tcPr>
            <w:tcW w:w="1395" w:type="dxa"/>
            <w:shd w:val="clear" w:color="auto" w:fill="auto"/>
            <w:vAlign w:val="center"/>
          </w:tcPr>
          <w:p w:rsidR="0062564D" w:rsidRPr="00CA61A6" w:rsidRDefault="0062564D" w:rsidP="00745AC5">
            <w:pPr>
              <w:pStyle w:val="Tabletext"/>
              <w:jc w:val="center"/>
            </w:pPr>
          </w:p>
        </w:tc>
      </w:tr>
      <w:tr w:rsidR="0062564D" w:rsidRPr="00CA61A6" w:rsidTr="00F40EFF">
        <w:trPr>
          <w:cantSplit/>
          <w:jc w:val="center"/>
        </w:trPr>
        <w:tc>
          <w:tcPr>
            <w:tcW w:w="916" w:type="dxa"/>
            <w:shd w:val="clear" w:color="auto" w:fill="auto"/>
            <w:vAlign w:val="center"/>
          </w:tcPr>
          <w:p w:rsidR="0062564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44_13" w:history="1">
              <w:r w:rsidR="0062564D" w:rsidRPr="00CA61A6">
                <w:rPr>
                  <w:color w:val="0000FF"/>
                  <w:sz w:val="20"/>
                  <w:u w:val="single"/>
                </w:rPr>
                <w:t>44-13</w:t>
              </w:r>
            </w:hyperlink>
          </w:p>
        </w:tc>
        <w:tc>
          <w:tcPr>
            <w:tcW w:w="4608" w:type="dxa"/>
            <w:shd w:val="clear" w:color="auto" w:fill="auto"/>
            <w:vAlign w:val="center"/>
          </w:tcPr>
          <w:p w:rsidR="0062564D" w:rsidRPr="00CA61A6" w:rsidRDefault="0062564D" w:rsidP="00792D99">
            <w:pPr>
              <w:pStyle w:val="Tabletext"/>
            </w:pPr>
            <w:bookmarkStart w:id="158" w:name="lt_pId352"/>
            <w:r w:rsidRPr="00CA61A6">
              <w:t>Las CE examinarán la necesidad de preparar directrices sobre la aplicación de nuevas Recomendaciones UIT-T que se hayan de aplicar, reda</w:t>
            </w:r>
            <w:r w:rsidR="00792D99">
              <w:t>ctar directrices sobre las Recomendaciones</w:t>
            </w:r>
            <w:r w:rsidRPr="00CA61A6">
              <w:t xml:space="preserve"> UIT-T a nivel nacional relativas a la Res</w:t>
            </w:r>
            <w:r w:rsidR="00792D99">
              <w:t>olución</w:t>
            </w:r>
            <w:r w:rsidRPr="00CA61A6">
              <w:t xml:space="preserve"> 168 de la PP</w:t>
            </w:r>
            <w:bookmarkEnd w:id="158"/>
          </w:p>
        </w:tc>
        <w:tc>
          <w:tcPr>
            <w:tcW w:w="1548" w:type="dxa"/>
            <w:shd w:val="clear" w:color="auto" w:fill="auto"/>
            <w:vAlign w:val="center"/>
          </w:tcPr>
          <w:p w:rsidR="0062564D" w:rsidRPr="00CA61A6" w:rsidRDefault="0062564D" w:rsidP="0050246A">
            <w:pPr>
              <w:pStyle w:val="Tabletext"/>
              <w:jc w:val="center"/>
            </w:pPr>
            <w:r w:rsidRPr="00CA61A6">
              <w:t>En curso</w:t>
            </w:r>
          </w:p>
        </w:tc>
        <w:tc>
          <w:tcPr>
            <w:tcW w:w="1167" w:type="dxa"/>
            <w:shd w:val="clear" w:color="auto" w:fill="auto"/>
            <w:vAlign w:val="center"/>
          </w:tcPr>
          <w:p w:rsidR="0062564D" w:rsidRPr="00CA61A6" w:rsidRDefault="00B97DBF" w:rsidP="00745AC5">
            <w:pPr>
              <w:pStyle w:val="Tabletext"/>
              <w:jc w:val="center"/>
            </w:pPr>
            <w:r w:rsidRPr="00CA61A6">
              <w:sym w:font="Wingdings" w:char="F0FC"/>
            </w:r>
          </w:p>
        </w:tc>
        <w:tc>
          <w:tcPr>
            <w:tcW w:w="1395" w:type="dxa"/>
            <w:shd w:val="clear" w:color="auto" w:fill="auto"/>
            <w:vAlign w:val="center"/>
          </w:tcPr>
          <w:p w:rsidR="0062564D" w:rsidRPr="00CA61A6" w:rsidRDefault="0062564D" w:rsidP="00745AC5">
            <w:pPr>
              <w:pStyle w:val="Tabletext"/>
              <w:jc w:val="center"/>
            </w:pPr>
          </w:p>
        </w:tc>
      </w:tr>
      <w:tr w:rsidR="0062564D" w:rsidRPr="00CA61A6" w:rsidTr="00F40EFF">
        <w:trPr>
          <w:cantSplit/>
          <w:jc w:val="center"/>
        </w:trPr>
        <w:tc>
          <w:tcPr>
            <w:tcW w:w="916" w:type="dxa"/>
            <w:shd w:val="clear" w:color="auto" w:fill="auto"/>
            <w:vAlign w:val="center"/>
          </w:tcPr>
          <w:p w:rsidR="0062564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44_14" w:history="1">
              <w:r w:rsidR="0062564D" w:rsidRPr="00CA61A6">
                <w:rPr>
                  <w:color w:val="0000FF"/>
                  <w:sz w:val="20"/>
                  <w:u w:val="single"/>
                </w:rPr>
                <w:t>44-14</w:t>
              </w:r>
            </w:hyperlink>
          </w:p>
        </w:tc>
        <w:tc>
          <w:tcPr>
            <w:tcW w:w="4608" w:type="dxa"/>
            <w:shd w:val="clear" w:color="auto" w:fill="auto"/>
            <w:vAlign w:val="center"/>
          </w:tcPr>
          <w:p w:rsidR="0062564D" w:rsidRPr="00CA61A6" w:rsidRDefault="0062564D" w:rsidP="00F12C0C">
            <w:pPr>
              <w:pStyle w:val="Tabletext"/>
            </w:pPr>
            <w:bookmarkStart w:id="159" w:name="lt_pId356"/>
            <w:r w:rsidRPr="00CA61A6">
              <w:t>Las CE y el GANT coordinarán reuniones conjuntas de grupos regionales</w:t>
            </w:r>
            <w:bookmarkEnd w:id="159"/>
          </w:p>
        </w:tc>
        <w:tc>
          <w:tcPr>
            <w:tcW w:w="1548" w:type="dxa"/>
            <w:shd w:val="clear" w:color="auto" w:fill="auto"/>
            <w:vAlign w:val="center"/>
          </w:tcPr>
          <w:p w:rsidR="0062564D" w:rsidRPr="00CA61A6" w:rsidRDefault="0062564D" w:rsidP="0050246A">
            <w:pPr>
              <w:pStyle w:val="Tabletext"/>
              <w:jc w:val="center"/>
            </w:pPr>
            <w:r w:rsidRPr="00CA61A6">
              <w:t>En curso</w:t>
            </w:r>
          </w:p>
        </w:tc>
        <w:tc>
          <w:tcPr>
            <w:tcW w:w="1167" w:type="dxa"/>
            <w:shd w:val="clear" w:color="auto" w:fill="auto"/>
            <w:vAlign w:val="center"/>
          </w:tcPr>
          <w:p w:rsidR="0062564D" w:rsidRPr="00CA61A6" w:rsidRDefault="00B97DBF" w:rsidP="00745AC5">
            <w:pPr>
              <w:pStyle w:val="Tabletext"/>
              <w:jc w:val="center"/>
            </w:pPr>
            <w:r w:rsidRPr="00CA61A6">
              <w:sym w:font="Wingdings" w:char="F0FC"/>
            </w:r>
          </w:p>
        </w:tc>
        <w:tc>
          <w:tcPr>
            <w:tcW w:w="1395" w:type="dxa"/>
            <w:shd w:val="clear" w:color="auto" w:fill="auto"/>
            <w:vAlign w:val="center"/>
          </w:tcPr>
          <w:p w:rsidR="0062564D" w:rsidRPr="00CA61A6" w:rsidRDefault="0062564D" w:rsidP="00745AC5">
            <w:pPr>
              <w:pStyle w:val="Tabletext"/>
              <w:jc w:val="center"/>
            </w:pPr>
          </w:p>
        </w:tc>
      </w:tr>
      <w:tr w:rsidR="0062564D" w:rsidRPr="00CA61A6" w:rsidTr="00F40EFF">
        <w:trPr>
          <w:cantSplit/>
          <w:jc w:val="center"/>
        </w:trPr>
        <w:tc>
          <w:tcPr>
            <w:tcW w:w="916" w:type="dxa"/>
            <w:shd w:val="clear" w:color="auto" w:fill="auto"/>
            <w:vAlign w:val="center"/>
          </w:tcPr>
          <w:p w:rsidR="0062564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44_15" w:history="1">
              <w:r w:rsidR="0062564D" w:rsidRPr="00CA61A6">
                <w:rPr>
                  <w:color w:val="0000FF"/>
                  <w:sz w:val="20"/>
                  <w:u w:val="single"/>
                </w:rPr>
                <w:t>44-15</w:t>
              </w:r>
            </w:hyperlink>
          </w:p>
        </w:tc>
        <w:tc>
          <w:tcPr>
            <w:tcW w:w="4608" w:type="dxa"/>
            <w:shd w:val="clear" w:color="auto" w:fill="auto"/>
            <w:vAlign w:val="center"/>
            <w:hideMark/>
          </w:tcPr>
          <w:p w:rsidR="0062564D" w:rsidRPr="00CA61A6" w:rsidRDefault="0062564D" w:rsidP="00F12C0C">
            <w:pPr>
              <w:pStyle w:val="Tabletext"/>
            </w:pPr>
            <w:bookmarkStart w:id="160" w:name="lt_pId360"/>
            <w:r w:rsidRPr="00CA61A6">
              <w:t>El Director proseguirá las actividades del grupo encargado de la reducción de la brecha de normalización (BSG) de la TSB</w:t>
            </w:r>
            <w:bookmarkEnd w:id="160"/>
          </w:p>
        </w:tc>
        <w:tc>
          <w:tcPr>
            <w:tcW w:w="1548" w:type="dxa"/>
            <w:shd w:val="clear" w:color="auto" w:fill="auto"/>
            <w:vAlign w:val="center"/>
          </w:tcPr>
          <w:p w:rsidR="0062564D" w:rsidRPr="00CA61A6" w:rsidRDefault="0062564D" w:rsidP="0050246A">
            <w:pPr>
              <w:pStyle w:val="Tabletext"/>
              <w:jc w:val="center"/>
            </w:pPr>
            <w:r w:rsidRPr="00CA61A6">
              <w:t>En curso</w:t>
            </w:r>
          </w:p>
        </w:tc>
        <w:tc>
          <w:tcPr>
            <w:tcW w:w="1167" w:type="dxa"/>
            <w:shd w:val="clear" w:color="auto" w:fill="auto"/>
            <w:vAlign w:val="center"/>
          </w:tcPr>
          <w:p w:rsidR="0062564D" w:rsidRPr="00CA61A6" w:rsidRDefault="00B97DBF" w:rsidP="00745AC5">
            <w:pPr>
              <w:pStyle w:val="Tabletext"/>
              <w:jc w:val="center"/>
            </w:pPr>
            <w:r w:rsidRPr="00CA61A6">
              <w:sym w:font="Wingdings" w:char="F0FC"/>
            </w:r>
          </w:p>
        </w:tc>
        <w:tc>
          <w:tcPr>
            <w:tcW w:w="1395" w:type="dxa"/>
            <w:shd w:val="clear" w:color="auto" w:fill="auto"/>
            <w:vAlign w:val="center"/>
          </w:tcPr>
          <w:p w:rsidR="0062564D" w:rsidRPr="00CA61A6" w:rsidRDefault="0062564D" w:rsidP="00745AC5">
            <w:pPr>
              <w:pStyle w:val="Tabletext"/>
              <w:jc w:val="center"/>
            </w:pPr>
          </w:p>
        </w:tc>
      </w:tr>
      <w:tr w:rsidR="0062564D" w:rsidRPr="00CA61A6" w:rsidTr="00F40EFF">
        <w:trPr>
          <w:cantSplit/>
          <w:trHeight w:val="329"/>
          <w:jc w:val="center"/>
        </w:trPr>
        <w:tc>
          <w:tcPr>
            <w:tcW w:w="916" w:type="dxa"/>
            <w:shd w:val="clear" w:color="auto" w:fill="auto"/>
            <w:vAlign w:val="center"/>
          </w:tcPr>
          <w:p w:rsidR="0062564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44_16" w:history="1">
              <w:r w:rsidR="0062564D" w:rsidRPr="00CA61A6">
                <w:rPr>
                  <w:color w:val="0000FF"/>
                  <w:sz w:val="20"/>
                  <w:u w:val="single"/>
                </w:rPr>
                <w:t>44-16</w:t>
              </w:r>
            </w:hyperlink>
          </w:p>
        </w:tc>
        <w:tc>
          <w:tcPr>
            <w:tcW w:w="4608" w:type="dxa"/>
            <w:shd w:val="clear" w:color="auto" w:fill="auto"/>
            <w:vAlign w:val="center"/>
          </w:tcPr>
          <w:p w:rsidR="0062564D" w:rsidRPr="00CA61A6" w:rsidRDefault="0062564D" w:rsidP="00F12C0C">
            <w:pPr>
              <w:pStyle w:val="Tabletext"/>
              <w:rPr>
                <w:highlight w:val="cyan"/>
              </w:rPr>
            </w:pPr>
            <w:r w:rsidRPr="00CA61A6">
              <w:t>El Director de la TSB realizará los estudios necesarios sobre el papel de la gestión de la innovación y de los programas de fomento de la innovación sobre BSG entre los países en desarrollo y los desarrollados</w:t>
            </w:r>
          </w:p>
        </w:tc>
        <w:tc>
          <w:tcPr>
            <w:tcW w:w="1548" w:type="dxa"/>
            <w:shd w:val="clear" w:color="auto" w:fill="auto"/>
            <w:vAlign w:val="center"/>
          </w:tcPr>
          <w:p w:rsidR="0062564D" w:rsidRPr="00CA61A6" w:rsidRDefault="0062564D" w:rsidP="0050246A">
            <w:pPr>
              <w:pStyle w:val="Tabletext"/>
              <w:jc w:val="center"/>
            </w:pPr>
            <w:bookmarkStart w:id="161" w:name="lt_pId365"/>
            <w:r w:rsidRPr="00CA61A6">
              <w:t>GANT 2015</w:t>
            </w:r>
            <w:bookmarkEnd w:id="161"/>
          </w:p>
        </w:tc>
        <w:tc>
          <w:tcPr>
            <w:tcW w:w="1167" w:type="dxa"/>
            <w:shd w:val="clear" w:color="auto" w:fill="auto"/>
            <w:vAlign w:val="center"/>
          </w:tcPr>
          <w:p w:rsidR="0062564D" w:rsidRPr="00CA61A6" w:rsidRDefault="0062564D" w:rsidP="00745AC5">
            <w:pPr>
              <w:pStyle w:val="Tabletext"/>
              <w:jc w:val="center"/>
            </w:pPr>
          </w:p>
        </w:tc>
        <w:tc>
          <w:tcPr>
            <w:tcW w:w="1395" w:type="dxa"/>
            <w:shd w:val="clear" w:color="auto" w:fill="auto"/>
            <w:vAlign w:val="center"/>
          </w:tcPr>
          <w:p w:rsidR="0062564D" w:rsidRPr="00CA61A6" w:rsidRDefault="00B97DBF" w:rsidP="00745AC5">
            <w:pPr>
              <w:pStyle w:val="Tabletext"/>
              <w:jc w:val="center"/>
            </w:pPr>
            <w:r w:rsidRPr="00CA61A6">
              <w:sym w:font="Wingdings" w:char="F0FC"/>
            </w:r>
          </w:p>
        </w:tc>
      </w:tr>
      <w:tr w:rsidR="0062564D" w:rsidRPr="00CA61A6" w:rsidTr="00F40EFF">
        <w:trPr>
          <w:cantSplit/>
          <w:jc w:val="center"/>
        </w:trPr>
        <w:tc>
          <w:tcPr>
            <w:tcW w:w="916" w:type="dxa"/>
            <w:shd w:val="clear" w:color="auto" w:fill="auto"/>
            <w:vAlign w:val="center"/>
          </w:tcPr>
          <w:p w:rsidR="0062564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44_17" w:history="1">
              <w:r w:rsidR="0062564D" w:rsidRPr="00CA61A6">
                <w:rPr>
                  <w:color w:val="0000FF"/>
                  <w:sz w:val="20"/>
                  <w:u w:val="single"/>
                </w:rPr>
                <w:t>44-17</w:t>
              </w:r>
            </w:hyperlink>
          </w:p>
        </w:tc>
        <w:tc>
          <w:tcPr>
            <w:tcW w:w="4608" w:type="dxa"/>
            <w:shd w:val="clear" w:color="auto" w:fill="auto"/>
            <w:vAlign w:val="center"/>
          </w:tcPr>
          <w:p w:rsidR="0062564D" w:rsidRPr="00CA61A6" w:rsidRDefault="0062564D" w:rsidP="00957581">
            <w:pPr>
              <w:pStyle w:val="Tabletext"/>
            </w:pPr>
            <w:bookmarkStart w:id="162" w:name="lt_pId368"/>
            <w:r w:rsidRPr="00CA61A6">
              <w:t xml:space="preserve">El Director de la TSB estipulará las responsabilidades en materia de BSG de los Presidentes y Vicepresidentes del GANT y de las Comisiones de Estudio del UIT-T y las dará a conocer antes del nombramiento del equipo directivo del UIT-T (véase también la </w:t>
            </w:r>
            <w:hyperlink w:anchor="_13_Resolución_35" w:history="1">
              <w:r w:rsidRPr="00CA61A6">
                <w:rPr>
                  <w:color w:val="0000FF"/>
                  <w:u w:val="single"/>
                </w:rPr>
                <w:t>Resolución 35</w:t>
              </w:r>
            </w:hyperlink>
            <w:r w:rsidRPr="00CA61A6">
              <w:t>)</w:t>
            </w:r>
            <w:bookmarkEnd w:id="162"/>
          </w:p>
        </w:tc>
        <w:tc>
          <w:tcPr>
            <w:tcW w:w="1548" w:type="dxa"/>
            <w:shd w:val="clear" w:color="auto" w:fill="auto"/>
            <w:vAlign w:val="center"/>
          </w:tcPr>
          <w:p w:rsidR="0062564D" w:rsidRPr="00CA61A6" w:rsidRDefault="0062564D" w:rsidP="0050246A">
            <w:pPr>
              <w:pStyle w:val="Tabletext"/>
              <w:jc w:val="center"/>
            </w:pPr>
          </w:p>
        </w:tc>
        <w:tc>
          <w:tcPr>
            <w:tcW w:w="1167" w:type="dxa"/>
            <w:shd w:val="clear" w:color="auto" w:fill="auto"/>
            <w:vAlign w:val="center"/>
          </w:tcPr>
          <w:p w:rsidR="0062564D" w:rsidRPr="00CA61A6" w:rsidRDefault="00B97DBF" w:rsidP="00745AC5">
            <w:pPr>
              <w:pStyle w:val="Tabletext"/>
              <w:jc w:val="center"/>
            </w:pPr>
            <w:r w:rsidRPr="00CA61A6">
              <w:sym w:font="Wingdings" w:char="F0FC"/>
            </w:r>
          </w:p>
        </w:tc>
        <w:tc>
          <w:tcPr>
            <w:tcW w:w="1395" w:type="dxa"/>
            <w:shd w:val="clear" w:color="auto" w:fill="auto"/>
            <w:vAlign w:val="center"/>
          </w:tcPr>
          <w:p w:rsidR="0062564D" w:rsidRPr="00CA61A6" w:rsidRDefault="0062564D" w:rsidP="00745AC5">
            <w:pPr>
              <w:pStyle w:val="Tabletext"/>
              <w:jc w:val="center"/>
            </w:pPr>
          </w:p>
        </w:tc>
      </w:tr>
      <w:tr w:rsidR="0062564D" w:rsidRPr="00CA61A6" w:rsidTr="00F40EFF">
        <w:trPr>
          <w:cantSplit/>
          <w:jc w:val="center"/>
        </w:trPr>
        <w:tc>
          <w:tcPr>
            <w:tcW w:w="916" w:type="dxa"/>
            <w:shd w:val="clear" w:color="auto" w:fill="auto"/>
            <w:vAlign w:val="center"/>
          </w:tcPr>
          <w:p w:rsidR="0062564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44_18" w:history="1">
              <w:r w:rsidR="0062564D" w:rsidRPr="00CA61A6">
                <w:rPr>
                  <w:color w:val="0000FF"/>
                  <w:sz w:val="20"/>
                  <w:u w:val="single"/>
                </w:rPr>
                <w:t>44-18</w:t>
              </w:r>
            </w:hyperlink>
          </w:p>
        </w:tc>
        <w:tc>
          <w:tcPr>
            <w:tcW w:w="4608" w:type="dxa"/>
            <w:shd w:val="clear" w:color="auto" w:fill="auto"/>
            <w:vAlign w:val="center"/>
          </w:tcPr>
          <w:p w:rsidR="0062564D" w:rsidRPr="00CA61A6" w:rsidRDefault="0062564D" w:rsidP="00E83BF0">
            <w:pPr>
              <w:pStyle w:val="Tabletext"/>
            </w:pPr>
            <w:bookmarkStart w:id="163" w:name="lt_pId371"/>
            <w:r w:rsidRPr="00CA61A6">
              <w:t>El Director informará a las futuras AMNT y PP sobre la ejecución del plan BSG para introducir las enmiendas correspondientes a los resultados de ejecución, así como los ajustes presupuestarios necesarios</w:t>
            </w:r>
            <w:bookmarkEnd w:id="163"/>
          </w:p>
        </w:tc>
        <w:tc>
          <w:tcPr>
            <w:tcW w:w="1548" w:type="dxa"/>
            <w:shd w:val="clear" w:color="auto" w:fill="auto"/>
            <w:vAlign w:val="center"/>
          </w:tcPr>
          <w:p w:rsidR="0062564D" w:rsidRPr="00CA61A6" w:rsidRDefault="0062564D" w:rsidP="00672FE4">
            <w:pPr>
              <w:pStyle w:val="Tabletext"/>
              <w:jc w:val="center"/>
            </w:pPr>
            <w:bookmarkStart w:id="164" w:name="lt_pId372"/>
            <w:r w:rsidRPr="00CA61A6">
              <w:t>Consejo,</w:t>
            </w:r>
            <w:bookmarkEnd w:id="164"/>
            <w:r w:rsidR="00672FE4">
              <w:br/>
            </w:r>
            <w:bookmarkStart w:id="165" w:name="lt_pId373"/>
            <w:r w:rsidR="00F5467E">
              <w:t>PP-14, AMNT</w:t>
            </w:r>
            <w:r w:rsidR="00F5467E">
              <w:noBreakHyphen/>
            </w:r>
            <w:r w:rsidRPr="00CA61A6">
              <w:t>16</w:t>
            </w:r>
            <w:bookmarkEnd w:id="165"/>
          </w:p>
        </w:tc>
        <w:tc>
          <w:tcPr>
            <w:tcW w:w="1167" w:type="dxa"/>
            <w:shd w:val="clear" w:color="auto" w:fill="auto"/>
            <w:vAlign w:val="center"/>
          </w:tcPr>
          <w:p w:rsidR="0062564D" w:rsidRPr="00CA61A6" w:rsidRDefault="00B97DBF" w:rsidP="00745AC5">
            <w:pPr>
              <w:pStyle w:val="Tabletext"/>
              <w:jc w:val="center"/>
            </w:pPr>
            <w:r w:rsidRPr="00CA61A6">
              <w:sym w:font="Wingdings" w:char="F0FC"/>
            </w:r>
          </w:p>
        </w:tc>
        <w:tc>
          <w:tcPr>
            <w:tcW w:w="1395" w:type="dxa"/>
            <w:shd w:val="clear" w:color="auto" w:fill="auto"/>
            <w:vAlign w:val="center"/>
          </w:tcPr>
          <w:p w:rsidR="0062564D" w:rsidRPr="00CA61A6" w:rsidRDefault="00B97DBF" w:rsidP="00745AC5">
            <w:pPr>
              <w:pStyle w:val="Tabletext"/>
              <w:jc w:val="center"/>
            </w:pPr>
            <w:bookmarkStart w:id="166" w:name="lt_pId375"/>
            <w:r w:rsidRPr="00CA61A6">
              <w:sym w:font="Wingdings" w:char="F0FC"/>
            </w:r>
            <w:r w:rsidR="0062564D" w:rsidRPr="00CA61A6">
              <w:t xml:space="preserve"> (PP-14)</w:t>
            </w:r>
            <w:bookmarkEnd w:id="166"/>
          </w:p>
        </w:tc>
      </w:tr>
      <w:tr w:rsidR="0062564D" w:rsidRPr="00CA61A6" w:rsidTr="00F40EFF">
        <w:trPr>
          <w:cantSplit/>
          <w:jc w:val="center"/>
        </w:trPr>
        <w:tc>
          <w:tcPr>
            <w:tcW w:w="916" w:type="dxa"/>
            <w:shd w:val="clear" w:color="auto" w:fill="auto"/>
            <w:vAlign w:val="center"/>
          </w:tcPr>
          <w:p w:rsidR="0062564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44_19" w:history="1">
              <w:r w:rsidR="0062564D" w:rsidRPr="00CA61A6">
                <w:rPr>
                  <w:color w:val="0000FF"/>
                  <w:sz w:val="20"/>
                  <w:u w:val="single"/>
                </w:rPr>
                <w:t>44-19</w:t>
              </w:r>
            </w:hyperlink>
          </w:p>
        </w:tc>
        <w:tc>
          <w:tcPr>
            <w:tcW w:w="4608" w:type="dxa"/>
            <w:shd w:val="clear" w:color="auto" w:fill="auto"/>
            <w:vAlign w:val="center"/>
          </w:tcPr>
          <w:p w:rsidR="0062564D" w:rsidRPr="00CA61A6" w:rsidRDefault="0062564D" w:rsidP="00E83BF0">
            <w:pPr>
              <w:pStyle w:val="Tabletext"/>
            </w:pPr>
            <w:bookmarkStart w:id="167" w:name="lt_pId377"/>
            <w:r w:rsidRPr="00CA61A6">
              <w:t>La TSB prestará asistencia a los países en desarrollo para elaborar directrices que mejoren la participación nacional en las CE del UIT-T</w:t>
            </w:r>
            <w:bookmarkEnd w:id="167"/>
          </w:p>
        </w:tc>
        <w:tc>
          <w:tcPr>
            <w:tcW w:w="1548" w:type="dxa"/>
            <w:shd w:val="clear" w:color="auto" w:fill="auto"/>
            <w:vAlign w:val="center"/>
          </w:tcPr>
          <w:p w:rsidR="0062564D" w:rsidRPr="00CA61A6" w:rsidRDefault="0062564D" w:rsidP="0050246A">
            <w:pPr>
              <w:pStyle w:val="Tabletext"/>
              <w:jc w:val="center"/>
            </w:pPr>
            <w:r w:rsidRPr="00CA61A6">
              <w:t>En curso</w:t>
            </w:r>
          </w:p>
        </w:tc>
        <w:tc>
          <w:tcPr>
            <w:tcW w:w="1167" w:type="dxa"/>
            <w:shd w:val="clear" w:color="auto" w:fill="auto"/>
            <w:vAlign w:val="center"/>
          </w:tcPr>
          <w:p w:rsidR="0062564D" w:rsidRPr="00CA61A6" w:rsidRDefault="00B97DBF" w:rsidP="00745AC5">
            <w:pPr>
              <w:pStyle w:val="Tabletext"/>
              <w:jc w:val="center"/>
            </w:pPr>
            <w:r w:rsidRPr="00CA61A6">
              <w:sym w:font="Wingdings" w:char="F0FC"/>
            </w:r>
          </w:p>
        </w:tc>
        <w:tc>
          <w:tcPr>
            <w:tcW w:w="1395" w:type="dxa"/>
            <w:shd w:val="clear" w:color="auto" w:fill="auto"/>
            <w:vAlign w:val="center"/>
          </w:tcPr>
          <w:p w:rsidR="0062564D" w:rsidRPr="00CA61A6" w:rsidRDefault="0062564D" w:rsidP="00745AC5">
            <w:pPr>
              <w:pStyle w:val="Tabletext"/>
              <w:jc w:val="center"/>
            </w:pPr>
          </w:p>
        </w:tc>
      </w:tr>
      <w:tr w:rsidR="0062564D" w:rsidRPr="00CA61A6" w:rsidTr="00F40EFF">
        <w:trPr>
          <w:cantSplit/>
          <w:jc w:val="center"/>
        </w:trPr>
        <w:tc>
          <w:tcPr>
            <w:tcW w:w="916" w:type="dxa"/>
            <w:shd w:val="clear" w:color="auto" w:fill="auto"/>
            <w:vAlign w:val="center"/>
          </w:tcPr>
          <w:p w:rsidR="0062564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44_20" w:history="1">
              <w:r w:rsidR="0062564D" w:rsidRPr="00CA61A6">
                <w:rPr>
                  <w:color w:val="0000FF"/>
                  <w:sz w:val="20"/>
                  <w:u w:val="single"/>
                </w:rPr>
                <w:t>44-20</w:t>
              </w:r>
            </w:hyperlink>
          </w:p>
        </w:tc>
        <w:tc>
          <w:tcPr>
            <w:tcW w:w="4608" w:type="dxa"/>
            <w:shd w:val="clear" w:color="auto" w:fill="auto"/>
            <w:vAlign w:val="center"/>
          </w:tcPr>
          <w:p w:rsidR="0062564D" w:rsidRPr="00CA61A6" w:rsidRDefault="00DF4B68" w:rsidP="005D01B8">
            <w:pPr>
              <w:pStyle w:val="Tabletext"/>
            </w:pPr>
            <w:r w:rsidRPr="00CA61A6">
              <w:t xml:space="preserve">La TSB </w:t>
            </w:r>
            <w:r w:rsidR="005D01B8">
              <w:t>aumentará</w:t>
            </w:r>
            <w:r w:rsidR="0062564D" w:rsidRPr="00CA61A6">
              <w:t xml:space="preserve"> la utilización de medios electrónicos, tales como seminarios web o ciberenseñanza para la educación y formación sobre la apli</w:t>
            </w:r>
            <w:r w:rsidR="00E83BF0" w:rsidRPr="00CA61A6">
              <w:t>cación de Recomendaciones UIT-T</w:t>
            </w:r>
          </w:p>
        </w:tc>
        <w:tc>
          <w:tcPr>
            <w:tcW w:w="1548" w:type="dxa"/>
            <w:shd w:val="clear" w:color="auto" w:fill="auto"/>
            <w:vAlign w:val="center"/>
          </w:tcPr>
          <w:p w:rsidR="0062564D" w:rsidRPr="00CA61A6" w:rsidRDefault="0062564D" w:rsidP="0050246A">
            <w:pPr>
              <w:pStyle w:val="Tabletext"/>
              <w:jc w:val="center"/>
            </w:pPr>
            <w:r w:rsidRPr="00CA61A6">
              <w:t>En curso</w:t>
            </w:r>
          </w:p>
        </w:tc>
        <w:tc>
          <w:tcPr>
            <w:tcW w:w="1167" w:type="dxa"/>
            <w:shd w:val="clear" w:color="auto" w:fill="auto"/>
            <w:vAlign w:val="center"/>
          </w:tcPr>
          <w:p w:rsidR="0062564D" w:rsidRPr="00CA61A6" w:rsidRDefault="00B97DBF" w:rsidP="00745AC5">
            <w:pPr>
              <w:pStyle w:val="Tabletext"/>
              <w:jc w:val="center"/>
            </w:pPr>
            <w:r w:rsidRPr="00CA61A6">
              <w:sym w:font="Wingdings" w:char="F0FC"/>
            </w:r>
          </w:p>
        </w:tc>
        <w:tc>
          <w:tcPr>
            <w:tcW w:w="1395" w:type="dxa"/>
            <w:shd w:val="clear" w:color="auto" w:fill="auto"/>
            <w:vAlign w:val="center"/>
          </w:tcPr>
          <w:p w:rsidR="0062564D" w:rsidRPr="00CA61A6" w:rsidRDefault="0062564D" w:rsidP="00745AC5">
            <w:pPr>
              <w:pStyle w:val="Tabletext"/>
              <w:jc w:val="center"/>
            </w:pPr>
          </w:p>
        </w:tc>
      </w:tr>
      <w:tr w:rsidR="0062564D" w:rsidRPr="00CA61A6" w:rsidTr="00F40EFF">
        <w:trPr>
          <w:cantSplit/>
          <w:jc w:val="center"/>
        </w:trPr>
        <w:tc>
          <w:tcPr>
            <w:tcW w:w="916" w:type="dxa"/>
            <w:shd w:val="clear" w:color="auto" w:fill="auto"/>
            <w:vAlign w:val="center"/>
          </w:tcPr>
          <w:p w:rsidR="0062564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44_21" w:history="1">
              <w:r w:rsidR="0062564D" w:rsidRPr="00CA61A6">
                <w:rPr>
                  <w:color w:val="0000FF"/>
                  <w:sz w:val="20"/>
                  <w:u w:val="single"/>
                </w:rPr>
                <w:t>44-21</w:t>
              </w:r>
            </w:hyperlink>
          </w:p>
        </w:tc>
        <w:tc>
          <w:tcPr>
            <w:tcW w:w="4608" w:type="dxa"/>
            <w:shd w:val="clear" w:color="auto" w:fill="auto"/>
            <w:vAlign w:val="center"/>
          </w:tcPr>
          <w:p w:rsidR="0062564D" w:rsidRPr="00CA61A6" w:rsidRDefault="0062564D" w:rsidP="00E1747A">
            <w:pPr>
              <w:pStyle w:val="Tabletext"/>
            </w:pPr>
            <w:bookmarkStart w:id="168" w:name="lt_pId385"/>
            <w:r w:rsidRPr="00CA61A6">
              <w:t xml:space="preserve">La TSB proporcionará todo el apoyo necesario para la creación y la organización de reuniones y talleres de los </w:t>
            </w:r>
            <w:r w:rsidR="000C17DA" w:rsidRPr="00CA61A6">
              <w:t xml:space="preserve">Grupos Regionales </w:t>
            </w:r>
            <w:r w:rsidRPr="00CA61A6">
              <w:t>a fin de garantizar su buen funcionamiento</w:t>
            </w:r>
            <w:bookmarkEnd w:id="168"/>
          </w:p>
        </w:tc>
        <w:tc>
          <w:tcPr>
            <w:tcW w:w="1548" w:type="dxa"/>
            <w:shd w:val="clear" w:color="auto" w:fill="auto"/>
            <w:vAlign w:val="center"/>
          </w:tcPr>
          <w:p w:rsidR="0062564D" w:rsidRPr="00CA61A6" w:rsidRDefault="0062564D" w:rsidP="0050246A">
            <w:pPr>
              <w:pStyle w:val="Tabletext"/>
              <w:jc w:val="center"/>
            </w:pPr>
            <w:r w:rsidRPr="00CA61A6">
              <w:t>En curso</w:t>
            </w:r>
          </w:p>
        </w:tc>
        <w:tc>
          <w:tcPr>
            <w:tcW w:w="1167" w:type="dxa"/>
            <w:shd w:val="clear" w:color="auto" w:fill="auto"/>
            <w:vAlign w:val="center"/>
          </w:tcPr>
          <w:p w:rsidR="0062564D" w:rsidRPr="00CA61A6" w:rsidRDefault="00B97DBF" w:rsidP="00745AC5">
            <w:pPr>
              <w:pStyle w:val="Tabletext"/>
              <w:jc w:val="center"/>
            </w:pPr>
            <w:r w:rsidRPr="00CA61A6">
              <w:sym w:font="Wingdings" w:char="F0FC"/>
            </w:r>
          </w:p>
        </w:tc>
        <w:tc>
          <w:tcPr>
            <w:tcW w:w="1395" w:type="dxa"/>
            <w:shd w:val="clear" w:color="auto" w:fill="auto"/>
            <w:vAlign w:val="center"/>
          </w:tcPr>
          <w:p w:rsidR="0062564D" w:rsidRPr="00CA61A6" w:rsidRDefault="0062564D" w:rsidP="00745AC5">
            <w:pPr>
              <w:pStyle w:val="Tabletext"/>
              <w:jc w:val="center"/>
            </w:pPr>
          </w:p>
        </w:tc>
      </w:tr>
      <w:tr w:rsidR="0062564D" w:rsidRPr="00CA61A6" w:rsidTr="00F40EFF">
        <w:trPr>
          <w:cantSplit/>
          <w:jc w:val="center"/>
        </w:trPr>
        <w:tc>
          <w:tcPr>
            <w:tcW w:w="916" w:type="dxa"/>
            <w:shd w:val="clear" w:color="auto" w:fill="auto"/>
            <w:vAlign w:val="center"/>
          </w:tcPr>
          <w:p w:rsidR="0062564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44_22" w:history="1">
              <w:r w:rsidR="0062564D" w:rsidRPr="00CA61A6">
                <w:rPr>
                  <w:color w:val="0000FF"/>
                  <w:sz w:val="20"/>
                  <w:u w:val="single"/>
                </w:rPr>
                <w:t>44-22</w:t>
              </w:r>
            </w:hyperlink>
          </w:p>
        </w:tc>
        <w:tc>
          <w:tcPr>
            <w:tcW w:w="4608" w:type="dxa"/>
            <w:shd w:val="clear" w:color="auto" w:fill="auto"/>
            <w:vAlign w:val="center"/>
          </w:tcPr>
          <w:p w:rsidR="0062564D" w:rsidRPr="00CA61A6" w:rsidRDefault="0062564D" w:rsidP="002A40CA">
            <w:pPr>
              <w:pStyle w:val="Tabletext"/>
            </w:pPr>
            <w:bookmarkStart w:id="169" w:name="lt_pId389"/>
            <w:r w:rsidRPr="00CA61A6">
              <w:t xml:space="preserve">El Director de la TSB informará al Consejo sobre la eficacia de los </w:t>
            </w:r>
            <w:r w:rsidR="000C17DA" w:rsidRPr="00CA61A6">
              <w:t>Grupos Regionales</w:t>
            </w:r>
            <w:bookmarkEnd w:id="169"/>
          </w:p>
        </w:tc>
        <w:tc>
          <w:tcPr>
            <w:tcW w:w="1548" w:type="dxa"/>
            <w:shd w:val="clear" w:color="auto" w:fill="auto"/>
            <w:vAlign w:val="center"/>
          </w:tcPr>
          <w:p w:rsidR="0062564D" w:rsidRPr="00CA61A6" w:rsidRDefault="0062564D" w:rsidP="0050246A">
            <w:pPr>
              <w:pStyle w:val="Tabletext"/>
              <w:jc w:val="center"/>
            </w:pPr>
            <w:bookmarkStart w:id="170" w:name="lt_pId390"/>
            <w:r w:rsidRPr="00CA61A6">
              <w:t xml:space="preserve">Consejo </w:t>
            </w:r>
            <w:r w:rsidR="001A7421">
              <w:t xml:space="preserve">de </w:t>
            </w:r>
            <w:r w:rsidRPr="00CA61A6">
              <w:t>2013</w:t>
            </w:r>
            <w:bookmarkEnd w:id="170"/>
          </w:p>
        </w:tc>
        <w:tc>
          <w:tcPr>
            <w:tcW w:w="1167" w:type="dxa"/>
            <w:shd w:val="clear" w:color="auto" w:fill="auto"/>
            <w:vAlign w:val="center"/>
          </w:tcPr>
          <w:p w:rsidR="0062564D" w:rsidRPr="00CA61A6" w:rsidRDefault="00B97DBF" w:rsidP="00745AC5">
            <w:pPr>
              <w:pStyle w:val="Tabletext"/>
              <w:jc w:val="center"/>
            </w:pPr>
            <w:r w:rsidRPr="00CA61A6">
              <w:sym w:font="Wingdings" w:char="F0FC"/>
            </w:r>
          </w:p>
        </w:tc>
        <w:tc>
          <w:tcPr>
            <w:tcW w:w="1395" w:type="dxa"/>
            <w:shd w:val="clear" w:color="auto" w:fill="auto"/>
            <w:vAlign w:val="center"/>
          </w:tcPr>
          <w:p w:rsidR="0062564D" w:rsidRPr="00CA61A6" w:rsidRDefault="0062564D" w:rsidP="00745AC5">
            <w:pPr>
              <w:pStyle w:val="Tabletext"/>
              <w:jc w:val="center"/>
            </w:pPr>
          </w:p>
        </w:tc>
      </w:tr>
      <w:tr w:rsidR="0062564D" w:rsidRPr="00CA61A6" w:rsidTr="00F40EFF">
        <w:trPr>
          <w:cantSplit/>
          <w:jc w:val="center"/>
        </w:trPr>
        <w:tc>
          <w:tcPr>
            <w:tcW w:w="916" w:type="dxa"/>
            <w:shd w:val="clear" w:color="auto" w:fill="auto"/>
            <w:vAlign w:val="center"/>
          </w:tcPr>
          <w:p w:rsidR="0062564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44_23" w:history="1">
              <w:r w:rsidR="0062564D" w:rsidRPr="00CA61A6">
                <w:rPr>
                  <w:color w:val="0000FF"/>
                  <w:sz w:val="20"/>
                  <w:u w:val="single"/>
                </w:rPr>
                <w:t>44-23</w:t>
              </w:r>
            </w:hyperlink>
          </w:p>
        </w:tc>
        <w:tc>
          <w:tcPr>
            <w:tcW w:w="4608" w:type="dxa"/>
            <w:shd w:val="clear" w:color="auto" w:fill="auto"/>
            <w:vAlign w:val="center"/>
          </w:tcPr>
          <w:p w:rsidR="0062564D" w:rsidRPr="00CA61A6" w:rsidRDefault="0062564D" w:rsidP="00E77EE1">
            <w:pPr>
              <w:pStyle w:val="Tabletext"/>
            </w:pPr>
            <w:r w:rsidRPr="00CA61A6">
              <w:t>El Director de la TSB colaborará estrechamente con los Directores de la BDT y de la BR para alentar la constitución de asociaciones bajo los auspicios del UIT</w:t>
            </w:r>
            <w:r w:rsidRPr="00CA61A6">
              <w:noBreakHyphen/>
              <w:t>T como uno de los mecanismos para financiar el plan de acción</w:t>
            </w:r>
          </w:p>
        </w:tc>
        <w:tc>
          <w:tcPr>
            <w:tcW w:w="1548" w:type="dxa"/>
            <w:shd w:val="clear" w:color="auto" w:fill="auto"/>
            <w:vAlign w:val="center"/>
          </w:tcPr>
          <w:p w:rsidR="0062564D" w:rsidRPr="00CA61A6" w:rsidRDefault="0062564D" w:rsidP="0050246A">
            <w:pPr>
              <w:pStyle w:val="Tabletext"/>
              <w:jc w:val="center"/>
            </w:pPr>
            <w:r w:rsidRPr="00CA61A6">
              <w:t>En curso</w:t>
            </w:r>
          </w:p>
        </w:tc>
        <w:tc>
          <w:tcPr>
            <w:tcW w:w="1167" w:type="dxa"/>
            <w:shd w:val="clear" w:color="auto" w:fill="auto"/>
            <w:vAlign w:val="center"/>
          </w:tcPr>
          <w:p w:rsidR="0062564D" w:rsidRPr="00CA61A6" w:rsidRDefault="00B97DBF" w:rsidP="00745AC5">
            <w:pPr>
              <w:pStyle w:val="Tabletext"/>
              <w:jc w:val="center"/>
            </w:pPr>
            <w:r w:rsidRPr="00CA61A6">
              <w:sym w:font="Wingdings" w:char="F0FC"/>
            </w:r>
          </w:p>
        </w:tc>
        <w:tc>
          <w:tcPr>
            <w:tcW w:w="1395" w:type="dxa"/>
            <w:shd w:val="clear" w:color="auto" w:fill="auto"/>
            <w:vAlign w:val="center"/>
          </w:tcPr>
          <w:p w:rsidR="0062564D" w:rsidRPr="00CA61A6" w:rsidRDefault="0062564D" w:rsidP="00745AC5">
            <w:pPr>
              <w:pStyle w:val="Tabletext"/>
              <w:jc w:val="center"/>
            </w:pPr>
          </w:p>
        </w:tc>
      </w:tr>
      <w:tr w:rsidR="0062564D" w:rsidRPr="00CA61A6" w:rsidTr="00F40EFF">
        <w:trPr>
          <w:cantSplit/>
          <w:jc w:val="center"/>
        </w:trPr>
        <w:tc>
          <w:tcPr>
            <w:tcW w:w="916" w:type="dxa"/>
            <w:shd w:val="clear" w:color="auto" w:fill="auto"/>
            <w:vAlign w:val="center"/>
          </w:tcPr>
          <w:p w:rsidR="0062564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44_24" w:history="1">
              <w:r w:rsidR="0062564D" w:rsidRPr="00CA61A6">
                <w:rPr>
                  <w:color w:val="0000FF"/>
                  <w:sz w:val="20"/>
                  <w:u w:val="single"/>
                </w:rPr>
                <w:t>44-24</w:t>
              </w:r>
            </w:hyperlink>
          </w:p>
        </w:tc>
        <w:tc>
          <w:tcPr>
            <w:tcW w:w="4608" w:type="dxa"/>
            <w:shd w:val="clear" w:color="auto" w:fill="auto"/>
            <w:vAlign w:val="center"/>
          </w:tcPr>
          <w:p w:rsidR="0062564D" w:rsidRPr="00CA61A6" w:rsidRDefault="0062564D" w:rsidP="001F5571">
            <w:pPr>
              <w:pStyle w:val="Tabletext"/>
            </w:pPr>
            <w:bookmarkStart w:id="171" w:name="lt_pId397"/>
            <w:r w:rsidRPr="00CA61A6">
              <w:t xml:space="preserve">La TSB organizará talleres y seminarios sobre BSG para países en desarrollo, junto con las reuniones de los </w:t>
            </w:r>
            <w:r w:rsidR="000C17DA" w:rsidRPr="00CA61A6">
              <w:t xml:space="preserve">Grupos Regionales </w:t>
            </w:r>
            <w:r w:rsidRPr="00CA61A6">
              <w:t>del U</w:t>
            </w:r>
            <w:r w:rsidR="000F3950" w:rsidRPr="00CA61A6">
              <w:t xml:space="preserve">IT-T, </w:t>
            </w:r>
            <w:r w:rsidRPr="00CA61A6">
              <w:t>de ser posible, en coordinación/colaboración con el UIT-D</w:t>
            </w:r>
            <w:bookmarkEnd w:id="171"/>
          </w:p>
        </w:tc>
        <w:tc>
          <w:tcPr>
            <w:tcW w:w="1548" w:type="dxa"/>
            <w:shd w:val="clear" w:color="auto" w:fill="auto"/>
            <w:vAlign w:val="center"/>
          </w:tcPr>
          <w:p w:rsidR="0062564D" w:rsidRPr="00CA61A6" w:rsidRDefault="0062564D" w:rsidP="0050246A">
            <w:pPr>
              <w:pStyle w:val="Tabletext"/>
              <w:jc w:val="center"/>
            </w:pPr>
            <w:r w:rsidRPr="00CA61A6">
              <w:t>En curso</w:t>
            </w:r>
          </w:p>
        </w:tc>
        <w:tc>
          <w:tcPr>
            <w:tcW w:w="1167" w:type="dxa"/>
            <w:shd w:val="clear" w:color="auto" w:fill="auto"/>
            <w:vAlign w:val="center"/>
          </w:tcPr>
          <w:p w:rsidR="0062564D" w:rsidRPr="00CA61A6" w:rsidRDefault="00B97DBF" w:rsidP="00745AC5">
            <w:pPr>
              <w:pStyle w:val="Tabletext"/>
              <w:jc w:val="center"/>
            </w:pPr>
            <w:r w:rsidRPr="00CA61A6">
              <w:sym w:font="Wingdings" w:char="F0FC"/>
            </w:r>
          </w:p>
        </w:tc>
        <w:tc>
          <w:tcPr>
            <w:tcW w:w="1395" w:type="dxa"/>
            <w:shd w:val="clear" w:color="auto" w:fill="auto"/>
            <w:vAlign w:val="center"/>
          </w:tcPr>
          <w:p w:rsidR="0062564D" w:rsidRPr="00CA61A6" w:rsidRDefault="0062564D" w:rsidP="00745AC5">
            <w:pPr>
              <w:pStyle w:val="Tabletext"/>
              <w:jc w:val="center"/>
            </w:pPr>
          </w:p>
        </w:tc>
      </w:tr>
      <w:tr w:rsidR="0062564D" w:rsidRPr="00CA61A6" w:rsidTr="00F40EFF">
        <w:trPr>
          <w:cantSplit/>
          <w:jc w:val="center"/>
        </w:trPr>
        <w:tc>
          <w:tcPr>
            <w:tcW w:w="916" w:type="dxa"/>
            <w:shd w:val="clear" w:color="auto" w:fill="auto"/>
            <w:vAlign w:val="center"/>
          </w:tcPr>
          <w:p w:rsidR="0062564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44_25" w:history="1">
              <w:r w:rsidR="0062564D" w:rsidRPr="00CA61A6">
                <w:rPr>
                  <w:color w:val="0000FF"/>
                  <w:sz w:val="20"/>
                  <w:u w:val="single"/>
                </w:rPr>
                <w:t>44-25</w:t>
              </w:r>
            </w:hyperlink>
          </w:p>
        </w:tc>
        <w:tc>
          <w:tcPr>
            <w:tcW w:w="4608" w:type="dxa"/>
            <w:shd w:val="clear" w:color="auto" w:fill="auto"/>
            <w:vAlign w:val="center"/>
          </w:tcPr>
          <w:p w:rsidR="0062564D" w:rsidRPr="00CA61A6" w:rsidRDefault="0062564D" w:rsidP="00DF0269">
            <w:pPr>
              <w:pStyle w:val="Tabletext"/>
            </w:pPr>
            <w:bookmarkStart w:id="172" w:name="lt_pId401"/>
            <w:r w:rsidRPr="00CA61A6">
              <w:t xml:space="preserve">Los Estados Miembros y las regiones fomentarán la creación de los órganos de normalización regionales </w:t>
            </w:r>
            <w:r w:rsidR="00DF0269" w:rsidRPr="00CA61A6">
              <w:t xml:space="preserve">adecuados </w:t>
            </w:r>
            <w:r w:rsidRPr="00CA61A6">
              <w:t xml:space="preserve">y organizarán reuniones conjuntas y coordinadas de dichos órganos con los </w:t>
            </w:r>
            <w:r w:rsidR="000C17DA" w:rsidRPr="00CA61A6">
              <w:t>Grupos Regionales</w:t>
            </w:r>
            <w:bookmarkEnd w:id="172"/>
          </w:p>
        </w:tc>
        <w:tc>
          <w:tcPr>
            <w:tcW w:w="1548" w:type="dxa"/>
            <w:shd w:val="clear" w:color="auto" w:fill="auto"/>
            <w:vAlign w:val="center"/>
          </w:tcPr>
          <w:p w:rsidR="0062564D" w:rsidRPr="00CA61A6" w:rsidRDefault="0062564D" w:rsidP="0050246A">
            <w:pPr>
              <w:pStyle w:val="Tabletext"/>
              <w:jc w:val="center"/>
            </w:pPr>
          </w:p>
        </w:tc>
        <w:tc>
          <w:tcPr>
            <w:tcW w:w="1167" w:type="dxa"/>
            <w:shd w:val="clear" w:color="auto" w:fill="auto"/>
            <w:vAlign w:val="center"/>
          </w:tcPr>
          <w:p w:rsidR="0062564D" w:rsidRPr="00CA61A6" w:rsidRDefault="0062564D" w:rsidP="00745AC5">
            <w:pPr>
              <w:pStyle w:val="Tabletext"/>
              <w:jc w:val="center"/>
            </w:pPr>
            <w:r w:rsidRPr="00CA61A6">
              <w:t>×</w:t>
            </w:r>
          </w:p>
        </w:tc>
        <w:tc>
          <w:tcPr>
            <w:tcW w:w="1395" w:type="dxa"/>
            <w:shd w:val="clear" w:color="auto" w:fill="auto"/>
            <w:vAlign w:val="center"/>
          </w:tcPr>
          <w:p w:rsidR="0062564D" w:rsidRPr="00CA61A6" w:rsidRDefault="0062564D" w:rsidP="00745AC5">
            <w:pPr>
              <w:pStyle w:val="Tabletext"/>
              <w:jc w:val="center"/>
            </w:pPr>
          </w:p>
        </w:tc>
      </w:tr>
      <w:tr w:rsidR="0062564D" w:rsidRPr="00CA61A6" w:rsidTr="00F40EFF">
        <w:trPr>
          <w:cantSplit/>
          <w:jc w:val="center"/>
        </w:trPr>
        <w:tc>
          <w:tcPr>
            <w:tcW w:w="916" w:type="dxa"/>
            <w:shd w:val="clear" w:color="auto" w:fill="auto"/>
            <w:vAlign w:val="center"/>
          </w:tcPr>
          <w:p w:rsidR="0062564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44_26" w:history="1">
              <w:r w:rsidR="0062564D" w:rsidRPr="00CA61A6">
                <w:rPr>
                  <w:color w:val="0000FF"/>
                  <w:sz w:val="20"/>
                  <w:u w:val="single"/>
                </w:rPr>
                <w:t>44-26</w:t>
              </w:r>
            </w:hyperlink>
          </w:p>
        </w:tc>
        <w:tc>
          <w:tcPr>
            <w:tcW w:w="4608" w:type="dxa"/>
            <w:shd w:val="clear" w:color="auto" w:fill="auto"/>
            <w:vAlign w:val="center"/>
          </w:tcPr>
          <w:p w:rsidR="0062564D" w:rsidRPr="00CA61A6" w:rsidRDefault="0062564D" w:rsidP="001F5571">
            <w:pPr>
              <w:pStyle w:val="Tabletext"/>
            </w:pPr>
            <w:r w:rsidRPr="00CA61A6">
              <w:t>Elaboración de directrices para facilitar la participación de los países en desarr</w:t>
            </w:r>
            <w:r w:rsidR="005E64D5">
              <w:t>ollo en las actividades del UIT-</w:t>
            </w:r>
            <w:r w:rsidRPr="00CA61A6">
              <w:t>T, sobre aspectos tales como los métodos del trabajo del UIT-T, la formulación de proyectos de Cuestiones y la elabora</w:t>
            </w:r>
            <w:r w:rsidR="001F5571" w:rsidRPr="00CA61A6">
              <w:t>ción de propuestas, entre otros</w:t>
            </w:r>
          </w:p>
        </w:tc>
        <w:tc>
          <w:tcPr>
            <w:tcW w:w="1548" w:type="dxa"/>
            <w:shd w:val="clear" w:color="auto" w:fill="auto"/>
            <w:vAlign w:val="center"/>
          </w:tcPr>
          <w:p w:rsidR="0062564D" w:rsidRPr="00CA61A6" w:rsidRDefault="0062564D" w:rsidP="0050246A">
            <w:pPr>
              <w:pStyle w:val="Tabletext"/>
              <w:jc w:val="center"/>
            </w:pPr>
            <w:r w:rsidRPr="00CA61A6">
              <w:t>En curso</w:t>
            </w:r>
          </w:p>
        </w:tc>
        <w:tc>
          <w:tcPr>
            <w:tcW w:w="1167" w:type="dxa"/>
            <w:shd w:val="clear" w:color="auto" w:fill="auto"/>
            <w:vAlign w:val="center"/>
          </w:tcPr>
          <w:p w:rsidR="0062564D" w:rsidRPr="00CA61A6" w:rsidRDefault="00B97DBF" w:rsidP="00745AC5">
            <w:pPr>
              <w:pStyle w:val="Tabletext"/>
              <w:jc w:val="center"/>
            </w:pPr>
            <w:r w:rsidRPr="00CA61A6">
              <w:sym w:font="Wingdings" w:char="F0FC"/>
            </w:r>
          </w:p>
        </w:tc>
        <w:tc>
          <w:tcPr>
            <w:tcW w:w="1395" w:type="dxa"/>
            <w:shd w:val="clear" w:color="auto" w:fill="auto"/>
            <w:vAlign w:val="center"/>
          </w:tcPr>
          <w:p w:rsidR="0062564D" w:rsidRPr="00CA61A6" w:rsidRDefault="0062564D" w:rsidP="00745AC5">
            <w:pPr>
              <w:pStyle w:val="Tabletext"/>
              <w:jc w:val="center"/>
            </w:pPr>
          </w:p>
        </w:tc>
      </w:tr>
      <w:tr w:rsidR="0062564D" w:rsidRPr="00CA61A6" w:rsidTr="00F40EFF">
        <w:trPr>
          <w:cantSplit/>
          <w:jc w:val="center"/>
        </w:trPr>
        <w:tc>
          <w:tcPr>
            <w:tcW w:w="916" w:type="dxa"/>
            <w:shd w:val="clear" w:color="auto" w:fill="auto"/>
            <w:vAlign w:val="center"/>
          </w:tcPr>
          <w:p w:rsidR="0062564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44_27" w:history="1">
              <w:r w:rsidR="0062564D" w:rsidRPr="00CA61A6">
                <w:rPr>
                  <w:color w:val="0000FF"/>
                  <w:sz w:val="20"/>
                  <w:u w:val="single"/>
                </w:rPr>
                <w:t>44-27</w:t>
              </w:r>
            </w:hyperlink>
          </w:p>
        </w:tc>
        <w:tc>
          <w:tcPr>
            <w:tcW w:w="4608" w:type="dxa"/>
            <w:shd w:val="clear" w:color="auto" w:fill="auto"/>
            <w:vAlign w:val="center"/>
          </w:tcPr>
          <w:p w:rsidR="0062564D" w:rsidRPr="00CA61A6" w:rsidRDefault="0062564D" w:rsidP="001F5571">
            <w:pPr>
              <w:pStyle w:val="Tabletext"/>
            </w:pPr>
            <w:r w:rsidRPr="00CA61A6">
              <w:t>Mejorar y fomentar la utilización de un foro para "Preguntas y respuestas sobre normas" en el cual los países en desarrollo puedan plantear preguntas relativas a su comprensión y aplicación de Recomendaciones y solicitar asesoramiento a los expertos de las Comisiones de Estudio</w:t>
            </w:r>
          </w:p>
        </w:tc>
        <w:tc>
          <w:tcPr>
            <w:tcW w:w="1548" w:type="dxa"/>
            <w:shd w:val="clear" w:color="auto" w:fill="auto"/>
            <w:vAlign w:val="center"/>
          </w:tcPr>
          <w:p w:rsidR="0062564D" w:rsidRPr="00CA61A6" w:rsidRDefault="0062564D" w:rsidP="0050246A">
            <w:pPr>
              <w:pStyle w:val="Tabletext"/>
              <w:jc w:val="center"/>
            </w:pPr>
            <w:r w:rsidRPr="00CA61A6">
              <w:t>En curso</w:t>
            </w:r>
          </w:p>
        </w:tc>
        <w:tc>
          <w:tcPr>
            <w:tcW w:w="1167" w:type="dxa"/>
            <w:shd w:val="clear" w:color="auto" w:fill="auto"/>
            <w:vAlign w:val="center"/>
          </w:tcPr>
          <w:p w:rsidR="0062564D" w:rsidRPr="00CA61A6" w:rsidRDefault="00B97DBF" w:rsidP="00745AC5">
            <w:pPr>
              <w:pStyle w:val="Tabletext"/>
              <w:jc w:val="center"/>
            </w:pPr>
            <w:r w:rsidRPr="00CA61A6">
              <w:sym w:font="Wingdings" w:char="F0FC"/>
            </w:r>
          </w:p>
        </w:tc>
        <w:tc>
          <w:tcPr>
            <w:tcW w:w="1395" w:type="dxa"/>
            <w:shd w:val="clear" w:color="auto" w:fill="auto"/>
            <w:vAlign w:val="center"/>
          </w:tcPr>
          <w:p w:rsidR="0062564D" w:rsidRPr="00CA61A6" w:rsidRDefault="0062564D" w:rsidP="00745AC5">
            <w:pPr>
              <w:pStyle w:val="Tabletext"/>
              <w:jc w:val="center"/>
            </w:pPr>
          </w:p>
        </w:tc>
      </w:tr>
      <w:tr w:rsidR="0062564D" w:rsidRPr="00CA61A6" w:rsidTr="00F40EFF">
        <w:trPr>
          <w:cantSplit/>
          <w:jc w:val="center"/>
        </w:trPr>
        <w:tc>
          <w:tcPr>
            <w:tcW w:w="916" w:type="dxa"/>
            <w:shd w:val="clear" w:color="auto" w:fill="auto"/>
            <w:vAlign w:val="center"/>
          </w:tcPr>
          <w:p w:rsidR="0062564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44_28" w:history="1">
              <w:r w:rsidR="0062564D" w:rsidRPr="00CA61A6">
                <w:rPr>
                  <w:color w:val="0000FF"/>
                  <w:sz w:val="20"/>
                  <w:u w:val="single"/>
                </w:rPr>
                <w:t>44-28</w:t>
              </w:r>
            </w:hyperlink>
          </w:p>
        </w:tc>
        <w:tc>
          <w:tcPr>
            <w:tcW w:w="4608" w:type="dxa"/>
            <w:shd w:val="clear" w:color="auto" w:fill="auto"/>
            <w:vAlign w:val="center"/>
          </w:tcPr>
          <w:p w:rsidR="0062564D" w:rsidRPr="00CA61A6" w:rsidRDefault="0062564D" w:rsidP="006364B5">
            <w:pPr>
              <w:pStyle w:val="Tabletext"/>
            </w:pPr>
            <w:bookmarkStart w:id="173" w:name="lt_pId412"/>
            <w:r w:rsidRPr="00CA61A6">
              <w:t>En estrecha colaboración con la BDT y la BR, impartir cursos de capacitación sobre normalización en los países en desarrollo</w:t>
            </w:r>
            <w:bookmarkEnd w:id="173"/>
          </w:p>
        </w:tc>
        <w:tc>
          <w:tcPr>
            <w:tcW w:w="1548" w:type="dxa"/>
            <w:shd w:val="clear" w:color="auto" w:fill="auto"/>
            <w:vAlign w:val="center"/>
          </w:tcPr>
          <w:p w:rsidR="0062564D" w:rsidRPr="00CA61A6" w:rsidRDefault="0062564D" w:rsidP="0050246A">
            <w:pPr>
              <w:pStyle w:val="Tabletext"/>
              <w:jc w:val="center"/>
            </w:pPr>
            <w:r w:rsidRPr="00CA61A6">
              <w:t>En curso</w:t>
            </w:r>
          </w:p>
        </w:tc>
        <w:tc>
          <w:tcPr>
            <w:tcW w:w="1167" w:type="dxa"/>
            <w:shd w:val="clear" w:color="auto" w:fill="auto"/>
            <w:vAlign w:val="center"/>
          </w:tcPr>
          <w:p w:rsidR="0062564D" w:rsidRPr="00CA61A6" w:rsidRDefault="00B97DBF" w:rsidP="00745AC5">
            <w:pPr>
              <w:pStyle w:val="Tabletext"/>
              <w:jc w:val="center"/>
            </w:pPr>
            <w:r w:rsidRPr="00CA61A6">
              <w:sym w:font="Wingdings" w:char="F0FC"/>
            </w:r>
          </w:p>
        </w:tc>
        <w:tc>
          <w:tcPr>
            <w:tcW w:w="1395" w:type="dxa"/>
            <w:shd w:val="clear" w:color="auto" w:fill="auto"/>
            <w:vAlign w:val="center"/>
          </w:tcPr>
          <w:p w:rsidR="0062564D" w:rsidRPr="00CA61A6" w:rsidRDefault="0062564D" w:rsidP="00745AC5">
            <w:pPr>
              <w:pStyle w:val="Tabletext"/>
              <w:jc w:val="center"/>
            </w:pPr>
          </w:p>
        </w:tc>
      </w:tr>
      <w:tr w:rsidR="0062564D" w:rsidRPr="00CA61A6" w:rsidTr="00F40EFF">
        <w:trPr>
          <w:cantSplit/>
          <w:jc w:val="center"/>
        </w:trPr>
        <w:tc>
          <w:tcPr>
            <w:tcW w:w="916" w:type="dxa"/>
            <w:shd w:val="clear" w:color="auto" w:fill="auto"/>
            <w:vAlign w:val="center"/>
          </w:tcPr>
          <w:p w:rsidR="0062564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44_29" w:history="1">
              <w:r w:rsidR="0062564D" w:rsidRPr="00CA61A6">
                <w:rPr>
                  <w:color w:val="0000FF"/>
                  <w:sz w:val="20"/>
                  <w:u w:val="single"/>
                </w:rPr>
                <w:t>44-29</w:t>
              </w:r>
            </w:hyperlink>
          </w:p>
        </w:tc>
        <w:tc>
          <w:tcPr>
            <w:tcW w:w="4608" w:type="dxa"/>
            <w:shd w:val="clear" w:color="auto" w:fill="auto"/>
            <w:vAlign w:val="center"/>
          </w:tcPr>
          <w:p w:rsidR="0062564D" w:rsidRPr="00CA61A6" w:rsidRDefault="0062564D" w:rsidP="006364B5">
            <w:pPr>
              <w:pStyle w:val="Tabletext"/>
            </w:pPr>
            <w:r w:rsidRPr="00CA61A6">
              <w:t>Organizar talleres exhaustivos sobre la aplicación d</w:t>
            </w:r>
            <w:r w:rsidR="001F5571" w:rsidRPr="00CA61A6">
              <w:t>e las Recomendaciones del UIT-T</w:t>
            </w:r>
          </w:p>
        </w:tc>
        <w:tc>
          <w:tcPr>
            <w:tcW w:w="1548" w:type="dxa"/>
            <w:shd w:val="clear" w:color="auto" w:fill="auto"/>
            <w:vAlign w:val="center"/>
          </w:tcPr>
          <w:p w:rsidR="0062564D" w:rsidRPr="00CA61A6" w:rsidRDefault="0062564D" w:rsidP="0050246A">
            <w:pPr>
              <w:pStyle w:val="Tabletext"/>
              <w:jc w:val="center"/>
            </w:pPr>
            <w:r w:rsidRPr="00CA61A6">
              <w:t>En curso</w:t>
            </w:r>
          </w:p>
        </w:tc>
        <w:tc>
          <w:tcPr>
            <w:tcW w:w="1167" w:type="dxa"/>
            <w:shd w:val="clear" w:color="auto" w:fill="auto"/>
            <w:vAlign w:val="center"/>
          </w:tcPr>
          <w:p w:rsidR="0062564D" w:rsidRPr="00CA61A6" w:rsidRDefault="00B97DBF" w:rsidP="00745AC5">
            <w:pPr>
              <w:pStyle w:val="Tabletext"/>
              <w:jc w:val="center"/>
            </w:pPr>
            <w:r w:rsidRPr="00CA61A6">
              <w:sym w:font="Wingdings" w:char="F0FC"/>
            </w:r>
          </w:p>
        </w:tc>
        <w:tc>
          <w:tcPr>
            <w:tcW w:w="1395" w:type="dxa"/>
            <w:shd w:val="clear" w:color="auto" w:fill="auto"/>
            <w:vAlign w:val="center"/>
          </w:tcPr>
          <w:p w:rsidR="0062564D" w:rsidRPr="00CA61A6" w:rsidRDefault="0062564D" w:rsidP="00745AC5">
            <w:pPr>
              <w:pStyle w:val="Tabletext"/>
              <w:jc w:val="center"/>
            </w:pPr>
          </w:p>
        </w:tc>
      </w:tr>
      <w:tr w:rsidR="0062564D" w:rsidRPr="00CA61A6" w:rsidTr="00F40EFF">
        <w:trPr>
          <w:cantSplit/>
          <w:jc w:val="center"/>
        </w:trPr>
        <w:tc>
          <w:tcPr>
            <w:tcW w:w="916" w:type="dxa"/>
            <w:shd w:val="clear" w:color="auto" w:fill="auto"/>
            <w:vAlign w:val="center"/>
          </w:tcPr>
          <w:p w:rsidR="0062564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44_30" w:history="1">
              <w:r w:rsidR="0062564D" w:rsidRPr="00CA61A6">
                <w:rPr>
                  <w:color w:val="0000FF"/>
                  <w:sz w:val="20"/>
                  <w:u w:val="single"/>
                </w:rPr>
                <w:t>44-30</w:t>
              </w:r>
            </w:hyperlink>
          </w:p>
        </w:tc>
        <w:tc>
          <w:tcPr>
            <w:tcW w:w="4608" w:type="dxa"/>
            <w:shd w:val="clear" w:color="auto" w:fill="auto"/>
            <w:vAlign w:val="center"/>
          </w:tcPr>
          <w:p w:rsidR="0062564D" w:rsidRPr="00CA61A6" w:rsidRDefault="0062564D" w:rsidP="006364B5">
            <w:pPr>
              <w:pStyle w:val="Tabletext"/>
            </w:pPr>
            <w:r w:rsidRPr="00CA61A6">
              <w:t>A través de la TSB, conceder becas para asistir a las reuniones del UIT-T a los países que cumplan las condiciones necesarias</w:t>
            </w:r>
          </w:p>
        </w:tc>
        <w:tc>
          <w:tcPr>
            <w:tcW w:w="1548" w:type="dxa"/>
            <w:shd w:val="clear" w:color="auto" w:fill="auto"/>
            <w:vAlign w:val="center"/>
          </w:tcPr>
          <w:p w:rsidR="0062564D" w:rsidRPr="00CA61A6" w:rsidRDefault="0062564D" w:rsidP="0050246A">
            <w:pPr>
              <w:pStyle w:val="Tabletext"/>
              <w:jc w:val="center"/>
            </w:pPr>
            <w:r w:rsidRPr="00CA61A6">
              <w:t>En curso</w:t>
            </w:r>
          </w:p>
        </w:tc>
        <w:tc>
          <w:tcPr>
            <w:tcW w:w="1167" w:type="dxa"/>
            <w:shd w:val="clear" w:color="auto" w:fill="auto"/>
            <w:vAlign w:val="center"/>
          </w:tcPr>
          <w:p w:rsidR="0062564D" w:rsidRPr="00CA61A6" w:rsidRDefault="00B97DBF" w:rsidP="00745AC5">
            <w:pPr>
              <w:pStyle w:val="Tabletext"/>
              <w:jc w:val="center"/>
            </w:pPr>
            <w:r w:rsidRPr="00CA61A6">
              <w:sym w:font="Wingdings" w:char="F0FC"/>
            </w:r>
          </w:p>
        </w:tc>
        <w:tc>
          <w:tcPr>
            <w:tcW w:w="1395" w:type="dxa"/>
            <w:shd w:val="clear" w:color="auto" w:fill="auto"/>
            <w:vAlign w:val="center"/>
          </w:tcPr>
          <w:p w:rsidR="0062564D" w:rsidRPr="00CA61A6" w:rsidRDefault="0062564D" w:rsidP="00745AC5">
            <w:pPr>
              <w:pStyle w:val="Tabletext"/>
              <w:jc w:val="center"/>
            </w:pPr>
          </w:p>
        </w:tc>
      </w:tr>
    </w:tbl>
    <w:p w:rsidR="0062564D" w:rsidRPr="00CA61A6" w:rsidRDefault="00485AE9" w:rsidP="00485AE9">
      <w:pPr>
        <w:pStyle w:val="Headingb"/>
        <w:rPr>
          <w:lang w:eastAsia="ja-JP"/>
        </w:rPr>
      </w:pPr>
      <w:bookmarkStart w:id="174" w:name="Item44_01"/>
      <w:r w:rsidRPr="00CA61A6">
        <w:t xml:space="preserve">Acción </w:t>
      </w:r>
      <w:r w:rsidR="0062564D" w:rsidRPr="00CA61A6">
        <w:rPr>
          <w:lang w:eastAsia="ja-JP"/>
        </w:rPr>
        <w:t>44-01: TSB</w:t>
      </w:r>
    </w:p>
    <w:p w:rsidR="0062564D" w:rsidRPr="00CA61A6" w:rsidRDefault="0062564D" w:rsidP="007B3478">
      <w:pPr>
        <w:rPr>
          <w:szCs w:val="24"/>
          <w:lang w:eastAsia="ja-JP"/>
        </w:rPr>
      </w:pPr>
      <w:bookmarkStart w:id="175" w:name="lt_pId424"/>
      <w:bookmarkEnd w:id="174"/>
      <w:r w:rsidRPr="00CA61A6">
        <w:rPr>
          <w:szCs w:val="24"/>
          <w:lang w:eastAsia="ja-JP"/>
        </w:rPr>
        <w:t>El Grupo Especial BSG está presidido por el Director de la TSB y se encarga de supervisar la marcha de la ejecución del Plan de Acción de la Resolución 44.</w:t>
      </w:r>
      <w:bookmarkEnd w:id="175"/>
    </w:p>
    <w:p w:rsidR="0062564D" w:rsidRPr="00343F12" w:rsidRDefault="0076719A" w:rsidP="0076719A">
      <w:pPr>
        <w:pStyle w:val="Headingb"/>
        <w:rPr>
          <w:lang w:val="en-US"/>
        </w:rPr>
      </w:pPr>
      <w:bookmarkStart w:id="176" w:name="Item44_02"/>
      <w:bookmarkEnd w:id="176"/>
      <w:r w:rsidRPr="00343F12">
        <w:rPr>
          <w:lang w:val="en-US"/>
        </w:rPr>
        <w:t xml:space="preserve">Acción </w:t>
      </w:r>
      <w:r w:rsidR="0062564D" w:rsidRPr="00343F12">
        <w:rPr>
          <w:lang w:val="en-US"/>
        </w:rPr>
        <w:t>44-02: TSB</w:t>
      </w:r>
    </w:p>
    <w:p w:rsidR="0062564D" w:rsidRPr="00CA61A6" w:rsidRDefault="0062564D" w:rsidP="00904463">
      <w:pPr>
        <w:rPr>
          <w:szCs w:val="24"/>
          <w:lang w:eastAsia="ja-JP"/>
        </w:rPr>
      </w:pPr>
      <w:bookmarkStart w:id="177" w:name="lt_pId426"/>
      <w:r w:rsidRPr="00904463">
        <w:rPr>
          <w:color w:val="000000"/>
          <w:lang w:val="en-US"/>
        </w:rPr>
        <w:t xml:space="preserve">El Grupo Temático </w:t>
      </w:r>
      <w:r w:rsidR="00904463" w:rsidRPr="00904463">
        <w:rPr>
          <w:color w:val="000000"/>
          <w:lang w:val="en-US"/>
        </w:rPr>
        <w:t>–</w:t>
      </w:r>
      <w:r w:rsidRPr="00904463">
        <w:rPr>
          <w:color w:val="000000"/>
          <w:lang w:val="en-US"/>
        </w:rPr>
        <w:t xml:space="preserve"> Innovación ha publicado sus resultados finales en dos informes técnicos: "Successful cases of ICT Innovations for developing countries" y "New Standardization Activities for ITU-T Study Groups and ICT Innovation Panel". </w:t>
      </w:r>
      <w:r w:rsidRPr="00CA61A6">
        <w:rPr>
          <w:color w:val="000000"/>
        </w:rPr>
        <w:t xml:space="preserve">En junio de 2015 el GANT tomó nota del </w:t>
      </w:r>
      <w:r w:rsidR="00CB7798" w:rsidRPr="00CA61A6">
        <w:rPr>
          <w:color w:val="000000"/>
        </w:rPr>
        <w:t xml:space="preserve">Informe </w:t>
      </w:r>
      <w:r w:rsidRPr="00CA61A6">
        <w:rPr>
          <w:color w:val="000000"/>
        </w:rPr>
        <w:t xml:space="preserve">del Grupo Temático, pero consideró prematura la propuesta de establecer un grupo sobre innovación </w:t>
      </w:r>
      <w:bookmarkStart w:id="178" w:name="lt_pId427"/>
      <w:bookmarkEnd w:id="177"/>
      <w:r w:rsidRPr="00CA61A6">
        <w:rPr>
          <w:color w:val="000000"/>
        </w:rPr>
        <w:t>bajo los auspicios del GANT</w:t>
      </w:r>
      <w:r w:rsidRPr="00CA61A6">
        <w:rPr>
          <w:szCs w:val="24"/>
          <w:lang w:eastAsia="ja-JP"/>
        </w:rPr>
        <w:t>.</w:t>
      </w:r>
      <w:bookmarkEnd w:id="178"/>
    </w:p>
    <w:p w:rsidR="0062564D" w:rsidRPr="00CA61A6" w:rsidRDefault="0076719A" w:rsidP="0076719A">
      <w:pPr>
        <w:pStyle w:val="Headingb"/>
      </w:pPr>
      <w:bookmarkStart w:id="179" w:name="Item44_03"/>
      <w:r w:rsidRPr="00CA61A6">
        <w:t xml:space="preserve">Acción </w:t>
      </w:r>
      <w:r w:rsidR="0062564D" w:rsidRPr="00CA61A6">
        <w:t>44-03: TSB</w:t>
      </w:r>
    </w:p>
    <w:p w:rsidR="0062564D" w:rsidRPr="00CA61A6" w:rsidRDefault="0062564D" w:rsidP="00E812AD">
      <w:bookmarkStart w:id="180" w:name="lt_pId429"/>
      <w:bookmarkEnd w:id="179"/>
      <w:r w:rsidRPr="00CA61A6">
        <w:rPr>
          <w:lang w:eastAsia="ja-JP"/>
        </w:rPr>
        <w:t xml:space="preserve">El UIT-T organizó junto con organizaciones regionales de telecomunicaciones reuniones preparatorias para la AMNT-16, véase: </w:t>
      </w:r>
      <w:hyperlink r:id="rId108" w:history="1">
        <w:r w:rsidR="00583B78" w:rsidRPr="00CA61A6">
          <w:rPr>
            <w:rStyle w:val="Hyperlink"/>
            <w:lang w:eastAsia="ja-JP"/>
          </w:rPr>
          <w:t>http://www.itu.int/en/ITU</w:t>
        </w:r>
        <w:r w:rsidR="00583B78" w:rsidRPr="00CA61A6">
          <w:rPr>
            <w:rStyle w:val="Hyperlink"/>
            <w:lang w:eastAsia="ja-JP"/>
          </w:rPr>
          <w:noBreakHyphen/>
          <w:t>T/wtsa16/prepmeet/Pages/default.aspx</w:t>
        </w:r>
      </w:hyperlink>
      <w:r w:rsidRPr="00CA61A6">
        <w:rPr>
          <w:lang w:eastAsia="ja-JP"/>
        </w:rPr>
        <w:t>.</w:t>
      </w:r>
      <w:bookmarkEnd w:id="180"/>
    </w:p>
    <w:p w:rsidR="0062564D" w:rsidRPr="00CA61A6" w:rsidRDefault="00583B78" w:rsidP="00A5662D">
      <w:pPr>
        <w:pStyle w:val="Headingb"/>
      </w:pPr>
      <w:bookmarkStart w:id="181" w:name="Item44_04"/>
      <w:bookmarkEnd w:id="181"/>
      <w:r w:rsidRPr="00CA61A6">
        <w:t xml:space="preserve">Acción </w:t>
      </w:r>
      <w:r w:rsidR="0062564D" w:rsidRPr="00CA61A6">
        <w:t>44-04: TSB</w:t>
      </w:r>
    </w:p>
    <w:p w:rsidR="0062564D" w:rsidRPr="00CA61A6" w:rsidRDefault="0062564D" w:rsidP="007B3478">
      <w:pPr>
        <w:rPr>
          <w:szCs w:val="24"/>
          <w:lang w:eastAsia="ja-JP"/>
        </w:rPr>
      </w:pPr>
      <w:bookmarkStart w:id="182" w:name="lt_pId431"/>
      <w:r w:rsidRPr="00CA61A6">
        <w:rPr>
          <w:szCs w:val="24"/>
          <w:lang w:eastAsia="ja-JP"/>
        </w:rPr>
        <w:t>En su reunión de 2013, el Consejo decidió proporcionar acceso gratuito a los informes técnicos, manuales, etc.</w:t>
      </w:r>
      <w:bookmarkEnd w:id="182"/>
    </w:p>
    <w:p w:rsidR="0062564D" w:rsidRPr="00CA61A6" w:rsidRDefault="00603747" w:rsidP="00B73300">
      <w:pPr>
        <w:pStyle w:val="Headingb"/>
      </w:pPr>
      <w:bookmarkStart w:id="183" w:name="Item44_05"/>
      <w:r w:rsidRPr="00CA61A6">
        <w:lastRenderedPageBreak/>
        <w:t xml:space="preserve">Acción </w:t>
      </w:r>
      <w:r w:rsidR="0062564D" w:rsidRPr="00CA61A6">
        <w:t>44-05: TSB</w:t>
      </w:r>
    </w:p>
    <w:p w:rsidR="0062564D" w:rsidRPr="00CA61A6" w:rsidRDefault="0062564D" w:rsidP="0081515E">
      <w:pPr>
        <w:rPr>
          <w:szCs w:val="24"/>
          <w:lang w:eastAsia="ja-JP"/>
        </w:rPr>
      </w:pPr>
      <w:bookmarkStart w:id="184" w:name="lt_pId433"/>
      <w:bookmarkEnd w:id="183"/>
      <w:r w:rsidRPr="00CA61A6">
        <w:rPr>
          <w:szCs w:val="24"/>
          <w:lang w:eastAsia="ja-JP"/>
        </w:rPr>
        <w:t xml:space="preserve">En una Carta Circular del mes de abril de 2013, el Director de la TSB pidió a los </w:t>
      </w:r>
      <w:r w:rsidR="000856D6" w:rsidRPr="00CA61A6">
        <w:rPr>
          <w:szCs w:val="24"/>
          <w:lang w:eastAsia="ja-JP"/>
        </w:rPr>
        <w:t xml:space="preserve">miembros </w:t>
      </w:r>
      <w:r w:rsidRPr="00CA61A6">
        <w:rPr>
          <w:szCs w:val="24"/>
          <w:lang w:eastAsia="ja-JP"/>
        </w:rPr>
        <w:t>de la UIT que hicieran contribuciones voluntarias para financiar actividades extraordinarias del UIT-T, de conformidad con la Resolución 34</w:t>
      </w:r>
      <w:r w:rsidR="000C431E" w:rsidRPr="00CA61A6">
        <w:rPr>
          <w:rStyle w:val="FootnoteReference"/>
          <w:szCs w:val="24"/>
          <w:lang w:eastAsia="ja-JP"/>
        </w:rPr>
        <w:footnoteReference w:customMarkFollows="1" w:id="3"/>
        <w:t>2</w:t>
      </w:r>
      <w:r w:rsidRPr="00CA61A6">
        <w:rPr>
          <w:szCs w:val="24"/>
          <w:lang w:eastAsia="ja-JP"/>
        </w:rPr>
        <w:t>.</w:t>
      </w:r>
      <w:bookmarkEnd w:id="184"/>
      <w:r w:rsidRPr="00CA61A6">
        <w:rPr>
          <w:szCs w:val="24"/>
          <w:lang w:eastAsia="ja-JP"/>
        </w:rPr>
        <w:t xml:space="preserve"> </w:t>
      </w:r>
      <w:bookmarkStart w:id="185" w:name="lt_pId434"/>
      <w:r w:rsidRPr="00CA61A6">
        <w:rPr>
          <w:szCs w:val="24"/>
          <w:lang w:eastAsia="ja-JP"/>
        </w:rPr>
        <w:t>Microsoft hizo en 2013 una contribución al fondo.</w:t>
      </w:r>
      <w:bookmarkEnd w:id="185"/>
    </w:p>
    <w:p w:rsidR="0062564D" w:rsidRPr="00CA61A6" w:rsidRDefault="00603747" w:rsidP="00B73300">
      <w:pPr>
        <w:pStyle w:val="Headingb"/>
      </w:pPr>
      <w:bookmarkStart w:id="186" w:name="Item44_06"/>
      <w:bookmarkEnd w:id="186"/>
      <w:r w:rsidRPr="00CA61A6">
        <w:t xml:space="preserve">Acción </w:t>
      </w:r>
      <w:hyperlink w:anchor="Item44_06" w:history="1">
        <w:r w:rsidR="0062564D" w:rsidRPr="00CA61A6">
          <w:t>44-06</w:t>
        </w:r>
      </w:hyperlink>
      <w:r w:rsidR="0062564D" w:rsidRPr="00CA61A6">
        <w:t>: TSB</w:t>
      </w:r>
    </w:p>
    <w:p w:rsidR="0062564D" w:rsidRPr="00CA61A6" w:rsidRDefault="0062564D" w:rsidP="007B3478">
      <w:pPr>
        <w:rPr>
          <w:szCs w:val="24"/>
          <w:lang w:eastAsia="ja-JP"/>
        </w:rPr>
      </w:pPr>
      <w:bookmarkStart w:id="187" w:name="lt_pId436"/>
      <w:r w:rsidRPr="00CA61A6">
        <w:rPr>
          <w:szCs w:val="24"/>
          <w:lang w:eastAsia="ja-JP"/>
        </w:rPr>
        <w:t>El Director de la TSB invitó al GANT, en su reunión de junio de 2013, a crear un Grupo en el que los vicepresidentes de países en desarrollo pudieran informar sobre su programa de movilización.</w:t>
      </w:r>
      <w:bookmarkEnd w:id="187"/>
      <w:r w:rsidRPr="00CA61A6">
        <w:rPr>
          <w:szCs w:val="24"/>
          <w:lang w:eastAsia="ja-JP"/>
        </w:rPr>
        <w:t xml:space="preserve"> </w:t>
      </w:r>
      <w:bookmarkStart w:id="188" w:name="lt_pId437"/>
      <w:r w:rsidRPr="00CA61A6">
        <w:rPr>
          <w:szCs w:val="24"/>
          <w:lang w:eastAsia="ja-JP"/>
        </w:rPr>
        <w:t>Se invitó a las CE a designar tutores para que ayudaran a los nuevos delegados, en particular los de países en desarrollo, a familiarizarse con los trabajos de las Comisiones de Estudio.</w:t>
      </w:r>
      <w:bookmarkEnd w:id="188"/>
      <w:r w:rsidRPr="00CA61A6">
        <w:rPr>
          <w:szCs w:val="24"/>
          <w:lang w:eastAsia="ja-JP"/>
        </w:rPr>
        <w:t xml:space="preserve"> </w:t>
      </w:r>
      <w:bookmarkStart w:id="189" w:name="lt_pId438"/>
      <w:r w:rsidRPr="00CA61A6">
        <w:rPr>
          <w:szCs w:val="24"/>
          <w:lang w:eastAsia="ja-JP"/>
        </w:rPr>
        <w:t>Varias Comisiones de Estudio, por ejemplo, la Comisión de Estudio 3, han nombrado tutores.</w:t>
      </w:r>
      <w:bookmarkEnd w:id="189"/>
    </w:p>
    <w:p w:rsidR="0062564D" w:rsidRPr="00CA61A6" w:rsidRDefault="00603747" w:rsidP="00B73300">
      <w:pPr>
        <w:pStyle w:val="Headingb"/>
      </w:pPr>
      <w:bookmarkStart w:id="190" w:name="Item44_08"/>
      <w:bookmarkStart w:id="191" w:name="Item44_07"/>
      <w:bookmarkEnd w:id="190"/>
      <w:bookmarkEnd w:id="191"/>
      <w:r w:rsidRPr="00CA61A6">
        <w:t xml:space="preserve">Acción </w:t>
      </w:r>
      <w:r w:rsidR="0062564D" w:rsidRPr="00CA61A6">
        <w:t>44-07: TSB</w:t>
      </w:r>
    </w:p>
    <w:p w:rsidR="0062564D" w:rsidRPr="00CA61A6" w:rsidRDefault="0062564D" w:rsidP="0081515E">
      <w:pPr>
        <w:rPr>
          <w:szCs w:val="24"/>
          <w:lang w:eastAsia="ja-JP"/>
        </w:rPr>
      </w:pPr>
      <w:bookmarkStart w:id="192" w:name="lt_pId440"/>
      <w:r w:rsidRPr="00CA61A6">
        <w:rPr>
          <w:szCs w:val="24"/>
          <w:lang w:eastAsia="ja-JP"/>
        </w:rPr>
        <w:t>La BDT está representada en el Grupo Especial sobre BSG y también los Directores de las Oficinas Regionales de la UIT.</w:t>
      </w:r>
      <w:bookmarkEnd w:id="192"/>
      <w:r w:rsidRPr="00CA61A6">
        <w:rPr>
          <w:szCs w:val="24"/>
          <w:lang w:eastAsia="ja-JP"/>
        </w:rPr>
        <w:t xml:space="preserve"> </w:t>
      </w:r>
      <w:bookmarkStart w:id="193" w:name="lt_pId441"/>
      <w:r w:rsidRPr="00CA61A6">
        <w:rPr>
          <w:szCs w:val="24"/>
          <w:lang w:eastAsia="ja-JP"/>
        </w:rPr>
        <w:t>El Grupo Especial sobre BSG está presidido por el Director de la TSB.</w:t>
      </w:r>
      <w:bookmarkEnd w:id="193"/>
    </w:p>
    <w:p w:rsidR="0062564D" w:rsidRPr="00CA61A6" w:rsidRDefault="00603747" w:rsidP="00B73300">
      <w:pPr>
        <w:pStyle w:val="Headingb"/>
      </w:pPr>
      <w:bookmarkStart w:id="194" w:name="lt_pId442"/>
      <w:r w:rsidRPr="00CA61A6">
        <w:t xml:space="preserve">Acción </w:t>
      </w:r>
      <w:r w:rsidR="0062564D" w:rsidRPr="00CA61A6">
        <w:t>44-08: TSB</w:t>
      </w:r>
      <w:bookmarkEnd w:id="194"/>
    </w:p>
    <w:p w:rsidR="0062564D" w:rsidRPr="00CA61A6" w:rsidRDefault="0062564D" w:rsidP="007B3478">
      <w:pPr>
        <w:rPr>
          <w:szCs w:val="24"/>
          <w:lang w:eastAsia="ja-JP"/>
        </w:rPr>
      </w:pPr>
      <w:bookmarkStart w:id="195" w:name="lt_pId443"/>
      <w:r w:rsidRPr="00CA61A6">
        <w:rPr>
          <w:szCs w:val="24"/>
          <w:lang w:eastAsia="ja-JP"/>
        </w:rPr>
        <w:t>En el presupuesto anual de la Unión se ha consignado una partida de gastos sobre BSG.</w:t>
      </w:r>
      <w:bookmarkEnd w:id="195"/>
    </w:p>
    <w:p w:rsidR="0062564D" w:rsidRPr="00CA61A6" w:rsidRDefault="001340A7" w:rsidP="00EE5AD4">
      <w:pPr>
        <w:pStyle w:val="Headingb"/>
      </w:pPr>
      <w:bookmarkStart w:id="196" w:name="Item44_09"/>
      <w:bookmarkEnd w:id="196"/>
      <w:r w:rsidRPr="00CA61A6">
        <w:t xml:space="preserve">Acción </w:t>
      </w:r>
      <w:r w:rsidR="0062564D" w:rsidRPr="00CA61A6">
        <w:t>44-09: TSB</w:t>
      </w:r>
    </w:p>
    <w:p w:rsidR="0062564D" w:rsidRPr="00CA61A6" w:rsidRDefault="0062564D" w:rsidP="00074096">
      <w:pPr>
        <w:rPr>
          <w:szCs w:val="24"/>
          <w:lang w:eastAsia="ja-JP"/>
        </w:rPr>
      </w:pPr>
      <w:bookmarkStart w:id="197" w:name="lt_pId445"/>
      <w:r w:rsidRPr="00CA61A6">
        <w:rPr>
          <w:szCs w:val="24"/>
          <w:lang w:eastAsia="ja-JP"/>
        </w:rPr>
        <w:t xml:space="preserve">En su </w:t>
      </w:r>
      <w:r w:rsidR="00506313" w:rsidRPr="00CA61A6">
        <w:rPr>
          <w:szCs w:val="24"/>
          <w:lang w:eastAsia="ja-JP"/>
        </w:rPr>
        <w:t xml:space="preserve">Informe </w:t>
      </w:r>
      <w:r w:rsidRPr="00CA61A6">
        <w:rPr>
          <w:szCs w:val="24"/>
          <w:lang w:eastAsia="ja-JP"/>
        </w:rPr>
        <w:t>de la AMNT-12 al Consejo de 2013 (</w:t>
      </w:r>
      <w:hyperlink r:id="rId109" w:history="1">
        <w:r w:rsidRPr="00CA61A6">
          <w:rPr>
            <w:szCs w:val="24"/>
            <w:lang w:eastAsia="ja-JP"/>
          </w:rPr>
          <w:t>C13/22</w:t>
        </w:r>
      </w:hyperlink>
      <w:r w:rsidRPr="00CA61A6">
        <w:rPr>
          <w:szCs w:val="24"/>
          <w:lang w:eastAsia="ja-JP"/>
        </w:rPr>
        <w:t xml:space="preserve">), el Director de la TSB invitó al Consejo a examinar la creación, en el marco del UIT-T, de un grupo especializado para </w:t>
      </w:r>
      <w:r w:rsidR="009F7BE0">
        <w:rPr>
          <w:szCs w:val="24"/>
          <w:lang w:eastAsia="ja-JP"/>
        </w:rPr>
        <w:t>"</w:t>
      </w:r>
      <w:r w:rsidRPr="00CA61A6">
        <w:rPr>
          <w:szCs w:val="24"/>
          <w:lang w:eastAsia="ja-JP"/>
        </w:rPr>
        <w:t>fomentar la innovación en TIC con el objetivo de aumentar la colaboración mundial a fin de reducir la brecha de normalización entre países desarrollados y en desarrollo, así como para identificar y ayudar a las innovaciones procedentes de países en desarrollo".</w:t>
      </w:r>
      <w:bookmarkStart w:id="198" w:name="lt_pId446"/>
      <w:bookmarkEnd w:id="197"/>
      <w:r w:rsidR="009F7BE0">
        <w:rPr>
          <w:szCs w:val="24"/>
          <w:lang w:eastAsia="ja-JP"/>
        </w:rPr>
        <w:t xml:space="preserve"> </w:t>
      </w:r>
      <w:r w:rsidRPr="00CA61A6">
        <w:rPr>
          <w:szCs w:val="24"/>
          <w:lang w:eastAsia="ja-JP"/>
        </w:rPr>
        <w:t xml:space="preserve">Las </w:t>
      </w:r>
      <w:r w:rsidR="00891E63" w:rsidRPr="00CA61A6">
        <w:rPr>
          <w:szCs w:val="24"/>
          <w:lang w:eastAsia="ja-JP"/>
        </w:rPr>
        <w:t xml:space="preserve">recomendaciones </w:t>
      </w:r>
      <w:r w:rsidRPr="00CA61A6">
        <w:rPr>
          <w:szCs w:val="24"/>
          <w:lang w:eastAsia="ja-JP"/>
        </w:rPr>
        <w:t xml:space="preserve">del </w:t>
      </w:r>
      <w:r w:rsidR="00CD3DB6" w:rsidRPr="00CA61A6">
        <w:rPr>
          <w:szCs w:val="24"/>
          <w:lang w:eastAsia="ja-JP"/>
        </w:rPr>
        <w:t xml:space="preserve">Informe </w:t>
      </w:r>
      <w:r w:rsidR="00D853A5">
        <w:rPr>
          <w:szCs w:val="24"/>
          <w:lang w:eastAsia="ja-JP"/>
        </w:rPr>
        <w:t xml:space="preserve">del </w:t>
      </w:r>
      <w:r w:rsidR="00D853A5" w:rsidRPr="00CA61A6">
        <w:rPr>
          <w:color w:val="000000"/>
        </w:rPr>
        <w:t xml:space="preserve">Grupo Temático </w:t>
      </w:r>
      <w:r w:rsidR="00904463" w:rsidRPr="00904463">
        <w:rPr>
          <w:color w:val="000000"/>
        </w:rPr>
        <w:t>–</w:t>
      </w:r>
      <w:r w:rsidR="00D853A5" w:rsidRPr="00CA61A6">
        <w:rPr>
          <w:color w:val="000000"/>
        </w:rPr>
        <w:t xml:space="preserve"> Innovación</w:t>
      </w:r>
      <w:r w:rsidR="00C810F4" w:rsidRPr="00CA61A6">
        <w:rPr>
          <w:szCs w:val="24"/>
          <w:lang w:eastAsia="ja-JP"/>
        </w:rPr>
        <w:t xml:space="preserve"> </w:t>
      </w:r>
      <w:r w:rsidRPr="00CA61A6">
        <w:rPr>
          <w:szCs w:val="24"/>
          <w:lang w:eastAsia="ja-JP"/>
        </w:rPr>
        <w:t xml:space="preserve">se </w:t>
      </w:r>
      <w:r w:rsidR="00633C03">
        <w:rPr>
          <w:szCs w:val="24"/>
          <w:lang w:eastAsia="ja-JP"/>
        </w:rPr>
        <w:t>consideraron</w:t>
      </w:r>
      <w:r w:rsidRPr="00CA61A6">
        <w:rPr>
          <w:szCs w:val="24"/>
          <w:lang w:eastAsia="ja-JP"/>
        </w:rPr>
        <w:t xml:space="preserve"> prematur</w:t>
      </w:r>
      <w:r w:rsidR="00633C03">
        <w:rPr>
          <w:szCs w:val="24"/>
          <w:lang w:eastAsia="ja-JP"/>
        </w:rPr>
        <w:t>as</w:t>
      </w:r>
      <w:r w:rsidRPr="00CA61A6">
        <w:rPr>
          <w:szCs w:val="24"/>
          <w:lang w:eastAsia="ja-JP"/>
        </w:rPr>
        <w:t xml:space="preserve"> en la reunión del GANT de junio de 2015 (véase </w:t>
      </w:r>
      <w:r w:rsidR="00E703D5">
        <w:rPr>
          <w:szCs w:val="24"/>
          <w:lang w:eastAsia="ja-JP"/>
        </w:rPr>
        <w:t>la</w:t>
      </w:r>
      <w:r w:rsidR="00114683" w:rsidRPr="00CA61A6">
        <w:rPr>
          <w:lang w:eastAsia="ja-JP"/>
        </w:rPr>
        <w:t xml:space="preserve"> </w:t>
      </w:r>
      <w:hyperlink w:anchor="Item44_02" w:history="1">
        <w:r w:rsidR="00E703D5" w:rsidRPr="005E015A">
          <w:rPr>
            <w:rStyle w:val="Hyperlink"/>
            <w:lang w:eastAsia="ja-JP"/>
          </w:rPr>
          <w:t>Acción</w:t>
        </w:r>
        <w:r w:rsidR="00AC1D94" w:rsidRPr="005E015A">
          <w:rPr>
            <w:rStyle w:val="Hyperlink"/>
            <w:szCs w:val="24"/>
            <w:lang w:eastAsia="ja-JP"/>
          </w:rPr>
          <w:t> </w:t>
        </w:r>
        <w:r w:rsidRPr="005E015A">
          <w:rPr>
            <w:rStyle w:val="Hyperlink"/>
            <w:szCs w:val="24"/>
            <w:lang w:eastAsia="ja-JP"/>
          </w:rPr>
          <w:t>44-02</w:t>
        </w:r>
      </w:hyperlink>
      <w:r w:rsidR="00E5138A">
        <w:rPr>
          <w:szCs w:val="24"/>
          <w:lang w:eastAsia="ja-JP"/>
        </w:rPr>
        <w:t xml:space="preserve"> </w:t>
      </w:r>
      <w:r w:rsidR="00074096" w:rsidRPr="00074096">
        <w:rPr>
          <w:szCs w:val="24"/>
          <w:lang w:eastAsia="ja-JP"/>
        </w:rPr>
        <w:t>anterior</w:t>
      </w:r>
      <w:r w:rsidRPr="00CA61A6">
        <w:rPr>
          <w:szCs w:val="24"/>
          <w:lang w:eastAsia="ja-JP"/>
        </w:rPr>
        <w:t>).</w:t>
      </w:r>
      <w:bookmarkEnd w:id="198"/>
    </w:p>
    <w:p w:rsidR="0062564D" w:rsidRPr="00CA61A6" w:rsidRDefault="00E05BBC" w:rsidP="00F26C95">
      <w:pPr>
        <w:pStyle w:val="Headingb"/>
      </w:pPr>
      <w:bookmarkStart w:id="199" w:name="Item44_10"/>
      <w:bookmarkEnd w:id="199"/>
      <w:r w:rsidRPr="00CA61A6">
        <w:t xml:space="preserve">Acción </w:t>
      </w:r>
      <w:r w:rsidR="0062564D" w:rsidRPr="00CA61A6">
        <w:t>44-10: TSB</w:t>
      </w:r>
    </w:p>
    <w:p w:rsidR="0062564D" w:rsidRPr="00CA61A6" w:rsidRDefault="0062564D" w:rsidP="002A7FA7">
      <w:pPr>
        <w:rPr>
          <w:szCs w:val="24"/>
          <w:lang w:eastAsia="ja-JP"/>
        </w:rPr>
      </w:pPr>
      <w:bookmarkStart w:id="200" w:name="lt_pId448"/>
      <w:r w:rsidRPr="00CA61A6">
        <w:rPr>
          <w:szCs w:val="24"/>
          <w:lang w:eastAsia="ja-JP"/>
        </w:rPr>
        <w:t xml:space="preserve">Véase </w:t>
      </w:r>
      <w:r w:rsidR="002A7FA7" w:rsidRPr="00CA61A6">
        <w:rPr>
          <w:szCs w:val="24"/>
          <w:lang w:eastAsia="ja-JP"/>
        </w:rPr>
        <w:t>la Acción</w:t>
      </w:r>
      <w:r w:rsidRPr="00CA61A6">
        <w:rPr>
          <w:szCs w:val="24"/>
          <w:lang w:eastAsia="ja-JP"/>
        </w:rPr>
        <w:t xml:space="preserve"> 44-02.</w:t>
      </w:r>
      <w:bookmarkEnd w:id="200"/>
      <w:r w:rsidRPr="00CA61A6">
        <w:rPr>
          <w:szCs w:val="24"/>
          <w:lang w:eastAsia="ja-JP"/>
        </w:rPr>
        <w:t xml:space="preserve"> </w:t>
      </w:r>
      <w:bookmarkStart w:id="201" w:name="lt_pId449"/>
      <w:r w:rsidRPr="00CA61A6">
        <w:rPr>
          <w:szCs w:val="24"/>
          <w:lang w:eastAsia="ja-JP"/>
        </w:rPr>
        <w:t xml:space="preserve">En su reunión de junio de 2015, el GANT tomó nota del </w:t>
      </w:r>
      <w:r w:rsidR="0045290A" w:rsidRPr="00CA61A6">
        <w:rPr>
          <w:szCs w:val="24"/>
          <w:lang w:eastAsia="ja-JP"/>
        </w:rPr>
        <w:t xml:space="preserve">Informe </w:t>
      </w:r>
      <w:r w:rsidRPr="00CA61A6">
        <w:rPr>
          <w:szCs w:val="24"/>
          <w:lang w:eastAsia="ja-JP"/>
        </w:rPr>
        <w:t>del Grupo Especial relativo al establecimiento del grupo innovación en las TIC, pero consideró prematuro en ese momento la propuesta para establecer un grupo sobre innovación de las TIC.</w:t>
      </w:r>
      <w:bookmarkEnd w:id="201"/>
    </w:p>
    <w:p w:rsidR="0062564D" w:rsidRPr="00CA61A6" w:rsidRDefault="00B9759E" w:rsidP="00C648E0">
      <w:pPr>
        <w:pStyle w:val="Headingb"/>
      </w:pPr>
      <w:bookmarkStart w:id="202" w:name="Item44_11"/>
      <w:bookmarkEnd w:id="202"/>
      <w:r w:rsidRPr="00CA61A6">
        <w:t xml:space="preserve">Acción </w:t>
      </w:r>
      <w:r w:rsidR="0062564D" w:rsidRPr="00CA61A6">
        <w:t>44-11: CE</w:t>
      </w:r>
    </w:p>
    <w:p w:rsidR="0062564D" w:rsidRPr="00CA61A6" w:rsidRDefault="0062564D" w:rsidP="006602CE">
      <w:pPr>
        <w:rPr>
          <w:szCs w:val="24"/>
          <w:lang w:eastAsia="ja-JP"/>
        </w:rPr>
      </w:pPr>
      <w:bookmarkStart w:id="203" w:name="lt_pId451"/>
      <w:r w:rsidRPr="00CA61A6">
        <w:rPr>
          <w:szCs w:val="24"/>
          <w:lang w:eastAsia="ja-JP"/>
        </w:rPr>
        <w:t xml:space="preserve">La Comisión de Estudio 3 del UIT-T creó un </w:t>
      </w:r>
      <w:r w:rsidR="006602CE" w:rsidRPr="00CA61A6">
        <w:rPr>
          <w:szCs w:val="24"/>
          <w:lang w:eastAsia="ja-JP"/>
        </w:rPr>
        <w:t xml:space="preserve">Grupo </w:t>
      </w:r>
      <w:r w:rsidRPr="00CA61A6">
        <w:rPr>
          <w:szCs w:val="24"/>
          <w:lang w:eastAsia="ja-JP"/>
        </w:rPr>
        <w:t>ad</w:t>
      </w:r>
      <w:r w:rsidR="006602CE">
        <w:rPr>
          <w:szCs w:val="24"/>
          <w:lang w:eastAsia="ja-JP"/>
        </w:rPr>
        <w:t xml:space="preserve"> </w:t>
      </w:r>
      <w:r w:rsidRPr="00CA61A6">
        <w:rPr>
          <w:szCs w:val="24"/>
          <w:lang w:eastAsia="ja-JP"/>
        </w:rPr>
        <w:t>hoc sobre países en desarrollo.</w:t>
      </w:r>
      <w:bookmarkEnd w:id="203"/>
    </w:p>
    <w:p w:rsidR="0062564D" w:rsidRPr="00CA61A6" w:rsidRDefault="003A6EEA" w:rsidP="00FB0E85">
      <w:pPr>
        <w:pStyle w:val="Headingb"/>
      </w:pPr>
      <w:bookmarkStart w:id="204" w:name="Item44_12"/>
      <w:bookmarkEnd w:id="204"/>
      <w:r w:rsidRPr="00CA61A6">
        <w:t xml:space="preserve">Acción </w:t>
      </w:r>
      <w:r w:rsidR="0062564D" w:rsidRPr="00CA61A6">
        <w:t>44-12: CE</w:t>
      </w:r>
    </w:p>
    <w:p w:rsidR="0062564D" w:rsidRPr="00CA61A6" w:rsidRDefault="0062564D" w:rsidP="00A26CC7">
      <w:pPr>
        <w:rPr>
          <w:b/>
          <w:bCs/>
          <w:szCs w:val="24"/>
          <w:lang w:eastAsia="ja-JP"/>
        </w:rPr>
      </w:pPr>
      <w:bookmarkStart w:id="205" w:name="Item44_13"/>
      <w:bookmarkStart w:id="206" w:name="lt_pId453"/>
      <w:bookmarkEnd w:id="205"/>
      <w:r w:rsidRPr="00CA61A6">
        <w:rPr>
          <w:szCs w:val="24"/>
          <w:lang w:eastAsia="ja-JP"/>
        </w:rPr>
        <w:t>Las Comisiones de Estudio del UIT-T y del UIT-D han intercambiado regularmente información sobre cuestiones de interés común.</w:t>
      </w:r>
      <w:bookmarkStart w:id="207" w:name="lt_pId454"/>
      <w:bookmarkEnd w:id="206"/>
      <w:r w:rsidR="000F3950" w:rsidRPr="00CA61A6">
        <w:rPr>
          <w:szCs w:val="24"/>
          <w:lang w:eastAsia="ja-JP"/>
        </w:rPr>
        <w:t xml:space="preserve"> </w:t>
      </w:r>
      <w:r w:rsidRPr="00CA61A6">
        <w:rPr>
          <w:szCs w:val="24"/>
          <w:lang w:eastAsia="ja-JP"/>
        </w:rPr>
        <w:t xml:space="preserve">En el caso de la Comisión de Estudio 3, por ejemplo, se han celebrado cuatro reuniones mixtas anuales en las regiones (Foro </w:t>
      </w:r>
      <w:r w:rsidR="00A26CC7" w:rsidRPr="00CA61A6">
        <w:rPr>
          <w:szCs w:val="24"/>
          <w:lang w:eastAsia="ja-JP"/>
        </w:rPr>
        <w:t xml:space="preserve">regional </w:t>
      </w:r>
      <w:r w:rsidRPr="00CA61A6">
        <w:rPr>
          <w:szCs w:val="24"/>
          <w:lang w:eastAsia="ja-JP"/>
        </w:rPr>
        <w:t>económico y financiero y reunión de la CE).</w:t>
      </w:r>
      <w:bookmarkEnd w:id="207"/>
      <w:r w:rsidRPr="00CA61A6">
        <w:rPr>
          <w:szCs w:val="24"/>
          <w:lang w:eastAsia="ja-JP"/>
        </w:rPr>
        <w:t xml:space="preserve"> </w:t>
      </w:r>
      <w:bookmarkStart w:id="208" w:name="lt_pId455"/>
      <w:r w:rsidRPr="00CA61A6">
        <w:rPr>
          <w:szCs w:val="24"/>
          <w:lang w:eastAsia="ja-JP"/>
        </w:rPr>
        <w:t xml:space="preserve">Los representantes de la BDT mantuvieron regularmente informados a los delegados de la </w:t>
      </w:r>
      <w:r w:rsidR="00A26CC7">
        <w:rPr>
          <w:szCs w:val="24"/>
          <w:lang w:eastAsia="ja-JP"/>
        </w:rPr>
        <w:t>CE </w:t>
      </w:r>
      <w:r w:rsidRPr="00CA61A6">
        <w:rPr>
          <w:szCs w:val="24"/>
          <w:lang w:eastAsia="ja-JP"/>
        </w:rPr>
        <w:t>3 sobre cuestiones que atañen a las Comisiones de Estudio del UIT-D en materia de tarifas y contabilidad.</w:t>
      </w:r>
      <w:bookmarkEnd w:id="208"/>
    </w:p>
    <w:p w:rsidR="0062564D" w:rsidRPr="00CA61A6" w:rsidRDefault="00476059" w:rsidP="00495CB1">
      <w:pPr>
        <w:pStyle w:val="Headingb"/>
        <w:keepLines/>
      </w:pPr>
      <w:bookmarkStart w:id="209" w:name="lt_pId456"/>
      <w:r w:rsidRPr="00CA61A6">
        <w:lastRenderedPageBreak/>
        <w:t xml:space="preserve">Acción </w:t>
      </w:r>
      <w:r w:rsidR="0062564D" w:rsidRPr="00CA61A6">
        <w:t xml:space="preserve">44-13: </w:t>
      </w:r>
      <w:bookmarkEnd w:id="209"/>
      <w:r w:rsidR="0062564D" w:rsidRPr="00CA61A6">
        <w:t>CE</w:t>
      </w:r>
    </w:p>
    <w:p w:rsidR="0062564D" w:rsidRPr="00CA61A6" w:rsidRDefault="0062564D" w:rsidP="00495CB1">
      <w:pPr>
        <w:keepNext/>
        <w:keepLines/>
        <w:rPr>
          <w:b/>
          <w:bCs/>
          <w:szCs w:val="24"/>
          <w:lang w:eastAsia="ja-JP"/>
        </w:rPr>
      </w:pPr>
      <w:bookmarkStart w:id="210" w:name="lt_pId457"/>
      <w:r w:rsidRPr="00CA61A6">
        <w:rPr>
          <w:szCs w:val="24"/>
          <w:lang w:eastAsia="ja-JP"/>
        </w:rPr>
        <w:t>Las Comisiones de Estudio elaborarán directrices de aplicación para las nuevas Recomendaciones UIT-T a fin de que los países en desarrollo puedan adoptarlas, basadas en las contribuciones recibidas.</w:t>
      </w:r>
      <w:bookmarkEnd w:id="210"/>
      <w:r w:rsidRPr="00CA61A6">
        <w:rPr>
          <w:szCs w:val="24"/>
          <w:lang w:eastAsia="ja-JP"/>
        </w:rPr>
        <w:t xml:space="preserve"> </w:t>
      </w:r>
      <w:bookmarkStart w:id="211" w:name="lt_pId458"/>
      <w:r w:rsidRPr="00CA61A6">
        <w:rPr>
          <w:szCs w:val="24"/>
          <w:lang w:eastAsia="ja-JP"/>
        </w:rPr>
        <w:t>Por ejemplo, en ámbitos tales como TVIP y cibersalud en la CE</w:t>
      </w:r>
      <w:r w:rsidR="00615741" w:rsidRPr="00CA61A6">
        <w:rPr>
          <w:szCs w:val="24"/>
          <w:lang w:eastAsia="ja-JP"/>
        </w:rPr>
        <w:t> </w:t>
      </w:r>
      <w:r w:rsidRPr="00CA61A6">
        <w:rPr>
          <w:szCs w:val="24"/>
          <w:lang w:eastAsia="ja-JP"/>
        </w:rPr>
        <w:t>16.</w:t>
      </w:r>
      <w:bookmarkEnd w:id="211"/>
      <w:r w:rsidRPr="00CA61A6">
        <w:rPr>
          <w:szCs w:val="24"/>
          <w:lang w:eastAsia="ja-JP"/>
        </w:rPr>
        <w:t xml:space="preserve"> </w:t>
      </w:r>
      <w:bookmarkStart w:id="212" w:name="lt_pId459"/>
      <w:r w:rsidRPr="00CA61A6">
        <w:rPr>
          <w:szCs w:val="24"/>
          <w:lang w:eastAsia="ja-JP"/>
        </w:rPr>
        <w:t>La UIT ha elaborado directrices para la creación de secretarías de normalización en países en desarrollo con el fin de mantener una mejor comunicación con las Comisiones de Estudio del UIT-T y mejorar sus contribuciones al proceso de normalización del UIT-T.</w:t>
      </w:r>
      <w:bookmarkEnd w:id="212"/>
    </w:p>
    <w:p w:rsidR="0062564D" w:rsidRPr="00CA61A6" w:rsidRDefault="00B34383" w:rsidP="00983190">
      <w:pPr>
        <w:pStyle w:val="Headingb"/>
      </w:pPr>
      <w:bookmarkStart w:id="213" w:name="Item44_14"/>
      <w:bookmarkStart w:id="214" w:name="lt_pId460"/>
      <w:bookmarkEnd w:id="213"/>
      <w:r w:rsidRPr="00CA61A6">
        <w:t xml:space="preserve">Acción </w:t>
      </w:r>
      <w:r w:rsidR="0062564D" w:rsidRPr="00CA61A6">
        <w:t xml:space="preserve">44-14: </w:t>
      </w:r>
      <w:r w:rsidR="009815DA" w:rsidRPr="00CA61A6">
        <w:t>CE</w:t>
      </w:r>
      <w:r w:rsidR="0062564D" w:rsidRPr="00CA61A6">
        <w:t xml:space="preserve"> </w:t>
      </w:r>
      <w:r w:rsidR="009815DA" w:rsidRPr="00CA61A6">
        <w:t>y</w:t>
      </w:r>
      <w:r w:rsidR="0062564D" w:rsidRPr="00CA61A6">
        <w:t xml:space="preserve"> </w:t>
      </w:r>
      <w:bookmarkEnd w:id="214"/>
      <w:r w:rsidR="000B4844" w:rsidRPr="00CA61A6">
        <w:t>GANT</w:t>
      </w:r>
    </w:p>
    <w:p w:rsidR="0062564D" w:rsidRPr="00CA61A6" w:rsidRDefault="0062564D" w:rsidP="007B3478">
      <w:r w:rsidRPr="00CA61A6">
        <w:rPr>
          <w:szCs w:val="24"/>
          <w:lang w:eastAsia="ja-JP"/>
        </w:rPr>
        <w:t xml:space="preserve">Las reuniones de </w:t>
      </w:r>
      <w:r w:rsidRPr="00CA61A6">
        <w:t>los Grupos Regionales del UIT-T se celebran en paralelo cuando se organizan en la misma región.</w:t>
      </w:r>
    </w:p>
    <w:p w:rsidR="0062564D" w:rsidRPr="00CA61A6" w:rsidRDefault="0062564D" w:rsidP="00AC798A">
      <w:r w:rsidRPr="00CA61A6">
        <w:t>Por ejemplo, el GRCE3-ARB se reunió en paralelo con las reuniones de la CE 5 y</w:t>
      </w:r>
      <w:r w:rsidR="00AC798A">
        <w:t xml:space="preserve"> la</w:t>
      </w:r>
      <w:r w:rsidRPr="00CA61A6">
        <w:t xml:space="preserve"> CE 2 en noviembre de 2015. El GRCE3-AFR y el GRCE17-AFR se reunieron en paralelo el mes de enero de 2016. La reunión del Grupo Regional de la CE 2 para AMR y la del Grupo Regional de la CE 3 para LAC se celebraron en paralelo el mes de junio de 2016 en Brasilia.</w:t>
      </w:r>
    </w:p>
    <w:p w:rsidR="0062564D" w:rsidRPr="00CA61A6" w:rsidRDefault="00C75551" w:rsidP="008D5E0D">
      <w:pPr>
        <w:pStyle w:val="Headingb"/>
      </w:pPr>
      <w:bookmarkStart w:id="215" w:name="Item44_15"/>
      <w:bookmarkStart w:id="216" w:name="lt_pId465"/>
      <w:bookmarkEnd w:id="215"/>
      <w:r w:rsidRPr="00CA61A6">
        <w:t xml:space="preserve">Acción </w:t>
      </w:r>
      <w:r w:rsidR="0062564D" w:rsidRPr="00CA61A6">
        <w:t>44-15: TSB</w:t>
      </w:r>
      <w:bookmarkEnd w:id="216"/>
    </w:p>
    <w:p w:rsidR="0062564D" w:rsidRPr="00CA61A6" w:rsidRDefault="0062564D" w:rsidP="007B3478">
      <w:pPr>
        <w:widowControl w:val="0"/>
        <w:rPr>
          <w:szCs w:val="24"/>
          <w:lang w:eastAsia="ja-JP"/>
        </w:rPr>
      </w:pPr>
      <w:bookmarkStart w:id="217" w:name="lt_pId466"/>
      <w:r w:rsidRPr="00CA61A6">
        <w:rPr>
          <w:szCs w:val="24"/>
          <w:lang w:eastAsia="ja-JP"/>
        </w:rPr>
        <w:t>El Grupo Especial BSG se reúne cada dos meses bajo la presidencia del Director de la TSB para examinar la marcha de la aplicación de la Resolución 44 de la AMNT-12.</w:t>
      </w:r>
      <w:bookmarkEnd w:id="217"/>
      <w:r w:rsidRPr="00CA61A6">
        <w:rPr>
          <w:szCs w:val="24"/>
          <w:lang w:eastAsia="ja-JP"/>
        </w:rPr>
        <w:t xml:space="preserve"> </w:t>
      </w:r>
      <w:bookmarkStart w:id="218" w:name="lt_pId467"/>
      <w:r w:rsidRPr="00CA61A6">
        <w:rPr>
          <w:szCs w:val="24"/>
          <w:lang w:eastAsia="ja-JP"/>
        </w:rPr>
        <w:t>En 2014, también se invitó a los Directores de las Oficinas Regionales de la UIT a participar en la reunión del Grupo Especial BSG.</w:t>
      </w:r>
      <w:bookmarkEnd w:id="218"/>
    </w:p>
    <w:p w:rsidR="0062564D" w:rsidRPr="00CA61A6" w:rsidRDefault="00E236EC" w:rsidP="001E6558">
      <w:pPr>
        <w:pStyle w:val="Headingb"/>
      </w:pPr>
      <w:bookmarkStart w:id="219" w:name="Item44_16"/>
      <w:bookmarkStart w:id="220" w:name="lt_pId468"/>
      <w:bookmarkEnd w:id="219"/>
      <w:r w:rsidRPr="00CA61A6">
        <w:t xml:space="preserve">Acción </w:t>
      </w:r>
      <w:r w:rsidR="0062564D" w:rsidRPr="00CA61A6">
        <w:t>44-16: TSB</w:t>
      </w:r>
      <w:bookmarkEnd w:id="220"/>
    </w:p>
    <w:p w:rsidR="0062564D" w:rsidRPr="00CA61A6" w:rsidRDefault="0062564D" w:rsidP="00E07B88">
      <w:pPr>
        <w:rPr>
          <w:szCs w:val="24"/>
          <w:lang w:eastAsia="ja-JP"/>
        </w:rPr>
      </w:pPr>
      <w:bookmarkStart w:id="221" w:name="lt_pId469"/>
      <w:r w:rsidRPr="00CA61A6">
        <w:rPr>
          <w:szCs w:val="24"/>
          <w:lang w:eastAsia="ja-JP"/>
        </w:rPr>
        <w:t>El tema se examinó en la reunión del GANT de junio de 2015 basado en las propuestas del Grupo Especial sobre innovación del UIT-T.</w:t>
      </w:r>
      <w:bookmarkEnd w:id="221"/>
      <w:r w:rsidRPr="00CA61A6">
        <w:rPr>
          <w:szCs w:val="24"/>
          <w:lang w:eastAsia="ja-JP"/>
        </w:rPr>
        <w:t xml:space="preserve"> </w:t>
      </w:r>
      <w:bookmarkStart w:id="222" w:name="lt_pId470"/>
      <w:r w:rsidRPr="00CA61A6">
        <w:rPr>
          <w:szCs w:val="24"/>
          <w:lang w:eastAsia="ja-JP"/>
        </w:rPr>
        <w:t xml:space="preserve">Véase </w:t>
      </w:r>
      <w:r w:rsidR="00E07B88">
        <w:rPr>
          <w:szCs w:val="24"/>
          <w:lang w:eastAsia="ja-JP"/>
        </w:rPr>
        <w:t>la</w:t>
      </w:r>
      <w:hyperlink w:anchor="Item44_02" w:history="1">
        <w:r w:rsidR="008E0D0A" w:rsidRPr="00CA61A6">
          <w:rPr>
            <w:lang w:eastAsia="ja-JP"/>
          </w:rPr>
          <w:t xml:space="preserve"> </w:t>
        </w:r>
        <w:r w:rsidR="00E07B88">
          <w:rPr>
            <w:rStyle w:val="Hyperlink"/>
            <w:szCs w:val="24"/>
            <w:lang w:eastAsia="ja-JP"/>
          </w:rPr>
          <w:t>Acción</w:t>
        </w:r>
        <w:r w:rsidR="008E0D0A" w:rsidRPr="00CA61A6">
          <w:rPr>
            <w:rStyle w:val="Hyperlink"/>
            <w:szCs w:val="24"/>
            <w:lang w:eastAsia="ja-JP"/>
          </w:rPr>
          <w:t xml:space="preserve"> </w:t>
        </w:r>
        <w:r w:rsidRPr="00CA61A6">
          <w:rPr>
            <w:rStyle w:val="Hyperlink"/>
            <w:szCs w:val="24"/>
            <w:lang w:eastAsia="ja-JP"/>
          </w:rPr>
          <w:t>44-02</w:t>
        </w:r>
      </w:hyperlink>
      <w:r w:rsidR="00FC4456">
        <w:rPr>
          <w:szCs w:val="24"/>
          <w:lang w:eastAsia="ja-JP"/>
        </w:rPr>
        <w:t xml:space="preserve"> anterior</w:t>
      </w:r>
      <w:r w:rsidRPr="00CA61A6">
        <w:rPr>
          <w:szCs w:val="24"/>
          <w:lang w:eastAsia="ja-JP"/>
        </w:rPr>
        <w:t>.</w:t>
      </w:r>
      <w:bookmarkEnd w:id="222"/>
    </w:p>
    <w:p w:rsidR="0062564D" w:rsidRPr="00CA61A6" w:rsidRDefault="000A2046" w:rsidP="00DA6C63">
      <w:pPr>
        <w:pStyle w:val="Headingb"/>
      </w:pPr>
      <w:bookmarkStart w:id="223" w:name="Item44_17"/>
      <w:bookmarkStart w:id="224" w:name="lt_pId471"/>
      <w:bookmarkEnd w:id="223"/>
      <w:r w:rsidRPr="00CA61A6">
        <w:t xml:space="preserve">Acción </w:t>
      </w:r>
      <w:r w:rsidR="0062564D" w:rsidRPr="00CA61A6">
        <w:t>44-17: TSB, CE y GANT</w:t>
      </w:r>
      <w:bookmarkEnd w:id="224"/>
    </w:p>
    <w:p w:rsidR="0062564D" w:rsidRPr="00CA61A6" w:rsidRDefault="0062564D" w:rsidP="00300F62">
      <w:pPr>
        <w:rPr>
          <w:szCs w:val="24"/>
          <w:lang w:eastAsia="ja-JP"/>
        </w:rPr>
      </w:pPr>
      <w:bookmarkStart w:id="225" w:name="lt_pId472"/>
      <w:r w:rsidRPr="00CA61A6">
        <w:rPr>
          <w:szCs w:val="24"/>
          <w:lang w:eastAsia="ja-JP"/>
        </w:rPr>
        <w:t xml:space="preserve">Véase </w:t>
      </w:r>
      <w:r w:rsidR="00300F62">
        <w:rPr>
          <w:szCs w:val="24"/>
          <w:lang w:eastAsia="ja-JP"/>
        </w:rPr>
        <w:t>la</w:t>
      </w:r>
      <w:hyperlink w:anchor="Item44_03" w:history="1">
        <w:r w:rsidR="002B3FD2" w:rsidRPr="00CA61A6">
          <w:rPr>
            <w:lang w:eastAsia="ja-JP"/>
          </w:rPr>
          <w:t xml:space="preserve"> </w:t>
        </w:r>
        <w:r w:rsidR="00300F62">
          <w:rPr>
            <w:rStyle w:val="Hyperlink"/>
            <w:szCs w:val="24"/>
            <w:lang w:eastAsia="ja-JP"/>
          </w:rPr>
          <w:t>Acción</w:t>
        </w:r>
        <w:r w:rsidR="002B3FD2" w:rsidRPr="00CA61A6">
          <w:rPr>
            <w:rStyle w:val="Hyperlink"/>
            <w:szCs w:val="24"/>
            <w:lang w:eastAsia="ja-JP"/>
          </w:rPr>
          <w:t xml:space="preserve"> </w:t>
        </w:r>
        <w:r w:rsidRPr="00CA61A6">
          <w:rPr>
            <w:rStyle w:val="Hyperlink"/>
            <w:szCs w:val="24"/>
            <w:lang w:eastAsia="ja-JP"/>
          </w:rPr>
          <w:t>44-03</w:t>
        </w:r>
      </w:hyperlink>
      <w:r w:rsidR="00C505E6">
        <w:rPr>
          <w:szCs w:val="24"/>
          <w:lang w:eastAsia="ja-JP"/>
        </w:rPr>
        <w:t xml:space="preserve"> anterior</w:t>
      </w:r>
      <w:r w:rsidRPr="006328E0">
        <w:t>.</w:t>
      </w:r>
      <w:bookmarkEnd w:id="225"/>
    </w:p>
    <w:p w:rsidR="0062564D" w:rsidRPr="00CA61A6" w:rsidRDefault="004D7325" w:rsidP="00986C20">
      <w:pPr>
        <w:pStyle w:val="Headingb"/>
      </w:pPr>
      <w:bookmarkStart w:id="226" w:name="Item44_18"/>
      <w:bookmarkStart w:id="227" w:name="lt_pId473"/>
      <w:bookmarkEnd w:id="226"/>
      <w:r w:rsidRPr="00CA61A6">
        <w:t xml:space="preserve">Acción </w:t>
      </w:r>
      <w:r w:rsidR="0062564D" w:rsidRPr="00CA61A6">
        <w:t>44-18: TSB</w:t>
      </w:r>
      <w:bookmarkEnd w:id="227"/>
    </w:p>
    <w:p w:rsidR="0062564D" w:rsidRPr="00CA61A6" w:rsidRDefault="003F0DD0" w:rsidP="007B3478">
      <w:pPr>
        <w:rPr>
          <w:szCs w:val="24"/>
          <w:lang w:eastAsia="ja-JP"/>
        </w:rPr>
      </w:pPr>
      <w:bookmarkStart w:id="228" w:name="lt_pId474"/>
      <w:r>
        <w:rPr>
          <w:szCs w:val="24"/>
          <w:lang w:eastAsia="ja-JP"/>
        </w:rPr>
        <w:t xml:space="preserve">El </w:t>
      </w:r>
      <w:r w:rsidR="0062564D" w:rsidRPr="00CA61A6">
        <w:rPr>
          <w:szCs w:val="24"/>
          <w:lang w:eastAsia="ja-JP"/>
        </w:rPr>
        <w:t xml:space="preserve">Informe sobre la actividad del UIT-T/TSB sobre reducción de la brecha de normalización forma parte del </w:t>
      </w:r>
      <w:r w:rsidR="00F37FF3" w:rsidRPr="00CA61A6">
        <w:rPr>
          <w:szCs w:val="24"/>
          <w:lang w:eastAsia="ja-JP"/>
        </w:rPr>
        <w:t xml:space="preserve">Informe </w:t>
      </w:r>
      <w:r w:rsidR="0062564D" w:rsidRPr="00CA61A6">
        <w:rPr>
          <w:szCs w:val="24"/>
          <w:lang w:eastAsia="ja-JP"/>
        </w:rPr>
        <w:t>sobre actividades del Director de la TSB al GANT, al Consejo, a la PP y al GANT.</w:t>
      </w:r>
      <w:bookmarkEnd w:id="228"/>
    </w:p>
    <w:p w:rsidR="0062564D" w:rsidRPr="00CA61A6" w:rsidRDefault="00F61B83" w:rsidP="00F61B83">
      <w:pPr>
        <w:pStyle w:val="Headingb"/>
      </w:pPr>
      <w:bookmarkStart w:id="229" w:name="Item44_19"/>
      <w:bookmarkStart w:id="230" w:name="lt_pId475"/>
      <w:bookmarkEnd w:id="229"/>
      <w:r w:rsidRPr="00CA61A6">
        <w:t xml:space="preserve">Acción </w:t>
      </w:r>
      <w:r w:rsidR="0062564D" w:rsidRPr="00CA61A6">
        <w:t>44-19: TSB</w:t>
      </w:r>
      <w:bookmarkEnd w:id="230"/>
    </w:p>
    <w:p w:rsidR="0062564D" w:rsidRPr="00CA61A6" w:rsidRDefault="0062564D" w:rsidP="00103176">
      <w:pPr>
        <w:rPr>
          <w:lang w:eastAsia="ja-JP"/>
        </w:rPr>
      </w:pPr>
      <w:bookmarkStart w:id="231" w:name="lt_pId476"/>
      <w:r w:rsidRPr="00CA61A6">
        <w:rPr>
          <w:lang w:eastAsia="ja-JP"/>
        </w:rPr>
        <w:t>La TSB ha preparado unas directrices sobre la creación de secretarías nacionales de normalización para coordinar las actividades de normalización de las TIC a nivel nacional y participar en las reuniones y en las Comisiones de Estudio</w:t>
      </w:r>
      <w:r w:rsidR="00103176">
        <w:rPr>
          <w:lang w:eastAsia="ja-JP"/>
        </w:rPr>
        <w:t xml:space="preserve"> del </w:t>
      </w:r>
      <w:r w:rsidRPr="00CA61A6">
        <w:rPr>
          <w:lang w:eastAsia="ja-JP"/>
        </w:rPr>
        <w:t>UIT-T.</w:t>
      </w:r>
      <w:bookmarkEnd w:id="231"/>
      <w:r w:rsidRPr="00CA61A6">
        <w:rPr>
          <w:lang w:eastAsia="ja-JP"/>
        </w:rPr>
        <w:t xml:space="preserve"> </w:t>
      </w:r>
      <w:bookmarkStart w:id="232" w:name="lt_pId477"/>
      <w:r w:rsidRPr="00CA61A6">
        <w:rPr>
          <w:lang w:eastAsia="ja-JP"/>
        </w:rPr>
        <w:t>Las directrices se publicaron en marzo de 2014 y están disponibles en el sitio web de BSG.</w:t>
      </w:r>
      <w:bookmarkEnd w:id="232"/>
    </w:p>
    <w:p w:rsidR="0062564D" w:rsidRPr="00CA61A6" w:rsidRDefault="0062564D" w:rsidP="00722B5C">
      <w:pPr>
        <w:rPr>
          <w:lang w:eastAsia="ja-JP"/>
        </w:rPr>
      </w:pPr>
      <w:bookmarkStart w:id="233" w:name="lt_pId479"/>
      <w:r w:rsidRPr="00CA61A6">
        <w:rPr>
          <w:lang w:eastAsia="ja-JP"/>
        </w:rPr>
        <w:t xml:space="preserve">Las Directrices sobre la creación de una Secretaría Nacional de </w:t>
      </w:r>
      <w:r w:rsidR="009266C2">
        <w:rPr>
          <w:lang w:eastAsia="ja-JP"/>
        </w:rPr>
        <w:t>Normalización (SNN) para el UIT</w:t>
      </w:r>
      <w:r w:rsidR="009266C2">
        <w:rPr>
          <w:lang w:eastAsia="ja-JP"/>
        </w:rPr>
        <w:noBreakHyphen/>
      </w:r>
      <w:r w:rsidRPr="00CA61A6">
        <w:rPr>
          <w:lang w:eastAsia="ja-JP"/>
        </w:rPr>
        <w:t xml:space="preserve">T toman en consideración los distintos niveles de capacidad en términos de normalización en los países en desarrollo, mostrando de qué manera puede crearse una SNN a un nivel básico con mínimos requisitos de costes o recursos. En esta </w:t>
      </w:r>
      <w:r w:rsidR="00B26079" w:rsidRPr="00CA61A6">
        <w:rPr>
          <w:lang w:eastAsia="ja-JP"/>
        </w:rPr>
        <w:t>"</w:t>
      </w:r>
      <w:r w:rsidRPr="00CA61A6">
        <w:rPr>
          <w:lang w:eastAsia="ja-JP"/>
        </w:rPr>
        <w:t>SNN de nivel general</w:t>
      </w:r>
      <w:r w:rsidR="00B26079" w:rsidRPr="00CA61A6">
        <w:rPr>
          <w:lang w:eastAsia="ja-JP"/>
        </w:rPr>
        <w:t>"</w:t>
      </w:r>
      <w:r w:rsidRPr="00CA61A6">
        <w:rPr>
          <w:lang w:eastAsia="ja-JP"/>
        </w:rPr>
        <w:t>, el país en desarrollo se concentrará principalmente en las actividades generales de alto nivel del UIT-T, tales como la Asamblea Mundial de Normalización de las Telecomunicaciones (AMNT) y el Grupo Asesor de Normalización de las Telecomunicaciones (GANT).</w:t>
      </w:r>
      <w:bookmarkStart w:id="234" w:name="lt_pId480"/>
      <w:bookmarkEnd w:id="233"/>
      <w:r w:rsidR="000F3950" w:rsidRPr="00CA61A6">
        <w:rPr>
          <w:lang w:eastAsia="ja-JP"/>
        </w:rPr>
        <w:t xml:space="preserve"> </w:t>
      </w:r>
      <w:r w:rsidRPr="00CA61A6">
        <w:rPr>
          <w:lang w:eastAsia="ja-JP"/>
        </w:rPr>
        <w:t>También comprende la participación en un número reducido de Comisiones de Estudio del UIT-T a través de la creación de grupos ad hoc en función de las necesidades.</w:t>
      </w:r>
      <w:bookmarkEnd w:id="234"/>
    </w:p>
    <w:p w:rsidR="0062564D" w:rsidRPr="00CA61A6" w:rsidRDefault="0062564D" w:rsidP="006B3AC7">
      <w:pPr>
        <w:rPr>
          <w:lang w:eastAsia="ja-JP"/>
        </w:rPr>
      </w:pPr>
      <w:bookmarkStart w:id="235" w:name="lt_pId481"/>
      <w:r w:rsidRPr="00CA61A6">
        <w:rPr>
          <w:lang w:eastAsia="ja-JP"/>
        </w:rPr>
        <w:lastRenderedPageBreak/>
        <w:t>Cuando un país en desarrollo participa continuamente en varias Comisiones de Estudio del UIT</w:t>
      </w:r>
      <w:r w:rsidR="001954E2">
        <w:rPr>
          <w:lang w:eastAsia="ja-JP"/>
        </w:rPr>
        <w:noBreakHyphen/>
        <w:t>T</w:t>
      </w:r>
      <w:r w:rsidRPr="00CA61A6">
        <w:rPr>
          <w:lang w:eastAsia="ja-JP"/>
        </w:rPr>
        <w:t>, pasa de a un nivel mayor de participación en el UIT</w:t>
      </w:r>
      <w:r w:rsidR="00C45A06">
        <w:rPr>
          <w:lang w:eastAsia="ja-JP"/>
        </w:rPr>
        <w:noBreakHyphen/>
      </w:r>
      <w:r w:rsidRPr="00CA61A6">
        <w:rPr>
          <w:lang w:eastAsia="ja-JP"/>
        </w:rPr>
        <w:t>T</w:t>
      </w:r>
      <w:r w:rsidR="006B3AC7">
        <w:rPr>
          <w:lang w:eastAsia="ja-JP"/>
        </w:rPr>
        <w:t xml:space="preserve">, de modo que </w:t>
      </w:r>
      <w:r w:rsidRPr="00CA61A6">
        <w:rPr>
          <w:lang w:eastAsia="ja-JP"/>
        </w:rPr>
        <w:t>l</w:t>
      </w:r>
      <w:r w:rsidR="006B3AC7">
        <w:rPr>
          <w:lang w:eastAsia="ja-JP"/>
        </w:rPr>
        <w:t>a</w:t>
      </w:r>
      <w:r w:rsidRPr="00CA61A6">
        <w:rPr>
          <w:lang w:eastAsia="ja-JP"/>
        </w:rPr>
        <w:t xml:space="preserve"> </w:t>
      </w:r>
      <w:r w:rsidR="006B3AC7">
        <w:rPr>
          <w:lang w:eastAsia="ja-JP"/>
        </w:rPr>
        <w:t>SNN</w:t>
      </w:r>
      <w:r w:rsidR="006B3AC7" w:rsidRPr="00CA61A6">
        <w:rPr>
          <w:lang w:eastAsia="ja-JP"/>
        </w:rPr>
        <w:t xml:space="preserve"> </w:t>
      </w:r>
      <w:r w:rsidRPr="00CA61A6">
        <w:rPr>
          <w:lang w:eastAsia="ja-JP"/>
        </w:rPr>
        <w:t xml:space="preserve">puede fácilmente evolucionar de una </w:t>
      </w:r>
      <w:r w:rsidR="00B26079" w:rsidRPr="00CA61A6">
        <w:rPr>
          <w:lang w:eastAsia="ja-JP"/>
        </w:rPr>
        <w:t>"</w:t>
      </w:r>
      <w:r w:rsidRPr="00CA61A6">
        <w:rPr>
          <w:lang w:eastAsia="ja-JP"/>
        </w:rPr>
        <w:t xml:space="preserve">SNN </w:t>
      </w:r>
      <w:r w:rsidR="00ED5FAB">
        <w:rPr>
          <w:lang w:eastAsia="ja-JP"/>
        </w:rPr>
        <w:t xml:space="preserve">de </w:t>
      </w:r>
      <w:r w:rsidRPr="00CA61A6">
        <w:rPr>
          <w:lang w:eastAsia="ja-JP"/>
        </w:rPr>
        <w:t>nivel general</w:t>
      </w:r>
      <w:r w:rsidR="00B26079" w:rsidRPr="00CA61A6">
        <w:rPr>
          <w:lang w:eastAsia="ja-JP"/>
        </w:rPr>
        <w:t>"</w:t>
      </w:r>
      <w:r w:rsidRPr="00CA61A6">
        <w:rPr>
          <w:lang w:eastAsia="ja-JP"/>
        </w:rPr>
        <w:t xml:space="preserve"> a una </w:t>
      </w:r>
      <w:r w:rsidR="00B26079" w:rsidRPr="00CA61A6">
        <w:rPr>
          <w:lang w:eastAsia="ja-JP"/>
        </w:rPr>
        <w:t>"</w:t>
      </w:r>
      <w:r w:rsidRPr="00CA61A6">
        <w:rPr>
          <w:lang w:eastAsia="ja-JP"/>
        </w:rPr>
        <w:t>SNN de nivel de Comisión de Estudio</w:t>
      </w:r>
      <w:r w:rsidR="00B26079" w:rsidRPr="00CA61A6">
        <w:rPr>
          <w:lang w:eastAsia="ja-JP"/>
        </w:rPr>
        <w:t>"</w:t>
      </w:r>
      <w:r w:rsidRPr="00CA61A6">
        <w:rPr>
          <w:lang w:eastAsia="ja-JP"/>
        </w:rPr>
        <w:t xml:space="preserve"> con sólo añadir algunos comités nacionales para abarcar las Comisiones de Estudio de interés, añadir personal adicional auxiliar y convertir los antiguos grupos nacionales ad hoc en Comisiones de Estudio nacionales permanentes.</w:t>
      </w:r>
      <w:bookmarkEnd w:id="235"/>
    </w:p>
    <w:p w:rsidR="0062564D" w:rsidRPr="00CA61A6" w:rsidRDefault="0062564D" w:rsidP="00F64E61">
      <w:pPr>
        <w:rPr>
          <w:lang w:eastAsia="ja-JP"/>
        </w:rPr>
      </w:pPr>
      <w:bookmarkStart w:id="236" w:name="lt_pId482"/>
      <w:r w:rsidRPr="00CA61A6">
        <w:rPr>
          <w:lang w:eastAsia="ja-JP"/>
        </w:rPr>
        <w:t>Por último, en el caso de los países en desa</w:t>
      </w:r>
      <w:r w:rsidR="00C95732">
        <w:rPr>
          <w:lang w:eastAsia="ja-JP"/>
        </w:rPr>
        <w:t>rrollo que participan en todas o</w:t>
      </w:r>
      <w:r w:rsidRPr="00CA61A6">
        <w:rPr>
          <w:lang w:eastAsia="ja-JP"/>
        </w:rPr>
        <w:t xml:space="preserve"> casi todas las Comisiones de Estudio del UIT-T, las directrices muestran cómo un</w:t>
      </w:r>
      <w:r w:rsidR="00A86A9A">
        <w:rPr>
          <w:lang w:eastAsia="ja-JP"/>
        </w:rPr>
        <w:t>a</w:t>
      </w:r>
      <w:r w:rsidRPr="00CA61A6">
        <w:rPr>
          <w:lang w:eastAsia="ja-JP"/>
        </w:rPr>
        <w:t xml:space="preserve"> </w:t>
      </w:r>
      <w:r w:rsidR="006B3AC7">
        <w:rPr>
          <w:lang w:eastAsia="ja-JP"/>
        </w:rPr>
        <w:t>SNN</w:t>
      </w:r>
      <w:r w:rsidRPr="00CA61A6">
        <w:rPr>
          <w:lang w:eastAsia="ja-JP"/>
        </w:rPr>
        <w:t xml:space="preserve"> puede evolucionar paulatinamente de una </w:t>
      </w:r>
      <w:r w:rsidR="00B26079" w:rsidRPr="00CA61A6">
        <w:rPr>
          <w:lang w:eastAsia="ja-JP"/>
        </w:rPr>
        <w:t>"</w:t>
      </w:r>
      <w:r w:rsidRPr="00CA61A6">
        <w:rPr>
          <w:lang w:eastAsia="ja-JP"/>
        </w:rPr>
        <w:t>SNN de nivel de Comisión de Estudio</w:t>
      </w:r>
      <w:r w:rsidR="00B26079" w:rsidRPr="00CA61A6">
        <w:rPr>
          <w:lang w:eastAsia="ja-JP"/>
        </w:rPr>
        <w:t>"</w:t>
      </w:r>
      <w:r w:rsidRPr="00CA61A6">
        <w:rPr>
          <w:lang w:eastAsia="ja-JP"/>
        </w:rPr>
        <w:t xml:space="preserve"> a una </w:t>
      </w:r>
      <w:r w:rsidR="00B26079" w:rsidRPr="00CA61A6">
        <w:rPr>
          <w:lang w:eastAsia="ja-JP"/>
        </w:rPr>
        <w:t>"</w:t>
      </w:r>
      <w:r w:rsidRPr="00CA61A6">
        <w:rPr>
          <w:lang w:eastAsia="ja-JP"/>
        </w:rPr>
        <w:t>SNN de nivel de Sector</w:t>
      </w:r>
      <w:r w:rsidR="00B26079" w:rsidRPr="00CA61A6">
        <w:rPr>
          <w:lang w:eastAsia="ja-JP"/>
        </w:rPr>
        <w:t>"</w:t>
      </w:r>
      <w:r w:rsidRPr="00CA61A6">
        <w:rPr>
          <w:lang w:eastAsia="ja-JP"/>
        </w:rPr>
        <w:t>.</w:t>
      </w:r>
      <w:bookmarkStart w:id="237" w:name="lt_pId483"/>
      <w:bookmarkEnd w:id="236"/>
      <w:r w:rsidR="009D6932" w:rsidRPr="00CA61A6">
        <w:rPr>
          <w:lang w:eastAsia="ja-JP"/>
        </w:rPr>
        <w:t xml:space="preserve"> </w:t>
      </w:r>
      <w:r w:rsidRPr="00CA61A6">
        <w:rPr>
          <w:lang w:eastAsia="ja-JP"/>
        </w:rPr>
        <w:t>Para la opción de una estructura de SNN de nivel de Sector, habrá una comisión de estudio nacional para cada Comisión de Estudio del UIT-T, con el correspondiente aumento en las funciones de secretar</w:t>
      </w:r>
      <w:r w:rsidR="00F64E61">
        <w:rPr>
          <w:lang w:eastAsia="ja-JP"/>
        </w:rPr>
        <w:t>iado</w:t>
      </w:r>
      <w:r w:rsidRPr="00CA61A6">
        <w:rPr>
          <w:lang w:eastAsia="ja-JP"/>
        </w:rPr>
        <w:t>, en particular, el mantenimiento de un sitio web y un sistema de archivos de documentos.</w:t>
      </w:r>
      <w:bookmarkEnd w:id="237"/>
    </w:p>
    <w:p w:rsidR="0062564D" w:rsidRPr="00CA61A6" w:rsidRDefault="0062564D" w:rsidP="005A2D46">
      <w:pPr>
        <w:rPr>
          <w:lang w:eastAsia="ja-JP"/>
        </w:rPr>
      </w:pPr>
      <w:bookmarkStart w:id="238" w:name="lt_pId484"/>
      <w:r w:rsidRPr="00CA61A6">
        <w:rPr>
          <w:lang w:eastAsia="ja-JP"/>
        </w:rPr>
        <w:t>En cualquiera de las tres opciones (a saber, SNN de nivel general, SNN de nivel de Comisión de Estudio y SNN de nivel de Sector), la misma agencia gubernamental responsable de las relaciones c</w:t>
      </w:r>
      <w:r w:rsidR="00600CCB">
        <w:rPr>
          <w:lang w:eastAsia="ja-JP"/>
        </w:rPr>
        <w:t>on el UIT-T se encargará</w:t>
      </w:r>
      <w:r w:rsidRPr="00CA61A6">
        <w:rPr>
          <w:lang w:eastAsia="ja-JP"/>
        </w:rPr>
        <w:t xml:space="preserve"> también de la organización y gestión de la SNN.</w:t>
      </w:r>
      <w:bookmarkStart w:id="239" w:name="lt_pId485"/>
      <w:bookmarkEnd w:id="238"/>
      <w:r w:rsidR="000F3950" w:rsidRPr="00CA61A6">
        <w:rPr>
          <w:lang w:eastAsia="ja-JP"/>
        </w:rPr>
        <w:t xml:space="preserve"> </w:t>
      </w:r>
      <w:r w:rsidRPr="00CA61A6">
        <w:rPr>
          <w:lang w:eastAsia="ja-JP"/>
        </w:rPr>
        <w:t>Cada uno de los comités nacionales subordinados de la SNN, relacionados por ejemplo con la AMNT, el GANT o una determinada Comisión de Estudio del UIT-T, formulan sus propuestas y asesoran a la agencia responsable para la aprobación oficial en nombre del Estado Miembro.</w:t>
      </w:r>
      <w:bookmarkEnd w:id="239"/>
      <w:r w:rsidRPr="00CA61A6">
        <w:rPr>
          <w:lang w:eastAsia="ja-JP"/>
        </w:rPr>
        <w:t xml:space="preserve"> </w:t>
      </w:r>
      <w:bookmarkStart w:id="240" w:name="lt_pId486"/>
      <w:r w:rsidRPr="00CA61A6">
        <w:rPr>
          <w:lang w:eastAsia="ja-JP"/>
        </w:rPr>
        <w:t>Se proporcionan estimaciones de</w:t>
      </w:r>
      <w:r w:rsidR="009E0529">
        <w:rPr>
          <w:lang w:eastAsia="ja-JP"/>
        </w:rPr>
        <w:t xml:space="preserve"> los recursos humanos y financie</w:t>
      </w:r>
      <w:r w:rsidRPr="00CA61A6">
        <w:rPr>
          <w:lang w:eastAsia="ja-JP"/>
        </w:rPr>
        <w:t>ros para cada una de las tres opciones de SNN.</w:t>
      </w:r>
      <w:bookmarkEnd w:id="240"/>
    </w:p>
    <w:p w:rsidR="0062564D" w:rsidRPr="00CA61A6" w:rsidRDefault="0062564D" w:rsidP="00676A7F">
      <w:pPr>
        <w:keepNext/>
        <w:keepLines/>
        <w:rPr>
          <w:lang w:eastAsia="ja-JP"/>
        </w:rPr>
      </w:pPr>
      <w:bookmarkStart w:id="241" w:name="lt_pId487"/>
      <w:r w:rsidRPr="00CA61A6">
        <w:rPr>
          <w:lang w:eastAsia="ja-JP"/>
        </w:rPr>
        <w:t>Las directrices contienen, para cada grupo de la SNN, información sobre las responsabilidades, la gestión, los miembros que l</w:t>
      </w:r>
      <w:r w:rsidR="00676A7F">
        <w:rPr>
          <w:lang w:eastAsia="ja-JP"/>
        </w:rPr>
        <w:t>a</w:t>
      </w:r>
      <w:r w:rsidRPr="00CA61A6">
        <w:rPr>
          <w:lang w:eastAsia="ja-JP"/>
        </w:rPr>
        <w:t xml:space="preserve"> componen y los métodos de trabajo.</w:t>
      </w:r>
      <w:bookmarkEnd w:id="241"/>
      <w:r w:rsidRPr="00CA61A6">
        <w:rPr>
          <w:lang w:eastAsia="ja-JP"/>
        </w:rPr>
        <w:t xml:space="preserve"> </w:t>
      </w:r>
      <w:bookmarkStart w:id="242" w:name="lt_pId488"/>
      <w:r w:rsidRPr="00CA61A6">
        <w:rPr>
          <w:lang w:eastAsia="ja-JP"/>
        </w:rPr>
        <w:t>Las directrices también incluyen una hoja de ruta con los pasos necesarios para ayudar a los países en desarrollo a crear una Secretaría Nacional de Normalización desde la determinación inicial de los fundamentos jurídicos de la agencia responsable de organizar y gestionar el proceso SNN, hasta la determinación de los recursos humanos y financieros necesarios y el establecimiento de los comités nacionales adecuados y el nombramiento de sus directivos.</w:t>
      </w:r>
      <w:bookmarkEnd w:id="242"/>
    </w:p>
    <w:p w:rsidR="0062564D" w:rsidRPr="00CA61A6" w:rsidRDefault="003839D8" w:rsidP="005B2D11">
      <w:pPr>
        <w:pStyle w:val="Headingb"/>
      </w:pPr>
      <w:bookmarkStart w:id="243" w:name="Item44_20"/>
      <w:bookmarkStart w:id="244" w:name="lt_pId489"/>
      <w:bookmarkEnd w:id="243"/>
      <w:r w:rsidRPr="00CA61A6">
        <w:t xml:space="preserve">Acción </w:t>
      </w:r>
      <w:r w:rsidR="0062564D" w:rsidRPr="00CA61A6">
        <w:t>44-20: TSB</w:t>
      </w:r>
      <w:bookmarkEnd w:id="244"/>
    </w:p>
    <w:p w:rsidR="0062564D" w:rsidRPr="00CA61A6" w:rsidRDefault="0062564D" w:rsidP="007B3478">
      <w:pPr>
        <w:rPr>
          <w:lang w:eastAsia="zh-CN"/>
        </w:rPr>
      </w:pPr>
      <w:bookmarkStart w:id="245" w:name="lt_pId492"/>
      <w:r w:rsidRPr="00CA61A6">
        <w:t xml:space="preserve">La TSB ha publicado un curso de ciberenseñanza sobre la Recomendación UIT-T A.1: Métodos de trabajo de las Comisiones de Estudio del UIT-T. El curso se ofrece en la plataforma Academia de la UIT y fue lanzado en febrero de 2014. </w:t>
      </w:r>
      <w:bookmarkEnd w:id="245"/>
      <w:r w:rsidRPr="00CA61A6">
        <w:rPr>
          <w:lang w:eastAsia="zh-CN"/>
        </w:rPr>
        <w:t>El principal objetivo del curso es presentar las estructuras, la gestión, los mecanismos de coordinación y el funcionamiento de las Comisiones de Estudio del UIT-T como se definen en la Recomendación UIT-T A.1.</w:t>
      </w:r>
    </w:p>
    <w:p w:rsidR="0062564D" w:rsidRPr="00CA61A6" w:rsidRDefault="00A4523D" w:rsidP="007B3478">
      <w:r w:rsidRPr="00CA61A6">
        <w:rPr>
          <w:lang w:eastAsia="zh-CN"/>
        </w:rPr>
        <w:t xml:space="preserve">La </w:t>
      </w:r>
      <w:r w:rsidR="0062564D" w:rsidRPr="00CA61A6">
        <w:rPr>
          <w:lang w:eastAsia="zh-CN"/>
        </w:rPr>
        <w:t>Recomendación UIT-T A.1 describe los métodos generales de trabajo de las Comisiones de Estudio del UIT-T. Ofrece además directrices sobre los métodos de trabajo, como la realización de reuniones, la preparación de estudios, la gestión de las Comisiones de Estudio, la función de los Relatores y el tratamiento de contribuciones y documentos temporales del UIT-T. El curso está dirigido a los delegados que participan en las reuniones de las Comisiones de Estudio del UIT-T, y en particular a los nuevos participantes.</w:t>
      </w:r>
    </w:p>
    <w:p w:rsidR="0062564D" w:rsidRPr="00CA61A6" w:rsidRDefault="0062564D" w:rsidP="007B3478">
      <w:pPr>
        <w:rPr>
          <w:szCs w:val="24"/>
          <w:lang w:eastAsia="ja-JP"/>
        </w:rPr>
      </w:pPr>
      <w:bookmarkStart w:id="246" w:name="lt_pId496"/>
      <w:r w:rsidRPr="00CA61A6">
        <w:rPr>
          <w:szCs w:val="24"/>
          <w:lang w:eastAsia="ja-JP"/>
        </w:rPr>
        <w:t xml:space="preserve">El curso </w:t>
      </w:r>
      <w:bookmarkEnd w:id="246"/>
      <w:r w:rsidRPr="00CA61A6">
        <w:rPr>
          <w:szCs w:val="24"/>
          <w:lang w:eastAsia="ja-JP"/>
        </w:rPr>
        <w:t>consta de seis módulos:</w:t>
      </w:r>
    </w:p>
    <w:p w:rsidR="0062564D" w:rsidRPr="00CA61A6" w:rsidRDefault="0062564D" w:rsidP="007B3478">
      <w:pPr>
        <w:pStyle w:val="enumlev1"/>
      </w:pPr>
      <w:r w:rsidRPr="00CA61A6">
        <w:t>•</w:t>
      </w:r>
      <w:r w:rsidRPr="00CA61A6">
        <w:tab/>
        <w:t>Normalización en el UIT-T</w:t>
      </w:r>
      <w:r w:rsidR="002059F5" w:rsidRPr="00CA61A6">
        <w:t>.</w:t>
      </w:r>
    </w:p>
    <w:p w:rsidR="0062564D" w:rsidRPr="00CA61A6" w:rsidRDefault="0062564D" w:rsidP="007B3478">
      <w:pPr>
        <w:pStyle w:val="enumlev1"/>
      </w:pPr>
      <w:r w:rsidRPr="00CA61A6">
        <w:t>•</w:t>
      </w:r>
      <w:r w:rsidRPr="00CA61A6">
        <w:tab/>
        <w:t>Gestión de las Comisiones de Estudio</w:t>
      </w:r>
      <w:r w:rsidR="002059F5" w:rsidRPr="00CA61A6">
        <w:t>.</w:t>
      </w:r>
    </w:p>
    <w:p w:rsidR="0062564D" w:rsidRPr="00CA61A6" w:rsidRDefault="0062564D" w:rsidP="007B3478">
      <w:pPr>
        <w:pStyle w:val="enumlev1"/>
      </w:pPr>
      <w:r w:rsidRPr="00CA61A6">
        <w:t>•</w:t>
      </w:r>
      <w:r w:rsidRPr="00CA61A6">
        <w:tab/>
        <w:t>Coordinación</w:t>
      </w:r>
      <w:r w:rsidR="002059F5" w:rsidRPr="00CA61A6">
        <w:t>.</w:t>
      </w:r>
    </w:p>
    <w:p w:rsidR="0062564D" w:rsidRPr="00CA61A6" w:rsidRDefault="0062564D" w:rsidP="007B3478">
      <w:pPr>
        <w:pStyle w:val="enumlev1"/>
      </w:pPr>
      <w:r w:rsidRPr="00CA61A6">
        <w:t>•</w:t>
      </w:r>
      <w:r w:rsidRPr="00CA61A6">
        <w:tab/>
        <w:t>Aportaciones a las Comisiones de Estudio</w:t>
      </w:r>
      <w:r w:rsidR="002059F5" w:rsidRPr="00CA61A6">
        <w:t>.</w:t>
      </w:r>
    </w:p>
    <w:p w:rsidR="0062564D" w:rsidRPr="00CA61A6" w:rsidRDefault="0062564D" w:rsidP="007B3478">
      <w:pPr>
        <w:pStyle w:val="enumlev1"/>
      </w:pPr>
      <w:r w:rsidRPr="00CA61A6">
        <w:t>•</w:t>
      </w:r>
      <w:r w:rsidRPr="00CA61A6">
        <w:tab/>
        <w:t>Resultados de las Comisiones de Estudio</w:t>
      </w:r>
      <w:r w:rsidR="002059F5" w:rsidRPr="00CA61A6">
        <w:t>.</w:t>
      </w:r>
    </w:p>
    <w:p w:rsidR="0062564D" w:rsidRPr="00CA61A6" w:rsidRDefault="0062564D" w:rsidP="007B3478">
      <w:pPr>
        <w:pStyle w:val="enumlev1"/>
      </w:pPr>
      <w:r w:rsidRPr="00CA61A6">
        <w:lastRenderedPageBreak/>
        <w:t>•</w:t>
      </w:r>
      <w:r w:rsidRPr="00CA61A6">
        <w:tab/>
        <w:t>Infraestructura de apoyo a los procesos de las Comisiones de Estudio</w:t>
      </w:r>
      <w:r w:rsidR="002059F5" w:rsidRPr="00CA61A6">
        <w:t>.</w:t>
      </w:r>
    </w:p>
    <w:p w:rsidR="0062564D" w:rsidRPr="00CA61A6" w:rsidRDefault="0062564D" w:rsidP="007B3478">
      <w:pPr>
        <w:rPr>
          <w:szCs w:val="24"/>
          <w:highlight w:val="yellow"/>
          <w:lang w:eastAsia="ja-JP"/>
        </w:rPr>
      </w:pPr>
      <w:r w:rsidRPr="00CA61A6">
        <w:rPr>
          <w:szCs w:val="24"/>
          <w:lang w:eastAsia="ja-JP"/>
        </w:rPr>
        <w:t>Cada módulo es una unidad autocontenida, que incluye el contenido del curso y preguntas. Una vez completado el curso los participantes pueden realizar una evaluación final en línea con la cual, a partir de una puntuación del 80% podrán obtener un certificado.</w:t>
      </w:r>
    </w:p>
    <w:p w:rsidR="0062564D" w:rsidRPr="00CA61A6" w:rsidRDefault="0062564D" w:rsidP="007B3478">
      <w:pPr>
        <w:rPr>
          <w:szCs w:val="24"/>
          <w:lang w:eastAsia="ja-JP"/>
        </w:rPr>
      </w:pPr>
      <w:r w:rsidRPr="00CA61A6">
        <w:rPr>
          <w:szCs w:val="24"/>
          <w:lang w:eastAsia="ja-JP"/>
        </w:rPr>
        <w:t>El curso se encuentra disponible en la dirección web de la Academia de la UIT en: (</w:t>
      </w:r>
      <w:hyperlink r:id="rId110" w:history="1">
        <w:r w:rsidRPr="00CA61A6">
          <w:rPr>
            <w:rStyle w:val="Hyperlink"/>
            <w:szCs w:val="24"/>
            <w:lang w:eastAsia="ja-JP"/>
          </w:rPr>
          <w:t>http://academy.itu.int/</w:t>
        </w:r>
      </w:hyperlink>
      <w:r w:rsidRPr="00CA61A6">
        <w:rPr>
          <w:szCs w:val="24"/>
          <w:lang w:eastAsia="ja-JP"/>
        </w:rPr>
        <w:t xml:space="preserve">) o a través del enlace </w:t>
      </w:r>
      <w:hyperlink r:id="rId111" w:history="1">
        <w:r w:rsidRPr="00CA61A6">
          <w:rPr>
            <w:rStyle w:val="Hyperlink"/>
            <w:szCs w:val="24"/>
            <w:lang w:eastAsia="ja-JP"/>
          </w:rPr>
          <w:t>http://academy.itu.int/index.php/component/k2/item/1115</w:t>
        </w:r>
      </w:hyperlink>
      <w:r w:rsidR="004A3D91" w:rsidRPr="00CA61A6">
        <w:rPr>
          <w:szCs w:val="24"/>
          <w:lang w:eastAsia="ja-JP"/>
        </w:rPr>
        <w:t>.</w:t>
      </w:r>
    </w:p>
    <w:p w:rsidR="0062564D" w:rsidRPr="00CA61A6" w:rsidRDefault="0062564D" w:rsidP="00780C51">
      <w:pPr>
        <w:keepNext/>
        <w:keepLines/>
        <w:rPr>
          <w:szCs w:val="24"/>
          <w:lang w:eastAsia="ja-JP"/>
        </w:rPr>
      </w:pPr>
      <w:bookmarkStart w:id="247" w:name="lt_pId506"/>
      <w:r w:rsidRPr="00CA61A6">
        <w:rPr>
          <w:szCs w:val="24"/>
          <w:lang w:eastAsia="ja-JP"/>
        </w:rPr>
        <w:t>La TSB tiene previsto preparar otros cursos de ciberenseñanza sobre Recomendaciones UIT-T en los próximos años.</w:t>
      </w:r>
      <w:bookmarkEnd w:id="247"/>
      <w:r w:rsidRPr="00CA61A6">
        <w:rPr>
          <w:szCs w:val="24"/>
          <w:lang w:eastAsia="ja-JP"/>
        </w:rPr>
        <w:t xml:space="preserve"> </w:t>
      </w:r>
      <w:bookmarkStart w:id="248" w:name="lt_pId507"/>
      <w:r w:rsidRPr="00CA61A6">
        <w:rPr>
          <w:szCs w:val="24"/>
          <w:lang w:eastAsia="ja-JP"/>
        </w:rPr>
        <w:t xml:space="preserve">Se investigará la posibilidad de crear alianzas con </w:t>
      </w:r>
      <w:r w:rsidR="009C7DAD" w:rsidRPr="00CA61A6">
        <w:rPr>
          <w:szCs w:val="24"/>
          <w:lang w:eastAsia="ja-JP"/>
        </w:rPr>
        <w:t xml:space="preserve">Instituciones Académicas </w:t>
      </w:r>
      <w:r w:rsidRPr="00CA61A6">
        <w:rPr>
          <w:szCs w:val="24"/>
          <w:lang w:eastAsia="ja-JP"/>
        </w:rPr>
        <w:t>y Miembros de Sector a fin de preparar el contenido de los cursos.</w:t>
      </w:r>
      <w:bookmarkStart w:id="249" w:name="lt_pId508"/>
      <w:bookmarkEnd w:id="248"/>
      <w:r w:rsidR="000F3950" w:rsidRPr="00CA61A6">
        <w:rPr>
          <w:szCs w:val="24"/>
          <w:lang w:eastAsia="ja-JP"/>
        </w:rPr>
        <w:t xml:space="preserve"> </w:t>
      </w:r>
      <w:r w:rsidRPr="00CA61A6">
        <w:rPr>
          <w:szCs w:val="24"/>
          <w:lang w:eastAsia="ja-JP"/>
        </w:rPr>
        <w:t>El próximo curso de ciberenseñanza girará en torno al tema de las NGN y se terminará antes de primavera de 2017.</w:t>
      </w:r>
      <w:bookmarkEnd w:id="249"/>
    </w:p>
    <w:p w:rsidR="0062564D" w:rsidRPr="00CA61A6" w:rsidRDefault="00A00986" w:rsidP="002757BD">
      <w:pPr>
        <w:pStyle w:val="Headingb"/>
      </w:pPr>
      <w:bookmarkStart w:id="250" w:name="Item44_21"/>
      <w:bookmarkStart w:id="251" w:name="lt_pId509"/>
      <w:bookmarkEnd w:id="250"/>
      <w:r w:rsidRPr="00CA61A6">
        <w:t xml:space="preserve">Acción </w:t>
      </w:r>
      <w:r w:rsidR="0062564D" w:rsidRPr="00CA61A6">
        <w:t>44-21: TSB</w:t>
      </w:r>
      <w:bookmarkEnd w:id="251"/>
    </w:p>
    <w:p w:rsidR="0062564D" w:rsidRPr="00CA61A6" w:rsidRDefault="0062564D" w:rsidP="00D93B5E">
      <w:pPr>
        <w:rPr>
          <w:szCs w:val="24"/>
          <w:lang w:eastAsia="ja-JP"/>
        </w:rPr>
      </w:pPr>
      <w:bookmarkStart w:id="252" w:name="Item44_22"/>
      <w:bookmarkStart w:id="253" w:name="lt_pId510"/>
      <w:bookmarkEnd w:id="252"/>
      <w:r w:rsidRPr="00CA61A6">
        <w:rPr>
          <w:szCs w:val="24"/>
          <w:lang w:eastAsia="ja-JP"/>
        </w:rPr>
        <w:t>Ejecutad</w:t>
      </w:r>
      <w:r w:rsidR="00D93B5E">
        <w:rPr>
          <w:szCs w:val="24"/>
          <w:lang w:eastAsia="ja-JP"/>
        </w:rPr>
        <w:t>a</w:t>
      </w:r>
      <w:r w:rsidRPr="00CA61A6">
        <w:rPr>
          <w:szCs w:val="24"/>
          <w:lang w:eastAsia="ja-JP"/>
        </w:rPr>
        <w:t xml:space="preserve"> en el contexto de</w:t>
      </w:r>
      <w:r w:rsidR="00A655DC">
        <w:rPr>
          <w:szCs w:val="24"/>
          <w:lang w:eastAsia="ja-JP"/>
        </w:rPr>
        <w:t xml:space="preserve"> </w:t>
      </w:r>
      <w:r w:rsidRPr="00CA61A6">
        <w:rPr>
          <w:szCs w:val="24"/>
          <w:lang w:eastAsia="ja-JP"/>
        </w:rPr>
        <w:t>l</w:t>
      </w:r>
      <w:r w:rsidR="00A655DC">
        <w:rPr>
          <w:szCs w:val="24"/>
          <w:lang w:eastAsia="ja-JP"/>
        </w:rPr>
        <w:t>a</w:t>
      </w:r>
      <w:hyperlink w:anchor="Item44_24" w:history="1">
        <w:r w:rsidR="005E4CD8" w:rsidRPr="00CA61A6">
          <w:t xml:space="preserve"> </w:t>
        </w:r>
        <w:r w:rsidR="00A655DC">
          <w:rPr>
            <w:rStyle w:val="Hyperlink"/>
            <w:szCs w:val="24"/>
            <w:lang w:eastAsia="ja-JP"/>
          </w:rPr>
          <w:t>Acción</w:t>
        </w:r>
        <w:r w:rsidR="005E4CD8" w:rsidRPr="00CA61A6">
          <w:rPr>
            <w:rStyle w:val="Hyperlink"/>
            <w:szCs w:val="24"/>
            <w:lang w:eastAsia="ja-JP"/>
          </w:rPr>
          <w:t xml:space="preserve"> </w:t>
        </w:r>
        <w:r w:rsidRPr="00CA61A6">
          <w:rPr>
            <w:rStyle w:val="Hyperlink"/>
            <w:szCs w:val="24"/>
            <w:lang w:eastAsia="ja-JP"/>
          </w:rPr>
          <w:t>44-24</w:t>
        </w:r>
      </w:hyperlink>
      <w:r w:rsidRPr="00CA61A6">
        <w:rPr>
          <w:szCs w:val="24"/>
          <w:lang w:eastAsia="ja-JP"/>
        </w:rPr>
        <w:t xml:space="preserve"> (véase </w:t>
      </w:r>
      <w:r w:rsidRPr="001230CF">
        <w:rPr>
          <w:i/>
          <w:iCs/>
          <w:szCs w:val="24"/>
          <w:lang w:eastAsia="ja-JP"/>
        </w:rPr>
        <w:t>infra</w:t>
      </w:r>
      <w:r w:rsidRPr="00CA61A6">
        <w:rPr>
          <w:szCs w:val="24"/>
          <w:lang w:eastAsia="ja-JP"/>
        </w:rPr>
        <w:t>).</w:t>
      </w:r>
      <w:bookmarkEnd w:id="253"/>
    </w:p>
    <w:p w:rsidR="0062564D" w:rsidRPr="00CA61A6" w:rsidRDefault="0008550D" w:rsidP="0008550D">
      <w:pPr>
        <w:pStyle w:val="Headingb"/>
      </w:pPr>
      <w:bookmarkStart w:id="254" w:name="lt_pId511"/>
      <w:r w:rsidRPr="00CA61A6">
        <w:t xml:space="preserve">Acción </w:t>
      </w:r>
      <w:r w:rsidR="0062564D" w:rsidRPr="00CA61A6">
        <w:t>44-22: TSB</w:t>
      </w:r>
      <w:bookmarkEnd w:id="254"/>
    </w:p>
    <w:p w:rsidR="0062564D" w:rsidRPr="00CA61A6" w:rsidRDefault="0062564D" w:rsidP="007B3478">
      <w:pPr>
        <w:rPr>
          <w:szCs w:val="24"/>
          <w:lang w:eastAsia="ja-JP"/>
        </w:rPr>
      </w:pPr>
      <w:bookmarkStart w:id="255" w:name="lt_pId512"/>
      <w:r w:rsidRPr="00CA61A6">
        <w:rPr>
          <w:szCs w:val="24"/>
          <w:lang w:eastAsia="ja-JP"/>
        </w:rPr>
        <w:t>El Director de la TSB informó sobre la eficacia de los Grupos regionales a la reunión del Consejo de 2014.</w:t>
      </w:r>
      <w:bookmarkEnd w:id="255"/>
    </w:p>
    <w:p w:rsidR="0062564D" w:rsidRPr="00CA61A6" w:rsidRDefault="00696595" w:rsidP="007A0E47">
      <w:pPr>
        <w:pStyle w:val="Headingb"/>
      </w:pPr>
      <w:bookmarkStart w:id="256" w:name="Item44_23"/>
      <w:bookmarkStart w:id="257" w:name="lt_pId513"/>
      <w:bookmarkEnd w:id="256"/>
      <w:r w:rsidRPr="00CA61A6">
        <w:t xml:space="preserve">Acción </w:t>
      </w:r>
      <w:r w:rsidR="0062564D" w:rsidRPr="00CA61A6">
        <w:t>44-23: TSB</w:t>
      </w:r>
      <w:bookmarkEnd w:id="257"/>
    </w:p>
    <w:p w:rsidR="0062564D" w:rsidRPr="00CA61A6" w:rsidRDefault="0062564D" w:rsidP="007B3478">
      <w:pPr>
        <w:rPr>
          <w:szCs w:val="24"/>
          <w:lang w:eastAsia="ja-JP"/>
        </w:rPr>
      </w:pPr>
      <w:r w:rsidRPr="00CA61A6">
        <w:rPr>
          <w:szCs w:val="24"/>
          <w:lang w:eastAsia="ja-JP"/>
        </w:rPr>
        <w:t>La BDT está representada en el Grupo Especial sobre BSG y también los Directores de las Oficinas Regionales de la UIT.</w:t>
      </w:r>
    </w:p>
    <w:p w:rsidR="0062564D" w:rsidRPr="00CA61A6" w:rsidRDefault="00696595" w:rsidP="00805AB2">
      <w:pPr>
        <w:pStyle w:val="Headingb"/>
      </w:pPr>
      <w:bookmarkStart w:id="258" w:name="Item44_24"/>
      <w:bookmarkStart w:id="259" w:name="lt_pId515"/>
      <w:bookmarkEnd w:id="258"/>
      <w:r w:rsidRPr="00CA61A6">
        <w:t xml:space="preserve">Acción </w:t>
      </w:r>
      <w:r w:rsidR="0062564D" w:rsidRPr="00CA61A6">
        <w:t>44-24: TSB</w:t>
      </w:r>
      <w:bookmarkEnd w:id="259"/>
    </w:p>
    <w:p w:rsidR="0062564D" w:rsidRPr="00CA61A6" w:rsidRDefault="0062564D" w:rsidP="00993002">
      <w:pPr>
        <w:rPr>
          <w:lang w:eastAsia="ja-JP"/>
        </w:rPr>
      </w:pPr>
      <w:bookmarkStart w:id="260" w:name="lt_pId516"/>
      <w:r w:rsidRPr="00CA61A6">
        <w:rPr>
          <w:lang w:eastAsia="ja-JP"/>
        </w:rPr>
        <w:t xml:space="preserve">Se celebró un </w:t>
      </w:r>
      <w:r w:rsidR="00204070" w:rsidRPr="00CA61A6">
        <w:rPr>
          <w:lang w:eastAsia="ja-JP"/>
        </w:rPr>
        <w:t xml:space="preserve">taller </w:t>
      </w:r>
      <w:r w:rsidRPr="00CA61A6">
        <w:rPr>
          <w:lang w:eastAsia="ja-JP"/>
        </w:rPr>
        <w:t>regional sobre reducción de la brecha de normalización en Myanmar en 2013.</w:t>
      </w:r>
      <w:bookmarkEnd w:id="260"/>
      <w:r w:rsidRPr="00CA61A6">
        <w:rPr>
          <w:lang w:eastAsia="ja-JP"/>
        </w:rPr>
        <w:t xml:space="preserve"> </w:t>
      </w:r>
      <w:bookmarkStart w:id="261" w:name="lt_pId517"/>
      <w:r w:rsidRPr="00CA61A6">
        <w:rPr>
          <w:lang w:eastAsia="ja-JP"/>
        </w:rPr>
        <w:t>Los talleres sobre BSG se denominan ahora Foros Regionales de Normalización y se celebran en paralelo con la reunión del Grupo Regional siempre que se solicita.</w:t>
      </w:r>
      <w:bookmarkEnd w:id="261"/>
    </w:p>
    <w:p w:rsidR="0062564D" w:rsidRPr="00CA61A6" w:rsidRDefault="0062564D" w:rsidP="007B3478">
      <w:pPr>
        <w:rPr>
          <w:szCs w:val="24"/>
          <w:lang w:eastAsia="ja-JP"/>
        </w:rPr>
      </w:pPr>
      <w:bookmarkStart w:id="262" w:name="lt_pId518"/>
      <w:r w:rsidRPr="00CA61A6">
        <w:rPr>
          <w:szCs w:val="24"/>
          <w:lang w:eastAsia="ja-JP"/>
        </w:rPr>
        <w:t xml:space="preserve">En 2014, se celebraron tres Foros Regionales de Normalización: para la región Árabe el 28 de enero de 2014 en Túnez, </w:t>
      </w:r>
      <w:r w:rsidR="00401277" w:rsidRPr="00B0236A">
        <w:rPr>
          <w:lang w:eastAsia="ja-JP"/>
        </w:rPr>
        <w:t>para</w:t>
      </w:r>
      <w:r w:rsidR="00401277">
        <w:rPr>
          <w:szCs w:val="24"/>
          <w:lang w:eastAsia="ja-JP"/>
        </w:rPr>
        <w:t xml:space="preserve"> la región de África del 23 al </w:t>
      </w:r>
      <w:r w:rsidRPr="00CA61A6">
        <w:rPr>
          <w:szCs w:val="24"/>
          <w:lang w:eastAsia="ja-JP"/>
        </w:rPr>
        <w:t>25 de junio de 2014 en Uganda y para la región de Asia-Pacífico el 25 de agosto de 2014 en Bangkok (Tailandia).</w:t>
      </w:r>
      <w:bookmarkStart w:id="263" w:name="lt_pId519"/>
      <w:bookmarkEnd w:id="262"/>
      <w:r w:rsidR="000F3950" w:rsidRPr="00CA61A6">
        <w:rPr>
          <w:szCs w:val="24"/>
          <w:lang w:eastAsia="ja-JP"/>
        </w:rPr>
        <w:t xml:space="preserve"> </w:t>
      </w:r>
      <w:r w:rsidRPr="00CA61A6">
        <w:rPr>
          <w:szCs w:val="24"/>
          <w:lang w:eastAsia="ja-JP"/>
        </w:rPr>
        <w:t>En 2015, Dakar acogió el Foro Regional de N</w:t>
      </w:r>
      <w:r w:rsidR="00485855">
        <w:rPr>
          <w:szCs w:val="24"/>
          <w:lang w:eastAsia="ja-JP"/>
        </w:rPr>
        <w:t xml:space="preserve">ormalización para África del 24 al </w:t>
      </w:r>
      <w:r w:rsidRPr="00CA61A6">
        <w:rPr>
          <w:szCs w:val="24"/>
          <w:lang w:eastAsia="ja-JP"/>
        </w:rPr>
        <w:t>25 de marzo de 2015.</w:t>
      </w:r>
      <w:bookmarkEnd w:id="263"/>
    </w:p>
    <w:p w:rsidR="0062564D" w:rsidRPr="00CA61A6" w:rsidRDefault="0062564D" w:rsidP="00215E30">
      <w:pPr>
        <w:rPr>
          <w:szCs w:val="24"/>
          <w:lang w:eastAsia="ja-JP"/>
        </w:rPr>
      </w:pPr>
      <w:bookmarkStart w:id="264" w:name="lt_pId520"/>
      <w:r w:rsidRPr="00CA61A6">
        <w:rPr>
          <w:szCs w:val="24"/>
          <w:lang w:eastAsia="ja-JP"/>
        </w:rPr>
        <w:t xml:space="preserve">En 2016, los Foros Regionales de Normalización para África </w:t>
      </w:r>
      <w:r w:rsidR="00215E30">
        <w:rPr>
          <w:szCs w:val="24"/>
          <w:lang w:eastAsia="ja-JP"/>
        </w:rPr>
        <w:t>tuvieron</w:t>
      </w:r>
      <w:r w:rsidR="00DA3ACB">
        <w:rPr>
          <w:szCs w:val="24"/>
          <w:lang w:eastAsia="ja-JP"/>
        </w:rPr>
        <w:t xml:space="preserve"> lugar en Zambia del 14 al </w:t>
      </w:r>
      <w:r w:rsidR="007E7957">
        <w:rPr>
          <w:szCs w:val="24"/>
          <w:lang w:eastAsia="ja-JP"/>
        </w:rPr>
        <w:t>18 </w:t>
      </w:r>
      <w:r w:rsidRPr="00CA61A6">
        <w:rPr>
          <w:szCs w:val="24"/>
          <w:lang w:eastAsia="ja-JP"/>
        </w:rPr>
        <w:t>de marzo de 2016.</w:t>
      </w:r>
      <w:bookmarkEnd w:id="264"/>
      <w:r w:rsidRPr="00CA61A6">
        <w:rPr>
          <w:szCs w:val="24"/>
          <w:lang w:eastAsia="ja-JP"/>
        </w:rPr>
        <w:t xml:space="preserve"> </w:t>
      </w:r>
      <w:bookmarkStart w:id="265" w:name="lt_pId521"/>
      <w:r w:rsidRPr="00CA61A6">
        <w:rPr>
          <w:szCs w:val="24"/>
          <w:lang w:eastAsia="ja-JP"/>
        </w:rPr>
        <w:t xml:space="preserve">En la </w:t>
      </w:r>
      <w:r w:rsidRPr="00B0236A">
        <w:rPr>
          <w:lang w:eastAsia="ja-JP"/>
        </w:rPr>
        <w:t>región</w:t>
      </w:r>
      <w:r w:rsidRPr="00CA61A6">
        <w:rPr>
          <w:szCs w:val="24"/>
          <w:lang w:eastAsia="ja-JP"/>
        </w:rPr>
        <w:t xml:space="preserve"> de Asia, el Foro Regional de Nor</w:t>
      </w:r>
      <w:r w:rsidR="00AE0E35">
        <w:rPr>
          <w:szCs w:val="24"/>
          <w:lang w:eastAsia="ja-JP"/>
        </w:rPr>
        <w:t>malización se ha previsto el 22 </w:t>
      </w:r>
      <w:r w:rsidRPr="00CA61A6">
        <w:rPr>
          <w:szCs w:val="24"/>
          <w:lang w:eastAsia="ja-JP"/>
        </w:rPr>
        <w:t>de agosto de 2016 en Vietnam, con ocasión de la reunión preparatoria de la AMNT-16 para la APT.</w:t>
      </w:r>
      <w:bookmarkEnd w:id="265"/>
    </w:p>
    <w:p w:rsidR="0062564D" w:rsidRPr="00CA61A6" w:rsidRDefault="0062564D" w:rsidP="00434350">
      <w:bookmarkStart w:id="266" w:name="lt_pId522"/>
      <w:r w:rsidRPr="00CA61A6">
        <w:rPr>
          <w:szCs w:val="24"/>
          <w:lang w:eastAsia="ja-JP"/>
        </w:rPr>
        <w:t>Durante las reuniones preparatorias de la AMNT</w:t>
      </w:r>
      <w:r w:rsidR="00434350">
        <w:rPr>
          <w:szCs w:val="24"/>
          <w:lang w:eastAsia="ja-JP"/>
        </w:rPr>
        <w:noBreakHyphen/>
      </w:r>
      <w:r w:rsidRPr="00CA61A6">
        <w:rPr>
          <w:szCs w:val="24"/>
          <w:lang w:eastAsia="ja-JP"/>
        </w:rPr>
        <w:t xml:space="preserve">16 para las regiones Árabe, de África y la CEI, se celebraron varias </w:t>
      </w:r>
      <w:r w:rsidRPr="00B0236A">
        <w:rPr>
          <w:lang w:eastAsia="ja-JP"/>
        </w:rPr>
        <w:t>sesiones</w:t>
      </w:r>
      <w:r w:rsidRPr="00CA61A6">
        <w:rPr>
          <w:szCs w:val="24"/>
          <w:lang w:eastAsia="ja-JP"/>
        </w:rPr>
        <w:t xml:space="preserve"> de formación BSG para proporcionar orientación adicional sobre la participación en las Comisiones de Estudio, sobre la presentación de propuestas a ambas Comisiones de Estudio y la AMNT.</w:t>
      </w:r>
      <w:bookmarkEnd w:id="266"/>
    </w:p>
    <w:p w:rsidR="0062564D" w:rsidRPr="00CA61A6" w:rsidRDefault="0062564D" w:rsidP="007B3478">
      <w:pPr>
        <w:rPr>
          <w:szCs w:val="24"/>
          <w:lang w:eastAsia="ja-JP"/>
        </w:rPr>
      </w:pPr>
      <w:r w:rsidRPr="00CA61A6">
        <w:rPr>
          <w:szCs w:val="24"/>
          <w:lang w:eastAsia="ja-JP"/>
        </w:rPr>
        <w:t>Desde los años 90, la TSB y la BDT están organizando conjuntamente Foros Regionales Económicos y Financieros que se celebran con ocasión de las reuniones de los Grupos Regionales de la Comisión de Estudio 3 (CE</w:t>
      </w:r>
      <w:r w:rsidR="008B5B32" w:rsidRPr="00CA61A6">
        <w:rPr>
          <w:szCs w:val="24"/>
          <w:lang w:eastAsia="ja-JP"/>
        </w:rPr>
        <w:t> </w:t>
      </w:r>
      <w:r w:rsidRPr="00CA61A6">
        <w:rPr>
          <w:szCs w:val="24"/>
          <w:lang w:eastAsia="ja-JP"/>
        </w:rPr>
        <w:t>3) del UIT-T. Cada año se celebran cuatro de tales reuniones conjuntas en las Regiones de África, Asia-Oceanía, Estados Árabes y América Latina y el Caribe.</w:t>
      </w:r>
    </w:p>
    <w:p w:rsidR="0062564D" w:rsidRPr="00CA61A6" w:rsidRDefault="0062564D" w:rsidP="007A1926">
      <w:pPr>
        <w:rPr>
          <w:szCs w:val="24"/>
          <w:lang w:eastAsia="ja-JP"/>
        </w:rPr>
      </w:pPr>
      <w:bookmarkStart w:id="267" w:name="lt_pId525"/>
      <w:r w:rsidRPr="00CA61A6">
        <w:rPr>
          <w:szCs w:val="24"/>
          <w:lang w:eastAsia="ja-JP"/>
        </w:rPr>
        <w:t xml:space="preserve">El Grupo Regional </w:t>
      </w:r>
      <w:r w:rsidR="007A1926">
        <w:rPr>
          <w:szCs w:val="24"/>
          <w:lang w:eastAsia="ja-JP"/>
        </w:rPr>
        <w:t>GRCE</w:t>
      </w:r>
      <w:r w:rsidRPr="00CA61A6">
        <w:rPr>
          <w:szCs w:val="24"/>
          <w:lang w:eastAsia="ja-JP"/>
        </w:rPr>
        <w:t>3-AFR del UIT-T para África en</w:t>
      </w:r>
      <w:r w:rsidR="002E0679">
        <w:rPr>
          <w:szCs w:val="24"/>
          <w:lang w:eastAsia="ja-JP"/>
        </w:rPr>
        <w:t xml:space="preserve"> Abiyán (Cote d’</w:t>
      </w:r>
      <w:r w:rsidR="00F733DA">
        <w:rPr>
          <w:szCs w:val="24"/>
          <w:lang w:eastAsia="ja-JP"/>
        </w:rPr>
        <w:t xml:space="preserve">Ivoire) del 19 al </w:t>
      </w:r>
      <w:r w:rsidR="003F541B">
        <w:rPr>
          <w:szCs w:val="24"/>
          <w:lang w:eastAsia="ja-JP"/>
        </w:rPr>
        <w:t>21 de </w:t>
      </w:r>
      <w:r w:rsidRPr="00CA61A6">
        <w:rPr>
          <w:szCs w:val="24"/>
          <w:lang w:eastAsia="ja-JP"/>
        </w:rPr>
        <w:t>febrero de 2016.</w:t>
      </w:r>
      <w:bookmarkStart w:id="268" w:name="lt_pId526"/>
      <w:bookmarkEnd w:id="267"/>
      <w:r w:rsidR="000F3950" w:rsidRPr="00CA61A6">
        <w:rPr>
          <w:szCs w:val="24"/>
          <w:lang w:eastAsia="ja-JP"/>
        </w:rPr>
        <w:t xml:space="preserve"> </w:t>
      </w:r>
      <w:r w:rsidRPr="00CA61A6">
        <w:rPr>
          <w:szCs w:val="24"/>
          <w:lang w:eastAsia="ja-JP"/>
        </w:rPr>
        <w:t>El Grupo recibió más de 40 contribuciones para la reunión y se celebró formación práctica eficaz para delegados de la región.</w:t>
      </w:r>
      <w:bookmarkEnd w:id="268"/>
      <w:r w:rsidRPr="00CA61A6">
        <w:rPr>
          <w:szCs w:val="24"/>
          <w:lang w:eastAsia="ja-JP"/>
        </w:rPr>
        <w:t xml:space="preserve"> </w:t>
      </w:r>
      <w:bookmarkStart w:id="269" w:name="lt_pId527"/>
      <w:r w:rsidRPr="00CA61A6">
        <w:rPr>
          <w:szCs w:val="24"/>
          <w:lang w:eastAsia="ja-JP"/>
        </w:rPr>
        <w:t>Se celebró con ocasión del Foro Regional Económico y Financiero para África, por cuarta vez durante este periodo de estudios.</w:t>
      </w:r>
      <w:bookmarkEnd w:id="269"/>
    </w:p>
    <w:p w:rsidR="0062564D" w:rsidRPr="00CA61A6" w:rsidRDefault="0062564D" w:rsidP="00C40647">
      <w:pPr>
        <w:rPr>
          <w:szCs w:val="24"/>
          <w:lang w:eastAsia="ja-JP"/>
        </w:rPr>
      </w:pPr>
      <w:bookmarkStart w:id="270" w:name="lt_pId528"/>
      <w:r w:rsidRPr="00CA61A6">
        <w:rPr>
          <w:szCs w:val="24"/>
          <w:lang w:eastAsia="ja-JP"/>
        </w:rPr>
        <w:lastRenderedPageBreak/>
        <w:t xml:space="preserve">La reunión del Grupo Regional </w:t>
      </w:r>
      <w:r w:rsidR="00C815FC">
        <w:rPr>
          <w:szCs w:val="24"/>
          <w:lang w:eastAsia="ja-JP"/>
        </w:rPr>
        <w:t>GRCE</w:t>
      </w:r>
      <w:r w:rsidR="00C815FC" w:rsidRPr="00CA61A6">
        <w:rPr>
          <w:szCs w:val="24"/>
          <w:lang w:eastAsia="ja-JP"/>
        </w:rPr>
        <w:t>3</w:t>
      </w:r>
      <w:r w:rsidRPr="00CA61A6">
        <w:rPr>
          <w:szCs w:val="24"/>
          <w:lang w:eastAsia="ja-JP"/>
        </w:rPr>
        <w:t>-LAC del UIT-T para la región de América Latina y el Caribe se celebró en Brasilia (Brasil) los días 16 y 17 de junio de 2016, en paralelo con el Foro Regional de Desarrollo y el Foro Regional Económico y Financiero para las Américas.</w:t>
      </w:r>
      <w:bookmarkEnd w:id="270"/>
      <w:r w:rsidRPr="00CA61A6">
        <w:rPr>
          <w:szCs w:val="24"/>
          <w:lang w:eastAsia="ja-JP"/>
        </w:rPr>
        <w:t xml:space="preserve"> </w:t>
      </w:r>
      <w:bookmarkStart w:id="271" w:name="lt_pId529"/>
      <w:r w:rsidR="00BE0C0D">
        <w:rPr>
          <w:szCs w:val="24"/>
          <w:lang w:eastAsia="ja-JP"/>
        </w:rPr>
        <w:t>Esta</w:t>
      </w:r>
      <w:r w:rsidRPr="00CA61A6">
        <w:rPr>
          <w:szCs w:val="24"/>
          <w:lang w:eastAsia="ja-JP"/>
        </w:rPr>
        <w:t xml:space="preserve"> es la cuarta reunión del Grupo Regional </w:t>
      </w:r>
      <w:r w:rsidR="004D32EE">
        <w:rPr>
          <w:szCs w:val="24"/>
          <w:lang w:eastAsia="ja-JP"/>
        </w:rPr>
        <w:t xml:space="preserve">que </w:t>
      </w:r>
      <w:r w:rsidRPr="00CA61A6">
        <w:rPr>
          <w:szCs w:val="24"/>
          <w:lang w:eastAsia="ja-JP"/>
        </w:rPr>
        <w:t xml:space="preserve">tuvo lugar en paralelo </w:t>
      </w:r>
      <w:r w:rsidR="00C40647">
        <w:rPr>
          <w:szCs w:val="24"/>
          <w:lang w:eastAsia="ja-JP"/>
        </w:rPr>
        <w:t>al</w:t>
      </w:r>
      <w:r w:rsidRPr="00CA61A6">
        <w:rPr>
          <w:szCs w:val="24"/>
          <w:lang w:eastAsia="ja-JP"/>
        </w:rPr>
        <w:t xml:space="preserve"> Foro de la BDT durante este periodo de estudios.</w:t>
      </w:r>
      <w:bookmarkEnd w:id="271"/>
    </w:p>
    <w:p w:rsidR="0062564D" w:rsidRPr="00CA61A6" w:rsidRDefault="0062564D" w:rsidP="007A7577">
      <w:pPr>
        <w:keepNext/>
        <w:keepLines/>
        <w:rPr>
          <w:szCs w:val="24"/>
          <w:lang w:eastAsia="ja-JP"/>
        </w:rPr>
      </w:pPr>
      <w:bookmarkStart w:id="272" w:name="lt_pId530"/>
      <w:r w:rsidRPr="00CA61A6">
        <w:rPr>
          <w:szCs w:val="24"/>
          <w:lang w:eastAsia="ja-JP"/>
        </w:rPr>
        <w:t>El Grupo Regional de la CE</w:t>
      </w:r>
      <w:r w:rsidR="008B5B32" w:rsidRPr="00CA61A6">
        <w:rPr>
          <w:szCs w:val="24"/>
          <w:lang w:eastAsia="ja-JP"/>
        </w:rPr>
        <w:t> </w:t>
      </w:r>
      <w:r w:rsidRPr="00CA61A6">
        <w:rPr>
          <w:szCs w:val="24"/>
          <w:lang w:eastAsia="ja-JP"/>
        </w:rPr>
        <w:t>3 del UIT-T para los Estados Árabes (</w:t>
      </w:r>
      <w:r w:rsidR="00845A88">
        <w:rPr>
          <w:szCs w:val="24"/>
          <w:lang w:eastAsia="ja-JP"/>
        </w:rPr>
        <w:t>GRCE</w:t>
      </w:r>
      <w:r w:rsidR="00845A88" w:rsidRPr="00CA61A6">
        <w:rPr>
          <w:szCs w:val="24"/>
          <w:lang w:eastAsia="ja-JP"/>
        </w:rPr>
        <w:t>3</w:t>
      </w:r>
      <w:r w:rsidRPr="00CA61A6">
        <w:rPr>
          <w:szCs w:val="24"/>
          <w:lang w:eastAsia="ja-JP"/>
        </w:rPr>
        <w:t>-</w:t>
      </w:r>
      <w:r w:rsidR="00382237">
        <w:rPr>
          <w:szCs w:val="24"/>
          <w:lang w:eastAsia="ja-JP"/>
        </w:rPr>
        <w:t xml:space="preserve">ARB) tuvo lugar en Túnez del 26 al </w:t>
      </w:r>
      <w:r w:rsidRPr="00CA61A6">
        <w:rPr>
          <w:szCs w:val="24"/>
          <w:lang w:eastAsia="ja-JP"/>
        </w:rPr>
        <w:t>29 de julio de 2016, s</w:t>
      </w:r>
      <w:r w:rsidR="007A7577">
        <w:rPr>
          <w:szCs w:val="24"/>
          <w:lang w:eastAsia="ja-JP"/>
        </w:rPr>
        <w:t>u</w:t>
      </w:r>
      <w:r w:rsidRPr="00CA61A6">
        <w:rPr>
          <w:szCs w:val="24"/>
          <w:lang w:eastAsia="ja-JP"/>
        </w:rPr>
        <w:t xml:space="preserve"> cuarta reunión del periodo de estudio</w:t>
      </w:r>
      <w:r w:rsidR="007A7577">
        <w:rPr>
          <w:szCs w:val="24"/>
          <w:lang w:eastAsia="ja-JP"/>
        </w:rPr>
        <w:t>s</w:t>
      </w:r>
      <w:r w:rsidRPr="00CA61A6">
        <w:rPr>
          <w:szCs w:val="24"/>
          <w:lang w:eastAsia="ja-JP"/>
        </w:rPr>
        <w:t>.</w:t>
      </w:r>
      <w:bookmarkEnd w:id="272"/>
      <w:r w:rsidRPr="00CA61A6">
        <w:rPr>
          <w:szCs w:val="24"/>
          <w:lang w:eastAsia="ja-JP"/>
        </w:rPr>
        <w:t xml:space="preserve"> </w:t>
      </w:r>
      <w:bookmarkStart w:id="273" w:name="lt_pId531"/>
      <w:r w:rsidRPr="00CA61A6">
        <w:rPr>
          <w:szCs w:val="24"/>
          <w:lang w:eastAsia="ja-JP"/>
        </w:rPr>
        <w:t>Tuvo lugar junto con el Foro Regional de Normalización para delegados de la región Árabe, que incluía una reunión preparatoria para la AMNT-16.</w:t>
      </w:r>
      <w:bookmarkEnd w:id="273"/>
    </w:p>
    <w:p w:rsidR="0062564D" w:rsidRPr="00CA61A6" w:rsidRDefault="0062564D" w:rsidP="002D41AF">
      <w:pPr>
        <w:rPr>
          <w:szCs w:val="24"/>
          <w:lang w:eastAsia="ja-JP"/>
        </w:rPr>
      </w:pPr>
      <w:bookmarkStart w:id="274" w:name="lt_pId532"/>
      <w:r w:rsidRPr="00CA61A6">
        <w:rPr>
          <w:szCs w:val="24"/>
          <w:lang w:eastAsia="ja-JP"/>
        </w:rPr>
        <w:t xml:space="preserve">La reunión del Grupo Regional </w:t>
      </w:r>
      <w:r w:rsidR="002D41AF">
        <w:rPr>
          <w:szCs w:val="24"/>
          <w:lang w:eastAsia="ja-JP"/>
        </w:rPr>
        <w:t>GRCE</w:t>
      </w:r>
      <w:r w:rsidR="002D41AF" w:rsidRPr="00CA61A6">
        <w:rPr>
          <w:szCs w:val="24"/>
          <w:lang w:eastAsia="ja-JP"/>
        </w:rPr>
        <w:t>3</w:t>
      </w:r>
      <w:r w:rsidRPr="00CA61A6">
        <w:rPr>
          <w:szCs w:val="24"/>
          <w:lang w:eastAsia="ja-JP"/>
        </w:rPr>
        <w:t xml:space="preserve">-AO </w:t>
      </w:r>
      <w:r w:rsidR="00017835" w:rsidRPr="00CA61A6">
        <w:rPr>
          <w:szCs w:val="24"/>
          <w:lang w:eastAsia="ja-JP"/>
        </w:rPr>
        <w:t xml:space="preserve">del UIT-T </w:t>
      </w:r>
      <w:r w:rsidRPr="00CA61A6">
        <w:rPr>
          <w:szCs w:val="24"/>
          <w:lang w:eastAsia="ja-JP"/>
        </w:rPr>
        <w:t>para Asia</w:t>
      </w:r>
      <w:r w:rsidR="00741AD5">
        <w:rPr>
          <w:szCs w:val="24"/>
          <w:lang w:eastAsia="ja-JP"/>
        </w:rPr>
        <w:t xml:space="preserve"> y Oceanía está prevista del 20 al </w:t>
      </w:r>
      <w:r w:rsidRPr="00CA61A6">
        <w:rPr>
          <w:szCs w:val="24"/>
          <w:lang w:eastAsia="ja-JP"/>
        </w:rPr>
        <w:t>23 de septiembre de 2016 en Nueva Delhi.</w:t>
      </w:r>
      <w:bookmarkEnd w:id="274"/>
      <w:r w:rsidRPr="00CA61A6">
        <w:rPr>
          <w:szCs w:val="24"/>
          <w:lang w:eastAsia="ja-JP"/>
        </w:rPr>
        <w:t xml:space="preserve"> </w:t>
      </w:r>
      <w:bookmarkStart w:id="275" w:name="lt_pId533"/>
      <w:r w:rsidRPr="00CA61A6">
        <w:rPr>
          <w:szCs w:val="24"/>
          <w:lang w:eastAsia="ja-JP"/>
        </w:rPr>
        <w:t>Será la cuarta reunión del Grupo en este periodo de estudios.</w:t>
      </w:r>
      <w:bookmarkEnd w:id="275"/>
      <w:r w:rsidRPr="00CA61A6">
        <w:rPr>
          <w:szCs w:val="24"/>
          <w:lang w:eastAsia="ja-JP"/>
        </w:rPr>
        <w:t xml:space="preserve"> </w:t>
      </w:r>
      <w:bookmarkStart w:id="276" w:name="lt_pId534"/>
      <w:r w:rsidRPr="00CA61A6">
        <w:rPr>
          <w:szCs w:val="24"/>
          <w:lang w:eastAsia="ja-JP"/>
        </w:rPr>
        <w:t xml:space="preserve">La mayoría de los </w:t>
      </w:r>
      <w:r w:rsidR="000C17DA" w:rsidRPr="00CA61A6">
        <w:rPr>
          <w:szCs w:val="24"/>
          <w:lang w:eastAsia="ja-JP"/>
        </w:rPr>
        <w:t xml:space="preserve">Grupos Regionales </w:t>
      </w:r>
      <w:r w:rsidRPr="00CA61A6">
        <w:rPr>
          <w:szCs w:val="24"/>
          <w:lang w:eastAsia="ja-JP"/>
        </w:rPr>
        <w:t>de la CE</w:t>
      </w:r>
      <w:r w:rsidR="008B5B32" w:rsidRPr="00CA61A6">
        <w:rPr>
          <w:szCs w:val="24"/>
          <w:lang w:eastAsia="ja-JP"/>
        </w:rPr>
        <w:t> </w:t>
      </w:r>
      <w:r w:rsidRPr="00CA61A6">
        <w:rPr>
          <w:szCs w:val="24"/>
          <w:lang w:eastAsia="ja-JP"/>
        </w:rPr>
        <w:t>3 del UIT-T celebran formación práctica efectiva, organizada por la Secretaría de la TSB, con el fin de aumentar la participación de los países en desar</w:t>
      </w:r>
      <w:r w:rsidR="00ED01D1">
        <w:rPr>
          <w:szCs w:val="24"/>
          <w:lang w:eastAsia="ja-JP"/>
        </w:rPr>
        <w:t>rollo en los trabajos del UIT</w:t>
      </w:r>
      <w:r w:rsidRPr="00CA61A6">
        <w:rPr>
          <w:szCs w:val="24"/>
          <w:lang w:eastAsia="ja-JP"/>
        </w:rPr>
        <w:t>-T.</w:t>
      </w:r>
      <w:bookmarkEnd w:id="276"/>
    </w:p>
    <w:p w:rsidR="0062564D" w:rsidRPr="00CA61A6" w:rsidRDefault="0062564D" w:rsidP="004801C8">
      <w:pPr>
        <w:rPr>
          <w:szCs w:val="24"/>
          <w:lang w:eastAsia="ja-JP"/>
        </w:rPr>
      </w:pPr>
      <w:bookmarkStart w:id="277" w:name="lt_pId535"/>
      <w:r w:rsidRPr="00CA61A6">
        <w:rPr>
          <w:szCs w:val="24"/>
          <w:lang w:eastAsia="ja-JP"/>
        </w:rPr>
        <w:t xml:space="preserve">El Grupo Regional </w:t>
      </w:r>
      <w:r w:rsidR="0021131B">
        <w:rPr>
          <w:szCs w:val="24"/>
          <w:lang w:eastAsia="ja-JP"/>
        </w:rPr>
        <w:t>GRCE</w:t>
      </w:r>
      <w:r w:rsidR="0021131B" w:rsidRPr="00CA61A6">
        <w:rPr>
          <w:szCs w:val="24"/>
          <w:lang w:eastAsia="ja-JP"/>
        </w:rPr>
        <w:t>3</w:t>
      </w:r>
      <w:r w:rsidRPr="00CA61A6">
        <w:rPr>
          <w:szCs w:val="24"/>
          <w:lang w:eastAsia="ja-JP"/>
        </w:rPr>
        <w:t>-RCC/CIS del UIT-T se reunió en San Petersburgo del 3 al 4 de agosto de 2016, su segunda reunión del periodo de estudios.</w:t>
      </w:r>
      <w:bookmarkEnd w:id="277"/>
    </w:p>
    <w:p w:rsidR="0062564D" w:rsidRPr="00CA61A6" w:rsidRDefault="0062564D" w:rsidP="007B3478">
      <w:pPr>
        <w:rPr>
          <w:szCs w:val="24"/>
          <w:lang w:eastAsia="ja-JP"/>
        </w:rPr>
      </w:pPr>
      <w:bookmarkStart w:id="278" w:name="lt_pId536"/>
      <w:r w:rsidRPr="00CA61A6">
        <w:rPr>
          <w:szCs w:val="24"/>
          <w:lang w:eastAsia="ja-JP"/>
        </w:rPr>
        <w:t>En 2013, se celebraron en África dos talleres, uno sobre calidad del servicio de las redes móviles para el Grupo Regional de la CE</w:t>
      </w:r>
      <w:r w:rsidR="00615741" w:rsidRPr="00CA61A6">
        <w:rPr>
          <w:szCs w:val="24"/>
          <w:lang w:eastAsia="ja-JP"/>
        </w:rPr>
        <w:t> </w:t>
      </w:r>
      <w:r w:rsidRPr="00CA61A6">
        <w:rPr>
          <w:szCs w:val="24"/>
          <w:lang w:eastAsia="ja-JP"/>
        </w:rPr>
        <w:t>12 y otro sobre gestión de recursos electrónicos para el Grupo Regional de la CE</w:t>
      </w:r>
      <w:r w:rsidR="00615741" w:rsidRPr="00CA61A6">
        <w:rPr>
          <w:szCs w:val="24"/>
          <w:lang w:eastAsia="ja-JP"/>
        </w:rPr>
        <w:t> </w:t>
      </w:r>
      <w:r w:rsidRPr="00CA61A6">
        <w:rPr>
          <w:szCs w:val="24"/>
          <w:lang w:eastAsia="ja-JP"/>
        </w:rPr>
        <w:t>5.</w:t>
      </w:r>
      <w:bookmarkEnd w:id="278"/>
    </w:p>
    <w:p w:rsidR="0062564D" w:rsidRPr="00CA61A6" w:rsidRDefault="0062564D" w:rsidP="007133DB">
      <w:pPr>
        <w:rPr>
          <w:szCs w:val="24"/>
          <w:lang w:eastAsia="ja-JP"/>
        </w:rPr>
      </w:pPr>
      <w:bookmarkStart w:id="279" w:name="lt_pId537"/>
      <w:r w:rsidRPr="00CA61A6">
        <w:rPr>
          <w:szCs w:val="24"/>
          <w:lang w:eastAsia="ja-JP"/>
        </w:rPr>
        <w:t>La CE</w:t>
      </w:r>
      <w:r w:rsidR="00615741" w:rsidRPr="00CA61A6">
        <w:rPr>
          <w:szCs w:val="24"/>
          <w:lang w:eastAsia="ja-JP"/>
        </w:rPr>
        <w:t> </w:t>
      </w:r>
      <w:r w:rsidRPr="00CA61A6">
        <w:rPr>
          <w:szCs w:val="24"/>
          <w:lang w:eastAsia="ja-JP"/>
        </w:rPr>
        <w:t xml:space="preserve">12 organiza un taller temático sobre calidad de funcionamiento, QoS y QoE junto con las reuniones de su </w:t>
      </w:r>
      <w:r w:rsidR="00BC5F0F" w:rsidRPr="00CA61A6">
        <w:rPr>
          <w:szCs w:val="24"/>
          <w:lang w:eastAsia="ja-JP"/>
        </w:rPr>
        <w:t xml:space="preserve">Grupo Regional </w:t>
      </w:r>
      <w:r w:rsidRPr="00CA61A6">
        <w:rPr>
          <w:szCs w:val="24"/>
          <w:lang w:eastAsia="ja-JP"/>
        </w:rPr>
        <w:t>para África y las reuniones del Grupo de desarrollo de la calidad del servicio (QSDG).</w:t>
      </w:r>
      <w:bookmarkEnd w:id="279"/>
      <w:r w:rsidRPr="00CA61A6">
        <w:rPr>
          <w:szCs w:val="24"/>
          <w:lang w:eastAsia="ja-JP"/>
        </w:rPr>
        <w:t xml:space="preserve"> </w:t>
      </w:r>
      <w:bookmarkStart w:id="280" w:name="lt_pId538"/>
      <w:r w:rsidRPr="00CA61A6">
        <w:rPr>
          <w:szCs w:val="24"/>
          <w:lang w:eastAsia="ja-JP"/>
        </w:rPr>
        <w:t xml:space="preserve">Estos eventos incluyen presentaciones sobre las actividades sobre BSG de la UIT, así como formación para mejorar la participación de países en desarrollo en los </w:t>
      </w:r>
      <w:r w:rsidR="007133DB">
        <w:rPr>
          <w:szCs w:val="24"/>
          <w:lang w:eastAsia="ja-JP"/>
        </w:rPr>
        <w:t>trabajos del UIT</w:t>
      </w:r>
      <w:r w:rsidR="007133DB">
        <w:rPr>
          <w:szCs w:val="24"/>
          <w:lang w:eastAsia="ja-JP"/>
        </w:rPr>
        <w:noBreakHyphen/>
      </w:r>
      <w:r w:rsidRPr="00CA61A6">
        <w:rPr>
          <w:szCs w:val="24"/>
          <w:lang w:eastAsia="ja-JP"/>
        </w:rPr>
        <w:t>T.</w:t>
      </w:r>
      <w:bookmarkEnd w:id="280"/>
    </w:p>
    <w:p w:rsidR="0062564D" w:rsidRPr="00CA61A6" w:rsidRDefault="0062564D" w:rsidP="00047215">
      <w:pPr>
        <w:rPr>
          <w:lang w:eastAsia="ja-JP"/>
        </w:rPr>
      </w:pPr>
      <w:bookmarkStart w:id="281" w:name="lt_pId539"/>
      <w:r w:rsidRPr="00CA61A6">
        <w:rPr>
          <w:lang w:eastAsia="ja-JP"/>
        </w:rPr>
        <w:t>La CE</w:t>
      </w:r>
      <w:r w:rsidR="00615741" w:rsidRPr="00CA61A6">
        <w:rPr>
          <w:lang w:eastAsia="ja-JP"/>
        </w:rPr>
        <w:t> </w:t>
      </w:r>
      <w:r w:rsidRPr="00CA61A6">
        <w:rPr>
          <w:lang w:eastAsia="ja-JP"/>
        </w:rPr>
        <w:t>17 ha creado un Grupo Regional Africano dentro de la CE</w:t>
      </w:r>
      <w:r w:rsidR="00615741" w:rsidRPr="00CA61A6">
        <w:rPr>
          <w:lang w:eastAsia="ja-JP"/>
        </w:rPr>
        <w:t> </w:t>
      </w:r>
      <w:r w:rsidRPr="00CA61A6">
        <w:rPr>
          <w:lang w:eastAsia="ja-JP"/>
        </w:rPr>
        <w:t>17, que informa a dicha Comisión.</w:t>
      </w:r>
      <w:bookmarkEnd w:id="281"/>
      <w:r w:rsidRPr="00CA61A6">
        <w:rPr>
          <w:lang w:eastAsia="ja-JP"/>
        </w:rPr>
        <w:t xml:space="preserve"> </w:t>
      </w:r>
      <w:bookmarkStart w:id="282" w:name="lt_pId540"/>
      <w:r w:rsidRPr="00CA61A6">
        <w:rPr>
          <w:lang w:eastAsia="ja-JP"/>
        </w:rPr>
        <w:t xml:space="preserve">Celebró su primera reunión con ocasión de la del </w:t>
      </w:r>
      <w:r w:rsidR="00047215">
        <w:rPr>
          <w:lang w:eastAsia="ja-JP"/>
        </w:rPr>
        <w:t>GRCE3</w:t>
      </w:r>
      <w:r w:rsidRPr="00CA61A6">
        <w:rPr>
          <w:lang w:eastAsia="ja-JP"/>
        </w:rPr>
        <w:t>-AFR el 22 de enero de 2016 en Abiyán.</w:t>
      </w:r>
      <w:bookmarkEnd w:id="282"/>
    </w:p>
    <w:p w:rsidR="0062564D" w:rsidRPr="00CA61A6" w:rsidRDefault="0062564D" w:rsidP="00DE59E0">
      <w:bookmarkStart w:id="283" w:name="lt_pId541"/>
      <w:r w:rsidRPr="00CA61A6">
        <w:t>La CE</w:t>
      </w:r>
      <w:r w:rsidR="00977E0D" w:rsidRPr="00CA61A6">
        <w:t> </w:t>
      </w:r>
      <w:r w:rsidRPr="00CA61A6">
        <w:t>17 ha organizado una sesión sobre BSG en cada reunión de la CE</w:t>
      </w:r>
      <w:r w:rsidR="00977E0D" w:rsidRPr="00CA61A6">
        <w:t> </w:t>
      </w:r>
      <w:r w:rsidRPr="00CA61A6">
        <w:t>17 desde 2013 con interpretación en directo y participación a distancia.</w:t>
      </w:r>
      <w:bookmarkEnd w:id="283"/>
    </w:p>
    <w:p w:rsidR="0062564D" w:rsidRPr="00CA61A6" w:rsidRDefault="0062564D" w:rsidP="007B3478">
      <w:bookmarkStart w:id="284" w:name="lt_pId542"/>
      <w:r w:rsidRPr="00CA61A6">
        <w:t>La CE</w:t>
      </w:r>
      <w:r w:rsidR="00977E0D" w:rsidRPr="00CA61A6">
        <w:t> </w:t>
      </w:r>
      <w:r w:rsidRPr="00CA61A6">
        <w:t>17 del UIT-T y la CE</w:t>
      </w:r>
      <w:r w:rsidR="00977E0D" w:rsidRPr="00CA61A6">
        <w:t> </w:t>
      </w:r>
      <w:r w:rsidRPr="00CA61A6">
        <w:t xml:space="preserve">2 del UIT-D organizaron un taller conjunto sobre "Global Cybersecurity Challenges </w:t>
      </w:r>
      <w:r w:rsidR="00FB377C" w:rsidRPr="00CA61A6">
        <w:t>–</w:t>
      </w:r>
      <w:r w:rsidRPr="00CA61A6">
        <w:t xml:space="preserve"> Collaborating for effective enhancement of cybersecurity in developing countries" en la Sede de la UIT en Ginebra (Suiza), el marte</w:t>
      </w:r>
      <w:r w:rsidR="005019F7">
        <w:t>s 8 de septiembre de 2015 de 14.30 a </w:t>
      </w:r>
      <w:r w:rsidR="00977E0D" w:rsidRPr="00CA61A6">
        <w:t>17.</w:t>
      </w:r>
      <w:r w:rsidRPr="00CA61A6">
        <w:t>30</w:t>
      </w:r>
      <w:r w:rsidR="005019F7">
        <w:t xml:space="preserve"> horas</w:t>
      </w:r>
      <w:r w:rsidRPr="00CA61A6">
        <w:t>.</w:t>
      </w:r>
      <w:bookmarkEnd w:id="284"/>
    </w:p>
    <w:p w:rsidR="0062564D" w:rsidRPr="00CA61A6" w:rsidRDefault="0062564D" w:rsidP="007B3478">
      <w:bookmarkStart w:id="285" w:name="lt_pId543"/>
      <w:r w:rsidRPr="00CA61A6">
        <w:t>La CE</w:t>
      </w:r>
      <w:r w:rsidR="00E16148" w:rsidRPr="00CA61A6">
        <w:t> </w:t>
      </w:r>
      <w:r w:rsidRPr="00CA61A6">
        <w:t xml:space="preserve">13 organiza los talleres regionales con ocasión de cada reunión de su </w:t>
      </w:r>
      <w:r w:rsidR="000C17DA" w:rsidRPr="00CA61A6">
        <w:t xml:space="preserve">Grupo Regional </w:t>
      </w:r>
      <w:r w:rsidRPr="00CA61A6">
        <w:t>para África.</w:t>
      </w:r>
      <w:bookmarkEnd w:id="285"/>
      <w:r w:rsidRPr="00CA61A6">
        <w:t xml:space="preserve"> </w:t>
      </w:r>
      <w:bookmarkStart w:id="286" w:name="lt_pId544"/>
      <w:r w:rsidRPr="00CA61A6">
        <w:t>Al mes de mayo de 2016 se había</w:t>
      </w:r>
      <w:r w:rsidR="00EE2809">
        <w:t>n</w:t>
      </w:r>
      <w:r w:rsidRPr="00CA61A6">
        <w:t xml:space="preserve"> celebrado 4 talleres y otro está previsto para el próximo año (marzo de 2017).</w:t>
      </w:r>
      <w:bookmarkEnd w:id="286"/>
    </w:p>
    <w:p w:rsidR="0062564D" w:rsidRPr="00CA61A6" w:rsidRDefault="0062564D" w:rsidP="00BD46E7">
      <w:bookmarkStart w:id="287" w:name="lt_pId545"/>
      <w:r w:rsidRPr="00CA61A6">
        <w:t xml:space="preserve">La reunión del </w:t>
      </w:r>
      <w:r w:rsidR="000806D8">
        <w:t>GRCE13</w:t>
      </w:r>
      <w:r w:rsidRPr="00CA61A6">
        <w:t>-AFR celebrad</w:t>
      </w:r>
      <w:r w:rsidR="00755AAE">
        <w:t>a</w:t>
      </w:r>
      <w:r w:rsidRPr="00CA61A6">
        <w:t xml:space="preserve"> en marzo de 2016 además del programa original y el taller asociado, contó con una formación de medio día sobre BSG relativa a la participación efectiva y las contribuciones a las reuniones de los GT y l</w:t>
      </w:r>
      <w:r w:rsidR="00BD46E7">
        <w:t>a</w:t>
      </w:r>
      <w:r w:rsidRPr="00CA61A6">
        <w:t>s CE.</w:t>
      </w:r>
      <w:bookmarkEnd w:id="287"/>
      <w:r w:rsidRPr="00CA61A6">
        <w:t xml:space="preserve"> </w:t>
      </w:r>
      <w:bookmarkStart w:id="288" w:name="lt_pId546"/>
      <w:r w:rsidRPr="00CA61A6">
        <w:t xml:space="preserve">Esta nueva iniciativa tuvo una buena acogida y contó con la asistencia de todos los participantes de la reunión del </w:t>
      </w:r>
      <w:r w:rsidR="000C17DA" w:rsidRPr="00CA61A6">
        <w:t xml:space="preserve">Grupo Regional </w:t>
      </w:r>
      <w:r w:rsidRPr="00CA61A6">
        <w:t>(48 delegados).</w:t>
      </w:r>
      <w:bookmarkEnd w:id="288"/>
    </w:p>
    <w:p w:rsidR="0062564D" w:rsidRPr="00CA61A6" w:rsidRDefault="0062564D" w:rsidP="00745D97">
      <w:pPr>
        <w:rPr>
          <w:szCs w:val="24"/>
          <w:lang w:eastAsia="ja-JP"/>
        </w:rPr>
      </w:pPr>
      <w:bookmarkStart w:id="289" w:name="lt_pId547"/>
      <w:r w:rsidRPr="00CA61A6">
        <w:t xml:space="preserve">El </w:t>
      </w:r>
      <w:r w:rsidR="00C13697">
        <w:t>GRCE2</w:t>
      </w:r>
      <w:r w:rsidRPr="00CA61A6">
        <w:t>-ARB se reunió el 30 de marzo de 2016 en Rabat (Marruecos), en paralelo con el Foro Regional de Desarrollo para los Estados Árabes (RDF-ARB) y la reunión preparatoria del equipo de normalización árabe para la AMNT-16 que se celebró durante la misma semana.</w:t>
      </w:r>
      <w:bookmarkEnd w:id="289"/>
      <w:r w:rsidRPr="00CA61A6">
        <w:t xml:space="preserve"> </w:t>
      </w:r>
      <w:bookmarkStart w:id="290" w:name="lt_pId548"/>
      <w:r w:rsidRPr="00CA61A6">
        <w:t xml:space="preserve">Se proporcionó un tutorial sobre numeración, denominación, direccionamiento e identificación (NNAI) en la reunión del </w:t>
      </w:r>
      <w:r w:rsidR="00E50BD3">
        <w:t>GRCE2</w:t>
      </w:r>
      <w:r w:rsidRPr="00CA61A6">
        <w:t>-ARB.</w:t>
      </w:r>
      <w:bookmarkEnd w:id="290"/>
      <w:r w:rsidRPr="00CA61A6">
        <w:t xml:space="preserve"> </w:t>
      </w:r>
      <w:bookmarkStart w:id="291" w:name="lt_pId549"/>
      <w:r w:rsidRPr="00CA61A6">
        <w:t xml:space="preserve">El </w:t>
      </w:r>
      <w:r w:rsidR="00A21D48">
        <w:t>GRCE2</w:t>
      </w:r>
      <w:r w:rsidRPr="00CA61A6">
        <w:t>-EA se reunión del 2 al 4 de mayo d</w:t>
      </w:r>
      <w:r w:rsidR="009E1BE2">
        <w:t xml:space="preserve">e 2016 en Dar Es Salaam </w:t>
      </w:r>
      <w:r w:rsidR="009E1BE2">
        <w:lastRenderedPageBreak/>
        <w:t>(Tanzaní</w:t>
      </w:r>
      <w:r w:rsidRPr="00CA61A6">
        <w:t>a).</w:t>
      </w:r>
      <w:bookmarkEnd w:id="291"/>
      <w:r w:rsidRPr="00CA61A6">
        <w:t xml:space="preserve"> </w:t>
      </w:r>
      <w:bookmarkStart w:id="292" w:name="lt_pId550"/>
      <w:r w:rsidRPr="00CA61A6">
        <w:t>En esa reunión se proporcionó el tutorial sobre NNAI y la formación BSG sobre las directrices y técnicas para la participación efectiva en las Comisiones de Estudio.</w:t>
      </w:r>
      <w:bookmarkEnd w:id="292"/>
      <w:r w:rsidRPr="00CA61A6">
        <w:t xml:space="preserve"> </w:t>
      </w:r>
      <w:bookmarkStart w:id="293" w:name="lt_pId551"/>
      <w:r w:rsidRPr="00CA61A6">
        <w:t xml:space="preserve">La reunión </w:t>
      </w:r>
      <w:r w:rsidR="0086350D">
        <w:t xml:space="preserve">del </w:t>
      </w:r>
      <w:r w:rsidR="00976D13">
        <w:t>GRCE2</w:t>
      </w:r>
      <w:r w:rsidRPr="00CA61A6">
        <w:t xml:space="preserve">-AMR se celebró el 14 de junio de 2016 en Brasilia (Brasil), junto con las reuniones del </w:t>
      </w:r>
      <w:r w:rsidR="00A4367D">
        <w:t>GRCE2</w:t>
      </w:r>
      <w:r w:rsidRPr="00CA61A6">
        <w:t xml:space="preserve">-LAC, </w:t>
      </w:r>
      <w:r w:rsidR="006235F3" w:rsidRPr="00CA61A6">
        <w:t xml:space="preserve">el </w:t>
      </w:r>
      <w:r w:rsidRPr="00CA61A6">
        <w:t>Foro Regional Económico y Financiero de telecomunicaciones/TIC de la UIT y el Foro Regional de Desarrollo para la Región de las Américas (RDF) de la UIT, que se celebraron esa misma semana.</w:t>
      </w:r>
      <w:bookmarkEnd w:id="293"/>
      <w:r w:rsidRPr="00CA61A6">
        <w:t xml:space="preserve"> </w:t>
      </w:r>
      <w:bookmarkStart w:id="294" w:name="lt_pId552"/>
      <w:r w:rsidRPr="00CA61A6">
        <w:t xml:space="preserve">En la reunión del </w:t>
      </w:r>
      <w:r w:rsidR="00745D97">
        <w:t>GRCE2</w:t>
      </w:r>
      <w:r w:rsidRPr="00CA61A6">
        <w:t>-AMR se ofreció el tutorial sobre NNAI.</w:t>
      </w:r>
      <w:bookmarkEnd w:id="294"/>
    </w:p>
    <w:p w:rsidR="0062564D" w:rsidRPr="00CA61A6" w:rsidRDefault="00D86B53" w:rsidP="00C95B9D">
      <w:pPr>
        <w:pStyle w:val="Headingb"/>
      </w:pPr>
      <w:bookmarkStart w:id="295" w:name="Item44_25"/>
      <w:bookmarkStart w:id="296" w:name="Item44_26"/>
      <w:bookmarkStart w:id="297" w:name="lt_pId553"/>
      <w:bookmarkEnd w:id="295"/>
      <w:bookmarkEnd w:id="296"/>
      <w:r w:rsidRPr="00CA61A6">
        <w:t xml:space="preserve">Acción </w:t>
      </w:r>
      <w:r w:rsidR="0062564D" w:rsidRPr="00CA61A6">
        <w:t>44-</w:t>
      </w:r>
      <w:hyperlink w:anchor="Item44_25" w:history="1">
        <w:r w:rsidR="0062564D" w:rsidRPr="00CA61A6">
          <w:t>25</w:t>
        </w:r>
      </w:hyperlink>
      <w:r w:rsidR="0062564D" w:rsidRPr="00CA61A6">
        <w:t xml:space="preserve">: </w:t>
      </w:r>
      <w:bookmarkEnd w:id="297"/>
      <w:r w:rsidR="0062564D" w:rsidRPr="00CA61A6">
        <w:t>Estados Miembros y Regiones</w:t>
      </w:r>
    </w:p>
    <w:p w:rsidR="0062564D" w:rsidRPr="00CA61A6" w:rsidRDefault="0062564D" w:rsidP="007B3478">
      <w:pPr>
        <w:rPr>
          <w:szCs w:val="24"/>
          <w:lang w:eastAsia="ja-JP"/>
        </w:rPr>
      </w:pPr>
      <w:bookmarkStart w:id="298" w:name="lt_pId554"/>
      <w:r w:rsidRPr="00CA61A6">
        <w:rPr>
          <w:szCs w:val="24"/>
          <w:lang w:eastAsia="ja-JP"/>
        </w:rPr>
        <w:t>Nota: Esta acción no está destinada al UIT-T.</w:t>
      </w:r>
      <w:bookmarkEnd w:id="298"/>
    </w:p>
    <w:p w:rsidR="0062564D" w:rsidRPr="00CA61A6" w:rsidRDefault="00B5797E" w:rsidP="00234151">
      <w:pPr>
        <w:pStyle w:val="Headingb"/>
      </w:pPr>
      <w:bookmarkStart w:id="299" w:name="lt_pId555"/>
      <w:r w:rsidRPr="00CA61A6">
        <w:t xml:space="preserve">Acción </w:t>
      </w:r>
      <w:r w:rsidR="0062564D" w:rsidRPr="00CA61A6">
        <w:t>44-26: TSB</w:t>
      </w:r>
      <w:bookmarkEnd w:id="299"/>
    </w:p>
    <w:p w:rsidR="0062564D" w:rsidRPr="00CA61A6" w:rsidRDefault="00FC1C0D" w:rsidP="00CC4BF6">
      <w:pPr>
        <w:rPr>
          <w:szCs w:val="24"/>
          <w:lang w:eastAsia="ja-JP"/>
        </w:rPr>
      </w:pPr>
      <w:bookmarkStart w:id="300" w:name="lt_pId556"/>
      <w:r w:rsidRPr="00CA61A6">
        <w:rPr>
          <w:szCs w:val="24"/>
          <w:lang w:eastAsia="ja-JP"/>
        </w:rPr>
        <w:t>Ejecutad</w:t>
      </w:r>
      <w:r>
        <w:rPr>
          <w:szCs w:val="24"/>
          <w:lang w:eastAsia="ja-JP"/>
        </w:rPr>
        <w:t>a</w:t>
      </w:r>
      <w:r w:rsidRPr="00CA61A6">
        <w:rPr>
          <w:szCs w:val="24"/>
          <w:lang w:eastAsia="ja-JP"/>
        </w:rPr>
        <w:t xml:space="preserve"> </w:t>
      </w:r>
      <w:r w:rsidR="0062564D" w:rsidRPr="00CA61A6">
        <w:rPr>
          <w:szCs w:val="24"/>
          <w:lang w:eastAsia="ja-JP"/>
        </w:rPr>
        <w:t>en el contexto de</w:t>
      </w:r>
      <w:r w:rsidR="00CC4BF6">
        <w:rPr>
          <w:szCs w:val="24"/>
          <w:lang w:eastAsia="ja-JP"/>
        </w:rPr>
        <w:t xml:space="preserve"> </w:t>
      </w:r>
      <w:r w:rsidR="0062564D" w:rsidRPr="00CA61A6">
        <w:rPr>
          <w:szCs w:val="24"/>
          <w:lang w:eastAsia="ja-JP"/>
        </w:rPr>
        <w:t>l</w:t>
      </w:r>
      <w:r w:rsidR="00CC4BF6">
        <w:rPr>
          <w:szCs w:val="24"/>
          <w:lang w:eastAsia="ja-JP"/>
        </w:rPr>
        <w:t>a</w:t>
      </w:r>
      <w:r w:rsidR="0062564D" w:rsidRPr="00CA61A6">
        <w:rPr>
          <w:szCs w:val="24"/>
          <w:lang w:eastAsia="ja-JP"/>
        </w:rPr>
        <w:t xml:space="preserve"> </w:t>
      </w:r>
      <w:hyperlink w:anchor="Item44_28" w:history="1">
        <w:r w:rsidR="00CC4BF6">
          <w:rPr>
            <w:rStyle w:val="Hyperlink"/>
            <w:szCs w:val="24"/>
            <w:lang w:eastAsia="ja-JP"/>
          </w:rPr>
          <w:t>Acción</w:t>
        </w:r>
        <w:r w:rsidR="0062564D" w:rsidRPr="00CA61A6">
          <w:rPr>
            <w:rStyle w:val="Hyperlink"/>
            <w:szCs w:val="24"/>
            <w:lang w:eastAsia="ja-JP"/>
          </w:rPr>
          <w:t xml:space="preserve"> 44-28</w:t>
        </w:r>
      </w:hyperlink>
      <w:r w:rsidR="00341233">
        <w:rPr>
          <w:szCs w:val="24"/>
          <w:lang w:eastAsia="ja-JP"/>
        </w:rPr>
        <w:t xml:space="preserve"> </w:t>
      </w:r>
      <w:r w:rsidR="00341233" w:rsidRPr="00341233">
        <w:rPr>
          <w:i/>
          <w:iCs/>
          <w:szCs w:val="24"/>
          <w:lang w:eastAsia="ja-JP"/>
        </w:rPr>
        <w:t>infra</w:t>
      </w:r>
      <w:r w:rsidR="0062564D" w:rsidRPr="00CA61A6">
        <w:rPr>
          <w:szCs w:val="24"/>
          <w:lang w:eastAsia="ja-JP"/>
        </w:rPr>
        <w:t>.</w:t>
      </w:r>
      <w:bookmarkEnd w:id="300"/>
    </w:p>
    <w:p w:rsidR="0062564D" w:rsidRPr="00CA61A6" w:rsidRDefault="00F11AFE" w:rsidP="005401C0">
      <w:pPr>
        <w:pStyle w:val="Headingb"/>
      </w:pPr>
      <w:bookmarkStart w:id="301" w:name="Item44_27"/>
      <w:bookmarkStart w:id="302" w:name="lt_pId557"/>
      <w:bookmarkEnd w:id="301"/>
      <w:r w:rsidRPr="00CA61A6">
        <w:t xml:space="preserve">Acción </w:t>
      </w:r>
      <w:r w:rsidR="0062564D" w:rsidRPr="00CA61A6">
        <w:t>44-27: TSB</w:t>
      </w:r>
      <w:bookmarkEnd w:id="302"/>
    </w:p>
    <w:p w:rsidR="0062564D" w:rsidRPr="00CA61A6" w:rsidRDefault="0062564D" w:rsidP="007B3478">
      <w:pPr>
        <w:rPr>
          <w:szCs w:val="24"/>
          <w:lang w:eastAsia="ja-JP"/>
        </w:rPr>
      </w:pPr>
      <w:bookmarkStart w:id="303" w:name="lt_pId558"/>
      <w:r w:rsidRPr="00CA61A6">
        <w:rPr>
          <w:szCs w:val="24"/>
          <w:lang w:eastAsia="ja-JP"/>
        </w:rPr>
        <w:t>El Foro de preguntas y respuestas</w:t>
      </w:r>
      <w:r w:rsidR="00DB7FAF">
        <w:rPr>
          <w:szCs w:val="24"/>
          <w:lang w:eastAsia="ja-JP"/>
        </w:rPr>
        <w:t xml:space="preserve"> </w:t>
      </w:r>
      <w:r w:rsidR="00DB7FAF" w:rsidRPr="00CA61A6">
        <w:t xml:space="preserve">(Q&amp;A) </w:t>
      </w:r>
      <w:r w:rsidRPr="00CA61A6">
        <w:rPr>
          <w:szCs w:val="24"/>
          <w:lang w:eastAsia="ja-JP"/>
        </w:rPr>
        <w:t>sobre normalización se está revisando y se mejoró en 2013 para proporcionar una interfaz de usuario más intuitiva.</w:t>
      </w:r>
      <w:bookmarkEnd w:id="303"/>
      <w:r w:rsidRPr="00CA61A6">
        <w:rPr>
          <w:szCs w:val="24"/>
          <w:lang w:eastAsia="ja-JP"/>
        </w:rPr>
        <w:t xml:space="preserve"> E</w:t>
      </w:r>
      <w:r w:rsidRPr="00CA61A6">
        <w:t>n cada reunión de Comisión de Estudio se celebró un seminario web sobre temas de interés para los países en desarrollo en los que se favorecerá la participación activa para alimentar el sitio web de preguntas y respuestas (Q&amp;A) sobre normalización.</w:t>
      </w:r>
    </w:p>
    <w:p w:rsidR="0062564D" w:rsidRPr="00CA61A6" w:rsidRDefault="00B30314" w:rsidP="00CF31AA">
      <w:pPr>
        <w:pStyle w:val="Headingb"/>
      </w:pPr>
      <w:bookmarkStart w:id="304" w:name="Item44_28"/>
      <w:bookmarkStart w:id="305" w:name="lt_pId560"/>
      <w:bookmarkEnd w:id="304"/>
      <w:r w:rsidRPr="00CA61A6">
        <w:t xml:space="preserve">Acción </w:t>
      </w:r>
      <w:r w:rsidR="0062564D" w:rsidRPr="00CA61A6">
        <w:t>44-28: TSB</w:t>
      </w:r>
      <w:bookmarkEnd w:id="305"/>
    </w:p>
    <w:p w:rsidR="0062564D" w:rsidRPr="00CA61A6" w:rsidRDefault="0062564D" w:rsidP="007B3478">
      <w:pPr>
        <w:rPr>
          <w:szCs w:val="24"/>
          <w:lang w:eastAsia="ja-JP"/>
        </w:rPr>
      </w:pPr>
      <w:bookmarkStart w:id="306" w:name="lt_pId561"/>
      <w:r w:rsidRPr="00CA61A6">
        <w:rPr>
          <w:szCs w:val="24"/>
          <w:lang w:eastAsia="ja-JP"/>
        </w:rPr>
        <w:t>La TSB ha preparado un curso de formación estructurado que ofrece directrices sobre la presentación eficaz de propuestas a las Comisiones de Estudio y sobre la navegación en la normalización internacional.</w:t>
      </w:r>
      <w:bookmarkEnd w:id="306"/>
      <w:r w:rsidRPr="00CA61A6">
        <w:rPr>
          <w:szCs w:val="24"/>
          <w:lang w:eastAsia="ja-JP"/>
        </w:rPr>
        <w:t xml:space="preserve"> </w:t>
      </w:r>
      <w:bookmarkStart w:id="307" w:name="lt_pId562"/>
      <w:r w:rsidRPr="00CA61A6">
        <w:rPr>
          <w:szCs w:val="24"/>
          <w:lang w:eastAsia="ja-JP"/>
        </w:rPr>
        <w:t>Los cursos de formación sobre la eficacia en la normalización en la UIT se realizaron en Ginebra para las CE</w:t>
      </w:r>
      <w:r w:rsidR="00E16148" w:rsidRPr="00CA61A6">
        <w:rPr>
          <w:szCs w:val="24"/>
          <w:lang w:eastAsia="ja-JP"/>
        </w:rPr>
        <w:t> </w:t>
      </w:r>
      <w:r w:rsidRPr="00CA61A6">
        <w:rPr>
          <w:szCs w:val="24"/>
          <w:lang w:eastAsia="ja-JP"/>
        </w:rPr>
        <w:t>2, CE</w:t>
      </w:r>
      <w:r w:rsidR="00E16148" w:rsidRPr="00CA61A6">
        <w:rPr>
          <w:szCs w:val="24"/>
          <w:lang w:eastAsia="ja-JP"/>
        </w:rPr>
        <w:t> </w:t>
      </w:r>
      <w:r w:rsidRPr="00CA61A6">
        <w:rPr>
          <w:szCs w:val="24"/>
          <w:lang w:eastAsia="ja-JP"/>
        </w:rPr>
        <w:t>9, CE</w:t>
      </w:r>
      <w:r w:rsidR="00E16148" w:rsidRPr="00CA61A6">
        <w:rPr>
          <w:szCs w:val="24"/>
          <w:lang w:eastAsia="ja-JP"/>
        </w:rPr>
        <w:t> </w:t>
      </w:r>
      <w:r w:rsidRPr="00CA61A6">
        <w:rPr>
          <w:szCs w:val="24"/>
          <w:lang w:eastAsia="ja-JP"/>
        </w:rPr>
        <w:t>12, CE</w:t>
      </w:r>
      <w:r w:rsidR="00E16148" w:rsidRPr="00CA61A6">
        <w:rPr>
          <w:szCs w:val="24"/>
          <w:lang w:eastAsia="ja-JP"/>
        </w:rPr>
        <w:t> </w:t>
      </w:r>
      <w:r w:rsidR="00E979CC">
        <w:rPr>
          <w:szCs w:val="24"/>
          <w:lang w:eastAsia="ja-JP"/>
        </w:rPr>
        <w:t>17 e in situ en Túnez y la Indi</w:t>
      </w:r>
      <w:r w:rsidRPr="00CA61A6">
        <w:rPr>
          <w:szCs w:val="24"/>
          <w:lang w:eastAsia="ja-JP"/>
        </w:rPr>
        <w:t>a, con una participación de 114 delegados de 29 países y 60 organizaciones</w:t>
      </w:r>
      <w:r w:rsidR="00C57D88">
        <w:rPr>
          <w:szCs w:val="24"/>
          <w:lang w:eastAsia="ja-JP"/>
        </w:rPr>
        <w:t xml:space="preserve"> diferentes</w:t>
      </w:r>
      <w:r w:rsidRPr="00CA61A6">
        <w:rPr>
          <w:szCs w:val="24"/>
          <w:lang w:eastAsia="ja-JP"/>
        </w:rPr>
        <w:t>.</w:t>
      </w:r>
      <w:bookmarkEnd w:id="307"/>
    </w:p>
    <w:p w:rsidR="0062564D" w:rsidRPr="00CA61A6" w:rsidRDefault="004A5AE8" w:rsidP="00195ED2">
      <w:pPr>
        <w:pStyle w:val="Headingb"/>
      </w:pPr>
      <w:bookmarkStart w:id="308" w:name="Item44_29"/>
      <w:bookmarkStart w:id="309" w:name="lt_pId563"/>
      <w:bookmarkEnd w:id="308"/>
      <w:r w:rsidRPr="00CA61A6">
        <w:t xml:space="preserve">Acción </w:t>
      </w:r>
      <w:r w:rsidR="0062564D" w:rsidRPr="00CA61A6">
        <w:t>44-29: TSB</w:t>
      </w:r>
      <w:bookmarkEnd w:id="309"/>
    </w:p>
    <w:p w:rsidR="0062564D" w:rsidRPr="00CA61A6" w:rsidRDefault="0062564D" w:rsidP="007B3478">
      <w:pPr>
        <w:rPr>
          <w:szCs w:val="24"/>
          <w:lang w:eastAsia="ja-JP"/>
        </w:rPr>
      </w:pPr>
      <w:bookmarkStart w:id="310" w:name="lt_pId564"/>
      <w:r w:rsidRPr="00CA61A6">
        <w:rPr>
          <w:szCs w:val="24"/>
          <w:lang w:eastAsia="ja-JP"/>
        </w:rPr>
        <w:t xml:space="preserve">El curso de ciberenseñanza sobre la Recomendación UIT-T A.1: </w:t>
      </w:r>
      <w:r w:rsidR="00F155E4" w:rsidRPr="00CA61A6">
        <w:rPr>
          <w:szCs w:val="24"/>
          <w:lang w:eastAsia="ja-JP"/>
        </w:rPr>
        <w:t xml:space="preserve">Métodos </w:t>
      </w:r>
      <w:r w:rsidRPr="00CA61A6">
        <w:rPr>
          <w:szCs w:val="24"/>
          <w:lang w:eastAsia="ja-JP"/>
        </w:rPr>
        <w:t xml:space="preserve">de trabajo de las Comisiones de Estudio del UIT-T está disponible en el sitio web de la Academia de la UIT en </w:t>
      </w:r>
      <w:hyperlink r:id="rId112" w:history="1">
        <w:r w:rsidRPr="00CA61A6">
          <w:rPr>
            <w:color w:val="0000FF"/>
            <w:szCs w:val="24"/>
            <w:u w:val="single"/>
            <w:lang w:eastAsia="ja-JP"/>
          </w:rPr>
          <w:t>http://academy.itu.int</w:t>
        </w:r>
      </w:hyperlink>
      <w:r w:rsidRPr="00CA61A6">
        <w:rPr>
          <w:szCs w:val="24"/>
          <w:lang w:eastAsia="ja-JP"/>
        </w:rPr>
        <w:t xml:space="preserve"> o utilizando el enlace </w:t>
      </w:r>
      <w:hyperlink r:id="rId113" w:history="1">
        <w:r w:rsidRPr="00CA61A6">
          <w:rPr>
            <w:color w:val="0000FF"/>
            <w:szCs w:val="24"/>
            <w:u w:val="single"/>
            <w:lang w:eastAsia="ja-JP"/>
          </w:rPr>
          <w:t>http://academy.itu.int/index.php/component/k2/item/1115</w:t>
        </w:r>
      </w:hyperlink>
      <w:bookmarkEnd w:id="310"/>
      <w:r w:rsidR="00406420" w:rsidRPr="00CA61A6">
        <w:rPr>
          <w:szCs w:val="24"/>
          <w:lang w:eastAsia="ja-JP"/>
        </w:rPr>
        <w:t>.</w:t>
      </w:r>
    </w:p>
    <w:p w:rsidR="0062564D" w:rsidRPr="00CA61A6" w:rsidRDefault="0062564D" w:rsidP="00E1525A">
      <w:pPr>
        <w:rPr>
          <w:lang w:eastAsia="ja-JP"/>
        </w:rPr>
      </w:pPr>
      <w:r w:rsidRPr="00CA61A6">
        <w:rPr>
          <w:lang w:eastAsia="ja-JP"/>
        </w:rPr>
        <w:t xml:space="preserve">La TSB tiene previsto preparar otros cursos de ciberenseñanza sobre Recomendaciones UIT-T en los próximos años. Se investigará la posibilidad de crear alianzas con </w:t>
      </w:r>
      <w:r w:rsidR="003C4AEE" w:rsidRPr="00CA61A6">
        <w:rPr>
          <w:lang w:eastAsia="ja-JP"/>
        </w:rPr>
        <w:t xml:space="preserve">Instituciones Académicas </w:t>
      </w:r>
      <w:r w:rsidRPr="00CA61A6">
        <w:rPr>
          <w:lang w:eastAsia="ja-JP"/>
        </w:rPr>
        <w:t>y Miembros de Sector a fin de preparar el contenido de los cursos</w:t>
      </w:r>
      <w:r w:rsidR="008429AD" w:rsidRPr="00CA61A6">
        <w:rPr>
          <w:lang w:eastAsia="ja-JP"/>
        </w:rPr>
        <w:t>.</w:t>
      </w:r>
    </w:p>
    <w:p w:rsidR="0062564D" w:rsidRPr="00CA61A6" w:rsidRDefault="0062564D" w:rsidP="007B3478">
      <w:pPr>
        <w:rPr>
          <w:lang w:eastAsia="ja-JP"/>
        </w:rPr>
      </w:pPr>
      <w:bookmarkStart w:id="311" w:name="lt_pId568"/>
      <w:r w:rsidRPr="00CA61A6">
        <w:rPr>
          <w:lang w:eastAsia="ja-JP"/>
        </w:rPr>
        <w:t>La CE</w:t>
      </w:r>
      <w:r w:rsidR="00E16148" w:rsidRPr="00CA61A6">
        <w:rPr>
          <w:lang w:eastAsia="ja-JP"/>
        </w:rPr>
        <w:t> </w:t>
      </w:r>
      <w:r w:rsidRPr="00CA61A6">
        <w:rPr>
          <w:lang w:eastAsia="ja-JP"/>
        </w:rPr>
        <w:t xml:space="preserve">17 organizó un </w:t>
      </w:r>
      <w:r w:rsidR="00A518A6" w:rsidRPr="00CA61A6">
        <w:rPr>
          <w:lang w:eastAsia="ja-JP"/>
        </w:rPr>
        <w:t xml:space="preserve">taller </w:t>
      </w:r>
      <w:r w:rsidRPr="00CA61A6">
        <w:rPr>
          <w:lang w:eastAsia="ja-JP"/>
        </w:rPr>
        <w:t xml:space="preserve">de la UIT sobre dificultades en materia de normalización de la seguridad en las TIC para los países en desarrollo, que tuvo lugar en Ginebra (Suiza) del 15 al 16 de septiembre de 2014. </w:t>
      </w:r>
      <w:bookmarkEnd w:id="311"/>
      <w:r w:rsidRPr="00CA61A6">
        <w:rPr>
          <w:lang w:eastAsia="ja-JP"/>
        </w:rPr>
        <w:t xml:space="preserve">Los temas principales del </w:t>
      </w:r>
      <w:r w:rsidR="00A518A6" w:rsidRPr="00CA61A6">
        <w:rPr>
          <w:lang w:eastAsia="ja-JP"/>
        </w:rPr>
        <w:t xml:space="preserve">taller </w:t>
      </w:r>
      <w:r w:rsidRPr="00CA61A6">
        <w:rPr>
          <w:lang w:eastAsia="ja-JP"/>
        </w:rPr>
        <w:t>fueron: la ciberseguridad, la protección de los datos, los servicios de confianza, la computación en la nube (incluidos los macrodatos), la normalización y el papel de las TIC en la protección de la infraestructura esencial.</w:t>
      </w:r>
    </w:p>
    <w:p w:rsidR="0062564D" w:rsidRPr="00CA61A6" w:rsidRDefault="0062564D" w:rsidP="007B3478">
      <w:pPr>
        <w:rPr>
          <w:lang w:eastAsia="ja-JP"/>
        </w:rPr>
      </w:pPr>
      <w:bookmarkStart w:id="312" w:name="Item44_30"/>
      <w:bookmarkStart w:id="313" w:name="lt_pId569"/>
      <w:bookmarkEnd w:id="312"/>
      <w:r w:rsidRPr="00CA61A6">
        <w:rPr>
          <w:lang w:eastAsia="ja-JP"/>
        </w:rPr>
        <w:t>La CE</w:t>
      </w:r>
      <w:r w:rsidR="00E16148" w:rsidRPr="00CA61A6">
        <w:rPr>
          <w:lang w:eastAsia="ja-JP"/>
        </w:rPr>
        <w:t> </w:t>
      </w:r>
      <w:r w:rsidRPr="00CA61A6">
        <w:rPr>
          <w:lang w:eastAsia="ja-JP"/>
        </w:rPr>
        <w:t>17 está trabajando sobre el tema de estudio X.TRsuss con el fin de preparar un informe técnico sobre la utilización eficaz de normas de seguridad.</w:t>
      </w:r>
      <w:bookmarkEnd w:id="313"/>
    </w:p>
    <w:p w:rsidR="0062564D" w:rsidRPr="00CA61A6" w:rsidRDefault="00D51E6C" w:rsidP="00FC5606">
      <w:pPr>
        <w:pStyle w:val="Headingb"/>
      </w:pPr>
      <w:bookmarkStart w:id="314" w:name="lt_pId570"/>
      <w:r w:rsidRPr="00CA61A6">
        <w:t xml:space="preserve">Acción </w:t>
      </w:r>
      <w:r w:rsidR="0062564D" w:rsidRPr="00CA61A6">
        <w:t>44-30: TSB</w:t>
      </w:r>
      <w:bookmarkEnd w:id="314"/>
    </w:p>
    <w:p w:rsidR="0062564D" w:rsidRPr="00CA61A6" w:rsidRDefault="0062564D" w:rsidP="007B3478">
      <w:pPr>
        <w:rPr>
          <w:szCs w:val="24"/>
          <w:lang w:eastAsia="ja-JP"/>
        </w:rPr>
      </w:pPr>
      <w:r w:rsidRPr="00CA61A6">
        <w:t>Se han otorgado becas a delegados de países en desarrollo que asisten a reuniones pertinentes del UIT</w:t>
      </w:r>
      <w:r w:rsidRPr="00CA61A6">
        <w:noBreakHyphen/>
        <w:t>T, en particular reuniones del Grupo Regional de Comisiones de Estudio, Foros regionales de normalización, talleres y Comisiones de Estudio.</w:t>
      </w:r>
    </w:p>
    <w:p w:rsidR="008217F2" w:rsidRPr="00CA61A6" w:rsidRDefault="00110CAD" w:rsidP="008217F2">
      <w:hyperlink w:anchor="Top" w:history="1">
        <w:r w:rsidR="008217F2" w:rsidRPr="00CA61A6">
          <w:rPr>
            <w:rStyle w:val="Hyperlink"/>
          </w:rPr>
          <w:t>» Arriba</w:t>
        </w:r>
      </w:hyperlink>
    </w:p>
    <w:p w:rsidR="0062564D" w:rsidRPr="00CA61A6" w:rsidRDefault="00F036A9" w:rsidP="00F036A9">
      <w:pPr>
        <w:pStyle w:val="Heading1"/>
      </w:pPr>
      <w:bookmarkStart w:id="315" w:name="_18_Resolución_45"/>
      <w:bookmarkStart w:id="316" w:name="_Toc463335769"/>
      <w:bookmarkEnd w:id="315"/>
      <w:r w:rsidRPr="00CA61A6">
        <w:lastRenderedPageBreak/>
        <w:t>18</w:t>
      </w:r>
      <w:r w:rsidRPr="00CA61A6">
        <w:tab/>
      </w:r>
      <w:r w:rsidR="0062564D" w:rsidRPr="00CA61A6">
        <w:t>Resolución 45 – Coordinación eficaz de la labor de normalización en las Comisiones de Estudio del Sector de Normalización de las Telecomunicaciones de la UIT, y cometido del Grupo Asesor de Normalización de las Telecomunicaciones</w:t>
      </w:r>
      <w:bookmarkEnd w:id="316"/>
    </w:p>
    <w:p w:rsidR="0062564D" w:rsidRPr="00CA61A6" w:rsidRDefault="0062564D" w:rsidP="00BB188A">
      <w:pPr>
        <w:pStyle w:val="Headingb"/>
      </w:pPr>
      <w:r w:rsidRPr="00CA61A6">
        <w:t>Resolución 45</w:t>
      </w:r>
    </w:p>
    <w:p w:rsidR="0062564D" w:rsidRPr="00CA61A6" w:rsidRDefault="0062564D" w:rsidP="007B3478">
      <w:pPr>
        <w:pStyle w:val="Call"/>
        <w:rPr>
          <w:lang w:eastAsia="ja-JP"/>
        </w:rPr>
      </w:pPr>
      <w:r w:rsidRPr="00CA61A6">
        <w:rPr>
          <w:lang w:eastAsia="ja-JP"/>
        </w:rPr>
        <w:t>resuelve</w:t>
      </w:r>
    </w:p>
    <w:p w:rsidR="0062564D" w:rsidRPr="00CA61A6" w:rsidRDefault="0062564D" w:rsidP="007B3478">
      <w:pPr>
        <w:rPr>
          <w:lang w:eastAsia="ja-JP"/>
        </w:rPr>
      </w:pPr>
      <w:r w:rsidRPr="00CA61A6">
        <w:rPr>
          <w:lang w:eastAsia="ja-JP"/>
        </w:rPr>
        <w:t>que la coordinación de las actividades del UIT</w:t>
      </w:r>
      <w:r w:rsidRPr="00CA61A6">
        <w:rPr>
          <w:lang w:eastAsia="ja-JP"/>
        </w:rPr>
        <w:noBreakHyphen/>
        <w:t>T en lo que respecta a las cuestiones de normalización de alta prioridad y las relacionadas con la labor de más de una Comisión de Estudio garantice:</w:t>
      </w:r>
    </w:p>
    <w:p w:rsidR="0062564D" w:rsidRPr="00CA61A6" w:rsidRDefault="0062564D" w:rsidP="007B3478">
      <w:pPr>
        <w:pStyle w:val="enumlev1"/>
        <w:rPr>
          <w:lang w:eastAsia="ja-JP"/>
        </w:rPr>
      </w:pPr>
      <w:r w:rsidRPr="00CA61A6">
        <w:rPr>
          <w:lang w:eastAsia="ja-JP"/>
        </w:rPr>
        <w:t>i)</w:t>
      </w:r>
      <w:r w:rsidRPr="00CA61A6">
        <w:rPr>
          <w:lang w:eastAsia="ja-JP"/>
        </w:rPr>
        <w:tab/>
        <w:t>la definición de objetivos y prioridades de alto nivel para los estudios del UIT</w:t>
      </w:r>
      <w:r w:rsidRPr="00CA61A6">
        <w:rPr>
          <w:lang w:eastAsia="ja-JP"/>
        </w:rPr>
        <w:noBreakHyphen/>
        <w:t>T aplicando una perspectiva mundial;</w:t>
      </w:r>
    </w:p>
    <w:p w:rsidR="0062564D" w:rsidRPr="00CA61A6" w:rsidRDefault="0062564D" w:rsidP="007B3478">
      <w:pPr>
        <w:pStyle w:val="enumlev1"/>
        <w:rPr>
          <w:lang w:eastAsia="ja-JP"/>
        </w:rPr>
      </w:pPr>
      <w:r w:rsidRPr="00CA61A6">
        <w:rPr>
          <w:lang w:eastAsia="ja-JP"/>
        </w:rPr>
        <w:t>ii)</w:t>
      </w:r>
      <w:r w:rsidRPr="00CA61A6">
        <w:rPr>
          <w:lang w:eastAsia="ja-JP"/>
        </w:rPr>
        <w:tab/>
        <w:t>la cooperación entre Comisiones de Estudio, incluyendo el evitar la duplicación de trabajos e identificando vínculos entre temas de trabajo relacionados;</w:t>
      </w:r>
    </w:p>
    <w:p w:rsidR="0062564D" w:rsidRPr="00CA61A6" w:rsidRDefault="0062564D" w:rsidP="007B3478">
      <w:pPr>
        <w:pStyle w:val="enumlev1"/>
        <w:rPr>
          <w:lang w:eastAsia="ja-JP"/>
        </w:rPr>
      </w:pPr>
      <w:r w:rsidRPr="00CA61A6">
        <w:rPr>
          <w:lang w:eastAsia="ja-JP"/>
        </w:rPr>
        <w:t>iii)</w:t>
      </w:r>
      <w:r w:rsidRPr="00CA61A6">
        <w:rPr>
          <w:lang w:eastAsia="ja-JP"/>
        </w:rPr>
        <w:tab/>
        <w:t>la coordinación planificada de los plazos, productos finales, objetivos e hitos para las actividades de normalización;</w:t>
      </w:r>
    </w:p>
    <w:p w:rsidR="0062564D" w:rsidRPr="00CA61A6" w:rsidRDefault="0062564D" w:rsidP="007B3478">
      <w:pPr>
        <w:pStyle w:val="enumlev1"/>
        <w:rPr>
          <w:lang w:eastAsia="ja-JP"/>
        </w:rPr>
      </w:pPr>
      <w:r w:rsidRPr="00CA61A6">
        <w:rPr>
          <w:lang w:eastAsia="ja-JP"/>
        </w:rPr>
        <w:t>iv)</w:t>
      </w:r>
      <w:r w:rsidRPr="00CA61A6">
        <w:rPr>
          <w:lang w:eastAsia="ja-JP"/>
        </w:rPr>
        <w:tab/>
        <w:t>la toma en consideración de los intereses de los países en desarrollo y el fomento y facilitación de su participación en estas actividades;</w:t>
      </w:r>
    </w:p>
    <w:p w:rsidR="0062564D" w:rsidRPr="00CA61A6" w:rsidRDefault="0062564D" w:rsidP="007B3478">
      <w:pPr>
        <w:pStyle w:val="enumlev1"/>
        <w:rPr>
          <w:lang w:eastAsia="ja-JP"/>
        </w:rPr>
      </w:pPr>
      <w:r w:rsidRPr="00CA61A6">
        <w:rPr>
          <w:lang w:eastAsia="ja-JP"/>
        </w:rPr>
        <w:t>v)</w:t>
      </w:r>
      <w:r w:rsidRPr="00CA61A6">
        <w:rPr>
          <w:lang w:eastAsia="ja-JP"/>
        </w:rPr>
        <w:tab/>
        <w:t>la cooperación y coordinación con los Sectores de Radiocomunicaciones y de Desarrollo de las Telecomunicaciones de la UIT y con otros órganos de normalización externos,</w:t>
      </w:r>
    </w:p>
    <w:p w:rsidR="0062564D" w:rsidRPr="00CA61A6" w:rsidRDefault="0062564D" w:rsidP="007B3478">
      <w:pPr>
        <w:pStyle w:val="Call"/>
        <w:rPr>
          <w:lang w:eastAsia="ja-JP"/>
        </w:rPr>
      </w:pPr>
      <w:r w:rsidRPr="00CA61A6">
        <w:rPr>
          <w:lang w:eastAsia="ja-JP"/>
        </w:rPr>
        <w:t>encarga al Grupo Asesor de Normalización de las Telecomunicaciones</w:t>
      </w:r>
    </w:p>
    <w:p w:rsidR="0062564D" w:rsidRPr="00CA61A6" w:rsidRDefault="0062564D" w:rsidP="007B3478">
      <w:pPr>
        <w:rPr>
          <w:lang w:eastAsia="ja-JP"/>
        </w:rPr>
      </w:pPr>
      <w:r w:rsidRPr="00CA61A6">
        <w:rPr>
          <w:lang w:eastAsia="ja-JP"/>
        </w:rPr>
        <w:t>1</w:t>
      </w:r>
      <w:r w:rsidRPr="00CA61A6">
        <w:rPr>
          <w:lang w:eastAsia="ja-JP"/>
        </w:rPr>
        <w:tab/>
        <w:t>que asuma un papel activo para garantizar la coordinación entre Comisiones de Estudio, especialmente en lo que se refiera a los temas de normalización de alta prioridad que se estén estudiando en más de una Comisión de Estudio, invitando en su caso a los Grupos Mixtos de Coordinación a celebrar las reuniones que se requieran para alcanzar los objetivos que se les han asignado;</w:t>
      </w:r>
    </w:p>
    <w:p w:rsidR="0062564D" w:rsidRPr="00CA61A6" w:rsidRDefault="0062564D" w:rsidP="007B3478">
      <w:pPr>
        <w:spacing w:after="120"/>
      </w:pPr>
      <w:r w:rsidRPr="00CA61A6">
        <w:rPr>
          <w:lang w:eastAsia="ja-JP"/>
        </w:rPr>
        <w:t>2</w:t>
      </w:r>
      <w:r w:rsidRPr="00CA61A6">
        <w:rPr>
          <w:lang w:eastAsia="ja-JP"/>
        </w:rPr>
        <w:tab/>
        <w:t>que tenga en cuenta, y en su caso aplique, el asesoramiento facilitado al GANT por otros grupos creados con miras a una coordinación eficaz de los temas de normalización de alta prioridad y conjuntos.</w:t>
      </w:r>
    </w:p>
    <w:tbl>
      <w:tblPr>
        <w:tblW w:w="9832" w:type="dxa"/>
        <w:tblInd w:w="-13" w:type="dxa"/>
        <w:tblLook w:val="04A0" w:firstRow="1" w:lastRow="0" w:firstColumn="1" w:lastColumn="0" w:noHBand="0" w:noVBand="1"/>
      </w:tblPr>
      <w:tblGrid>
        <w:gridCol w:w="986"/>
        <w:gridCol w:w="4692"/>
        <w:gridCol w:w="1607"/>
        <w:gridCol w:w="1182"/>
        <w:gridCol w:w="1365"/>
      </w:tblGrid>
      <w:tr w:rsidR="0062564D" w:rsidRPr="00CA61A6" w:rsidTr="009F15C5">
        <w:trPr>
          <w:trHeight w:val="647"/>
          <w:tblHeader/>
        </w:trPr>
        <w:tc>
          <w:tcPr>
            <w:tcW w:w="986" w:type="dxa"/>
            <w:tcBorders>
              <w:top w:val="single" w:sz="4" w:space="0" w:color="auto"/>
              <w:left w:val="single" w:sz="4" w:space="0" w:color="auto"/>
              <w:bottom w:val="double" w:sz="6" w:space="0" w:color="auto"/>
              <w:right w:val="single" w:sz="4" w:space="0" w:color="auto"/>
            </w:tcBorders>
            <w:vAlign w:val="center"/>
          </w:tcPr>
          <w:p w:rsidR="0062564D" w:rsidRPr="00CA61A6" w:rsidRDefault="00CD25B7" w:rsidP="00330BFC">
            <w:pPr>
              <w:pStyle w:val="Tablehead"/>
            </w:pPr>
            <w:r w:rsidRPr="00CA61A6">
              <w:t>Número</w:t>
            </w:r>
          </w:p>
        </w:tc>
        <w:tc>
          <w:tcPr>
            <w:tcW w:w="4692" w:type="dxa"/>
            <w:tcBorders>
              <w:top w:val="single" w:sz="4" w:space="0" w:color="auto"/>
              <w:left w:val="single" w:sz="4" w:space="0" w:color="auto"/>
              <w:bottom w:val="double" w:sz="6" w:space="0" w:color="auto"/>
              <w:right w:val="single" w:sz="4" w:space="0" w:color="auto"/>
            </w:tcBorders>
            <w:shd w:val="clear" w:color="auto" w:fill="auto"/>
            <w:vAlign w:val="center"/>
            <w:hideMark/>
          </w:tcPr>
          <w:p w:rsidR="0062564D" w:rsidRPr="00CA61A6" w:rsidRDefault="0062564D" w:rsidP="00330BFC">
            <w:pPr>
              <w:pStyle w:val="Tablehead"/>
            </w:pPr>
            <w:r w:rsidRPr="00CA61A6">
              <w:t>Acción</w:t>
            </w:r>
          </w:p>
        </w:tc>
        <w:tc>
          <w:tcPr>
            <w:tcW w:w="1607" w:type="dxa"/>
            <w:tcBorders>
              <w:top w:val="single" w:sz="4" w:space="0" w:color="auto"/>
              <w:left w:val="nil"/>
              <w:bottom w:val="double" w:sz="6" w:space="0" w:color="auto"/>
              <w:right w:val="single" w:sz="4" w:space="0" w:color="auto"/>
            </w:tcBorders>
            <w:shd w:val="clear" w:color="auto" w:fill="auto"/>
            <w:vAlign w:val="center"/>
            <w:hideMark/>
          </w:tcPr>
          <w:p w:rsidR="0062564D" w:rsidRPr="00CA61A6" w:rsidRDefault="0062564D" w:rsidP="00330BFC">
            <w:pPr>
              <w:pStyle w:val="Tablehead"/>
            </w:pPr>
            <w:r w:rsidRPr="00CA61A6">
              <w:t>Fecha objetivo</w:t>
            </w:r>
          </w:p>
        </w:tc>
        <w:tc>
          <w:tcPr>
            <w:tcW w:w="1182" w:type="dxa"/>
            <w:tcBorders>
              <w:top w:val="single" w:sz="4" w:space="0" w:color="auto"/>
              <w:left w:val="nil"/>
              <w:bottom w:val="double" w:sz="6" w:space="0" w:color="auto"/>
              <w:right w:val="single" w:sz="4" w:space="0" w:color="auto"/>
            </w:tcBorders>
            <w:vAlign w:val="center"/>
          </w:tcPr>
          <w:p w:rsidR="0062564D" w:rsidRPr="00CA61A6" w:rsidRDefault="0062564D" w:rsidP="00330BFC">
            <w:pPr>
              <w:pStyle w:val="Tablehead"/>
            </w:pPr>
            <w:r w:rsidRPr="00CA61A6">
              <w:t>Objetivos periódicos cumplidos</w:t>
            </w:r>
          </w:p>
        </w:tc>
        <w:tc>
          <w:tcPr>
            <w:tcW w:w="1365" w:type="dxa"/>
            <w:tcBorders>
              <w:top w:val="single" w:sz="4" w:space="0" w:color="auto"/>
              <w:left w:val="single" w:sz="4" w:space="0" w:color="auto"/>
              <w:bottom w:val="double" w:sz="6" w:space="0" w:color="auto"/>
              <w:right w:val="single" w:sz="4" w:space="0" w:color="auto"/>
            </w:tcBorders>
            <w:vAlign w:val="center"/>
          </w:tcPr>
          <w:p w:rsidR="0062564D" w:rsidRPr="00CA61A6" w:rsidRDefault="0062564D" w:rsidP="00330BFC">
            <w:pPr>
              <w:pStyle w:val="Tablehead"/>
            </w:pPr>
            <w:r w:rsidRPr="00CA61A6">
              <w:t>Completada</w:t>
            </w:r>
          </w:p>
        </w:tc>
      </w:tr>
      <w:tr w:rsidR="0062564D" w:rsidRPr="00CA61A6" w:rsidTr="009F15C5">
        <w:trPr>
          <w:trHeight w:val="620"/>
        </w:trPr>
        <w:tc>
          <w:tcPr>
            <w:tcW w:w="986" w:type="dxa"/>
            <w:tcBorders>
              <w:top w:val="double" w:sz="6" w:space="0" w:color="auto"/>
              <w:left w:val="single" w:sz="4" w:space="0" w:color="auto"/>
              <w:bottom w:val="single" w:sz="4" w:space="0" w:color="auto"/>
              <w:right w:val="single" w:sz="4" w:space="0" w:color="auto"/>
            </w:tcBorders>
            <w:vAlign w:val="center"/>
          </w:tcPr>
          <w:p w:rsidR="0062564D" w:rsidRPr="00CA61A6" w:rsidRDefault="00110CAD" w:rsidP="007B3478">
            <w:pPr>
              <w:pStyle w:val="Tabletext"/>
              <w:jc w:val="center"/>
            </w:pPr>
            <w:hyperlink w:anchor="Item45_01" w:history="1">
              <w:r w:rsidR="0062564D" w:rsidRPr="00CA61A6">
                <w:rPr>
                  <w:rStyle w:val="Hyperlink"/>
                </w:rPr>
                <w:t>45-01</w:t>
              </w:r>
            </w:hyperlink>
          </w:p>
        </w:tc>
        <w:tc>
          <w:tcPr>
            <w:tcW w:w="4692" w:type="dxa"/>
            <w:tcBorders>
              <w:top w:val="double" w:sz="6" w:space="0" w:color="auto"/>
              <w:left w:val="single" w:sz="4" w:space="0" w:color="auto"/>
              <w:bottom w:val="single" w:sz="4" w:space="0" w:color="auto"/>
              <w:right w:val="single" w:sz="4" w:space="0" w:color="auto"/>
            </w:tcBorders>
            <w:shd w:val="clear" w:color="auto" w:fill="auto"/>
            <w:hideMark/>
          </w:tcPr>
          <w:p w:rsidR="0062564D" w:rsidRPr="00CA61A6" w:rsidRDefault="0062564D" w:rsidP="007B3478">
            <w:pPr>
              <w:pStyle w:val="Tabletext"/>
            </w:pPr>
            <w:r w:rsidRPr="00CA61A6">
              <w:t>El GANT examinará en cada reunión la situación de la coordinación de los trabajos de normalización en que participen múltiples Comisiones de Estudio, el UIT-R y/o el UIT-D, y tomará las medidas necesarias para garantizar una coordinación efectiva</w:t>
            </w:r>
          </w:p>
        </w:tc>
        <w:tc>
          <w:tcPr>
            <w:tcW w:w="1607" w:type="dxa"/>
            <w:tcBorders>
              <w:top w:val="double" w:sz="6" w:space="0" w:color="auto"/>
              <w:left w:val="nil"/>
              <w:bottom w:val="single" w:sz="4" w:space="0" w:color="auto"/>
              <w:right w:val="single" w:sz="4" w:space="0" w:color="auto"/>
            </w:tcBorders>
            <w:shd w:val="clear" w:color="auto" w:fill="auto"/>
            <w:vAlign w:val="center"/>
            <w:hideMark/>
          </w:tcPr>
          <w:p w:rsidR="0062564D" w:rsidRPr="00CA61A6" w:rsidRDefault="0062564D" w:rsidP="007B3478">
            <w:pPr>
              <w:pStyle w:val="Tabletext"/>
              <w:jc w:val="center"/>
            </w:pPr>
            <w:r w:rsidRPr="00CA61A6">
              <w:t>En curso</w:t>
            </w:r>
          </w:p>
        </w:tc>
        <w:tc>
          <w:tcPr>
            <w:tcW w:w="1182" w:type="dxa"/>
            <w:tcBorders>
              <w:top w:val="double" w:sz="6" w:space="0" w:color="auto"/>
              <w:left w:val="nil"/>
              <w:bottom w:val="single" w:sz="4" w:space="0" w:color="auto"/>
              <w:right w:val="single" w:sz="4" w:space="0" w:color="auto"/>
            </w:tcBorders>
            <w:vAlign w:val="center"/>
          </w:tcPr>
          <w:p w:rsidR="0062564D" w:rsidRPr="00CA61A6" w:rsidRDefault="0062564D" w:rsidP="007B3478">
            <w:pPr>
              <w:pStyle w:val="Tabletext"/>
              <w:jc w:val="center"/>
            </w:pPr>
            <w:r w:rsidRPr="00CA61A6">
              <w:sym w:font="Wingdings" w:char="F0FC"/>
            </w:r>
          </w:p>
        </w:tc>
        <w:tc>
          <w:tcPr>
            <w:tcW w:w="1365" w:type="dxa"/>
            <w:tcBorders>
              <w:top w:val="double" w:sz="6" w:space="0" w:color="auto"/>
              <w:left w:val="single" w:sz="4" w:space="0" w:color="auto"/>
              <w:bottom w:val="single" w:sz="4" w:space="0" w:color="auto"/>
              <w:right w:val="single" w:sz="4" w:space="0" w:color="auto"/>
            </w:tcBorders>
            <w:vAlign w:val="center"/>
          </w:tcPr>
          <w:p w:rsidR="0062564D" w:rsidRPr="00CA61A6" w:rsidRDefault="0062564D" w:rsidP="007B3478">
            <w:pPr>
              <w:pStyle w:val="Tabletext"/>
              <w:jc w:val="center"/>
            </w:pPr>
          </w:p>
        </w:tc>
      </w:tr>
    </w:tbl>
    <w:p w:rsidR="0062564D" w:rsidRPr="00CA61A6" w:rsidRDefault="00936027" w:rsidP="004550FF">
      <w:pPr>
        <w:pStyle w:val="Headingb"/>
      </w:pPr>
      <w:bookmarkStart w:id="317" w:name="Item45_01"/>
      <w:r w:rsidRPr="00CA61A6">
        <w:t xml:space="preserve">Acción </w:t>
      </w:r>
      <w:r w:rsidR="00A102C0">
        <w:t>45-01: GANT</w:t>
      </w:r>
    </w:p>
    <w:p w:rsidR="0062564D" w:rsidRPr="00CA61A6" w:rsidRDefault="0062564D" w:rsidP="007B3478">
      <w:pPr>
        <w:rPr>
          <w:szCs w:val="24"/>
          <w:lang w:eastAsia="ja-JP"/>
        </w:rPr>
      </w:pPr>
      <w:bookmarkStart w:id="318" w:name="lt_pId602"/>
      <w:bookmarkEnd w:id="317"/>
      <w:r w:rsidRPr="00CA61A6">
        <w:rPr>
          <w:szCs w:val="24"/>
          <w:lang w:eastAsia="ja-JP"/>
        </w:rPr>
        <w:t>Examinar su rendimiento regularmente a partir de la información recibida. La colaboración con el U</w:t>
      </w:r>
      <w:bookmarkStart w:id="319" w:name="lt_pId603"/>
      <w:bookmarkEnd w:id="318"/>
      <w:r w:rsidR="009C3F63">
        <w:rPr>
          <w:szCs w:val="24"/>
          <w:lang w:eastAsia="ja-JP"/>
        </w:rPr>
        <w:t>IT</w:t>
      </w:r>
      <w:r w:rsidR="009C3F63">
        <w:rPr>
          <w:szCs w:val="24"/>
          <w:lang w:eastAsia="ja-JP"/>
        </w:rPr>
        <w:noBreakHyphen/>
        <w:t>R y el UIT</w:t>
      </w:r>
      <w:r w:rsidR="009C3F63">
        <w:rPr>
          <w:szCs w:val="24"/>
          <w:lang w:eastAsia="ja-JP"/>
        </w:rPr>
        <w:noBreakHyphen/>
      </w:r>
      <w:r w:rsidRPr="00CA61A6">
        <w:rPr>
          <w:szCs w:val="24"/>
          <w:lang w:eastAsia="ja-JP"/>
        </w:rPr>
        <w:t>D son temas constantes en el orden del día del GANT.</w:t>
      </w:r>
      <w:bookmarkEnd w:id="319"/>
    </w:p>
    <w:p w:rsidR="00175F7A" w:rsidRPr="00CA61A6" w:rsidRDefault="00110CAD" w:rsidP="00175F7A">
      <w:hyperlink w:anchor="Top" w:history="1">
        <w:r w:rsidR="00175F7A" w:rsidRPr="00CA61A6">
          <w:rPr>
            <w:rStyle w:val="Hyperlink"/>
          </w:rPr>
          <w:t>» Arriba</w:t>
        </w:r>
      </w:hyperlink>
    </w:p>
    <w:p w:rsidR="0062564D" w:rsidRPr="00CA61A6" w:rsidRDefault="00A8492B" w:rsidP="008C3767">
      <w:pPr>
        <w:pStyle w:val="Heading1"/>
      </w:pPr>
      <w:bookmarkStart w:id="320" w:name="_19_Resolución_47"/>
      <w:bookmarkStart w:id="321" w:name="_Toc463335770"/>
      <w:bookmarkEnd w:id="320"/>
      <w:r w:rsidRPr="00CA61A6">
        <w:lastRenderedPageBreak/>
        <w:t>19</w:t>
      </w:r>
      <w:r w:rsidRPr="00CA61A6">
        <w:tab/>
      </w:r>
      <w:r w:rsidR="0062564D" w:rsidRPr="00CA61A6">
        <w:t>Resolución 47 – Nombres de dominio de nivel superior de código de país</w:t>
      </w:r>
      <w:bookmarkEnd w:id="321"/>
    </w:p>
    <w:p w:rsidR="0062564D" w:rsidRPr="00CA61A6" w:rsidRDefault="0062564D" w:rsidP="002C64FF">
      <w:pPr>
        <w:pStyle w:val="Headingb"/>
      </w:pPr>
      <w:r w:rsidRPr="00CA61A6">
        <w:t>Resolución 47</w:t>
      </w:r>
    </w:p>
    <w:p w:rsidR="0062564D" w:rsidRPr="00CA61A6" w:rsidRDefault="0062564D" w:rsidP="007B3478">
      <w:pPr>
        <w:pStyle w:val="Call"/>
      </w:pPr>
      <w:r w:rsidRPr="00CA61A6">
        <w:t>encarga a la Comisión de Estudio 2 del UIT</w:t>
      </w:r>
      <w:r w:rsidRPr="00CA61A6">
        <w:noBreakHyphen/>
        <w:t>T</w:t>
      </w:r>
    </w:p>
    <w:p w:rsidR="0062564D" w:rsidRPr="00CA61A6" w:rsidRDefault="0062564D" w:rsidP="007B3478">
      <w:r w:rsidRPr="00CA61A6">
        <w:t>que prosiga sus estudios, y colabore con los Estados Miembros y los Miembros de Sector, en sus papeles respectivos, reconociendo las actividades de otras entidades adecuadas, a fin de examinar las experiencias de los Estados Miembros en el ámbito los ccTLD,</w:t>
      </w:r>
    </w:p>
    <w:p w:rsidR="0062564D" w:rsidRPr="00CA61A6" w:rsidRDefault="0062564D" w:rsidP="007B3478">
      <w:pPr>
        <w:pStyle w:val="Call"/>
      </w:pPr>
      <w:r w:rsidRPr="00CA61A6">
        <w:t>encarga al Director de la Oficina de Normalización de las Telecomunicaciones</w:t>
      </w:r>
    </w:p>
    <w:p w:rsidR="0062564D" w:rsidRPr="00CA61A6" w:rsidRDefault="0062564D" w:rsidP="007B3478">
      <w:pPr>
        <w:keepNext/>
        <w:keepLines/>
      </w:pPr>
      <w:r w:rsidRPr="00CA61A6">
        <w:t>que tome las medidas adecuadas para facilitar lo que antecede y presente un informe anual al Consejo de la UIT sobre los progresos logrados en este ámbito,</w:t>
      </w:r>
    </w:p>
    <w:p w:rsidR="0062564D" w:rsidRPr="00CA61A6" w:rsidRDefault="0062564D" w:rsidP="007B3478">
      <w:pPr>
        <w:pStyle w:val="Call"/>
      </w:pPr>
      <w:r w:rsidRPr="00CA61A6">
        <w:t>invita a los Estados Miembros</w:t>
      </w:r>
    </w:p>
    <w:p w:rsidR="0062564D" w:rsidRPr="00CA61A6" w:rsidRDefault="0062564D" w:rsidP="007B3478">
      <w:r w:rsidRPr="00CA61A6">
        <w:t>a aportar su contribución a estas actividades,</w:t>
      </w:r>
    </w:p>
    <w:p w:rsidR="0062564D" w:rsidRPr="00CA61A6" w:rsidRDefault="0062564D" w:rsidP="007B3478">
      <w:pPr>
        <w:pStyle w:val="Call"/>
      </w:pPr>
      <w:r w:rsidRPr="00CA61A6">
        <w:t>invita asimismo a los Estados Miembros</w:t>
      </w:r>
    </w:p>
    <w:p w:rsidR="0062564D" w:rsidRPr="00CA61A6" w:rsidRDefault="0062564D" w:rsidP="002B463D">
      <w:pPr>
        <w:spacing w:after="120"/>
      </w:pPr>
      <w:r w:rsidRPr="00CA61A6">
        <w:t>a tomar las medidas adecuadas, con sujeción a sus marcos jurídicos nacionales, para garantizar que se resuelven las cuestiones relacionadas con la delegación de Nombres de dominio de nivel superior de código de país.</w:t>
      </w:r>
    </w:p>
    <w:tbl>
      <w:tblPr>
        <w:tblW w:w="9832" w:type="dxa"/>
        <w:tblInd w:w="-13" w:type="dxa"/>
        <w:tblLayout w:type="fixed"/>
        <w:tblLook w:val="04A0" w:firstRow="1" w:lastRow="0" w:firstColumn="1" w:lastColumn="0" w:noHBand="0" w:noVBand="1"/>
      </w:tblPr>
      <w:tblGrid>
        <w:gridCol w:w="1114"/>
        <w:gridCol w:w="4394"/>
        <w:gridCol w:w="1701"/>
        <w:gridCol w:w="1227"/>
        <w:gridCol w:w="1396"/>
      </w:tblGrid>
      <w:tr w:rsidR="0062564D" w:rsidRPr="00CA61A6" w:rsidTr="00450BDD">
        <w:trPr>
          <w:trHeight w:val="647"/>
          <w:tblHeader/>
        </w:trPr>
        <w:tc>
          <w:tcPr>
            <w:tcW w:w="1114" w:type="dxa"/>
            <w:tcBorders>
              <w:top w:val="single" w:sz="4" w:space="0" w:color="auto"/>
              <w:left w:val="single" w:sz="4" w:space="0" w:color="auto"/>
              <w:bottom w:val="double" w:sz="6" w:space="0" w:color="auto"/>
              <w:right w:val="single" w:sz="4" w:space="0" w:color="auto"/>
            </w:tcBorders>
            <w:vAlign w:val="center"/>
          </w:tcPr>
          <w:p w:rsidR="0062564D" w:rsidRPr="00CA61A6" w:rsidRDefault="00C45FC6" w:rsidP="00C45FC6">
            <w:pPr>
              <w:pStyle w:val="Tablehead"/>
            </w:pPr>
            <w:r w:rsidRPr="00CA61A6">
              <w:t>Número</w:t>
            </w:r>
          </w:p>
        </w:tc>
        <w:tc>
          <w:tcPr>
            <w:tcW w:w="4394" w:type="dxa"/>
            <w:tcBorders>
              <w:top w:val="single" w:sz="4" w:space="0" w:color="auto"/>
              <w:left w:val="single" w:sz="4" w:space="0" w:color="auto"/>
              <w:bottom w:val="double" w:sz="6" w:space="0" w:color="auto"/>
              <w:right w:val="single" w:sz="4" w:space="0" w:color="auto"/>
            </w:tcBorders>
            <w:shd w:val="clear" w:color="auto" w:fill="auto"/>
            <w:vAlign w:val="center"/>
            <w:hideMark/>
          </w:tcPr>
          <w:p w:rsidR="0062564D" w:rsidRPr="00CA61A6" w:rsidRDefault="0062564D" w:rsidP="00C45FC6">
            <w:pPr>
              <w:pStyle w:val="Tablehead"/>
            </w:pPr>
            <w:r w:rsidRPr="00CA61A6">
              <w:t>Acción</w:t>
            </w:r>
          </w:p>
        </w:tc>
        <w:tc>
          <w:tcPr>
            <w:tcW w:w="1701" w:type="dxa"/>
            <w:tcBorders>
              <w:top w:val="single" w:sz="4" w:space="0" w:color="auto"/>
              <w:left w:val="nil"/>
              <w:bottom w:val="double" w:sz="6" w:space="0" w:color="auto"/>
              <w:right w:val="single" w:sz="4" w:space="0" w:color="auto"/>
            </w:tcBorders>
            <w:shd w:val="clear" w:color="auto" w:fill="auto"/>
            <w:vAlign w:val="center"/>
            <w:hideMark/>
          </w:tcPr>
          <w:p w:rsidR="0062564D" w:rsidRPr="00CA61A6" w:rsidRDefault="0062564D" w:rsidP="00C45FC6">
            <w:pPr>
              <w:pStyle w:val="Tablehead"/>
            </w:pPr>
            <w:r w:rsidRPr="00CA61A6">
              <w:t>Fecha objetivo</w:t>
            </w:r>
          </w:p>
        </w:tc>
        <w:tc>
          <w:tcPr>
            <w:tcW w:w="1227" w:type="dxa"/>
            <w:tcBorders>
              <w:top w:val="single" w:sz="4" w:space="0" w:color="auto"/>
              <w:left w:val="nil"/>
              <w:bottom w:val="double" w:sz="6" w:space="0" w:color="auto"/>
              <w:right w:val="single" w:sz="4" w:space="0" w:color="auto"/>
            </w:tcBorders>
            <w:vAlign w:val="center"/>
          </w:tcPr>
          <w:p w:rsidR="0062564D" w:rsidRPr="00CA61A6" w:rsidRDefault="0062564D" w:rsidP="00C45FC6">
            <w:pPr>
              <w:pStyle w:val="Tablehead"/>
            </w:pPr>
            <w:r w:rsidRPr="00CA61A6">
              <w:t>Objetivos periódicos cumplidos</w:t>
            </w:r>
          </w:p>
        </w:tc>
        <w:tc>
          <w:tcPr>
            <w:tcW w:w="1396" w:type="dxa"/>
            <w:tcBorders>
              <w:top w:val="single" w:sz="4" w:space="0" w:color="auto"/>
              <w:left w:val="single" w:sz="4" w:space="0" w:color="auto"/>
              <w:bottom w:val="double" w:sz="6" w:space="0" w:color="auto"/>
              <w:right w:val="single" w:sz="4" w:space="0" w:color="auto"/>
            </w:tcBorders>
            <w:vAlign w:val="center"/>
          </w:tcPr>
          <w:p w:rsidR="0062564D" w:rsidRPr="00CA61A6" w:rsidRDefault="0062564D" w:rsidP="00C45FC6">
            <w:pPr>
              <w:pStyle w:val="Tablehead"/>
            </w:pPr>
            <w:r w:rsidRPr="00CA61A6">
              <w:t>Completada</w:t>
            </w:r>
          </w:p>
        </w:tc>
      </w:tr>
      <w:tr w:rsidR="0062564D" w:rsidRPr="00CA61A6" w:rsidTr="006E08FB">
        <w:trPr>
          <w:trHeight w:val="620"/>
        </w:trPr>
        <w:tc>
          <w:tcPr>
            <w:tcW w:w="1114" w:type="dxa"/>
            <w:tcBorders>
              <w:top w:val="double" w:sz="6" w:space="0" w:color="auto"/>
              <w:left w:val="single" w:sz="4" w:space="0" w:color="auto"/>
              <w:bottom w:val="single" w:sz="4" w:space="0" w:color="auto"/>
              <w:right w:val="single" w:sz="4" w:space="0" w:color="auto"/>
            </w:tcBorders>
            <w:vAlign w:val="center"/>
          </w:tcPr>
          <w:p w:rsidR="0062564D" w:rsidRPr="00CA61A6" w:rsidRDefault="00110CAD" w:rsidP="007B3478">
            <w:pPr>
              <w:pStyle w:val="Tabletext"/>
              <w:jc w:val="center"/>
            </w:pPr>
            <w:hyperlink w:anchor="Item47_01" w:history="1">
              <w:r w:rsidR="0062564D" w:rsidRPr="00CA61A6">
                <w:rPr>
                  <w:rStyle w:val="Hyperlink"/>
                </w:rPr>
                <w:t>47-01</w:t>
              </w:r>
            </w:hyperlink>
          </w:p>
        </w:tc>
        <w:tc>
          <w:tcPr>
            <w:tcW w:w="4394" w:type="dxa"/>
            <w:tcBorders>
              <w:top w:val="double" w:sz="6" w:space="0" w:color="auto"/>
              <w:left w:val="single" w:sz="4" w:space="0" w:color="auto"/>
              <w:bottom w:val="single" w:sz="4" w:space="0" w:color="auto"/>
              <w:right w:val="single" w:sz="4" w:space="0" w:color="auto"/>
            </w:tcBorders>
            <w:shd w:val="clear" w:color="auto" w:fill="auto"/>
            <w:vAlign w:val="center"/>
            <w:hideMark/>
          </w:tcPr>
          <w:p w:rsidR="0062564D" w:rsidRPr="00CA61A6" w:rsidRDefault="0062564D" w:rsidP="007B3478">
            <w:pPr>
              <w:pStyle w:val="Tabletext"/>
            </w:pPr>
            <w:r w:rsidRPr="00CA61A6">
              <w:t>La CE 2 examinará y estudiará las contribuciones relativas a las experiencias de los Estados Miembros en el ámbito de los ccTLD</w:t>
            </w:r>
          </w:p>
        </w:tc>
        <w:tc>
          <w:tcPr>
            <w:tcW w:w="1701" w:type="dxa"/>
            <w:tcBorders>
              <w:top w:val="double" w:sz="6" w:space="0" w:color="auto"/>
              <w:left w:val="nil"/>
              <w:bottom w:val="single" w:sz="4" w:space="0" w:color="auto"/>
              <w:right w:val="single" w:sz="4" w:space="0" w:color="auto"/>
            </w:tcBorders>
            <w:shd w:val="clear" w:color="auto" w:fill="auto"/>
            <w:vAlign w:val="center"/>
            <w:hideMark/>
          </w:tcPr>
          <w:p w:rsidR="0062564D" w:rsidRPr="00CA61A6" w:rsidRDefault="0062564D" w:rsidP="007B3478">
            <w:pPr>
              <w:pStyle w:val="Tabletext"/>
              <w:jc w:val="center"/>
            </w:pPr>
            <w:r w:rsidRPr="00CA61A6">
              <w:t>En curso</w:t>
            </w:r>
          </w:p>
        </w:tc>
        <w:tc>
          <w:tcPr>
            <w:tcW w:w="1227" w:type="dxa"/>
            <w:tcBorders>
              <w:top w:val="double" w:sz="6" w:space="0" w:color="auto"/>
              <w:left w:val="nil"/>
              <w:bottom w:val="single" w:sz="4" w:space="0" w:color="auto"/>
              <w:right w:val="single" w:sz="4" w:space="0" w:color="auto"/>
            </w:tcBorders>
            <w:vAlign w:val="center"/>
          </w:tcPr>
          <w:p w:rsidR="0062564D" w:rsidRPr="00CA61A6" w:rsidRDefault="00565CD5" w:rsidP="007B3478">
            <w:pPr>
              <w:pStyle w:val="Tabletext"/>
              <w:jc w:val="center"/>
            </w:pPr>
            <w:r w:rsidRPr="00CA61A6">
              <w:t>×</w:t>
            </w:r>
          </w:p>
        </w:tc>
        <w:tc>
          <w:tcPr>
            <w:tcW w:w="1396" w:type="dxa"/>
            <w:tcBorders>
              <w:top w:val="double" w:sz="6" w:space="0" w:color="auto"/>
              <w:left w:val="single" w:sz="4" w:space="0" w:color="auto"/>
              <w:bottom w:val="single" w:sz="4" w:space="0" w:color="auto"/>
              <w:right w:val="single" w:sz="4" w:space="0" w:color="auto"/>
            </w:tcBorders>
            <w:vAlign w:val="center"/>
          </w:tcPr>
          <w:p w:rsidR="0062564D" w:rsidRPr="00CA61A6" w:rsidRDefault="0062564D" w:rsidP="007B3478">
            <w:pPr>
              <w:pStyle w:val="Tabletext"/>
              <w:jc w:val="center"/>
            </w:pPr>
          </w:p>
        </w:tc>
      </w:tr>
      <w:tr w:rsidR="0062564D" w:rsidRPr="00CA61A6" w:rsidTr="006E08FB">
        <w:trPr>
          <w:trHeight w:val="618"/>
        </w:trPr>
        <w:tc>
          <w:tcPr>
            <w:tcW w:w="1114" w:type="dxa"/>
            <w:tcBorders>
              <w:top w:val="nil"/>
              <w:left w:val="single" w:sz="4" w:space="0" w:color="auto"/>
              <w:bottom w:val="single" w:sz="4" w:space="0" w:color="auto"/>
              <w:right w:val="single" w:sz="4" w:space="0" w:color="auto"/>
            </w:tcBorders>
            <w:vAlign w:val="center"/>
          </w:tcPr>
          <w:p w:rsidR="0062564D" w:rsidRPr="00CA61A6" w:rsidRDefault="00110CAD" w:rsidP="007B3478">
            <w:pPr>
              <w:pStyle w:val="Tabletext"/>
              <w:jc w:val="center"/>
            </w:pPr>
            <w:hyperlink w:anchor="Item47_02" w:history="1">
              <w:r w:rsidR="0062564D" w:rsidRPr="00CA61A6">
                <w:rPr>
                  <w:rStyle w:val="Hyperlink"/>
                </w:rPr>
                <w:t>47-02</w:t>
              </w:r>
            </w:hyperlink>
          </w:p>
        </w:tc>
        <w:tc>
          <w:tcPr>
            <w:tcW w:w="4394" w:type="dxa"/>
            <w:tcBorders>
              <w:top w:val="nil"/>
              <w:left w:val="single" w:sz="4" w:space="0" w:color="auto"/>
              <w:bottom w:val="single" w:sz="4" w:space="0" w:color="auto"/>
              <w:right w:val="single" w:sz="4" w:space="0" w:color="auto"/>
            </w:tcBorders>
            <w:shd w:val="clear" w:color="auto" w:fill="auto"/>
            <w:vAlign w:val="center"/>
            <w:hideMark/>
          </w:tcPr>
          <w:p w:rsidR="0062564D" w:rsidRPr="00CA61A6" w:rsidRDefault="0062564D" w:rsidP="007B3478">
            <w:pPr>
              <w:pStyle w:val="Tabletext"/>
            </w:pPr>
            <w:r w:rsidRPr="00CA61A6">
              <w:t>El Director rendirá al Consejo un Informe anual sobre los progresos logrados en el ámbito de los ccTLD</w:t>
            </w:r>
          </w:p>
        </w:tc>
        <w:tc>
          <w:tcPr>
            <w:tcW w:w="1701" w:type="dxa"/>
            <w:tcBorders>
              <w:top w:val="nil"/>
              <w:left w:val="nil"/>
              <w:bottom w:val="single" w:sz="4" w:space="0" w:color="auto"/>
              <w:right w:val="single" w:sz="4" w:space="0" w:color="auto"/>
            </w:tcBorders>
            <w:shd w:val="clear" w:color="auto" w:fill="auto"/>
            <w:vAlign w:val="center"/>
            <w:hideMark/>
          </w:tcPr>
          <w:p w:rsidR="0062564D" w:rsidRPr="00CA61A6" w:rsidRDefault="0062564D" w:rsidP="007B3478">
            <w:pPr>
              <w:pStyle w:val="Tabletext"/>
              <w:ind w:left="-57" w:right="-57"/>
              <w:jc w:val="center"/>
            </w:pPr>
            <w:r w:rsidRPr="00CA61A6">
              <w:t>En curso, 3 meses antes de la reunión del Consejo</w:t>
            </w:r>
          </w:p>
        </w:tc>
        <w:tc>
          <w:tcPr>
            <w:tcW w:w="1227" w:type="dxa"/>
            <w:tcBorders>
              <w:top w:val="nil"/>
              <w:left w:val="nil"/>
              <w:bottom w:val="single" w:sz="4" w:space="0" w:color="auto"/>
              <w:right w:val="single" w:sz="4" w:space="0" w:color="auto"/>
            </w:tcBorders>
            <w:vAlign w:val="center"/>
          </w:tcPr>
          <w:p w:rsidR="0062564D" w:rsidRPr="00CA61A6" w:rsidRDefault="0062564D" w:rsidP="007B3478">
            <w:pPr>
              <w:pStyle w:val="Tabletext"/>
              <w:jc w:val="center"/>
            </w:pPr>
            <w:r w:rsidRPr="00CA61A6">
              <w:sym w:font="Wingdings" w:char="F0FC"/>
            </w:r>
          </w:p>
        </w:tc>
        <w:tc>
          <w:tcPr>
            <w:tcW w:w="1396" w:type="dxa"/>
            <w:tcBorders>
              <w:top w:val="nil"/>
              <w:left w:val="single" w:sz="4" w:space="0" w:color="auto"/>
              <w:bottom w:val="single" w:sz="4" w:space="0" w:color="auto"/>
              <w:right w:val="single" w:sz="4" w:space="0" w:color="auto"/>
            </w:tcBorders>
            <w:vAlign w:val="center"/>
          </w:tcPr>
          <w:p w:rsidR="0062564D" w:rsidRPr="00CA61A6" w:rsidRDefault="0062564D" w:rsidP="007B3478">
            <w:pPr>
              <w:pStyle w:val="Tabletext"/>
              <w:jc w:val="center"/>
            </w:pPr>
          </w:p>
        </w:tc>
      </w:tr>
    </w:tbl>
    <w:p w:rsidR="0062564D" w:rsidRPr="00CA61A6" w:rsidRDefault="00E04BDB" w:rsidP="007816FE">
      <w:pPr>
        <w:pStyle w:val="Headingb"/>
      </w:pPr>
      <w:bookmarkStart w:id="322" w:name="Item47_01"/>
      <w:r w:rsidRPr="00CA61A6">
        <w:t xml:space="preserve">Acción </w:t>
      </w:r>
      <w:r w:rsidR="0062564D" w:rsidRPr="00CA61A6">
        <w:t>47-01: CE</w:t>
      </w:r>
      <w:r w:rsidR="007816FE" w:rsidRPr="00CA61A6">
        <w:t> </w:t>
      </w:r>
      <w:r w:rsidR="0062564D" w:rsidRPr="00CA61A6">
        <w:t>2</w:t>
      </w:r>
    </w:p>
    <w:p w:rsidR="0062564D" w:rsidRPr="00CA61A6" w:rsidRDefault="0062564D" w:rsidP="007B3478">
      <w:pPr>
        <w:rPr>
          <w:szCs w:val="24"/>
          <w:lang w:eastAsia="ja-JP"/>
        </w:rPr>
      </w:pPr>
      <w:bookmarkStart w:id="323" w:name="lt_pId629"/>
      <w:bookmarkEnd w:id="322"/>
      <w:r w:rsidRPr="00CA61A6">
        <w:rPr>
          <w:szCs w:val="24"/>
          <w:lang w:eastAsia="ja-JP"/>
        </w:rPr>
        <w:t>No hubo actividad de la CE</w:t>
      </w:r>
      <w:r w:rsidR="00A31230" w:rsidRPr="00CA61A6">
        <w:rPr>
          <w:szCs w:val="24"/>
          <w:lang w:eastAsia="ja-JP"/>
        </w:rPr>
        <w:t> </w:t>
      </w:r>
      <w:r w:rsidRPr="00CA61A6">
        <w:rPr>
          <w:szCs w:val="24"/>
          <w:lang w:eastAsia="ja-JP"/>
        </w:rPr>
        <w:t>2 del UIT-T en este periodo de estudios por falta de contribuciones.</w:t>
      </w:r>
      <w:bookmarkEnd w:id="323"/>
    </w:p>
    <w:p w:rsidR="0062564D" w:rsidRPr="00CA61A6" w:rsidRDefault="00E04BDB" w:rsidP="007816FE">
      <w:pPr>
        <w:pStyle w:val="Headingb"/>
      </w:pPr>
      <w:bookmarkStart w:id="324" w:name="Item47_02"/>
      <w:r w:rsidRPr="00CA61A6">
        <w:t xml:space="preserve">Acción </w:t>
      </w:r>
      <w:r w:rsidR="0062564D" w:rsidRPr="00CA61A6">
        <w:t>47-02: TSB</w:t>
      </w:r>
    </w:p>
    <w:p w:rsidR="0062564D" w:rsidRPr="00CA61A6" w:rsidRDefault="0062564D" w:rsidP="007B3478">
      <w:pPr>
        <w:rPr>
          <w:szCs w:val="24"/>
          <w:lang w:eastAsia="ja-JP"/>
        </w:rPr>
      </w:pPr>
      <w:bookmarkStart w:id="325" w:name="lt_pId631"/>
      <w:bookmarkEnd w:id="324"/>
      <w:r w:rsidRPr="00CA61A6">
        <w:rPr>
          <w:szCs w:val="24"/>
          <w:lang w:eastAsia="ja-JP"/>
        </w:rPr>
        <w:t>El Director de la TSB informa anualmente al Consejo sobre las "Actividades de la UIT en el ámbito de Internet: Resoluciones 101, 102 y 133" que incluye actualizaciones sobre ccTLD, en su caso.</w:t>
      </w:r>
      <w:bookmarkEnd w:id="325"/>
    </w:p>
    <w:p w:rsidR="00521FD6" w:rsidRPr="00CA61A6" w:rsidRDefault="00110CAD" w:rsidP="00521FD6">
      <w:hyperlink w:anchor="Top" w:history="1">
        <w:r w:rsidR="00521FD6" w:rsidRPr="00CA61A6">
          <w:rPr>
            <w:rStyle w:val="Hyperlink"/>
          </w:rPr>
          <w:t>» Arriba</w:t>
        </w:r>
      </w:hyperlink>
    </w:p>
    <w:p w:rsidR="0062564D" w:rsidRPr="00CA61A6" w:rsidRDefault="000E6419" w:rsidP="000E6419">
      <w:pPr>
        <w:pStyle w:val="Heading1"/>
      </w:pPr>
      <w:bookmarkStart w:id="326" w:name="_20_Resolución_48"/>
      <w:bookmarkStart w:id="327" w:name="_Toc463335771"/>
      <w:bookmarkEnd w:id="326"/>
      <w:r w:rsidRPr="00CA61A6">
        <w:t>20</w:t>
      </w:r>
      <w:r w:rsidRPr="00CA61A6">
        <w:tab/>
      </w:r>
      <w:r w:rsidR="0062564D" w:rsidRPr="00CA61A6">
        <w:t>Resolución 48 – Nombres de</w:t>
      </w:r>
      <w:r w:rsidR="00414FDC" w:rsidRPr="00CA61A6">
        <w:t xml:space="preserve"> dominio internacionalizados (y </w:t>
      </w:r>
      <w:r w:rsidR="0062564D" w:rsidRPr="00CA61A6">
        <w:t>multilingües)</w:t>
      </w:r>
      <w:bookmarkEnd w:id="327"/>
    </w:p>
    <w:p w:rsidR="0062564D" w:rsidRPr="00CA61A6" w:rsidRDefault="0062564D" w:rsidP="000E36D0">
      <w:pPr>
        <w:pStyle w:val="Headingb"/>
      </w:pPr>
      <w:r w:rsidRPr="00CA61A6">
        <w:t>Resolución 48</w:t>
      </w:r>
    </w:p>
    <w:p w:rsidR="0062564D" w:rsidRPr="00CA61A6" w:rsidRDefault="0062564D" w:rsidP="007B3478">
      <w:pPr>
        <w:pStyle w:val="Call"/>
        <w:spacing w:before="120"/>
      </w:pPr>
      <w:r w:rsidRPr="00CA61A6">
        <w:t>resuelve encargar a la Comisión de Estudio 16 del UIT</w:t>
      </w:r>
      <w:r w:rsidRPr="00CA61A6">
        <w:noBreakHyphen/>
        <w:t>T y a las demás Comisiones de Estudio pertinentes</w:t>
      </w:r>
    </w:p>
    <w:p w:rsidR="0062564D" w:rsidRPr="00CA61A6" w:rsidRDefault="0062564D" w:rsidP="007B3478">
      <w:pPr>
        <w:spacing w:before="80"/>
      </w:pPr>
      <w:r w:rsidRPr="00CA61A6">
        <w:t>que continúen estudiando los nombres de dominio internacionalizados (multilingües), y que continúe la coordinación y cooperación en este ámbito con las entidades apropiadas, ya sean intergubernamentales o no gubernamentales,</w:t>
      </w:r>
    </w:p>
    <w:p w:rsidR="0062564D" w:rsidRPr="00CA61A6" w:rsidRDefault="0062564D" w:rsidP="007B3478">
      <w:pPr>
        <w:pStyle w:val="Call"/>
        <w:spacing w:before="120"/>
      </w:pPr>
      <w:r w:rsidRPr="00CA61A6">
        <w:lastRenderedPageBreak/>
        <w:t>encarga al Director de la Oficina de Normalización de las Telecomunicaciones</w:t>
      </w:r>
    </w:p>
    <w:p w:rsidR="0062564D" w:rsidRPr="00CA61A6" w:rsidRDefault="0062564D" w:rsidP="007B3478">
      <w:pPr>
        <w:spacing w:before="80"/>
      </w:pPr>
      <w:r w:rsidRPr="00CA61A6">
        <w:t>que tome las medidas adecuadas para facilitar lo que antecede y presente un informe anual al Consejo sobre los progresos logrados en este ámbito,</w:t>
      </w:r>
    </w:p>
    <w:p w:rsidR="0062564D" w:rsidRPr="00CA61A6" w:rsidRDefault="0062564D" w:rsidP="007B3478">
      <w:pPr>
        <w:pStyle w:val="Call"/>
        <w:spacing w:before="120"/>
      </w:pPr>
      <w:r w:rsidRPr="00CA61A6">
        <w:t>invita a los Estados Miembros, Miembros de Sector y grupos regionales interesados</w:t>
      </w:r>
    </w:p>
    <w:p w:rsidR="0062564D" w:rsidRPr="00CA61A6" w:rsidRDefault="0062564D" w:rsidP="007B3478">
      <w:pPr>
        <w:spacing w:after="120"/>
      </w:pPr>
      <w:r w:rsidRPr="00CA61A6">
        <w:t>a aportar su contribución a estas actividades.</w:t>
      </w:r>
    </w:p>
    <w:tbl>
      <w:tblPr>
        <w:tblW w:w="9832" w:type="dxa"/>
        <w:tblInd w:w="-13" w:type="dxa"/>
        <w:tblLook w:val="04A0" w:firstRow="1" w:lastRow="0" w:firstColumn="1" w:lastColumn="0" w:noHBand="0" w:noVBand="1"/>
      </w:tblPr>
      <w:tblGrid>
        <w:gridCol w:w="986"/>
        <w:gridCol w:w="4809"/>
        <w:gridCol w:w="1490"/>
        <w:gridCol w:w="1182"/>
        <w:gridCol w:w="1365"/>
      </w:tblGrid>
      <w:tr w:rsidR="0062564D" w:rsidRPr="00CA61A6" w:rsidTr="00450BDD">
        <w:trPr>
          <w:trHeight w:val="647"/>
          <w:tblHeader/>
        </w:trPr>
        <w:tc>
          <w:tcPr>
            <w:tcW w:w="986" w:type="dxa"/>
            <w:tcBorders>
              <w:top w:val="single" w:sz="4" w:space="0" w:color="auto"/>
              <w:left w:val="single" w:sz="4" w:space="0" w:color="auto"/>
              <w:bottom w:val="double" w:sz="6" w:space="0" w:color="auto"/>
              <w:right w:val="single" w:sz="4" w:space="0" w:color="auto"/>
            </w:tcBorders>
            <w:vAlign w:val="center"/>
          </w:tcPr>
          <w:p w:rsidR="0062564D" w:rsidRPr="00CA61A6" w:rsidRDefault="00811D75" w:rsidP="00811D75">
            <w:pPr>
              <w:pStyle w:val="Tablehead"/>
            </w:pPr>
            <w:r w:rsidRPr="00CA61A6">
              <w:t>Número</w:t>
            </w:r>
          </w:p>
        </w:tc>
        <w:tc>
          <w:tcPr>
            <w:tcW w:w="4809" w:type="dxa"/>
            <w:tcBorders>
              <w:top w:val="single" w:sz="4" w:space="0" w:color="auto"/>
              <w:left w:val="single" w:sz="4" w:space="0" w:color="auto"/>
              <w:bottom w:val="double" w:sz="6" w:space="0" w:color="auto"/>
              <w:right w:val="single" w:sz="4" w:space="0" w:color="auto"/>
            </w:tcBorders>
            <w:shd w:val="clear" w:color="auto" w:fill="auto"/>
            <w:vAlign w:val="center"/>
            <w:hideMark/>
          </w:tcPr>
          <w:p w:rsidR="0062564D" w:rsidRPr="00CA61A6" w:rsidRDefault="0062564D" w:rsidP="00811D75">
            <w:pPr>
              <w:pStyle w:val="Tablehead"/>
            </w:pPr>
            <w:r w:rsidRPr="00CA61A6">
              <w:t>Acción</w:t>
            </w:r>
          </w:p>
        </w:tc>
        <w:tc>
          <w:tcPr>
            <w:tcW w:w="1490" w:type="dxa"/>
            <w:tcBorders>
              <w:top w:val="single" w:sz="4" w:space="0" w:color="auto"/>
              <w:left w:val="nil"/>
              <w:bottom w:val="double" w:sz="6" w:space="0" w:color="auto"/>
              <w:right w:val="single" w:sz="4" w:space="0" w:color="auto"/>
            </w:tcBorders>
            <w:shd w:val="clear" w:color="auto" w:fill="auto"/>
            <w:vAlign w:val="center"/>
            <w:hideMark/>
          </w:tcPr>
          <w:p w:rsidR="0062564D" w:rsidRPr="00CA61A6" w:rsidRDefault="0062564D" w:rsidP="00811D75">
            <w:pPr>
              <w:pStyle w:val="Tablehead"/>
            </w:pPr>
            <w:r w:rsidRPr="00CA61A6">
              <w:t>Fecha objetivo</w:t>
            </w:r>
          </w:p>
        </w:tc>
        <w:tc>
          <w:tcPr>
            <w:tcW w:w="1182" w:type="dxa"/>
            <w:tcBorders>
              <w:top w:val="single" w:sz="4" w:space="0" w:color="auto"/>
              <w:left w:val="nil"/>
              <w:bottom w:val="double" w:sz="6" w:space="0" w:color="auto"/>
              <w:right w:val="single" w:sz="4" w:space="0" w:color="auto"/>
            </w:tcBorders>
            <w:vAlign w:val="center"/>
          </w:tcPr>
          <w:p w:rsidR="0062564D" w:rsidRPr="00CA61A6" w:rsidRDefault="0062564D" w:rsidP="00811D75">
            <w:pPr>
              <w:pStyle w:val="Tablehead"/>
            </w:pPr>
            <w:r w:rsidRPr="00CA61A6">
              <w:t>Objetivos periódicos cumplidos</w:t>
            </w:r>
          </w:p>
        </w:tc>
        <w:tc>
          <w:tcPr>
            <w:tcW w:w="1365" w:type="dxa"/>
            <w:tcBorders>
              <w:top w:val="single" w:sz="4" w:space="0" w:color="auto"/>
              <w:left w:val="single" w:sz="4" w:space="0" w:color="auto"/>
              <w:bottom w:val="double" w:sz="6" w:space="0" w:color="auto"/>
              <w:right w:val="single" w:sz="4" w:space="0" w:color="auto"/>
            </w:tcBorders>
            <w:vAlign w:val="center"/>
          </w:tcPr>
          <w:p w:rsidR="0062564D" w:rsidRPr="00CA61A6" w:rsidRDefault="0062564D" w:rsidP="00811D75">
            <w:pPr>
              <w:pStyle w:val="Tablehead"/>
            </w:pPr>
            <w:r w:rsidRPr="00CA61A6">
              <w:t>Completada</w:t>
            </w:r>
          </w:p>
        </w:tc>
      </w:tr>
      <w:tr w:rsidR="0062564D" w:rsidRPr="00CA61A6" w:rsidTr="009A4942">
        <w:trPr>
          <w:trHeight w:val="620"/>
        </w:trPr>
        <w:tc>
          <w:tcPr>
            <w:tcW w:w="986" w:type="dxa"/>
            <w:tcBorders>
              <w:top w:val="double" w:sz="6" w:space="0" w:color="auto"/>
              <w:left w:val="single" w:sz="4" w:space="0" w:color="auto"/>
              <w:bottom w:val="single" w:sz="4" w:space="0" w:color="auto"/>
              <w:right w:val="single" w:sz="4" w:space="0" w:color="auto"/>
            </w:tcBorders>
            <w:vAlign w:val="center"/>
          </w:tcPr>
          <w:p w:rsidR="0062564D" w:rsidRPr="00CA61A6" w:rsidRDefault="00110CAD" w:rsidP="007B3478">
            <w:pPr>
              <w:pStyle w:val="Tabletext"/>
              <w:jc w:val="center"/>
            </w:pPr>
            <w:hyperlink w:anchor="Item48_01" w:history="1">
              <w:r w:rsidR="0062564D" w:rsidRPr="00CA61A6">
                <w:rPr>
                  <w:rStyle w:val="Hyperlink"/>
                </w:rPr>
                <w:t>48-01</w:t>
              </w:r>
            </w:hyperlink>
          </w:p>
        </w:tc>
        <w:tc>
          <w:tcPr>
            <w:tcW w:w="4809" w:type="dxa"/>
            <w:tcBorders>
              <w:top w:val="double" w:sz="6" w:space="0" w:color="auto"/>
              <w:left w:val="single" w:sz="4" w:space="0" w:color="auto"/>
              <w:bottom w:val="single" w:sz="4" w:space="0" w:color="auto"/>
              <w:right w:val="single" w:sz="4" w:space="0" w:color="auto"/>
            </w:tcBorders>
            <w:shd w:val="clear" w:color="auto" w:fill="auto"/>
            <w:vAlign w:val="center"/>
            <w:hideMark/>
          </w:tcPr>
          <w:p w:rsidR="0062564D" w:rsidRPr="00CA61A6" w:rsidRDefault="0062564D" w:rsidP="007B3478">
            <w:pPr>
              <w:pStyle w:val="Tabletext"/>
            </w:pPr>
            <w:r w:rsidRPr="00CA61A6">
              <w:t>La CE</w:t>
            </w:r>
            <w:r w:rsidR="00E16148" w:rsidRPr="00CA61A6">
              <w:t> </w:t>
            </w:r>
            <w:r w:rsidRPr="00CA61A6">
              <w:t>16 y las demás CE pertinentes considerarán las contribuciones para estudiar los nombres de dominio internacionalizados (multilingües)</w:t>
            </w:r>
          </w:p>
        </w:tc>
        <w:tc>
          <w:tcPr>
            <w:tcW w:w="1490" w:type="dxa"/>
            <w:tcBorders>
              <w:top w:val="double" w:sz="6" w:space="0" w:color="auto"/>
              <w:left w:val="nil"/>
              <w:bottom w:val="single" w:sz="4" w:space="0" w:color="auto"/>
              <w:right w:val="single" w:sz="4" w:space="0" w:color="auto"/>
            </w:tcBorders>
            <w:shd w:val="clear" w:color="auto" w:fill="auto"/>
            <w:vAlign w:val="center"/>
            <w:hideMark/>
          </w:tcPr>
          <w:p w:rsidR="0062564D" w:rsidRPr="00CA61A6" w:rsidRDefault="0062564D" w:rsidP="007B3478">
            <w:pPr>
              <w:pStyle w:val="Tabletext"/>
              <w:jc w:val="center"/>
            </w:pPr>
            <w:r w:rsidRPr="00CA61A6">
              <w:t>En curso</w:t>
            </w:r>
          </w:p>
        </w:tc>
        <w:tc>
          <w:tcPr>
            <w:tcW w:w="1182" w:type="dxa"/>
            <w:tcBorders>
              <w:top w:val="double" w:sz="6" w:space="0" w:color="auto"/>
              <w:left w:val="nil"/>
              <w:bottom w:val="single" w:sz="4" w:space="0" w:color="auto"/>
              <w:right w:val="single" w:sz="4" w:space="0" w:color="auto"/>
            </w:tcBorders>
            <w:vAlign w:val="center"/>
          </w:tcPr>
          <w:p w:rsidR="0062564D" w:rsidRPr="00CA61A6" w:rsidRDefault="00565CD5" w:rsidP="007B3478">
            <w:pPr>
              <w:pStyle w:val="Tabletext"/>
              <w:jc w:val="center"/>
            </w:pPr>
            <w:r w:rsidRPr="00CA61A6">
              <w:t>×</w:t>
            </w:r>
          </w:p>
        </w:tc>
        <w:tc>
          <w:tcPr>
            <w:tcW w:w="1365" w:type="dxa"/>
            <w:tcBorders>
              <w:top w:val="double" w:sz="6" w:space="0" w:color="auto"/>
              <w:left w:val="single" w:sz="4" w:space="0" w:color="auto"/>
              <w:bottom w:val="single" w:sz="4" w:space="0" w:color="auto"/>
              <w:right w:val="single" w:sz="4" w:space="0" w:color="auto"/>
            </w:tcBorders>
            <w:vAlign w:val="center"/>
          </w:tcPr>
          <w:p w:rsidR="0062564D" w:rsidRPr="00CA61A6" w:rsidRDefault="0062564D" w:rsidP="007B3478">
            <w:pPr>
              <w:pStyle w:val="Tabletext"/>
              <w:jc w:val="center"/>
            </w:pPr>
            <w:bookmarkStart w:id="328" w:name="lt_pId650"/>
            <w:r w:rsidRPr="00CA61A6">
              <w:t xml:space="preserve">Véanse los comentarios </w:t>
            </w:r>
            <w:r w:rsidRPr="00D11A0C">
              <w:rPr>
                <w:i/>
                <w:iCs/>
              </w:rPr>
              <w:t>infra</w:t>
            </w:r>
            <w:r w:rsidRPr="00CA61A6">
              <w:t>.</w:t>
            </w:r>
            <w:bookmarkEnd w:id="328"/>
          </w:p>
        </w:tc>
      </w:tr>
      <w:tr w:rsidR="0062564D" w:rsidRPr="00CA61A6" w:rsidTr="009A4942">
        <w:trPr>
          <w:trHeight w:val="710"/>
        </w:trPr>
        <w:tc>
          <w:tcPr>
            <w:tcW w:w="986" w:type="dxa"/>
            <w:tcBorders>
              <w:top w:val="nil"/>
              <w:left w:val="single" w:sz="4" w:space="0" w:color="auto"/>
              <w:bottom w:val="single" w:sz="4" w:space="0" w:color="auto"/>
              <w:right w:val="single" w:sz="4" w:space="0" w:color="auto"/>
            </w:tcBorders>
            <w:vAlign w:val="center"/>
          </w:tcPr>
          <w:p w:rsidR="0062564D" w:rsidRPr="00CA61A6" w:rsidRDefault="00110CAD" w:rsidP="007B3478">
            <w:pPr>
              <w:pStyle w:val="Tabletext"/>
              <w:jc w:val="center"/>
            </w:pPr>
            <w:hyperlink w:anchor="Item48_02" w:history="1">
              <w:r w:rsidR="0062564D" w:rsidRPr="00CA61A6">
                <w:rPr>
                  <w:rStyle w:val="Hyperlink"/>
                </w:rPr>
                <w:t>48-02</w:t>
              </w:r>
            </w:hyperlink>
          </w:p>
        </w:tc>
        <w:tc>
          <w:tcPr>
            <w:tcW w:w="4809" w:type="dxa"/>
            <w:tcBorders>
              <w:top w:val="nil"/>
              <w:left w:val="single" w:sz="4" w:space="0" w:color="auto"/>
              <w:bottom w:val="single" w:sz="4" w:space="0" w:color="auto"/>
              <w:right w:val="single" w:sz="4" w:space="0" w:color="auto"/>
            </w:tcBorders>
            <w:shd w:val="clear" w:color="auto" w:fill="auto"/>
            <w:vAlign w:val="center"/>
            <w:hideMark/>
          </w:tcPr>
          <w:p w:rsidR="0062564D" w:rsidRPr="00CA61A6" w:rsidRDefault="0062564D" w:rsidP="007B3478">
            <w:pPr>
              <w:pStyle w:val="Tabletext"/>
            </w:pPr>
            <w:r w:rsidRPr="00CA61A6">
              <w:t>El Director presentará al Consejo un informe anual sobre los progresos realizados en el ámbito de los nombres de dominio internacionalizados (multilingües)</w:t>
            </w:r>
          </w:p>
        </w:tc>
        <w:tc>
          <w:tcPr>
            <w:tcW w:w="1490" w:type="dxa"/>
            <w:tcBorders>
              <w:top w:val="nil"/>
              <w:left w:val="nil"/>
              <w:bottom w:val="single" w:sz="4" w:space="0" w:color="auto"/>
              <w:right w:val="single" w:sz="4" w:space="0" w:color="auto"/>
            </w:tcBorders>
            <w:shd w:val="clear" w:color="auto" w:fill="auto"/>
            <w:vAlign w:val="center"/>
            <w:hideMark/>
          </w:tcPr>
          <w:p w:rsidR="0062564D" w:rsidRPr="00CA61A6" w:rsidRDefault="0062564D" w:rsidP="007B3478">
            <w:pPr>
              <w:pStyle w:val="Tabletext"/>
              <w:jc w:val="center"/>
            </w:pPr>
            <w:r w:rsidRPr="00CA61A6">
              <w:t>En curso, 3 meses antes de la reunión del Consejo</w:t>
            </w:r>
          </w:p>
        </w:tc>
        <w:tc>
          <w:tcPr>
            <w:tcW w:w="1182" w:type="dxa"/>
            <w:tcBorders>
              <w:top w:val="nil"/>
              <w:left w:val="nil"/>
              <w:bottom w:val="single" w:sz="4" w:space="0" w:color="auto"/>
              <w:right w:val="single" w:sz="4" w:space="0" w:color="auto"/>
            </w:tcBorders>
            <w:vAlign w:val="center"/>
          </w:tcPr>
          <w:p w:rsidR="0062564D" w:rsidRPr="00CA61A6" w:rsidRDefault="0062564D" w:rsidP="007B3478">
            <w:pPr>
              <w:pStyle w:val="Tabletext"/>
              <w:jc w:val="center"/>
            </w:pPr>
            <w:r w:rsidRPr="00CA61A6">
              <w:sym w:font="Wingdings" w:char="F0FC"/>
            </w:r>
          </w:p>
        </w:tc>
        <w:tc>
          <w:tcPr>
            <w:tcW w:w="1365" w:type="dxa"/>
            <w:tcBorders>
              <w:top w:val="nil"/>
              <w:left w:val="single" w:sz="4" w:space="0" w:color="auto"/>
              <w:bottom w:val="single" w:sz="4" w:space="0" w:color="auto"/>
              <w:right w:val="single" w:sz="4" w:space="0" w:color="auto"/>
            </w:tcBorders>
            <w:vAlign w:val="center"/>
          </w:tcPr>
          <w:p w:rsidR="0062564D" w:rsidRPr="00CA61A6" w:rsidRDefault="0062564D" w:rsidP="007B3478">
            <w:pPr>
              <w:pStyle w:val="Tabletext"/>
              <w:jc w:val="center"/>
            </w:pPr>
          </w:p>
        </w:tc>
      </w:tr>
    </w:tbl>
    <w:p w:rsidR="0062564D" w:rsidRPr="00CA61A6" w:rsidRDefault="00216762" w:rsidP="008B11B7">
      <w:pPr>
        <w:pStyle w:val="Headingb"/>
      </w:pPr>
      <w:bookmarkStart w:id="329" w:name="Item48_01"/>
      <w:r w:rsidRPr="00CA61A6">
        <w:t xml:space="preserve">Acción </w:t>
      </w:r>
      <w:r w:rsidR="0062564D" w:rsidRPr="00CA61A6">
        <w:t>48-01: CE</w:t>
      </w:r>
      <w:r w:rsidR="00182D3B" w:rsidRPr="00CA61A6">
        <w:t> </w:t>
      </w:r>
      <w:r w:rsidR="0062564D" w:rsidRPr="00CA61A6">
        <w:t>16</w:t>
      </w:r>
    </w:p>
    <w:p w:rsidR="0062564D" w:rsidRPr="00CA61A6" w:rsidRDefault="0062564D" w:rsidP="007B3478">
      <w:pPr>
        <w:rPr>
          <w:szCs w:val="24"/>
          <w:lang w:eastAsia="ja-JP"/>
        </w:rPr>
      </w:pPr>
      <w:bookmarkStart w:id="330" w:name="lt_pId656"/>
      <w:bookmarkEnd w:id="329"/>
      <w:r w:rsidRPr="00CA61A6">
        <w:rPr>
          <w:szCs w:val="24"/>
          <w:lang w:eastAsia="ja-JP"/>
        </w:rPr>
        <w:t>La CE</w:t>
      </w:r>
      <w:r w:rsidR="00E16148" w:rsidRPr="00CA61A6">
        <w:rPr>
          <w:szCs w:val="24"/>
          <w:lang w:eastAsia="ja-JP"/>
        </w:rPr>
        <w:t> </w:t>
      </w:r>
      <w:r w:rsidRPr="00CA61A6">
        <w:rPr>
          <w:szCs w:val="24"/>
          <w:lang w:eastAsia="ja-JP"/>
        </w:rPr>
        <w:t xml:space="preserve">16 del UIT-T sólo recibió una contribución en el anterior periodo de estudios, que dio lugar a un intercambio de </w:t>
      </w:r>
      <w:r w:rsidR="0092049F" w:rsidRPr="00CA61A6">
        <w:rPr>
          <w:szCs w:val="24"/>
          <w:lang w:eastAsia="ja-JP"/>
        </w:rPr>
        <w:t xml:space="preserve">Declaraciones </w:t>
      </w:r>
      <w:r w:rsidRPr="00CA61A6">
        <w:rPr>
          <w:szCs w:val="24"/>
          <w:lang w:eastAsia="ja-JP"/>
        </w:rPr>
        <w:t xml:space="preserve">de </w:t>
      </w:r>
      <w:r w:rsidR="0092049F" w:rsidRPr="00CA61A6">
        <w:rPr>
          <w:szCs w:val="24"/>
          <w:lang w:eastAsia="ja-JP"/>
        </w:rPr>
        <w:t xml:space="preserve">Coordinación </w:t>
      </w:r>
      <w:r w:rsidRPr="00CA61A6">
        <w:rPr>
          <w:szCs w:val="24"/>
          <w:lang w:eastAsia="ja-JP"/>
        </w:rPr>
        <w:t>con las organizaciones externas pertinentes.</w:t>
      </w:r>
      <w:bookmarkEnd w:id="330"/>
      <w:r w:rsidRPr="00CA61A6">
        <w:rPr>
          <w:szCs w:val="24"/>
          <w:lang w:eastAsia="ja-JP"/>
        </w:rPr>
        <w:t xml:space="preserve"> </w:t>
      </w:r>
      <w:bookmarkStart w:id="331" w:name="lt_pId657"/>
      <w:r w:rsidRPr="00CA61A6">
        <w:rPr>
          <w:szCs w:val="24"/>
          <w:lang w:eastAsia="ja-JP"/>
        </w:rPr>
        <w:t>La información recibida y la falta de actividad (incluso en el actual periodo de estudio</w:t>
      </w:r>
      <w:r w:rsidR="001479F3">
        <w:rPr>
          <w:szCs w:val="24"/>
          <w:lang w:eastAsia="ja-JP"/>
        </w:rPr>
        <w:t>s</w:t>
      </w:r>
      <w:r w:rsidRPr="00CA61A6">
        <w:rPr>
          <w:szCs w:val="24"/>
          <w:lang w:eastAsia="ja-JP"/>
        </w:rPr>
        <w:t>) sugieren que quizá los trabajos han concluido.</w:t>
      </w:r>
      <w:bookmarkEnd w:id="331"/>
    </w:p>
    <w:p w:rsidR="0062564D" w:rsidRPr="00CA61A6" w:rsidRDefault="00B6130E" w:rsidP="00B6130E">
      <w:pPr>
        <w:pStyle w:val="Headingb"/>
      </w:pPr>
      <w:bookmarkStart w:id="332" w:name="Item48_02"/>
      <w:bookmarkStart w:id="333" w:name="lt_pId658"/>
      <w:bookmarkEnd w:id="332"/>
      <w:r w:rsidRPr="00CA61A6">
        <w:t xml:space="preserve">Acción </w:t>
      </w:r>
      <w:r w:rsidR="0062564D" w:rsidRPr="00CA61A6">
        <w:t>48-02: TSB</w:t>
      </w:r>
      <w:bookmarkEnd w:id="333"/>
    </w:p>
    <w:p w:rsidR="0062564D" w:rsidRPr="00CA61A6" w:rsidRDefault="0062564D" w:rsidP="007B3478">
      <w:pPr>
        <w:rPr>
          <w:szCs w:val="24"/>
          <w:lang w:eastAsia="ja-JP"/>
        </w:rPr>
      </w:pPr>
      <w:bookmarkStart w:id="334" w:name="lt_pId659"/>
      <w:r w:rsidRPr="00CA61A6">
        <w:rPr>
          <w:szCs w:val="24"/>
          <w:lang w:eastAsia="ja-JP"/>
        </w:rPr>
        <w:t xml:space="preserve">El Director de la TSB informa anualmente al Consejo en el documento </w:t>
      </w:r>
      <w:r w:rsidR="00B26079" w:rsidRPr="00CA61A6">
        <w:rPr>
          <w:szCs w:val="24"/>
          <w:lang w:eastAsia="ja-JP"/>
        </w:rPr>
        <w:t>"</w:t>
      </w:r>
      <w:r w:rsidRPr="00CA61A6">
        <w:rPr>
          <w:szCs w:val="24"/>
          <w:lang w:eastAsia="ja-JP"/>
        </w:rPr>
        <w:t>Actividades sobre Internet en la UIT: Resoluciones 101, 102 y 133</w:t>
      </w:r>
      <w:r w:rsidR="00B26079" w:rsidRPr="00CA61A6">
        <w:rPr>
          <w:szCs w:val="24"/>
          <w:lang w:eastAsia="ja-JP"/>
        </w:rPr>
        <w:t>"</w:t>
      </w:r>
      <w:r w:rsidRPr="00CA61A6">
        <w:rPr>
          <w:szCs w:val="24"/>
          <w:lang w:eastAsia="ja-JP"/>
        </w:rPr>
        <w:t>, que incluye información actualizada sobre los nombre</w:t>
      </w:r>
      <w:r w:rsidR="001479F3">
        <w:rPr>
          <w:szCs w:val="24"/>
          <w:lang w:eastAsia="ja-JP"/>
        </w:rPr>
        <w:t>s</w:t>
      </w:r>
      <w:r w:rsidRPr="00CA61A6">
        <w:rPr>
          <w:szCs w:val="24"/>
          <w:lang w:eastAsia="ja-JP"/>
        </w:rPr>
        <w:t xml:space="preserve"> de dominio internacionalizados, en su caso.</w:t>
      </w:r>
      <w:bookmarkEnd w:id="334"/>
    </w:p>
    <w:p w:rsidR="003315E2" w:rsidRPr="00CA61A6" w:rsidRDefault="00110CAD" w:rsidP="003315E2">
      <w:hyperlink w:anchor="Top" w:history="1">
        <w:r w:rsidR="003315E2" w:rsidRPr="00CA61A6">
          <w:rPr>
            <w:rStyle w:val="Hyperlink"/>
          </w:rPr>
          <w:t>» Arriba</w:t>
        </w:r>
      </w:hyperlink>
    </w:p>
    <w:p w:rsidR="0062564D" w:rsidRPr="00CA61A6" w:rsidRDefault="00F155FB" w:rsidP="00F155FB">
      <w:pPr>
        <w:pStyle w:val="Heading1"/>
      </w:pPr>
      <w:bookmarkStart w:id="335" w:name="_21_Resolución_49"/>
      <w:bookmarkStart w:id="336" w:name="_Toc463335772"/>
      <w:bookmarkEnd w:id="335"/>
      <w:r w:rsidRPr="00CA61A6">
        <w:t>21</w:t>
      </w:r>
      <w:r w:rsidRPr="00CA61A6">
        <w:tab/>
      </w:r>
      <w:r w:rsidR="0062564D" w:rsidRPr="00CA61A6">
        <w:t xml:space="preserve">Resolución 49 </w:t>
      </w:r>
      <w:r w:rsidR="00E20A0F">
        <w:t>–</w:t>
      </w:r>
      <w:r w:rsidR="0062564D" w:rsidRPr="00CA61A6">
        <w:t xml:space="preserve"> ENUM</w:t>
      </w:r>
      <w:bookmarkEnd w:id="336"/>
    </w:p>
    <w:p w:rsidR="0062564D" w:rsidRPr="00CA61A6" w:rsidRDefault="0062564D" w:rsidP="000B1EC4">
      <w:pPr>
        <w:pStyle w:val="Headingb"/>
      </w:pPr>
      <w:r w:rsidRPr="00CA61A6">
        <w:t>Resolución 49</w:t>
      </w:r>
    </w:p>
    <w:p w:rsidR="0062564D" w:rsidRPr="00CA61A6" w:rsidRDefault="0062564D" w:rsidP="007B3478">
      <w:pPr>
        <w:pStyle w:val="Call"/>
      </w:pPr>
      <w:r w:rsidRPr="00CA61A6">
        <w:t>resuelve encargar a la Comisión de Estudio 2 del UIT-T</w:t>
      </w:r>
    </w:p>
    <w:p w:rsidR="0062564D" w:rsidRPr="00CA61A6" w:rsidRDefault="0062564D" w:rsidP="007B3478">
      <w:r w:rsidRPr="00CA61A6">
        <w:t>1</w:t>
      </w:r>
      <w:r w:rsidRPr="00CA61A6">
        <w:rPr>
          <w:i/>
          <w:iCs/>
        </w:rPr>
        <w:tab/>
      </w:r>
      <w:r w:rsidRPr="00CA61A6">
        <w:t>que estudie cómo podría la UIT ejercer el control administrativo sobre los cambios relacionados con los recursos internacionales de telecomunicación (los de denominación, numeración, direccionamiento y encaminamiento) utilizados por la ENUM;</w:t>
      </w:r>
    </w:p>
    <w:p w:rsidR="0062564D" w:rsidRPr="00CA61A6" w:rsidRDefault="0062564D" w:rsidP="007B3478">
      <w:r w:rsidRPr="00CA61A6">
        <w:t>2</w:t>
      </w:r>
      <w:r w:rsidRPr="00CA61A6">
        <w:rPr>
          <w:i/>
          <w:iCs/>
        </w:rPr>
        <w:tab/>
      </w:r>
      <w:r w:rsidRPr="00CA61A6">
        <w:t>que evalúe el actual procedimiento provisional para la delegación de ENUM e informe al respecto al Director de la Oficina de Normalización de las Telecomunicaciones,</w:t>
      </w:r>
    </w:p>
    <w:p w:rsidR="0062564D" w:rsidRPr="00CA61A6" w:rsidRDefault="0062564D" w:rsidP="007B3478">
      <w:pPr>
        <w:pStyle w:val="Call"/>
      </w:pPr>
      <w:r w:rsidRPr="00CA61A6">
        <w:t>encarga al Director de la Oficina de Normalización de las Telecomunicaciones</w:t>
      </w:r>
    </w:p>
    <w:p w:rsidR="0062564D" w:rsidRPr="00CA61A6" w:rsidRDefault="0062564D" w:rsidP="007B3478">
      <w:r w:rsidRPr="00CA61A6">
        <w:t>que tome las medidas adecuadas para facilitar lo que antecede y presente un informe anual al Consejo de la UIT sobre los progresos logrados en este ámbito,</w:t>
      </w:r>
    </w:p>
    <w:p w:rsidR="0062564D" w:rsidRPr="00CA61A6" w:rsidRDefault="0062564D" w:rsidP="007B3478">
      <w:pPr>
        <w:pStyle w:val="Call"/>
      </w:pPr>
      <w:r w:rsidRPr="00CA61A6">
        <w:t>invita a los Estados Miembros</w:t>
      </w:r>
    </w:p>
    <w:p w:rsidR="0062564D" w:rsidRPr="00CA61A6" w:rsidRDefault="0062564D" w:rsidP="007B3478">
      <w:r w:rsidRPr="00CA61A6">
        <w:t>a aportar su contribución a estas actividades,</w:t>
      </w:r>
    </w:p>
    <w:p w:rsidR="0062564D" w:rsidRPr="00CA61A6" w:rsidRDefault="0062564D" w:rsidP="007B3478">
      <w:pPr>
        <w:pStyle w:val="Call"/>
      </w:pPr>
      <w:r w:rsidRPr="00CA61A6">
        <w:lastRenderedPageBreak/>
        <w:t>invita asimismo a los Estados Miembros</w:t>
      </w:r>
    </w:p>
    <w:p w:rsidR="0062564D" w:rsidRPr="00CA61A6" w:rsidRDefault="0062564D" w:rsidP="00334CF0">
      <w:pPr>
        <w:spacing w:after="120"/>
      </w:pPr>
      <w:r w:rsidRPr="00CA61A6">
        <w:t>a tomar, en a sus marcos jurídicos nacionales, las medidas adecuadas para garantizar la debida aplicación de la presente Resolución.</w:t>
      </w:r>
    </w:p>
    <w:tbl>
      <w:tblPr>
        <w:tblW w:w="9832" w:type="dxa"/>
        <w:tblInd w:w="-13" w:type="dxa"/>
        <w:tblLook w:val="04A0" w:firstRow="1" w:lastRow="0" w:firstColumn="1" w:lastColumn="0" w:noHBand="0" w:noVBand="1"/>
      </w:tblPr>
      <w:tblGrid>
        <w:gridCol w:w="986"/>
        <w:gridCol w:w="4727"/>
        <w:gridCol w:w="1572"/>
        <w:gridCol w:w="1182"/>
        <w:gridCol w:w="1365"/>
      </w:tblGrid>
      <w:tr w:rsidR="0062564D" w:rsidRPr="00CA61A6" w:rsidTr="00450BDD">
        <w:trPr>
          <w:trHeight w:val="647"/>
          <w:tblHeader/>
        </w:trPr>
        <w:tc>
          <w:tcPr>
            <w:tcW w:w="986" w:type="dxa"/>
            <w:tcBorders>
              <w:top w:val="single" w:sz="4" w:space="0" w:color="auto"/>
              <w:left w:val="single" w:sz="4" w:space="0" w:color="auto"/>
              <w:bottom w:val="double" w:sz="6" w:space="0" w:color="auto"/>
              <w:right w:val="single" w:sz="4" w:space="0" w:color="auto"/>
            </w:tcBorders>
            <w:vAlign w:val="center"/>
          </w:tcPr>
          <w:p w:rsidR="0062564D" w:rsidRPr="00CA61A6" w:rsidRDefault="00761A40" w:rsidP="00C36994">
            <w:pPr>
              <w:pStyle w:val="Tablehead"/>
            </w:pPr>
            <w:r w:rsidRPr="00CA61A6">
              <w:t>Número</w:t>
            </w:r>
          </w:p>
        </w:tc>
        <w:tc>
          <w:tcPr>
            <w:tcW w:w="4727" w:type="dxa"/>
            <w:tcBorders>
              <w:top w:val="single" w:sz="4" w:space="0" w:color="auto"/>
              <w:left w:val="single" w:sz="4" w:space="0" w:color="auto"/>
              <w:bottom w:val="double" w:sz="6" w:space="0" w:color="auto"/>
              <w:right w:val="single" w:sz="4" w:space="0" w:color="auto"/>
            </w:tcBorders>
            <w:shd w:val="clear" w:color="auto" w:fill="auto"/>
            <w:vAlign w:val="center"/>
            <w:hideMark/>
          </w:tcPr>
          <w:p w:rsidR="0062564D" w:rsidRPr="00CA61A6" w:rsidRDefault="0062564D" w:rsidP="00C36994">
            <w:pPr>
              <w:pStyle w:val="Tablehead"/>
            </w:pPr>
            <w:r w:rsidRPr="00CA61A6">
              <w:t>Acción</w:t>
            </w:r>
          </w:p>
        </w:tc>
        <w:tc>
          <w:tcPr>
            <w:tcW w:w="1572" w:type="dxa"/>
            <w:tcBorders>
              <w:top w:val="single" w:sz="4" w:space="0" w:color="auto"/>
              <w:left w:val="nil"/>
              <w:bottom w:val="double" w:sz="6" w:space="0" w:color="auto"/>
              <w:right w:val="single" w:sz="4" w:space="0" w:color="auto"/>
            </w:tcBorders>
            <w:shd w:val="clear" w:color="auto" w:fill="auto"/>
            <w:vAlign w:val="center"/>
            <w:hideMark/>
          </w:tcPr>
          <w:p w:rsidR="0062564D" w:rsidRPr="00CA61A6" w:rsidRDefault="0062564D" w:rsidP="00C36994">
            <w:pPr>
              <w:pStyle w:val="Tablehead"/>
            </w:pPr>
            <w:r w:rsidRPr="00CA61A6">
              <w:t>Fecha objetivo</w:t>
            </w:r>
          </w:p>
        </w:tc>
        <w:tc>
          <w:tcPr>
            <w:tcW w:w="1182" w:type="dxa"/>
            <w:tcBorders>
              <w:top w:val="single" w:sz="4" w:space="0" w:color="auto"/>
              <w:left w:val="nil"/>
              <w:bottom w:val="double" w:sz="6" w:space="0" w:color="auto"/>
              <w:right w:val="single" w:sz="4" w:space="0" w:color="auto"/>
            </w:tcBorders>
            <w:vAlign w:val="center"/>
          </w:tcPr>
          <w:p w:rsidR="0062564D" w:rsidRPr="00CA61A6" w:rsidRDefault="0062564D" w:rsidP="00C36994">
            <w:pPr>
              <w:pStyle w:val="Tablehead"/>
            </w:pPr>
            <w:r w:rsidRPr="00CA61A6">
              <w:t>Objetivos periódicos cumplidos</w:t>
            </w:r>
          </w:p>
        </w:tc>
        <w:tc>
          <w:tcPr>
            <w:tcW w:w="1365" w:type="dxa"/>
            <w:tcBorders>
              <w:top w:val="single" w:sz="4" w:space="0" w:color="auto"/>
              <w:left w:val="single" w:sz="4" w:space="0" w:color="auto"/>
              <w:bottom w:val="double" w:sz="6" w:space="0" w:color="auto"/>
              <w:right w:val="single" w:sz="4" w:space="0" w:color="auto"/>
            </w:tcBorders>
            <w:vAlign w:val="center"/>
          </w:tcPr>
          <w:p w:rsidR="0062564D" w:rsidRPr="00CA61A6" w:rsidRDefault="0062564D" w:rsidP="00C36994">
            <w:pPr>
              <w:pStyle w:val="Tablehead"/>
            </w:pPr>
            <w:r w:rsidRPr="00CA61A6">
              <w:t>Completada</w:t>
            </w:r>
          </w:p>
        </w:tc>
      </w:tr>
      <w:tr w:rsidR="0062564D" w:rsidRPr="00CA61A6" w:rsidTr="00954316">
        <w:trPr>
          <w:trHeight w:val="620"/>
        </w:trPr>
        <w:tc>
          <w:tcPr>
            <w:tcW w:w="986" w:type="dxa"/>
            <w:tcBorders>
              <w:top w:val="double" w:sz="6" w:space="0" w:color="auto"/>
              <w:left w:val="single" w:sz="4" w:space="0" w:color="auto"/>
              <w:bottom w:val="single" w:sz="4" w:space="0" w:color="auto"/>
              <w:right w:val="single" w:sz="4" w:space="0" w:color="auto"/>
            </w:tcBorders>
            <w:vAlign w:val="center"/>
          </w:tcPr>
          <w:p w:rsidR="0062564D" w:rsidRPr="00CA61A6" w:rsidRDefault="00110CAD" w:rsidP="007B3478">
            <w:pPr>
              <w:pStyle w:val="Tabletext"/>
              <w:jc w:val="center"/>
            </w:pPr>
            <w:hyperlink w:anchor="Item49_02" w:history="1">
              <w:r w:rsidR="0062564D" w:rsidRPr="00CA61A6">
                <w:rPr>
                  <w:rStyle w:val="Hyperlink"/>
                </w:rPr>
                <w:t>49-01</w:t>
              </w:r>
            </w:hyperlink>
          </w:p>
        </w:tc>
        <w:tc>
          <w:tcPr>
            <w:tcW w:w="4727" w:type="dxa"/>
            <w:tcBorders>
              <w:top w:val="double" w:sz="6" w:space="0" w:color="auto"/>
              <w:left w:val="single" w:sz="4" w:space="0" w:color="auto"/>
              <w:bottom w:val="single" w:sz="4" w:space="0" w:color="auto"/>
              <w:right w:val="single" w:sz="4" w:space="0" w:color="auto"/>
            </w:tcBorders>
            <w:shd w:val="clear" w:color="auto" w:fill="auto"/>
            <w:vAlign w:val="center"/>
            <w:hideMark/>
          </w:tcPr>
          <w:p w:rsidR="0062564D" w:rsidRPr="00CA61A6" w:rsidRDefault="0062564D" w:rsidP="007B3478">
            <w:pPr>
              <w:pStyle w:val="Tabletext"/>
            </w:pPr>
            <w:r w:rsidRPr="00CA61A6">
              <w:t>La CE 2 estudiará cómo podría la UIT ejercer el control administrativo sobre los cambios relacionados con los recursos internacionales de telecomunicación utilizados por la ENUM</w:t>
            </w:r>
          </w:p>
        </w:tc>
        <w:tc>
          <w:tcPr>
            <w:tcW w:w="1572" w:type="dxa"/>
            <w:tcBorders>
              <w:top w:val="double" w:sz="6" w:space="0" w:color="auto"/>
              <w:left w:val="nil"/>
              <w:bottom w:val="single" w:sz="4" w:space="0" w:color="auto"/>
              <w:right w:val="single" w:sz="4" w:space="0" w:color="auto"/>
            </w:tcBorders>
            <w:shd w:val="clear" w:color="auto" w:fill="auto"/>
            <w:vAlign w:val="center"/>
            <w:hideMark/>
          </w:tcPr>
          <w:p w:rsidR="0062564D" w:rsidRPr="00CA61A6" w:rsidRDefault="0062564D" w:rsidP="007B3478">
            <w:pPr>
              <w:pStyle w:val="Tabletext"/>
              <w:jc w:val="center"/>
            </w:pPr>
            <w:r w:rsidRPr="00CA61A6">
              <w:t>En curso</w:t>
            </w:r>
          </w:p>
        </w:tc>
        <w:tc>
          <w:tcPr>
            <w:tcW w:w="1182" w:type="dxa"/>
            <w:tcBorders>
              <w:top w:val="double" w:sz="6" w:space="0" w:color="auto"/>
              <w:left w:val="nil"/>
              <w:bottom w:val="single" w:sz="4" w:space="0" w:color="auto"/>
              <w:right w:val="single" w:sz="4" w:space="0" w:color="auto"/>
            </w:tcBorders>
            <w:vAlign w:val="center"/>
          </w:tcPr>
          <w:p w:rsidR="0062564D" w:rsidRPr="00CA61A6" w:rsidRDefault="001C09F4" w:rsidP="007B3478">
            <w:pPr>
              <w:pStyle w:val="Tabletext"/>
              <w:jc w:val="center"/>
            </w:pPr>
            <w:r w:rsidRPr="00CA61A6">
              <w:t>×</w:t>
            </w:r>
          </w:p>
        </w:tc>
        <w:tc>
          <w:tcPr>
            <w:tcW w:w="1365" w:type="dxa"/>
            <w:tcBorders>
              <w:top w:val="double" w:sz="6" w:space="0" w:color="auto"/>
              <w:left w:val="single" w:sz="4" w:space="0" w:color="auto"/>
              <w:bottom w:val="single" w:sz="4" w:space="0" w:color="auto"/>
              <w:right w:val="single" w:sz="4" w:space="0" w:color="auto"/>
            </w:tcBorders>
            <w:vAlign w:val="center"/>
          </w:tcPr>
          <w:p w:rsidR="0062564D" w:rsidRPr="00CA61A6" w:rsidRDefault="0062564D" w:rsidP="007B3478">
            <w:pPr>
              <w:pStyle w:val="Tabletext"/>
              <w:jc w:val="center"/>
            </w:pPr>
          </w:p>
        </w:tc>
      </w:tr>
      <w:tr w:rsidR="0062564D" w:rsidRPr="00CA61A6" w:rsidTr="00954316">
        <w:trPr>
          <w:trHeight w:val="620"/>
        </w:trPr>
        <w:tc>
          <w:tcPr>
            <w:tcW w:w="986" w:type="dxa"/>
            <w:tcBorders>
              <w:top w:val="single" w:sz="4" w:space="0" w:color="auto"/>
              <w:left w:val="single" w:sz="4" w:space="0" w:color="auto"/>
              <w:bottom w:val="single" w:sz="4" w:space="0" w:color="auto"/>
              <w:right w:val="single" w:sz="4" w:space="0" w:color="auto"/>
            </w:tcBorders>
            <w:vAlign w:val="center"/>
          </w:tcPr>
          <w:p w:rsidR="0062564D" w:rsidRPr="00CA61A6" w:rsidRDefault="00110CAD" w:rsidP="007B3478">
            <w:pPr>
              <w:pStyle w:val="Tabletext"/>
              <w:jc w:val="center"/>
            </w:pPr>
            <w:hyperlink w:anchor="Item49_02" w:history="1">
              <w:r w:rsidR="0062564D" w:rsidRPr="006E3E23">
                <w:rPr>
                  <w:rStyle w:val="Hyperlink"/>
                </w:rPr>
                <w:t>49-02</w:t>
              </w:r>
            </w:hyperlink>
          </w:p>
        </w:tc>
        <w:tc>
          <w:tcPr>
            <w:tcW w:w="4727" w:type="dxa"/>
            <w:tcBorders>
              <w:top w:val="single" w:sz="4" w:space="0" w:color="auto"/>
              <w:left w:val="single" w:sz="4" w:space="0" w:color="auto"/>
              <w:bottom w:val="single" w:sz="4" w:space="0" w:color="auto"/>
              <w:right w:val="single" w:sz="4" w:space="0" w:color="auto"/>
            </w:tcBorders>
            <w:shd w:val="clear" w:color="auto" w:fill="auto"/>
            <w:vAlign w:val="center"/>
          </w:tcPr>
          <w:p w:rsidR="0062564D" w:rsidRPr="00CA61A6" w:rsidRDefault="00C51BDB" w:rsidP="007B3478">
            <w:pPr>
              <w:pStyle w:val="Tabletext"/>
            </w:pPr>
            <w:r w:rsidRPr="00CA61A6">
              <w:t xml:space="preserve">La CE 2 </w:t>
            </w:r>
            <w:r>
              <w:t>evaluará</w:t>
            </w:r>
            <w:r w:rsidR="0062564D" w:rsidRPr="00CA61A6">
              <w:t xml:space="preserve"> el actual procedimiento provisional para la delegación de ENUM e informe al respecto al Director de la TSB</w:t>
            </w:r>
          </w:p>
        </w:tc>
        <w:tc>
          <w:tcPr>
            <w:tcW w:w="1572" w:type="dxa"/>
            <w:tcBorders>
              <w:top w:val="single" w:sz="4" w:space="0" w:color="auto"/>
              <w:left w:val="nil"/>
              <w:bottom w:val="single" w:sz="4" w:space="0" w:color="auto"/>
              <w:right w:val="single" w:sz="4" w:space="0" w:color="auto"/>
            </w:tcBorders>
            <w:shd w:val="clear" w:color="auto" w:fill="auto"/>
            <w:vAlign w:val="center"/>
          </w:tcPr>
          <w:p w:rsidR="0062564D" w:rsidRPr="00CA61A6" w:rsidRDefault="0062564D" w:rsidP="007B3478">
            <w:pPr>
              <w:pStyle w:val="Tabletext"/>
              <w:jc w:val="center"/>
            </w:pPr>
            <w:r w:rsidRPr="00CA61A6">
              <w:t>En curso</w:t>
            </w:r>
          </w:p>
        </w:tc>
        <w:tc>
          <w:tcPr>
            <w:tcW w:w="1182" w:type="dxa"/>
            <w:tcBorders>
              <w:top w:val="single" w:sz="4" w:space="0" w:color="auto"/>
              <w:left w:val="nil"/>
              <w:bottom w:val="single" w:sz="4" w:space="0" w:color="auto"/>
              <w:right w:val="single" w:sz="4" w:space="0" w:color="auto"/>
            </w:tcBorders>
            <w:vAlign w:val="center"/>
          </w:tcPr>
          <w:p w:rsidR="0062564D" w:rsidRPr="00CA61A6" w:rsidRDefault="0062564D" w:rsidP="007B3478">
            <w:pPr>
              <w:pStyle w:val="Tabletext"/>
              <w:jc w:val="center"/>
            </w:pPr>
            <w:r w:rsidRPr="00CA61A6">
              <w:t>×</w:t>
            </w:r>
          </w:p>
        </w:tc>
        <w:tc>
          <w:tcPr>
            <w:tcW w:w="1365" w:type="dxa"/>
            <w:tcBorders>
              <w:top w:val="single" w:sz="4" w:space="0" w:color="auto"/>
              <w:left w:val="single" w:sz="4" w:space="0" w:color="auto"/>
              <w:bottom w:val="single" w:sz="4" w:space="0" w:color="auto"/>
              <w:right w:val="single" w:sz="4" w:space="0" w:color="auto"/>
            </w:tcBorders>
            <w:vAlign w:val="center"/>
          </w:tcPr>
          <w:p w:rsidR="0062564D" w:rsidRPr="00CA61A6" w:rsidRDefault="0062564D" w:rsidP="007B3478">
            <w:pPr>
              <w:pStyle w:val="Tabletext"/>
              <w:jc w:val="center"/>
            </w:pPr>
          </w:p>
        </w:tc>
      </w:tr>
      <w:tr w:rsidR="0062564D" w:rsidRPr="00CA61A6" w:rsidTr="00954316">
        <w:trPr>
          <w:trHeight w:val="710"/>
        </w:trPr>
        <w:tc>
          <w:tcPr>
            <w:tcW w:w="986" w:type="dxa"/>
            <w:tcBorders>
              <w:top w:val="nil"/>
              <w:left w:val="single" w:sz="4" w:space="0" w:color="auto"/>
              <w:bottom w:val="single" w:sz="4" w:space="0" w:color="auto"/>
              <w:right w:val="single" w:sz="4" w:space="0" w:color="auto"/>
            </w:tcBorders>
            <w:vAlign w:val="center"/>
          </w:tcPr>
          <w:p w:rsidR="0062564D" w:rsidRPr="00CA61A6" w:rsidRDefault="00110CAD" w:rsidP="007B3478">
            <w:pPr>
              <w:pStyle w:val="Tabletext"/>
              <w:jc w:val="center"/>
            </w:pPr>
            <w:hyperlink w:anchor="Item49_03" w:history="1">
              <w:r w:rsidR="0062564D" w:rsidRPr="004B1F18">
                <w:rPr>
                  <w:rStyle w:val="Hyperlink"/>
                </w:rPr>
                <w:t>49-03</w:t>
              </w:r>
            </w:hyperlink>
          </w:p>
        </w:tc>
        <w:tc>
          <w:tcPr>
            <w:tcW w:w="4727" w:type="dxa"/>
            <w:tcBorders>
              <w:top w:val="nil"/>
              <w:left w:val="single" w:sz="4" w:space="0" w:color="auto"/>
              <w:bottom w:val="single" w:sz="4" w:space="0" w:color="auto"/>
              <w:right w:val="single" w:sz="4" w:space="0" w:color="auto"/>
            </w:tcBorders>
            <w:shd w:val="clear" w:color="auto" w:fill="auto"/>
            <w:vAlign w:val="center"/>
            <w:hideMark/>
          </w:tcPr>
          <w:p w:rsidR="0062564D" w:rsidRPr="00CA61A6" w:rsidRDefault="0062564D" w:rsidP="007B3478">
            <w:pPr>
              <w:pStyle w:val="Tabletext"/>
            </w:pPr>
            <w:r w:rsidRPr="00CA61A6">
              <w:t>El Director presentará al Consejo un informe anual sobre los progresos logrados en el ámbito de la ENUM</w:t>
            </w:r>
          </w:p>
        </w:tc>
        <w:tc>
          <w:tcPr>
            <w:tcW w:w="1572" w:type="dxa"/>
            <w:tcBorders>
              <w:top w:val="nil"/>
              <w:left w:val="nil"/>
              <w:bottom w:val="single" w:sz="4" w:space="0" w:color="auto"/>
              <w:right w:val="single" w:sz="4" w:space="0" w:color="auto"/>
            </w:tcBorders>
            <w:shd w:val="clear" w:color="auto" w:fill="auto"/>
            <w:vAlign w:val="center"/>
            <w:hideMark/>
          </w:tcPr>
          <w:p w:rsidR="0062564D" w:rsidRPr="00CA61A6" w:rsidRDefault="0062564D" w:rsidP="007B3478">
            <w:pPr>
              <w:pStyle w:val="Tabletext"/>
              <w:jc w:val="center"/>
            </w:pPr>
            <w:r w:rsidRPr="00CA61A6">
              <w:t>En curso, 3 meses antes de la reunión del Consejo</w:t>
            </w:r>
          </w:p>
        </w:tc>
        <w:tc>
          <w:tcPr>
            <w:tcW w:w="1182" w:type="dxa"/>
            <w:tcBorders>
              <w:top w:val="nil"/>
              <w:left w:val="nil"/>
              <w:bottom w:val="single" w:sz="4" w:space="0" w:color="auto"/>
              <w:right w:val="single" w:sz="4" w:space="0" w:color="auto"/>
            </w:tcBorders>
            <w:vAlign w:val="center"/>
          </w:tcPr>
          <w:p w:rsidR="0062564D" w:rsidRPr="00CA61A6" w:rsidRDefault="0062564D" w:rsidP="007B3478">
            <w:pPr>
              <w:pStyle w:val="Tabletext"/>
              <w:jc w:val="center"/>
            </w:pPr>
            <w:r w:rsidRPr="00CA61A6">
              <w:sym w:font="Wingdings" w:char="F0FC"/>
            </w:r>
          </w:p>
        </w:tc>
        <w:tc>
          <w:tcPr>
            <w:tcW w:w="1365" w:type="dxa"/>
            <w:tcBorders>
              <w:top w:val="nil"/>
              <w:left w:val="single" w:sz="4" w:space="0" w:color="auto"/>
              <w:bottom w:val="single" w:sz="4" w:space="0" w:color="auto"/>
              <w:right w:val="single" w:sz="4" w:space="0" w:color="auto"/>
            </w:tcBorders>
            <w:vAlign w:val="center"/>
          </w:tcPr>
          <w:p w:rsidR="0062564D" w:rsidRPr="00CA61A6" w:rsidRDefault="0062564D" w:rsidP="007B3478">
            <w:pPr>
              <w:pStyle w:val="Tabletext"/>
              <w:jc w:val="center"/>
            </w:pPr>
          </w:p>
        </w:tc>
      </w:tr>
    </w:tbl>
    <w:p w:rsidR="0062564D" w:rsidRPr="00CA61A6" w:rsidRDefault="00F45916" w:rsidP="0050511D">
      <w:pPr>
        <w:pStyle w:val="Headingb"/>
      </w:pPr>
      <w:bookmarkStart w:id="337" w:name="Item49_02"/>
      <w:r w:rsidRPr="00CA61A6">
        <w:t xml:space="preserve">Acciones </w:t>
      </w:r>
      <w:r w:rsidR="0062564D" w:rsidRPr="00CA61A6">
        <w:t xml:space="preserve">49-01 </w:t>
      </w:r>
      <w:r w:rsidR="002F488D" w:rsidRPr="00CA61A6">
        <w:t>y</w:t>
      </w:r>
      <w:r w:rsidR="0062564D" w:rsidRPr="00CA61A6">
        <w:t xml:space="preserve"> 49-02: CE</w:t>
      </w:r>
      <w:r w:rsidR="002F488D" w:rsidRPr="00CA61A6">
        <w:t> </w:t>
      </w:r>
      <w:r w:rsidR="0062564D" w:rsidRPr="00CA61A6">
        <w:t>2</w:t>
      </w:r>
    </w:p>
    <w:p w:rsidR="0062564D" w:rsidRPr="00CA61A6" w:rsidRDefault="0062564D" w:rsidP="007B3478">
      <w:pPr>
        <w:rPr>
          <w:szCs w:val="24"/>
          <w:lang w:eastAsia="ja-JP"/>
        </w:rPr>
      </w:pPr>
      <w:bookmarkStart w:id="338" w:name="lt_pId692"/>
      <w:bookmarkEnd w:id="337"/>
      <w:r w:rsidRPr="00CA61A6">
        <w:rPr>
          <w:szCs w:val="24"/>
          <w:lang w:eastAsia="ja-JP"/>
        </w:rPr>
        <w:t>La CE</w:t>
      </w:r>
      <w:r w:rsidR="00206089" w:rsidRPr="00CA61A6">
        <w:rPr>
          <w:szCs w:val="24"/>
          <w:lang w:eastAsia="ja-JP"/>
        </w:rPr>
        <w:t> </w:t>
      </w:r>
      <w:r w:rsidRPr="00CA61A6">
        <w:rPr>
          <w:szCs w:val="24"/>
          <w:lang w:eastAsia="ja-JP"/>
        </w:rPr>
        <w:t>2 del UIT-T no llevó a cabo actividades en este periodo de estudios por falta de contribuciones.</w:t>
      </w:r>
      <w:bookmarkEnd w:id="338"/>
    </w:p>
    <w:p w:rsidR="0062564D" w:rsidRPr="00CA61A6" w:rsidRDefault="00C423B6" w:rsidP="00564A6A">
      <w:pPr>
        <w:pStyle w:val="Headingb"/>
      </w:pPr>
      <w:bookmarkStart w:id="339" w:name="Item49_03"/>
      <w:r w:rsidRPr="00CA61A6">
        <w:t xml:space="preserve">Acción </w:t>
      </w:r>
      <w:r w:rsidR="0062564D" w:rsidRPr="00CA61A6">
        <w:t>49-03: TSB</w:t>
      </w:r>
    </w:p>
    <w:bookmarkEnd w:id="339"/>
    <w:p w:rsidR="0062564D" w:rsidRPr="00CA61A6" w:rsidRDefault="0062564D" w:rsidP="007B3478">
      <w:pPr>
        <w:rPr>
          <w:szCs w:val="24"/>
          <w:lang w:eastAsia="ja-JP"/>
        </w:rPr>
      </w:pPr>
      <w:r w:rsidRPr="00CA61A6">
        <w:rPr>
          <w:szCs w:val="24"/>
          <w:lang w:eastAsia="ja-JP"/>
        </w:rPr>
        <w:t xml:space="preserve">El Director de la TSB informa anualmente al Consejo en el documento </w:t>
      </w:r>
      <w:r w:rsidR="00B26079" w:rsidRPr="00CA61A6">
        <w:rPr>
          <w:szCs w:val="24"/>
          <w:lang w:eastAsia="ja-JP"/>
        </w:rPr>
        <w:t>"</w:t>
      </w:r>
      <w:r w:rsidRPr="00CA61A6">
        <w:rPr>
          <w:szCs w:val="24"/>
          <w:lang w:eastAsia="ja-JP"/>
        </w:rPr>
        <w:t>Actividades sobre Internet en la UIT: Resoluciones 101, 102 y 133</w:t>
      </w:r>
      <w:r w:rsidR="00B26079" w:rsidRPr="00CA61A6">
        <w:rPr>
          <w:szCs w:val="24"/>
          <w:lang w:eastAsia="ja-JP"/>
        </w:rPr>
        <w:t>"</w:t>
      </w:r>
      <w:r w:rsidRPr="00CA61A6">
        <w:rPr>
          <w:szCs w:val="24"/>
          <w:lang w:eastAsia="ja-JP"/>
        </w:rPr>
        <w:t>, que incluye información actualizada sobre ENUM, comprendida información</w:t>
      </w:r>
      <w:r w:rsidR="002837CF" w:rsidRPr="00CA61A6">
        <w:rPr>
          <w:rStyle w:val="FootnoteReference"/>
          <w:szCs w:val="24"/>
          <w:lang w:eastAsia="ja-JP"/>
        </w:rPr>
        <w:footnoteReference w:customMarkFollows="1" w:id="4"/>
        <w:t>3</w:t>
      </w:r>
      <w:r w:rsidRPr="00CA61A6">
        <w:rPr>
          <w:szCs w:val="24"/>
          <w:lang w:eastAsia="ja-JP"/>
        </w:rPr>
        <w:t xml:space="preserve"> sobre la delegación de ENUM y las pruebas ENUM, en su caso.</w:t>
      </w:r>
    </w:p>
    <w:p w:rsidR="00BA57F2" w:rsidRPr="00CA61A6" w:rsidRDefault="00110CAD" w:rsidP="00BA57F2">
      <w:hyperlink w:anchor="Top" w:history="1">
        <w:r w:rsidR="00BA57F2" w:rsidRPr="00CA61A6">
          <w:rPr>
            <w:rStyle w:val="Hyperlink"/>
          </w:rPr>
          <w:t>» Arriba</w:t>
        </w:r>
      </w:hyperlink>
    </w:p>
    <w:p w:rsidR="0062564D" w:rsidRPr="00CA61A6" w:rsidRDefault="004D3EB9" w:rsidP="004D3EB9">
      <w:pPr>
        <w:pStyle w:val="Heading1"/>
      </w:pPr>
      <w:bookmarkStart w:id="340" w:name="_22_Resolución_50"/>
      <w:bookmarkStart w:id="341" w:name="_Toc463335773"/>
      <w:bookmarkEnd w:id="340"/>
      <w:r w:rsidRPr="00CA61A6">
        <w:t>22</w:t>
      </w:r>
      <w:r w:rsidRPr="00CA61A6">
        <w:tab/>
      </w:r>
      <w:r w:rsidR="0062564D" w:rsidRPr="00CA61A6">
        <w:t xml:space="preserve">Resolución 50 </w:t>
      </w:r>
      <w:r w:rsidR="00E20A0F">
        <w:t>–</w:t>
      </w:r>
      <w:r w:rsidR="0062564D" w:rsidRPr="00CA61A6">
        <w:t xml:space="preserve"> Ciberseguridad</w:t>
      </w:r>
      <w:bookmarkEnd w:id="341"/>
    </w:p>
    <w:p w:rsidR="0062564D" w:rsidRPr="00CA61A6" w:rsidRDefault="0062564D" w:rsidP="00696098">
      <w:pPr>
        <w:pStyle w:val="Headingb"/>
      </w:pPr>
      <w:r w:rsidRPr="00CA61A6">
        <w:t>Resolución 50</w:t>
      </w:r>
    </w:p>
    <w:p w:rsidR="0062564D" w:rsidRPr="00CA61A6" w:rsidRDefault="0062564D" w:rsidP="007B3478">
      <w:pPr>
        <w:pStyle w:val="Call"/>
        <w:keepNext w:val="0"/>
      </w:pPr>
      <w:r w:rsidRPr="00CA61A6">
        <w:t>resuelve</w:t>
      </w:r>
    </w:p>
    <w:p w:rsidR="0062564D" w:rsidRPr="00CA61A6" w:rsidRDefault="0062564D" w:rsidP="007B3478">
      <w:r w:rsidRPr="00CA61A6">
        <w:t>1</w:t>
      </w:r>
      <w:r w:rsidRPr="00CA61A6">
        <w:tab/>
        <w:t>que todas las Comisiones de Estudio del UIT-T sigan evaluando las Recomendaciones existentes y en curso de elaboración, y especialmente las Recomendaciones sobre señalización y protocolos de telecomunicaciones, en lo que se refiere a la robustez de su diseño y a su posible explotación por grupos malintencionados con el fin de interferir destructivamente en su implantación en la infraestructura mundial de información y las tele</w:t>
      </w:r>
      <w:r w:rsidRPr="00CA61A6">
        <w:softHyphen/>
        <w:t>comunicaciones, elaboren Recomendaciones sobre nuevas cuestiones de seguridad y tengan en cuenta los nuevos servicios y aplicaciones que debe soportar la infraestructura mundial de telecomunicaciones/TIC (por ejemplo, computación en la nube, redes eléctricas inteligentes y sistemas de transporte inteligentes, que se basan en redes de telecomunicaciones/TIC);</w:t>
      </w:r>
    </w:p>
    <w:p w:rsidR="0062564D" w:rsidRPr="00CA61A6" w:rsidRDefault="0062564D" w:rsidP="007B3478">
      <w:r w:rsidRPr="00CA61A6">
        <w:t>2</w:t>
      </w:r>
      <w:r w:rsidRPr="00CA61A6">
        <w:tab/>
        <w:t>que el UIT-T siga, en su esfera de operación e influencia, con su labor de sensibilización respecto de la necesidad de defender los sistemas de información y telecomunicaciones contra la amenaza de ciberataques, y siga fomentando la cooperación entre las organizaciones inte</w:t>
      </w:r>
      <w:r w:rsidR="00324CBE">
        <w:t>rnacionales y regionales corres</w:t>
      </w:r>
      <w:r w:rsidRPr="00CA61A6">
        <w:t xml:space="preserve">pondientes a efectos de aumentar el intercambio </w:t>
      </w:r>
      <w:r w:rsidRPr="00CA61A6">
        <w:lastRenderedPageBreak/>
        <w:t>de información técnica en el campo de la seguridad de las redes de información y telecomunicaciones;</w:t>
      </w:r>
    </w:p>
    <w:p w:rsidR="0062564D" w:rsidRPr="00CA61A6" w:rsidRDefault="0062564D" w:rsidP="007B3478">
      <w:r w:rsidRPr="00CA61A6">
        <w:t>3</w:t>
      </w:r>
      <w:r w:rsidRPr="00CA61A6">
        <w:tab/>
        <w:t>que el UIT-T colabore estrechamente con el UIT-D, en especial en lo tocante a la Cuestión 22/1;</w:t>
      </w:r>
    </w:p>
    <w:p w:rsidR="0062564D" w:rsidRPr="00CA61A6" w:rsidRDefault="0062564D" w:rsidP="007B3478">
      <w:r w:rsidRPr="00CA61A6">
        <w:t>4</w:t>
      </w:r>
      <w:r w:rsidRPr="00CA61A6">
        <w:tab/>
        <w:t>que se tomen en consideración y se apliquen, cuando sea necesario, las Recomendaciones UIT-T, incluidas las Recomendaciones de la serie UIT-T X y sus Suplementos, entre otras la UIT-T X.805, la UIT-T X.1205 y la UIT-T X.1500, las</w:t>
      </w:r>
      <w:r w:rsidRPr="00CA61A6" w:rsidDel="00FB0A7E">
        <w:t xml:space="preserve"> </w:t>
      </w:r>
      <w:r w:rsidRPr="00CA61A6">
        <w:t>normas de la ISO/CEI y cualquier otro producto pertinente de otras organizaciones, a la hora de evaluar las vulnerabilidades de seguridad de las redes y los protocolos, y facilitar el intercambio de información sobre ciberseguridad;</w:t>
      </w:r>
    </w:p>
    <w:p w:rsidR="0062564D" w:rsidRPr="00CA61A6" w:rsidRDefault="0062564D" w:rsidP="007B3478">
      <w:r w:rsidRPr="00CA61A6">
        <w:t>5</w:t>
      </w:r>
      <w:r w:rsidRPr="00CA61A6">
        <w:tab/>
        <w:t>que el UIT-T siga trabajando en la elaboración y el perfeccionamiento de términos y definiciones relacionados con la creación de confianza y seguridad en el uso de las telecomunicaciones/TIC, incluido el término ciberseguridad;</w:t>
      </w:r>
    </w:p>
    <w:p w:rsidR="0062564D" w:rsidRPr="00CA61A6" w:rsidRDefault="0062564D" w:rsidP="007B3478">
      <w:r w:rsidRPr="00CA61A6">
        <w:t>6</w:t>
      </w:r>
      <w:r w:rsidRPr="00CA61A6">
        <w:tab/>
        <w:t>que se invite a las partes concernidas a trabajar de consuno en la elaboración de normas y directrices sobre la protección contra ciberataques, y para facilitar el rastreo del origen de un ataque;</w:t>
      </w:r>
    </w:p>
    <w:p w:rsidR="0062564D" w:rsidRPr="00CA61A6" w:rsidRDefault="0062564D" w:rsidP="007B3478">
      <w:r w:rsidRPr="00CA61A6">
        <w:t>7</w:t>
      </w:r>
      <w:r w:rsidRPr="00CA61A6">
        <w:tab/>
        <w:t>que se fomente la adopción de procesos compatibles y coherentes a escala mundial para el intercambio de información sobre respuesta a incidentes;</w:t>
      </w:r>
    </w:p>
    <w:p w:rsidR="0062564D" w:rsidRPr="00CA61A6" w:rsidRDefault="0062564D" w:rsidP="00443111">
      <w:r w:rsidRPr="00CA61A6">
        <w:t>8</w:t>
      </w:r>
      <w:r w:rsidRPr="00CA61A6">
        <w:tab/>
        <w:t>que todas las Comisiones de Estudio del UIT-T sigan presentando informes periódicos sobre seguridad de las telecomunicaciones/TIC al Grupo Asesor de Normalización de las Telecomunicaciones (GANT) sobre la evolución de la evaluación de las Recomen</w:t>
      </w:r>
      <w:r w:rsidRPr="00CA61A6">
        <w:softHyphen/>
        <w:t>daciones nuevas, existentes y en curso de elaboración;</w:t>
      </w:r>
    </w:p>
    <w:p w:rsidR="0062564D" w:rsidRPr="00CA61A6" w:rsidRDefault="0062564D" w:rsidP="007B3478">
      <w:pPr>
        <w:keepNext/>
        <w:keepLines/>
      </w:pPr>
      <w:r w:rsidRPr="00CA61A6">
        <w:t>9</w:t>
      </w:r>
      <w:r w:rsidRPr="00CA61A6">
        <w:tab/>
        <w:t>que las Comisiones de Estudio del UIT-T sigan estableciendo relaciones de coordinación con organizaciones de normalización y otros organismos activos en este campo, como el JTC 1 de la ISO/CEI, la Organización de Cooperación y Desarrollo Económicos (OCDE), la Cooperación Económica Asia-Pacífico sobre Telecomunicaciones e Información (APEC-TEL) y el Grupo Especial sobre Ingeniería de Internet (IETF); y</w:t>
      </w:r>
    </w:p>
    <w:p w:rsidR="0062564D" w:rsidRPr="00CA61A6" w:rsidRDefault="0062564D" w:rsidP="007B3478">
      <w:r w:rsidRPr="00CA61A6">
        <w:t>10</w:t>
      </w:r>
      <w:r w:rsidRPr="00CA61A6">
        <w:tab/>
        <w:t>que la Comisión de Estudio 17 prosiga su labor respecto de las cuestiones planteadas en la Resolución 130 (Rev. Guadalajara, 2010), así como de las Recomendaciones de la serie UIT</w:t>
      </w:r>
      <w:r w:rsidRPr="00CA61A6">
        <w:noBreakHyphen/>
        <w:t>T X, incluidos los Suplementos, según proceda,</w:t>
      </w:r>
    </w:p>
    <w:p w:rsidR="0062564D" w:rsidRPr="00CA61A6" w:rsidRDefault="0062564D" w:rsidP="007B3478">
      <w:pPr>
        <w:pStyle w:val="Call"/>
        <w:keepLines w:val="0"/>
      </w:pPr>
      <w:r w:rsidRPr="00CA61A6">
        <w:t>encarga al Director de la Oficina de Normalización de las Telecomunicaciones</w:t>
      </w:r>
    </w:p>
    <w:p w:rsidR="0062564D" w:rsidRPr="00CA61A6" w:rsidRDefault="0062564D" w:rsidP="007B3478">
      <w:r w:rsidRPr="00CA61A6">
        <w:t>1</w:t>
      </w:r>
      <w:r w:rsidRPr="00CA61A6">
        <w:tab/>
        <w:t>que prepare, a partir de la información asociada con el Plan de Normalización de Seguridad de las TIC y los trabajos del UIT-D en materia de ciberseguridad, y con la asistencia de otras organizaciones pertinentes, un inventario de iniciativas y actividades nacionales, regionales e internacionales dirigidas a fomentar, en la medida de lo posible, la armonización a escala mundial de las estrategias y enfoques adoptados en esta esfera fundamental; </w:t>
      </w:r>
    </w:p>
    <w:p w:rsidR="0062564D" w:rsidRPr="00CA61A6" w:rsidRDefault="0062564D" w:rsidP="007B3478">
      <w:r w:rsidRPr="00CA61A6">
        <w:t>2</w:t>
      </w:r>
      <w:r w:rsidRPr="00CA61A6">
        <w:tab/>
        <w:t>que informe cada año al Consejo de la UIT, según lo dispuesto en la Resolución 130 (Rev. Guadalajara, 2010) de la Conferencia de Plenipotenciarios, sobre los progresos en la aplicación de las medidas señaladas; y</w:t>
      </w:r>
    </w:p>
    <w:p w:rsidR="0062564D" w:rsidRPr="00CA61A6" w:rsidRDefault="0062564D" w:rsidP="007B3478">
      <w:r w:rsidRPr="00CA61A6">
        <w:t>3</w:t>
      </w:r>
      <w:r w:rsidRPr="00CA61A6">
        <w:tab/>
        <w:t>que siga reconociendo el papel que desempeñan otras organizaciones con experiencia y competencia técnica en el ámbito de las normas sobre seguridad, y se coordine con ellas según proceda,</w:t>
      </w:r>
    </w:p>
    <w:p w:rsidR="0062564D" w:rsidRPr="00CA61A6" w:rsidRDefault="0062564D" w:rsidP="00FB049C">
      <w:pPr>
        <w:pStyle w:val="Call"/>
      </w:pPr>
      <w:r w:rsidRPr="00CA61A6">
        <w:lastRenderedPageBreak/>
        <w:t>encarga también al Director de la Oficina de Normalización de las Telecomunicaciones</w:t>
      </w:r>
    </w:p>
    <w:p w:rsidR="0062564D" w:rsidRPr="00CA61A6" w:rsidRDefault="0062564D" w:rsidP="00FB049C">
      <w:pPr>
        <w:keepNext/>
        <w:keepLines/>
      </w:pPr>
      <w:r w:rsidRPr="00CA61A6">
        <w:t>1</w:t>
      </w:r>
      <w:r w:rsidRPr="00CA61A6">
        <w:tab/>
        <w:t>que prosiga el seguimiento de las actividades de la CMSI sobre la creación de confianza y seguridad en el uso de las TIC, en cooperación con las partes interesadas correspondientes como manera de compartir a escala mundial la información sobre iniciativas de ciberseguridad nacionales, regionales, internacionales y no discriminatorias; y</w:t>
      </w:r>
    </w:p>
    <w:p w:rsidR="0062564D" w:rsidRPr="00CA61A6" w:rsidRDefault="0062564D" w:rsidP="007B3478">
      <w:r w:rsidRPr="00CA61A6">
        <w:t>2</w:t>
      </w:r>
      <w:r w:rsidRPr="00CA61A6">
        <w:tab/>
        <w:t>que coopere con la BDT en relación con cualquier tema que afecte a la ciberseguridad, de conformidad con lo dispuesto en la Resolución 45 (Rev. Hyderabad, 2010);</w:t>
      </w:r>
    </w:p>
    <w:p w:rsidR="0062564D" w:rsidRPr="00CA61A6" w:rsidRDefault="0062564D" w:rsidP="007B3478">
      <w:r w:rsidRPr="00CA61A6">
        <w:t>3</w:t>
      </w:r>
      <w:r w:rsidRPr="00CA61A6">
        <w:tab/>
        <w:t>que continúe cooperando con la Agenda sobre Ciberseguridad Global (GCA) del Secretario General (GCA) y con UIT</w:t>
      </w:r>
      <w:r w:rsidRPr="00CA61A6">
        <w:noBreakHyphen/>
        <w:t>IMPACT, FIRST y otros proyectos mundiales o regionales de ciberseguridad, según proceda, que entable relaciones y asociaciones, según el caso, con diversas organizaciones e iniciativas regionales e internacionales referentes a la ciberseguridad, e invite a todos los Estados Miembros, en especial a los países en desarrollo, a que tomen parte en las actividades, garantizando la cooperación y coordinación entre estas diversas actividades; y</w:t>
      </w:r>
    </w:p>
    <w:p w:rsidR="0062564D" w:rsidRPr="00CA61A6" w:rsidRDefault="0062564D" w:rsidP="007B3478">
      <w:r w:rsidRPr="00CA61A6">
        <w:t>4</w:t>
      </w:r>
      <w:r w:rsidRPr="00CA61A6">
        <w:tab/>
        <w:t>que, teniendo en cuenta la Resolución 130 (Rev. Guadalajara, 2010), trabaje en colaboración con los Directores de las demás Oficinas para apoyar al Secretario General en la preparación de un documento relativo a un posible Memorándum de Entendimiento (MoU) (de conformidad con lo dispuesto en la Resolución 45 (Rev. Hyderabad, 2010) entre los Estados Miembros interesados para fortalecer la ciberseguridad y combatir las ciberamenazas con objeto de proteger a los países en desarrollo y a cualquier país interesado en adherirse a este posible MoU,</w:t>
      </w:r>
    </w:p>
    <w:p w:rsidR="0062564D" w:rsidRPr="00CA61A6" w:rsidRDefault="0062564D" w:rsidP="007B3478">
      <w:pPr>
        <w:pStyle w:val="Call"/>
        <w:keepNext w:val="0"/>
      </w:pPr>
      <w:r w:rsidRPr="00CA61A6">
        <w:t>invita a los Estados Miembros, los Miembros del Sector, los Asociados y las instituciones académicas, según corresponda</w:t>
      </w:r>
    </w:p>
    <w:p w:rsidR="0062564D" w:rsidRPr="00CA61A6" w:rsidRDefault="0062564D" w:rsidP="003B7E6C">
      <w:pPr>
        <w:spacing w:after="120"/>
      </w:pPr>
      <w:r w:rsidRPr="00CA61A6">
        <w:t>a cooperar y participar activamente en la aplicación de la presente Resolución y de las medidas asociadas.</w:t>
      </w:r>
    </w:p>
    <w:tbl>
      <w:tblPr>
        <w:tblW w:w="9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5033"/>
        <w:gridCol w:w="1474"/>
        <w:gridCol w:w="1148"/>
        <w:gridCol w:w="1261"/>
      </w:tblGrid>
      <w:tr w:rsidR="0062564D" w:rsidRPr="00CA61A6" w:rsidTr="00DE25A4">
        <w:trPr>
          <w:cantSplit/>
          <w:tblHeader/>
          <w:jc w:val="center"/>
        </w:trPr>
        <w:tc>
          <w:tcPr>
            <w:tcW w:w="916" w:type="dxa"/>
            <w:tcBorders>
              <w:bottom w:val="double" w:sz="4" w:space="0" w:color="auto"/>
            </w:tcBorders>
            <w:shd w:val="clear" w:color="auto" w:fill="auto"/>
            <w:vAlign w:val="center"/>
          </w:tcPr>
          <w:p w:rsidR="0062564D" w:rsidRPr="00CA61A6" w:rsidRDefault="00C42225" w:rsidP="000F3CEB">
            <w:pPr>
              <w:pStyle w:val="Tablehead"/>
            </w:pPr>
            <w:r w:rsidRPr="00CA61A6">
              <w:t>Número</w:t>
            </w:r>
          </w:p>
        </w:tc>
        <w:tc>
          <w:tcPr>
            <w:tcW w:w="5033" w:type="dxa"/>
            <w:tcBorders>
              <w:bottom w:val="double" w:sz="4" w:space="0" w:color="auto"/>
            </w:tcBorders>
            <w:shd w:val="clear" w:color="auto" w:fill="auto"/>
            <w:vAlign w:val="center"/>
            <w:hideMark/>
          </w:tcPr>
          <w:p w:rsidR="0062564D" w:rsidRPr="00CA61A6" w:rsidRDefault="0062564D" w:rsidP="000F3CEB">
            <w:pPr>
              <w:pStyle w:val="Tablehead"/>
            </w:pPr>
            <w:r w:rsidRPr="00CA61A6">
              <w:t>Acción</w:t>
            </w:r>
          </w:p>
        </w:tc>
        <w:tc>
          <w:tcPr>
            <w:tcW w:w="1474" w:type="dxa"/>
            <w:tcBorders>
              <w:bottom w:val="double" w:sz="4" w:space="0" w:color="auto"/>
            </w:tcBorders>
            <w:shd w:val="clear" w:color="auto" w:fill="auto"/>
            <w:vAlign w:val="center"/>
            <w:hideMark/>
          </w:tcPr>
          <w:p w:rsidR="0062564D" w:rsidRPr="00CA61A6" w:rsidRDefault="0062564D" w:rsidP="000F3CEB">
            <w:pPr>
              <w:pStyle w:val="Tablehead"/>
            </w:pPr>
            <w:r w:rsidRPr="00CA61A6">
              <w:t>Fecha objetivo</w:t>
            </w:r>
          </w:p>
        </w:tc>
        <w:tc>
          <w:tcPr>
            <w:tcW w:w="1148" w:type="dxa"/>
            <w:tcBorders>
              <w:bottom w:val="double" w:sz="4" w:space="0" w:color="auto"/>
            </w:tcBorders>
            <w:shd w:val="clear" w:color="auto" w:fill="auto"/>
            <w:vAlign w:val="center"/>
          </w:tcPr>
          <w:p w:rsidR="0062564D" w:rsidRPr="00CA61A6" w:rsidRDefault="0062564D" w:rsidP="000F3CEB">
            <w:pPr>
              <w:pStyle w:val="Tablehead"/>
            </w:pPr>
            <w:r w:rsidRPr="00CA61A6">
              <w:t>Objetivos periódicos cumplidos</w:t>
            </w:r>
          </w:p>
        </w:tc>
        <w:tc>
          <w:tcPr>
            <w:tcW w:w="1261" w:type="dxa"/>
            <w:tcBorders>
              <w:bottom w:val="double" w:sz="4" w:space="0" w:color="auto"/>
            </w:tcBorders>
            <w:shd w:val="clear" w:color="auto" w:fill="auto"/>
            <w:vAlign w:val="center"/>
          </w:tcPr>
          <w:p w:rsidR="0062564D" w:rsidRPr="00CA61A6" w:rsidRDefault="0062564D" w:rsidP="000F3CEB">
            <w:pPr>
              <w:pStyle w:val="Tablehead"/>
            </w:pPr>
            <w:r w:rsidRPr="00CA61A6">
              <w:t>Completada</w:t>
            </w:r>
          </w:p>
        </w:tc>
      </w:tr>
      <w:tr w:rsidR="0062564D" w:rsidRPr="00CA61A6" w:rsidTr="00DE25A4">
        <w:trPr>
          <w:cantSplit/>
          <w:jc w:val="center"/>
        </w:trPr>
        <w:tc>
          <w:tcPr>
            <w:tcW w:w="916" w:type="dxa"/>
            <w:tcBorders>
              <w:top w:val="double" w:sz="4" w:space="0" w:color="auto"/>
            </w:tcBorders>
            <w:shd w:val="clear" w:color="auto" w:fill="auto"/>
            <w:vAlign w:val="center"/>
          </w:tcPr>
          <w:p w:rsidR="0062564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50_01" w:history="1">
              <w:r w:rsidR="0062564D" w:rsidRPr="00CA61A6">
                <w:rPr>
                  <w:color w:val="0000FF"/>
                  <w:sz w:val="20"/>
                  <w:u w:val="single"/>
                </w:rPr>
                <w:t>50-01</w:t>
              </w:r>
            </w:hyperlink>
          </w:p>
        </w:tc>
        <w:tc>
          <w:tcPr>
            <w:tcW w:w="5033" w:type="dxa"/>
            <w:tcBorders>
              <w:top w:val="double" w:sz="4" w:space="0" w:color="auto"/>
            </w:tcBorders>
            <w:shd w:val="clear" w:color="auto" w:fill="auto"/>
            <w:vAlign w:val="center"/>
          </w:tcPr>
          <w:p w:rsidR="0062564D" w:rsidRPr="00CA61A6" w:rsidRDefault="0062564D" w:rsidP="00053B1F">
            <w:pPr>
              <w:pStyle w:val="Tabletext"/>
            </w:pPr>
            <w:r w:rsidRPr="00CA61A6">
              <w:t>Los expertos de las CE identificarán los trabajos sobre ciberseguridad que se realizan fuera del UIT-T y, si procede, invitarán a participar en los trabajos del UIT-T</w:t>
            </w:r>
          </w:p>
        </w:tc>
        <w:tc>
          <w:tcPr>
            <w:tcW w:w="1474" w:type="dxa"/>
            <w:tcBorders>
              <w:top w:val="double" w:sz="4" w:space="0" w:color="auto"/>
            </w:tcBorders>
            <w:shd w:val="clear" w:color="auto" w:fill="auto"/>
            <w:vAlign w:val="center"/>
          </w:tcPr>
          <w:p w:rsidR="0062564D" w:rsidRPr="00CA61A6" w:rsidRDefault="0062564D" w:rsidP="00887C06">
            <w:pPr>
              <w:pStyle w:val="Tabletext"/>
              <w:jc w:val="center"/>
            </w:pPr>
            <w:r w:rsidRPr="00CA61A6">
              <w:t>En curso</w:t>
            </w:r>
          </w:p>
        </w:tc>
        <w:tc>
          <w:tcPr>
            <w:tcW w:w="1148" w:type="dxa"/>
            <w:tcBorders>
              <w:top w:val="double" w:sz="4" w:space="0" w:color="auto"/>
            </w:tcBorders>
            <w:shd w:val="clear" w:color="auto" w:fill="auto"/>
            <w:vAlign w:val="center"/>
          </w:tcPr>
          <w:p w:rsidR="0062564D" w:rsidRPr="00CA61A6" w:rsidRDefault="000F3CEB" w:rsidP="00887C06">
            <w:pPr>
              <w:pStyle w:val="Tabletext"/>
              <w:jc w:val="center"/>
            </w:pPr>
            <w:r w:rsidRPr="00CA61A6">
              <w:sym w:font="Wingdings" w:char="F0FC"/>
            </w:r>
          </w:p>
        </w:tc>
        <w:tc>
          <w:tcPr>
            <w:tcW w:w="1261" w:type="dxa"/>
            <w:tcBorders>
              <w:top w:val="double" w:sz="4" w:space="0" w:color="auto"/>
            </w:tcBorders>
            <w:shd w:val="clear" w:color="auto" w:fill="auto"/>
            <w:vAlign w:val="center"/>
          </w:tcPr>
          <w:p w:rsidR="0062564D" w:rsidRPr="00CA61A6" w:rsidRDefault="0062564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p>
        </w:tc>
      </w:tr>
      <w:tr w:rsidR="0062564D" w:rsidRPr="00CA61A6" w:rsidTr="00DE25A4">
        <w:trPr>
          <w:cantSplit/>
          <w:jc w:val="center"/>
        </w:trPr>
        <w:tc>
          <w:tcPr>
            <w:tcW w:w="916" w:type="dxa"/>
            <w:shd w:val="clear" w:color="auto" w:fill="auto"/>
            <w:vAlign w:val="center"/>
          </w:tcPr>
          <w:p w:rsidR="0062564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50_02" w:history="1">
              <w:r w:rsidR="0062564D" w:rsidRPr="00CA61A6">
                <w:rPr>
                  <w:color w:val="0000FF"/>
                  <w:sz w:val="20"/>
                  <w:u w:val="single"/>
                </w:rPr>
                <w:t>50-02</w:t>
              </w:r>
            </w:hyperlink>
          </w:p>
        </w:tc>
        <w:tc>
          <w:tcPr>
            <w:tcW w:w="5033" w:type="dxa"/>
            <w:shd w:val="clear" w:color="auto" w:fill="auto"/>
            <w:vAlign w:val="center"/>
            <w:hideMark/>
          </w:tcPr>
          <w:p w:rsidR="0062564D" w:rsidRPr="00CA61A6" w:rsidRDefault="0062564D" w:rsidP="00053B1F">
            <w:pPr>
              <w:pStyle w:val="Tabletext"/>
            </w:pPr>
            <w:r w:rsidRPr="00CA61A6">
              <w:t>Las CE evaluarán la robustez y posible utilización malintencionada de las Recomendaciones y otros documentos, por ejemplo, Guías del Implementador, Directrices, Manuales, etc.</w:t>
            </w:r>
          </w:p>
        </w:tc>
        <w:tc>
          <w:tcPr>
            <w:tcW w:w="1474" w:type="dxa"/>
            <w:shd w:val="clear" w:color="auto" w:fill="auto"/>
            <w:vAlign w:val="center"/>
            <w:hideMark/>
          </w:tcPr>
          <w:p w:rsidR="0062564D" w:rsidRPr="00CA61A6" w:rsidRDefault="0062564D" w:rsidP="00887C06">
            <w:pPr>
              <w:pStyle w:val="Tabletext"/>
              <w:jc w:val="center"/>
            </w:pPr>
            <w:r w:rsidRPr="00CA61A6">
              <w:t>En curso</w:t>
            </w:r>
          </w:p>
        </w:tc>
        <w:tc>
          <w:tcPr>
            <w:tcW w:w="1148" w:type="dxa"/>
            <w:shd w:val="clear" w:color="auto" w:fill="auto"/>
            <w:vAlign w:val="center"/>
          </w:tcPr>
          <w:p w:rsidR="0062564D" w:rsidRPr="00CA61A6" w:rsidRDefault="000F3CEB" w:rsidP="00887C06">
            <w:pPr>
              <w:pStyle w:val="Tabletext"/>
              <w:jc w:val="center"/>
            </w:pPr>
            <w:r w:rsidRPr="00CA61A6">
              <w:sym w:font="Wingdings" w:char="F0FC"/>
            </w:r>
          </w:p>
        </w:tc>
        <w:tc>
          <w:tcPr>
            <w:tcW w:w="1261" w:type="dxa"/>
            <w:shd w:val="clear" w:color="auto" w:fill="auto"/>
            <w:vAlign w:val="center"/>
          </w:tcPr>
          <w:p w:rsidR="0062564D" w:rsidRPr="00CA61A6" w:rsidRDefault="0062564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p>
        </w:tc>
      </w:tr>
      <w:tr w:rsidR="0062564D" w:rsidRPr="00CA61A6" w:rsidTr="00DE25A4">
        <w:trPr>
          <w:cantSplit/>
          <w:jc w:val="center"/>
        </w:trPr>
        <w:tc>
          <w:tcPr>
            <w:tcW w:w="916" w:type="dxa"/>
            <w:shd w:val="clear" w:color="auto" w:fill="auto"/>
            <w:vAlign w:val="center"/>
          </w:tcPr>
          <w:p w:rsidR="0062564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50_03" w:history="1">
              <w:r w:rsidR="0062564D" w:rsidRPr="00CA61A6">
                <w:rPr>
                  <w:color w:val="0000FF"/>
                  <w:sz w:val="20"/>
                  <w:u w:val="single"/>
                </w:rPr>
                <w:t>50-03</w:t>
              </w:r>
            </w:hyperlink>
          </w:p>
        </w:tc>
        <w:tc>
          <w:tcPr>
            <w:tcW w:w="5033" w:type="dxa"/>
            <w:shd w:val="clear" w:color="auto" w:fill="auto"/>
            <w:vAlign w:val="center"/>
          </w:tcPr>
          <w:p w:rsidR="0062564D" w:rsidRPr="00CA61A6" w:rsidRDefault="0062564D" w:rsidP="00053B1F">
            <w:pPr>
              <w:pStyle w:val="Tabletext"/>
            </w:pPr>
            <w:bookmarkStart w:id="342" w:name="lt_pId751"/>
            <w:r w:rsidRPr="00CA61A6">
              <w:t>Las CE informarán regularmente al GANT sobre seguridad en su evaluación de las Recomendaciones</w:t>
            </w:r>
            <w:bookmarkEnd w:id="342"/>
          </w:p>
        </w:tc>
        <w:tc>
          <w:tcPr>
            <w:tcW w:w="1474" w:type="dxa"/>
            <w:shd w:val="clear" w:color="auto" w:fill="auto"/>
            <w:vAlign w:val="center"/>
          </w:tcPr>
          <w:p w:rsidR="0062564D" w:rsidRPr="00CA61A6" w:rsidRDefault="0062564D" w:rsidP="00887C06">
            <w:pPr>
              <w:pStyle w:val="Tabletext"/>
              <w:jc w:val="center"/>
            </w:pPr>
            <w:r w:rsidRPr="00CA61A6">
              <w:t>En curso</w:t>
            </w:r>
          </w:p>
        </w:tc>
        <w:tc>
          <w:tcPr>
            <w:tcW w:w="1148" w:type="dxa"/>
            <w:shd w:val="clear" w:color="auto" w:fill="auto"/>
            <w:vAlign w:val="center"/>
          </w:tcPr>
          <w:p w:rsidR="0062564D" w:rsidRPr="00CA61A6" w:rsidRDefault="0062564D" w:rsidP="00887C06">
            <w:pPr>
              <w:pStyle w:val="Tabletext"/>
              <w:jc w:val="center"/>
            </w:pPr>
            <w:r w:rsidRPr="00CA61A6">
              <w:t>×</w:t>
            </w:r>
          </w:p>
        </w:tc>
        <w:tc>
          <w:tcPr>
            <w:tcW w:w="1261" w:type="dxa"/>
            <w:shd w:val="clear" w:color="auto" w:fill="auto"/>
            <w:vAlign w:val="center"/>
          </w:tcPr>
          <w:p w:rsidR="0062564D" w:rsidRPr="00CA61A6" w:rsidRDefault="0062564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p>
        </w:tc>
      </w:tr>
      <w:tr w:rsidR="0062564D" w:rsidRPr="00CA61A6" w:rsidTr="00DE25A4">
        <w:trPr>
          <w:cantSplit/>
          <w:jc w:val="center"/>
        </w:trPr>
        <w:tc>
          <w:tcPr>
            <w:tcW w:w="916" w:type="dxa"/>
            <w:shd w:val="clear" w:color="auto" w:fill="auto"/>
            <w:vAlign w:val="center"/>
          </w:tcPr>
          <w:p w:rsidR="0062564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50_04" w:history="1">
              <w:r w:rsidR="0062564D" w:rsidRPr="00CA61A6">
                <w:rPr>
                  <w:color w:val="0000FF"/>
                  <w:sz w:val="20"/>
                  <w:u w:val="single"/>
                </w:rPr>
                <w:t>50-04</w:t>
              </w:r>
            </w:hyperlink>
          </w:p>
        </w:tc>
        <w:tc>
          <w:tcPr>
            <w:tcW w:w="5033" w:type="dxa"/>
            <w:shd w:val="clear" w:color="auto" w:fill="auto"/>
            <w:vAlign w:val="center"/>
          </w:tcPr>
          <w:p w:rsidR="0062564D" w:rsidRPr="00CA61A6" w:rsidRDefault="0062564D" w:rsidP="00053B1F">
            <w:pPr>
              <w:pStyle w:val="Tabletext"/>
            </w:pPr>
            <w:bookmarkStart w:id="343" w:name="lt_pId755"/>
            <w:r w:rsidRPr="00CA61A6">
              <w:t>Las CE elaborarán nuevas Recomendaciones sobre los problemas de seguridad que surjan en los nuevos servicios y aplicaciones (por ejemplo, computación en la nube, distribución eléctrica inteligente, STI)</w:t>
            </w:r>
            <w:bookmarkEnd w:id="343"/>
          </w:p>
        </w:tc>
        <w:tc>
          <w:tcPr>
            <w:tcW w:w="1474" w:type="dxa"/>
            <w:shd w:val="clear" w:color="auto" w:fill="auto"/>
            <w:vAlign w:val="center"/>
            <w:hideMark/>
          </w:tcPr>
          <w:p w:rsidR="0062564D" w:rsidRPr="00CA61A6" w:rsidRDefault="0062564D" w:rsidP="00887C06">
            <w:pPr>
              <w:pStyle w:val="Tabletext"/>
              <w:jc w:val="center"/>
            </w:pPr>
            <w:r w:rsidRPr="00CA61A6">
              <w:t>En curso</w:t>
            </w:r>
          </w:p>
        </w:tc>
        <w:tc>
          <w:tcPr>
            <w:tcW w:w="1148" w:type="dxa"/>
            <w:shd w:val="clear" w:color="auto" w:fill="auto"/>
            <w:vAlign w:val="center"/>
          </w:tcPr>
          <w:p w:rsidR="0062564D" w:rsidRPr="00CA61A6" w:rsidRDefault="000F3CEB" w:rsidP="00887C06">
            <w:pPr>
              <w:pStyle w:val="Tabletext"/>
              <w:jc w:val="center"/>
            </w:pPr>
            <w:r w:rsidRPr="00CA61A6">
              <w:sym w:font="Wingdings" w:char="F0FC"/>
            </w:r>
          </w:p>
        </w:tc>
        <w:tc>
          <w:tcPr>
            <w:tcW w:w="1261" w:type="dxa"/>
            <w:shd w:val="clear" w:color="auto" w:fill="auto"/>
            <w:vAlign w:val="center"/>
          </w:tcPr>
          <w:p w:rsidR="0062564D" w:rsidRPr="00CA61A6" w:rsidRDefault="0062564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p>
        </w:tc>
      </w:tr>
      <w:tr w:rsidR="0062564D" w:rsidRPr="00CA61A6" w:rsidTr="00DE25A4">
        <w:trPr>
          <w:cantSplit/>
          <w:jc w:val="center"/>
        </w:trPr>
        <w:tc>
          <w:tcPr>
            <w:tcW w:w="916" w:type="dxa"/>
            <w:shd w:val="clear" w:color="auto" w:fill="auto"/>
            <w:vAlign w:val="center"/>
          </w:tcPr>
          <w:p w:rsidR="0062564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50_05" w:history="1">
              <w:r w:rsidR="0062564D" w:rsidRPr="00CA61A6">
                <w:rPr>
                  <w:color w:val="0000FF"/>
                  <w:sz w:val="20"/>
                  <w:u w:val="single"/>
                </w:rPr>
                <w:t>50-05</w:t>
              </w:r>
            </w:hyperlink>
          </w:p>
        </w:tc>
        <w:tc>
          <w:tcPr>
            <w:tcW w:w="5033" w:type="dxa"/>
            <w:shd w:val="clear" w:color="auto" w:fill="auto"/>
            <w:vAlign w:val="center"/>
          </w:tcPr>
          <w:p w:rsidR="0062564D" w:rsidRPr="00CA61A6" w:rsidRDefault="0062564D" w:rsidP="00053B1F">
            <w:pPr>
              <w:pStyle w:val="Tabletext"/>
            </w:pPr>
            <w:bookmarkStart w:id="344" w:name="lt_pId759"/>
            <w:r w:rsidRPr="00CA61A6">
              <w:t>La CE</w:t>
            </w:r>
            <w:r w:rsidR="00E16148" w:rsidRPr="00CA61A6">
              <w:t> </w:t>
            </w:r>
            <w:r w:rsidRPr="00CA61A6">
              <w:t>17 seguirá desarrollando y mejorando los términos y definiciones relacionados con la creación de confianza y seguridad, en particular el término relativo a la ciberseguridad</w:t>
            </w:r>
            <w:bookmarkEnd w:id="344"/>
          </w:p>
        </w:tc>
        <w:tc>
          <w:tcPr>
            <w:tcW w:w="1474" w:type="dxa"/>
            <w:shd w:val="clear" w:color="auto" w:fill="auto"/>
            <w:vAlign w:val="center"/>
          </w:tcPr>
          <w:p w:rsidR="0062564D" w:rsidRPr="00CA61A6" w:rsidRDefault="0062564D" w:rsidP="00887C06">
            <w:pPr>
              <w:pStyle w:val="Tabletext"/>
              <w:jc w:val="center"/>
            </w:pPr>
            <w:r w:rsidRPr="00CA61A6">
              <w:t>En curso</w:t>
            </w:r>
          </w:p>
        </w:tc>
        <w:tc>
          <w:tcPr>
            <w:tcW w:w="1148" w:type="dxa"/>
            <w:shd w:val="clear" w:color="auto" w:fill="auto"/>
            <w:vAlign w:val="center"/>
          </w:tcPr>
          <w:p w:rsidR="0062564D" w:rsidRPr="00CA61A6" w:rsidRDefault="000F3CEB" w:rsidP="00887C06">
            <w:pPr>
              <w:pStyle w:val="Tabletext"/>
              <w:jc w:val="center"/>
            </w:pPr>
            <w:r w:rsidRPr="00CA61A6">
              <w:sym w:font="Wingdings" w:char="F0FC"/>
            </w:r>
          </w:p>
        </w:tc>
        <w:tc>
          <w:tcPr>
            <w:tcW w:w="1261" w:type="dxa"/>
            <w:shd w:val="clear" w:color="auto" w:fill="auto"/>
            <w:vAlign w:val="center"/>
          </w:tcPr>
          <w:p w:rsidR="0062564D" w:rsidRPr="00CA61A6" w:rsidRDefault="0062564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p>
        </w:tc>
      </w:tr>
      <w:tr w:rsidR="0062564D" w:rsidRPr="00CA61A6" w:rsidTr="00DE25A4">
        <w:trPr>
          <w:cantSplit/>
          <w:jc w:val="center"/>
        </w:trPr>
        <w:tc>
          <w:tcPr>
            <w:tcW w:w="916" w:type="dxa"/>
            <w:shd w:val="clear" w:color="auto" w:fill="auto"/>
            <w:vAlign w:val="center"/>
          </w:tcPr>
          <w:p w:rsidR="0062564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50_06" w:history="1">
              <w:r w:rsidR="0062564D" w:rsidRPr="00CA61A6">
                <w:rPr>
                  <w:color w:val="0000FF"/>
                  <w:sz w:val="20"/>
                  <w:u w:val="single"/>
                </w:rPr>
                <w:t>50-06</w:t>
              </w:r>
            </w:hyperlink>
          </w:p>
        </w:tc>
        <w:tc>
          <w:tcPr>
            <w:tcW w:w="5033" w:type="dxa"/>
            <w:shd w:val="clear" w:color="auto" w:fill="auto"/>
            <w:vAlign w:val="center"/>
          </w:tcPr>
          <w:p w:rsidR="0062564D" w:rsidRPr="00CA61A6" w:rsidRDefault="0062564D" w:rsidP="00053B1F">
            <w:pPr>
              <w:pStyle w:val="Tabletext"/>
            </w:pPr>
            <w:bookmarkStart w:id="345" w:name="lt_pId763"/>
            <w:r w:rsidRPr="00CA61A6">
              <w:t>La CE</w:t>
            </w:r>
            <w:r w:rsidR="00E16148" w:rsidRPr="00CA61A6">
              <w:t> </w:t>
            </w:r>
            <w:r w:rsidRPr="00CA61A6">
              <w:t>17 elaborará normas/directrices contra ciberataques, facilitará el rastreo del origen del ataque, y promoverá un proceso global, coherente e interoperativo para la compartición de información sobre respuesta a incidentes</w:t>
            </w:r>
            <w:bookmarkEnd w:id="345"/>
          </w:p>
        </w:tc>
        <w:tc>
          <w:tcPr>
            <w:tcW w:w="1474" w:type="dxa"/>
            <w:shd w:val="clear" w:color="auto" w:fill="auto"/>
            <w:vAlign w:val="center"/>
          </w:tcPr>
          <w:p w:rsidR="0062564D" w:rsidRPr="00CA61A6" w:rsidRDefault="0062564D" w:rsidP="00887C06">
            <w:pPr>
              <w:pStyle w:val="Tabletext"/>
              <w:jc w:val="center"/>
            </w:pPr>
            <w:r w:rsidRPr="00CA61A6">
              <w:t>En curso</w:t>
            </w:r>
          </w:p>
        </w:tc>
        <w:tc>
          <w:tcPr>
            <w:tcW w:w="1148" w:type="dxa"/>
            <w:shd w:val="clear" w:color="auto" w:fill="auto"/>
            <w:vAlign w:val="center"/>
          </w:tcPr>
          <w:p w:rsidR="0062564D" w:rsidRPr="00CA61A6" w:rsidRDefault="000F3CEB" w:rsidP="00887C06">
            <w:pPr>
              <w:pStyle w:val="Tabletext"/>
              <w:jc w:val="center"/>
            </w:pPr>
            <w:r w:rsidRPr="00CA61A6">
              <w:sym w:font="Wingdings" w:char="F0FC"/>
            </w:r>
          </w:p>
        </w:tc>
        <w:tc>
          <w:tcPr>
            <w:tcW w:w="1261" w:type="dxa"/>
            <w:shd w:val="clear" w:color="auto" w:fill="auto"/>
            <w:vAlign w:val="center"/>
          </w:tcPr>
          <w:p w:rsidR="0062564D" w:rsidRPr="00CA61A6" w:rsidRDefault="0062564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p>
        </w:tc>
      </w:tr>
      <w:tr w:rsidR="0062564D" w:rsidRPr="00CA61A6" w:rsidTr="00DE25A4">
        <w:trPr>
          <w:cantSplit/>
          <w:jc w:val="center"/>
        </w:trPr>
        <w:tc>
          <w:tcPr>
            <w:tcW w:w="916" w:type="dxa"/>
            <w:shd w:val="clear" w:color="auto" w:fill="auto"/>
            <w:vAlign w:val="center"/>
          </w:tcPr>
          <w:p w:rsidR="0062564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50_07" w:history="1">
              <w:r w:rsidR="0062564D" w:rsidRPr="00CA61A6">
                <w:rPr>
                  <w:color w:val="0000FF"/>
                  <w:sz w:val="20"/>
                  <w:u w:val="single"/>
                </w:rPr>
                <w:t>50-07</w:t>
              </w:r>
            </w:hyperlink>
          </w:p>
        </w:tc>
        <w:tc>
          <w:tcPr>
            <w:tcW w:w="5033" w:type="dxa"/>
            <w:shd w:val="clear" w:color="auto" w:fill="auto"/>
            <w:vAlign w:val="center"/>
          </w:tcPr>
          <w:p w:rsidR="0062564D" w:rsidRPr="00CA61A6" w:rsidRDefault="0062564D" w:rsidP="00053B1F">
            <w:pPr>
              <w:pStyle w:val="Tabletext"/>
            </w:pPr>
            <w:bookmarkStart w:id="346" w:name="lt_pId767"/>
            <w:r w:rsidRPr="00CA61A6">
              <w:t>La CE</w:t>
            </w:r>
            <w:r w:rsidR="00E16148" w:rsidRPr="00CA61A6">
              <w:t> </w:t>
            </w:r>
            <w:r w:rsidRPr="00CA61A6">
              <w:t>17 proseguirá sus trabajos sobre las cuestiones planteadas en la Resolución 130 (Rev. G</w:t>
            </w:r>
            <w:r w:rsidR="00D20181">
              <w:t>uadalajara, 2010), y en las Recomendaciones</w:t>
            </w:r>
            <w:r w:rsidR="00DF7993">
              <w:t xml:space="preserve"> UIT-T de la serie X</w:t>
            </w:r>
            <w:r w:rsidRPr="00CA61A6">
              <w:t>, comprendidos los Suplementos, para evaluar la necesidad de material adicional o la revisión del existente en la hoja de ruta, el manual y el compendio sobre seguridad</w:t>
            </w:r>
            <w:bookmarkEnd w:id="346"/>
          </w:p>
        </w:tc>
        <w:tc>
          <w:tcPr>
            <w:tcW w:w="1474" w:type="dxa"/>
            <w:shd w:val="clear" w:color="auto" w:fill="auto"/>
            <w:vAlign w:val="center"/>
          </w:tcPr>
          <w:p w:rsidR="0062564D" w:rsidRPr="00CA61A6" w:rsidRDefault="0062564D" w:rsidP="00887C06">
            <w:pPr>
              <w:pStyle w:val="Tabletext"/>
              <w:jc w:val="center"/>
            </w:pPr>
            <w:r w:rsidRPr="00CA61A6">
              <w:t>En curso</w:t>
            </w:r>
          </w:p>
        </w:tc>
        <w:tc>
          <w:tcPr>
            <w:tcW w:w="1148" w:type="dxa"/>
            <w:shd w:val="clear" w:color="auto" w:fill="auto"/>
            <w:vAlign w:val="center"/>
          </w:tcPr>
          <w:p w:rsidR="0062564D" w:rsidRPr="00CA61A6" w:rsidRDefault="000F3CEB" w:rsidP="00887C06">
            <w:pPr>
              <w:pStyle w:val="Tabletext"/>
              <w:jc w:val="center"/>
            </w:pPr>
            <w:r w:rsidRPr="00CA61A6">
              <w:sym w:font="Wingdings" w:char="F0FC"/>
            </w:r>
          </w:p>
        </w:tc>
        <w:tc>
          <w:tcPr>
            <w:tcW w:w="1261" w:type="dxa"/>
            <w:shd w:val="clear" w:color="auto" w:fill="auto"/>
            <w:vAlign w:val="center"/>
          </w:tcPr>
          <w:p w:rsidR="0062564D" w:rsidRPr="00CA61A6" w:rsidRDefault="0062564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p>
        </w:tc>
      </w:tr>
      <w:tr w:rsidR="0062564D" w:rsidRPr="00CA61A6" w:rsidTr="00DE25A4">
        <w:trPr>
          <w:cantSplit/>
          <w:jc w:val="center"/>
        </w:trPr>
        <w:tc>
          <w:tcPr>
            <w:tcW w:w="916" w:type="dxa"/>
            <w:shd w:val="clear" w:color="auto" w:fill="auto"/>
            <w:vAlign w:val="center"/>
          </w:tcPr>
          <w:p w:rsidR="0062564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50_08" w:history="1">
              <w:r w:rsidR="0062564D" w:rsidRPr="00CA61A6">
                <w:rPr>
                  <w:color w:val="0000FF"/>
                  <w:sz w:val="20"/>
                  <w:u w:val="single"/>
                </w:rPr>
                <w:t>50-08</w:t>
              </w:r>
            </w:hyperlink>
          </w:p>
        </w:tc>
        <w:tc>
          <w:tcPr>
            <w:tcW w:w="5033" w:type="dxa"/>
            <w:shd w:val="clear" w:color="auto" w:fill="auto"/>
            <w:vAlign w:val="center"/>
          </w:tcPr>
          <w:p w:rsidR="0062564D" w:rsidRPr="00CA61A6" w:rsidRDefault="0062564D" w:rsidP="00053B1F">
            <w:pPr>
              <w:pStyle w:val="Tabletext"/>
            </w:pPr>
            <w:bookmarkStart w:id="347" w:name="lt_pId771"/>
            <w:r w:rsidRPr="00CA61A6">
              <w:t>El Director preparará un inventario de iniciativas y actividades para promover la armonización de estrategias y formas de enfocar la ciberseguridad</w:t>
            </w:r>
            <w:bookmarkEnd w:id="347"/>
          </w:p>
        </w:tc>
        <w:tc>
          <w:tcPr>
            <w:tcW w:w="1474" w:type="dxa"/>
            <w:shd w:val="clear" w:color="auto" w:fill="auto"/>
            <w:vAlign w:val="center"/>
          </w:tcPr>
          <w:p w:rsidR="0062564D" w:rsidRPr="00CA61A6" w:rsidRDefault="0062564D" w:rsidP="00887C06">
            <w:pPr>
              <w:pStyle w:val="Tabletext"/>
              <w:jc w:val="center"/>
            </w:pPr>
            <w:r w:rsidRPr="00CA61A6">
              <w:t>En curso</w:t>
            </w:r>
          </w:p>
        </w:tc>
        <w:tc>
          <w:tcPr>
            <w:tcW w:w="1148" w:type="dxa"/>
            <w:shd w:val="clear" w:color="auto" w:fill="auto"/>
            <w:vAlign w:val="center"/>
          </w:tcPr>
          <w:p w:rsidR="0062564D" w:rsidRPr="00CA61A6" w:rsidRDefault="000F3CEB" w:rsidP="00887C06">
            <w:pPr>
              <w:pStyle w:val="Tabletext"/>
              <w:jc w:val="center"/>
            </w:pPr>
            <w:r w:rsidRPr="00CA61A6">
              <w:sym w:font="Wingdings" w:char="F0FC"/>
            </w:r>
          </w:p>
        </w:tc>
        <w:tc>
          <w:tcPr>
            <w:tcW w:w="1261" w:type="dxa"/>
            <w:shd w:val="clear" w:color="auto" w:fill="auto"/>
            <w:vAlign w:val="center"/>
          </w:tcPr>
          <w:p w:rsidR="0062564D" w:rsidRPr="00CA61A6" w:rsidRDefault="0062564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p>
        </w:tc>
      </w:tr>
      <w:tr w:rsidR="0062564D" w:rsidRPr="00CA61A6" w:rsidTr="00DE25A4">
        <w:trPr>
          <w:cantSplit/>
          <w:jc w:val="center"/>
        </w:trPr>
        <w:tc>
          <w:tcPr>
            <w:tcW w:w="916" w:type="dxa"/>
            <w:shd w:val="clear" w:color="auto" w:fill="auto"/>
            <w:vAlign w:val="center"/>
          </w:tcPr>
          <w:p w:rsidR="0062564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50_09" w:history="1">
              <w:r w:rsidR="0062564D" w:rsidRPr="00CA61A6">
                <w:rPr>
                  <w:color w:val="0000FF"/>
                  <w:sz w:val="20"/>
                  <w:u w:val="single"/>
                </w:rPr>
                <w:t>50-09</w:t>
              </w:r>
            </w:hyperlink>
          </w:p>
        </w:tc>
        <w:tc>
          <w:tcPr>
            <w:tcW w:w="5033" w:type="dxa"/>
            <w:shd w:val="clear" w:color="auto" w:fill="auto"/>
            <w:vAlign w:val="center"/>
          </w:tcPr>
          <w:p w:rsidR="0062564D" w:rsidRPr="00CA61A6" w:rsidRDefault="0062564D" w:rsidP="00053B1F">
            <w:pPr>
              <w:pStyle w:val="Tabletext"/>
            </w:pPr>
            <w:bookmarkStart w:id="348" w:name="lt_pId775"/>
            <w:r w:rsidRPr="00CA61A6">
              <w:t>El Director informará al Consejo sobre las medidas adoptadas con arreglo a la Resolución 50</w:t>
            </w:r>
            <w:bookmarkEnd w:id="348"/>
          </w:p>
        </w:tc>
        <w:tc>
          <w:tcPr>
            <w:tcW w:w="1474" w:type="dxa"/>
            <w:shd w:val="clear" w:color="auto" w:fill="auto"/>
            <w:vAlign w:val="center"/>
          </w:tcPr>
          <w:p w:rsidR="0062564D" w:rsidRPr="00CA61A6" w:rsidRDefault="0062564D" w:rsidP="00A932A9">
            <w:pPr>
              <w:pStyle w:val="Tabletext"/>
              <w:jc w:val="center"/>
            </w:pPr>
            <w:bookmarkStart w:id="349" w:name="lt_pId776"/>
            <w:r w:rsidRPr="00CA61A6">
              <w:t>An</w:t>
            </w:r>
            <w:r w:rsidR="00331B84">
              <w:t>u</w:t>
            </w:r>
            <w:r w:rsidRPr="00CA61A6">
              <w:t>al, Consejo de 2013</w:t>
            </w:r>
            <w:bookmarkEnd w:id="349"/>
          </w:p>
        </w:tc>
        <w:tc>
          <w:tcPr>
            <w:tcW w:w="1148" w:type="dxa"/>
            <w:shd w:val="clear" w:color="auto" w:fill="auto"/>
            <w:vAlign w:val="center"/>
          </w:tcPr>
          <w:p w:rsidR="0062564D" w:rsidRPr="00CA61A6" w:rsidRDefault="000F3CEB" w:rsidP="00887C06">
            <w:pPr>
              <w:pStyle w:val="Tabletext"/>
              <w:jc w:val="center"/>
            </w:pPr>
            <w:r w:rsidRPr="00CA61A6">
              <w:sym w:font="Wingdings" w:char="F0FC"/>
            </w:r>
          </w:p>
        </w:tc>
        <w:tc>
          <w:tcPr>
            <w:tcW w:w="1261" w:type="dxa"/>
            <w:shd w:val="clear" w:color="auto" w:fill="auto"/>
            <w:vAlign w:val="center"/>
          </w:tcPr>
          <w:p w:rsidR="0062564D" w:rsidRPr="00CA61A6" w:rsidRDefault="0062564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p>
        </w:tc>
      </w:tr>
      <w:tr w:rsidR="0062564D" w:rsidRPr="00CA61A6" w:rsidTr="00DE25A4">
        <w:trPr>
          <w:cantSplit/>
          <w:jc w:val="center"/>
        </w:trPr>
        <w:tc>
          <w:tcPr>
            <w:tcW w:w="916" w:type="dxa"/>
            <w:shd w:val="clear" w:color="auto" w:fill="auto"/>
            <w:vAlign w:val="center"/>
          </w:tcPr>
          <w:p w:rsidR="0062564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50_10" w:history="1">
              <w:r w:rsidR="0062564D" w:rsidRPr="00CA61A6">
                <w:rPr>
                  <w:color w:val="0000FF"/>
                  <w:sz w:val="20"/>
                  <w:u w:val="single"/>
                </w:rPr>
                <w:t>50-10</w:t>
              </w:r>
            </w:hyperlink>
          </w:p>
        </w:tc>
        <w:tc>
          <w:tcPr>
            <w:tcW w:w="5033" w:type="dxa"/>
            <w:shd w:val="clear" w:color="auto" w:fill="auto"/>
            <w:vAlign w:val="center"/>
          </w:tcPr>
          <w:p w:rsidR="0062564D" w:rsidRPr="00CA61A6" w:rsidRDefault="0062564D" w:rsidP="00053B1F">
            <w:pPr>
              <w:pStyle w:val="Tabletext"/>
            </w:pPr>
            <w:bookmarkStart w:id="350" w:name="lt_pId779"/>
            <w:r w:rsidRPr="00CA61A6">
              <w:t>El Director seguirá contribuyendo a las actividades de la CMSI relacionadas con la seguridad</w:t>
            </w:r>
            <w:bookmarkEnd w:id="350"/>
          </w:p>
        </w:tc>
        <w:tc>
          <w:tcPr>
            <w:tcW w:w="1474" w:type="dxa"/>
            <w:shd w:val="clear" w:color="auto" w:fill="auto"/>
            <w:vAlign w:val="center"/>
          </w:tcPr>
          <w:p w:rsidR="0062564D" w:rsidRPr="00CA61A6" w:rsidRDefault="0062564D" w:rsidP="00887C06">
            <w:pPr>
              <w:pStyle w:val="Tabletext"/>
              <w:jc w:val="center"/>
            </w:pPr>
            <w:r w:rsidRPr="00CA61A6">
              <w:t>En curso</w:t>
            </w:r>
          </w:p>
        </w:tc>
        <w:tc>
          <w:tcPr>
            <w:tcW w:w="1148" w:type="dxa"/>
            <w:shd w:val="clear" w:color="auto" w:fill="auto"/>
            <w:vAlign w:val="center"/>
          </w:tcPr>
          <w:p w:rsidR="0062564D" w:rsidRPr="00CA61A6" w:rsidRDefault="000F3CEB" w:rsidP="00887C06">
            <w:pPr>
              <w:pStyle w:val="Tabletext"/>
              <w:jc w:val="center"/>
            </w:pPr>
            <w:r w:rsidRPr="00CA61A6">
              <w:sym w:font="Wingdings" w:char="F0FC"/>
            </w:r>
          </w:p>
        </w:tc>
        <w:tc>
          <w:tcPr>
            <w:tcW w:w="1261" w:type="dxa"/>
            <w:shd w:val="clear" w:color="auto" w:fill="auto"/>
            <w:vAlign w:val="center"/>
          </w:tcPr>
          <w:p w:rsidR="0062564D" w:rsidRPr="00CA61A6" w:rsidRDefault="0062564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p>
        </w:tc>
      </w:tr>
      <w:tr w:rsidR="0062564D" w:rsidRPr="00CA61A6" w:rsidTr="00DE25A4">
        <w:trPr>
          <w:cantSplit/>
          <w:jc w:val="center"/>
        </w:trPr>
        <w:tc>
          <w:tcPr>
            <w:tcW w:w="916" w:type="dxa"/>
            <w:shd w:val="clear" w:color="auto" w:fill="auto"/>
            <w:vAlign w:val="center"/>
          </w:tcPr>
          <w:p w:rsidR="0062564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50_11" w:history="1">
              <w:r w:rsidR="0062564D" w:rsidRPr="00CA61A6">
                <w:rPr>
                  <w:color w:val="0000FF"/>
                  <w:sz w:val="20"/>
                  <w:u w:val="single"/>
                </w:rPr>
                <w:t>50-11</w:t>
              </w:r>
            </w:hyperlink>
          </w:p>
        </w:tc>
        <w:tc>
          <w:tcPr>
            <w:tcW w:w="5033" w:type="dxa"/>
            <w:shd w:val="clear" w:color="auto" w:fill="auto"/>
            <w:vAlign w:val="center"/>
          </w:tcPr>
          <w:p w:rsidR="0062564D" w:rsidRPr="00CA61A6" w:rsidRDefault="0062564D" w:rsidP="00053B1F">
            <w:pPr>
              <w:pStyle w:val="Tabletext"/>
            </w:pPr>
            <w:bookmarkStart w:id="351" w:name="lt_pId783"/>
            <w:r w:rsidRPr="00CA61A6">
              <w:t xml:space="preserve">El Director cooperará con GCA, IMPACT, FIRST etc. para establecer relaciones/alianzas para los </w:t>
            </w:r>
            <w:r w:rsidR="009C7DAD" w:rsidRPr="00CA61A6">
              <w:t xml:space="preserve">miembros </w:t>
            </w:r>
            <w:r w:rsidRPr="00CA61A6">
              <w:t>de la UIT, en particular los países en desarrollo</w:t>
            </w:r>
            <w:bookmarkEnd w:id="351"/>
          </w:p>
        </w:tc>
        <w:tc>
          <w:tcPr>
            <w:tcW w:w="1474" w:type="dxa"/>
            <w:shd w:val="clear" w:color="auto" w:fill="auto"/>
            <w:vAlign w:val="center"/>
          </w:tcPr>
          <w:p w:rsidR="0062564D" w:rsidRPr="00CA61A6" w:rsidRDefault="0062564D" w:rsidP="00887C06">
            <w:pPr>
              <w:pStyle w:val="Tabletext"/>
              <w:jc w:val="center"/>
            </w:pPr>
            <w:r w:rsidRPr="00CA61A6">
              <w:t>En curso</w:t>
            </w:r>
          </w:p>
        </w:tc>
        <w:tc>
          <w:tcPr>
            <w:tcW w:w="1148" w:type="dxa"/>
            <w:shd w:val="clear" w:color="auto" w:fill="auto"/>
            <w:vAlign w:val="center"/>
          </w:tcPr>
          <w:p w:rsidR="0062564D" w:rsidRPr="00CA61A6" w:rsidRDefault="000F3CEB" w:rsidP="00887C06">
            <w:pPr>
              <w:pStyle w:val="Tabletext"/>
              <w:jc w:val="center"/>
            </w:pPr>
            <w:r w:rsidRPr="00CA61A6">
              <w:sym w:font="Wingdings" w:char="F0FC"/>
            </w:r>
          </w:p>
        </w:tc>
        <w:tc>
          <w:tcPr>
            <w:tcW w:w="1261" w:type="dxa"/>
            <w:shd w:val="clear" w:color="auto" w:fill="auto"/>
            <w:vAlign w:val="center"/>
          </w:tcPr>
          <w:p w:rsidR="0062564D" w:rsidRPr="00CA61A6" w:rsidRDefault="0062564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p>
        </w:tc>
      </w:tr>
      <w:tr w:rsidR="0062564D" w:rsidRPr="00CA61A6" w:rsidTr="00DE25A4">
        <w:trPr>
          <w:cantSplit/>
          <w:jc w:val="center"/>
        </w:trPr>
        <w:tc>
          <w:tcPr>
            <w:tcW w:w="916" w:type="dxa"/>
            <w:shd w:val="clear" w:color="auto" w:fill="auto"/>
            <w:vAlign w:val="center"/>
          </w:tcPr>
          <w:p w:rsidR="0062564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50_12" w:history="1">
              <w:r w:rsidR="0062564D" w:rsidRPr="00CA61A6">
                <w:rPr>
                  <w:color w:val="0000FF"/>
                  <w:sz w:val="20"/>
                  <w:u w:val="single"/>
                </w:rPr>
                <w:t>50-12</w:t>
              </w:r>
            </w:hyperlink>
          </w:p>
        </w:tc>
        <w:tc>
          <w:tcPr>
            <w:tcW w:w="5033" w:type="dxa"/>
            <w:shd w:val="clear" w:color="auto" w:fill="auto"/>
            <w:vAlign w:val="center"/>
          </w:tcPr>
          <w:p w:rsidR="0062564D" w:rsidRPr="00CA61A6" w:rsidRDefault="0062564D" w:rsidP="002E625F">
            <w:pPr>
              <w:pStyle w:val="Tabletext"/>
            </w:pPr>
            <w:bookmarkStart w:id="352" w:name="lt_pId787"/>
            <w:r w:rsidRPr="00CA61A6">
              <w:t>El Director colaborará con otros funcionarios de elección de la UIT para ayudar a la Secretaría General a preparar un posible MoU con arreglo a la Res</w:t>
            </w:r>
            <w:r w:rsidR="002E625F">
              <w:t>olución</w:t>
            </w:r>
            <w:r w:rsidRPr="00CA61A6">
              <w:t xml:space="preserve"> 45</w:t>
            </w:r>
            <w:bookmarkEnd w:id="352"/>
            <w:r w:rsidRPr="00CA61A6">
              <w:t xml:space="preserve"> de la CMDT</w:t>
            </w:r>
          </w:p>
        </w:tc>
        <w:tc>
          <w:tcPr>
            <w:tcW w:w="1474" w:type="dxa"/>
            <w:shd w:val="clear" w:color="auto" w:fill="auto"/>
            <w:vAlign w:val="center"/>
          </w:tcPr>
          <w:p w:rsidR="0062564D" w:rsidRPr="00CA61A6" w:rsidRDefault="0062564D" w:rsidP="00887C06">
            <w:pPr>
              <w:pStyle w:val="Tabletext"/>
              <w:jc w:val="center"/>
            </w:pPr>
            <w:r w:rsidRPr="00CA61A6">
              <w:t>En curso</w:t>
            </w:r>
          </w:p>
        </w:tc>
        <w:tc>
          <w:tcPr>
            <w:tcW w:w="1148" w:type="dxa"/>
            <w:shd w:val="clear" w:color="auto" w:fill="auto"/>
            <w:vAlign w:val="center"/>
          </w:tcPr>
          <w:p w:rsidR="0062564D" w:rsidRPr="00CA61A6" w:rsidRDefault="0062564D" w:rsidP="00887C06">
            <w:pPr>
              <w:pStyle w:val="Tabletext"/>
              <w:jc w:val="center"/>
            </w:pPr>
            <w:r w:rsidRPr="00CA61A6">
              <w:t>×</w:t>
            </w:r>
          </w:p>
        </w:tc>
        <w:tc>
          <w:tcPr>
            <w:tcW w:w="1261" w:type="dxa"/>
            <w:shd w:val="clear" w:color="auto" w:fill="auto"/>
            <w:vAlign w:val="center"/>
          </w:tcPr>
          <w:p w:rsidR="0062564D" w:rsidRPr="00CA61A6" w:rsidRDefault="0062564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p>
        </w:tc>
      </w:tr>
    </w:tbl>
    <w:p w:rsidR="0062564D" w:rsidRPr="00CA61A6" w:rsidRDefault="00E9609F" w:rsidP="00216214">
      <w:pPr>
        <w:pStyle w:val="Headingb"/>
        <w:keepLines/>
      </w:pPr>
      <w:bookmarkStart w:id="353" w:name="Item50_01"/>
      <w:r w:rsidRPr="00CA61A6">
        <w:t xml:space="preserve">Acción </w:t>
      </w:r>
      <w:r w:rsidR="0062564D" w:rsidRPr="00CA61A6">
        <w:t>50-01: CE</w:t>
      </w:r>
      <w:r w:rsidR="00006011" w:rsidRPr="00CA61A6">
        <w:t> </w:t>
      </w:r>
      <w:r w:rsidR="0062564D" w:rsidRPr="00CA61A6">
        <w:t>17</w:t>
      </w:r>
    </w:p>
    <w:p w:rsidR="0062564D" w:rsidRPr="00CA61A6" w:rsidRDefault="0062564D" w:rsidP="00216214">
      <w:pPr>
        <w:keepNext/>
        <w:keepLines/>
        <w:rPr>
          <w:lang w:eastAsia="ja-JP"/>
        </w:rPr>
      </w:pPr>
      <w:bookmarkStart w:id="354" w:name="lt_pId791"/>
      <w:bookmarkEnd w:id="353"/>
      <w:r w:rsidRPr="00CA61A6">
        <w:rPr>
          <w:lang w:eastAsia="ja-JP"/>
        </w:rPr>
        <w:t xml:space="preserve">La Cuestión 4/17 </w:t>
      </w:r>
      <w:r w:rsidR="00B26079" w:rsidRPr="00CA61A6">
        <w:rPr>
          <w:lang w:eastAsia="ja-JP"/>
        </w:rPr>
        <w:t>"</w:t>
      </w:r>
      <w:r w:rsidRPr="00CA61A6">
        <w:rPr>
          <w:lang w:eastAsia="ja-JP"/>
        </w:rPr>
        <w:t>Ciberseguridad</w:t>
      </w:r>
      <w:r w:rsidR="00B26079" w:rsidRPr="00CA61A6">
        <w:rPr>
          <w:lang w:eastAsia="ja-JP"/>
        </w:rPr>
        <w:t>"</w:t>
      </w:r>
      <w:r w:rsidRPr="00CA61A6">
        <w:rPr>
          <w:lang w:eastAsia="ja-JP"/>
        </w:rPr>
        <w:t xml:space="preserve"> tiene su origen principalmente en la Resolución 50.</w:t>
      </w:r>
      <w:bookmarkEnd w:id="354"/>
      <w:r w:rsidRPr="00CA61A6">
        <w:rPr>
          <w:lang w:eastAsia="ja-JP"/>
        </w:rPr>
        <w:t xml:space="preserve"> </w:t>
      </w:r>
      <w:bookmarkStart w:id="355" w:name="lt_pId792"/>
      <w:r w:rsidR="00901E6C">
        <w:rPr>
          <w:lang w:eastAsia="ja-JP"/>
        </w:rPr>
        <w:t>La elaboración de la Recomendación</w:t>
      </w:r>
      <w:r w:rsidRPr="00CA61A6">
        <w:rPr>
          <w:lang w:eastAsia="ja-JP"/>
        </w:rPr>
        <w:t xml:space="preserve"> UIT-T X.1500 sobre el conjunto de técnicas CYBEX representa una forma de mejorar la seguridad a escala mundial. El panorama de la ciberseguridad se supervisa y se identifican y evalúan nuevos grupos y actividades</w:t>
      </w:r>
      <w:bookmarkStart w:id="356" w:name="lt_pId793"/>
      <w:bookmarkEnd w:id="355"/>
      <w:r w:rsidRPr="00CA61A6">
        <w:rPr>
          <w:lang w:eastAsia="ja-JP"/>
        </w:rPr>
        <w:t>.</w:t>
      </w:r>
      <w:bookmarkEnd w:id="356"/>
      <w:r w:rsidRPr="00CA61A6">
        <w:rPr>
          <w:lang w:eastAsia="ja-JP"/>
        </w:rPr>
        <w:t xml:space="preserve"> </w:t>
      </w:r>
      <w:bookmarkStart w:id="357" w:name="lt_pId794"/>
      <w:r w:rsidRPr="00CA61A6">
        <w:rPr>
          <w:lang w:eastAsia="ja-JP"/>
        </w:rPr>
        <w:t>Existe una coordinación constante con un gran espectro de organizaciones que, en muchos casos, importan sus plataformas técnicas relacionadas con la UIT-T X.1500.</w:t>
      </w:r>
      <w:bookmarkEnd w:id="357"/>
    </w:p>
    <w:p w:rsidR="0062564D" w:rsidRPr="00CA61A6" w:rsidRDefault="0062564D" w:rsidP="00681F85">
      <w:pPr>
        <w:rPr>
          <w:lang w:eastAsia="ja-JP"/>
        </w:rPr>
      </w:pPr>
      <w:bookmarkStart w:id="358" w:name="lt_pId795"/>
      <w:r w:rsidRPr="00CA61A6">
        <w:rPr>
          <w:lang w:eastAsia="ja-JP"/>
        </w:rPr>
        <w:t>Entre ellas, cabe citar FIRST, OASIS, TCG, ETSI, CCDB, APWG, IETF, ENISA y la ISO/CEI.</w:t>
      </w:r>
      <w:bookmarkEnd w:id="358"/>
      <w:r w:rsidRPr="00CA61A6">
        <w:rPr>
          <w:lang w:eastAsia="ja-JP"/>
        </w:rPr>
        <w:t xml:space="preserve"> </w:t>
      </w:r>
      <w:bookmarkStart w:id="359" w:name="lt_pId796"/>
      <w:r w:rsidRPr="00CA61A6">
        <w:rPr>
          <w:lang w:eastAsia="ja-JP"/>
        </w:rPr>
        <w:t xml:space="preserve">Para algunos de estos órganos, se ha establecido la categoría de organización internacional y la calificación de foros y consorcios con arreglo a la </w:t>
      </w:r>
      <w:r w:rsidR="00681F85">
        <w:rPr>
          <w:lang w:eastAsia="ja-JP"/>
        </w:rPr>
        <w:t>Recomendación</w:t>
      </w:r>
      <w:r w:rsidRPr="00CA61A6">
        <w:rPr>
          <w:lang w:eastAsia="ja-JP"/>
        </w:rPr>
        <w:t xml:space="preserve"> UIT-T A.4, y se seguirá procediendo de esta manera.</w:t>
      </w:r>
      <w:bookmarkEnd w:id="359"/>
    </w:p>
    <w:p w:rsidR="0062564D" w:rsidRPr="00CA61A6" w:rsidRDefault="005A445E" w:rsidP="005A445E">
      <w:pPr>
        <w:pStyle w:val="Headingb"/>
        <w:keepLines/>
      </w:pPr>
      <w:bookmarkStart w:id="360" w:name="Item50_02"/>
      <w:r w:rsidRPr="00CA61A6">
        <w:t xml:space="preserve">Acción </w:t>
      </w:r>
      <w:r w:rsidR="0062564D" w:rsidRPr="00CA61A6">
        <w:t>50-02: CE</w:t>
      </w:r>
    </w:p>
    <w:p w:rsidR="0062564D" w:rsidRPr="00CA61A6" w:rsidRDefault="0062564D" w:rsidP="00914719">
      <w:pPr>
        <w:rPr>
          <w:szCs w:val="24"/>
          <w:lang w:eastAsia="ja-JP"/>
        </w:rPr>
      </w:pPr>
      <w:bookmarkStart w:id="361" w:name="lt_pId798"/>
      <w:bookmarkEnd w:id="360"/>
      <w:r w:rsidRPr="00CA61A6">
        <w:rPr>
          <w:szCs w:val="24"/>
          <w:lang w:eastAsia="ja-JP"/>
        </w:rPr>
        <w:t>La CE</w:t>
      </w:r>
      <w:r w:rsidR="005A445E" w:rsidRPr="00CA61A6">
        <w:rPr>
          <w:szCs w:val="24"/>
          <w:lang w:eastAsia="ja-JP"/>
        </w:rPr>
        <w:t> </w:t>
      </w:r>
      <w:r w:rsidRPr="00CA61A6">
        <w:rPr>
          <w:szCs w:val="24"/>
          <w:lang w:eastAsia="ja-JP"/>
        </w:rPr>
        <w:t xml:space="preserve">17 ofrece orientación y metodología para otras comisiones </w:t>
      </w:r>
      <w:r w:rsidR="00914719">
        <w:rPr>
          <w:szCs w:val="24"/>
          <w:lang w:eastAsia="ja-JP"/>
        </w:rPr>
        <w:t>de estudios; por ejemplo la UIT</w:t>
      </w:r>
      <w:r w:rsidR="00914719">
        <w:rPr>
          <w:szCs w:val="24"/>
          <w:lang w:eastAsia="ja-JP"/>
        </w:rPr>
        <w:noBreakHyphen/>
      </w:r>
      <w:r w:rsidRPr="00CA61A6">
        <w:rPr>
          <w:szCs w:val="24"/>
          <w:lang w:eastAsia="ja-JP"/>
        </w:rPr>
        <w:t>T</w:t>
      </w:r>
      <w:r w:rsidR="00914719">
        <w:rPr>
          <w:szCs w:val="24"/>
          <w:lang w:eastAsia="ja-JP"/>
        </w:rPr>
        <w:t> </w:t>
      </w:r>
      <w:r w:rsidRPr="00CA61A6">
        <w:rPr>
          <w:szCs w:val="24"/>
          <w:lang w:eastAsia="ja-JP"/>
        </w:rPr>
        <w:t>X.805.</w:t>
      </w:r>
      <w:bookmarkEnd w:id="361"/>
    </w:p>
    <w:p w:rsidR="0062564D" w:rsidRPr="00CA61A6" w:rsidRDefault="0062564D" w:rsidP="007B3478">
      <w:pPr>
        <w:rPr>
          <w:szCs w:val="24"/>
          <w:lang w:eastAsia="ja-JP"/>
        </w:rPr>
      </w:pPr>
      <w:bookmarkStart w:id="362" w:name="lt_pId799"/>
      <w:r w:rsidRPr="00CA61A6">
        <w:rPr>
          <w:szCs w:val="24"/>
          <w:lang w:eastAsia="ja-JP"/>
        </w:rPr>
        <w:t xml:space="preserve">Se han publicado </w:t>
      </w:r>
      <w:r w:rsidR="004A7C29" w:rsidRPr="00CA61A6">
        <w:rPr>
          <w:szCs w:val="24"/>
          <w:lang w:eastAsia="ja-JP"/>
        </w:rPr>
        <w:t xml:space="preserve">Recomendaciones </w:t>
      </w:r>
      <w:r w:rsidRPr="00CA61A6">
        <w:rPr>
          <w:szCs w:val="24"/>
          <w:lang w:eastAsia="ja-JP"/>
        </w:rPr>
        <w:t>sobre la gestión de la seguridad de la información, la gestión de riesgos y la gestión de incidentes de seguridad y otras están en fase de desarrollo, sobre cómo responder proactivamente a las vulnerabilidades y amenazas de seguridad.</w:t>
      </w:r>
      <w:bookmarkEnd w:id="362"/>
    </w:p>
    <w:p w:rsidR="0062564D" w:rsidRPr="00CA61A6" w:rsidRDefault="00553ACB" w:rsidP="00287B9B">
      <w:pPr>
        <w:pStyle w:val="Headingb"/>
        <w:keepLines/>
      </w:pPr>
      <w:bookmarkStart w:id="363" w:name="Item50_03"/>
      <w:r w:rsidRPr="00CA61A6">
        <w:t xml:space="preserve">Acción </w:t>
      </w:r>
      <w:r w:rsidR="0062564D" w:rsidRPr="00CA61A6">
        <w:t>50-03: CE</w:t>
      </w:r>
    </w:p>
    <w:p w:rsidR="0062564D" w:rsidRPr="00CA61A6" w:rsidRDefault="0062564D" w:rsidP="007B3478">
      <w:pPr>
        <w:rPr>
          <w:bCs/>
        </w:rPr>
      </w:pPr>
      <w:bookmarkStart w:id="364" w:name="lt_pId801"/>
      <w:bookmarkEnd w:id="363"/>
      <w:r w:rsidRPr="00CA61A6">
        <w:rPr>
          <w:szCs w:val="24"/>
          <w:lang w:eastAsia="ja-JP"/>
        </w:rPr>
        <w:t>La CE</w:t>
      </w:r>
      <w:r w:rsidR="00E16148" w:rsidRPr="00CA61A6">
        <w:rPr>
          <w:szCs w:val="24"/>
          <w:lang w:eastAsia="ja-JP"/>
        </w:rPr>
        <w:t> </w:t>
      </w:r>
      <w:r w:rsidRPr="00CA61A6">
        <w:rPr>
          <w:szCs w:val="24"/>
          <w:lang w:eastAsia="ja-JP"/>
        </w:rPr>
        <w:t>17 realizó una actividad para evaluar las Recomendaciones de la CE</w:t>
      </w:r>
      <w:r w:rsidR="00663B78" w:rsidRPr="00CA61A6">
        <w:rPr>
          <w:szCs w:val="24"/>
          <w:lang w:eastAsia="ja-JP"/>
        </w:rPr>
        <w:t> </w:t>
      </w:r>
      <w:r w:rsidRPr="00CA61A6">
        <w:rPr>
          <w:szCs w:val="24"/>
          <w:lang w:eastAsia="ja-JP"/>
        </w:rPr>
        <w:t xml:space="preserve">17 y convino en que </w:t>
      </w:r>
      <w:bookmarkEnd w:id="364"/>
      <w:r w:rsidRPr="00CA61A6">
        <w:rPr>
          <w:szCs w:val="24"/>
          <w:lang w:eastAsia="ja-JP"/>
        </w:rPr>
        <w:t xml:space="preserve">el informe </w:t>
      </w:r>
      <w:r w:rsidRPr="00CA61A6">
        <w:rPr>
          <w:bCs/>
        </w:rPr>
        <w:t>X.TRsuss (</w:t>
      </w:r>
      <w:r w:rsidR="00A4404E" w:rsidRPr="00CA61A6">
        <w:t xml:space="preserve">Informe </w:t>
      </w:r>
      <w:r w:rsidRPr="00CA61A6">
        <w:t xml:space="preserve">técnico sobre la aplicación eficaz de las normas de seguridad) sea un resultado de esta actividad. Este </w:t>
      </w:r>
      <w:r w:rsidR="003B3EA8" w:rsidRPr="00CA61A6">
        <w:t xml:space="preserve">Informe </w:t>
      </w:r>
      <w:r w:rsidRPr="00CA61A6">
        <w:t xml:space="preserve">técnico tiene por objeto </w:t>
      </w:r>
      <w:r w:rsidRPr="00CA61A6">
        <w:rPr>
          <w:bCs/>
        </w:rPr>
        <w:t>comprender mejor los beneficios (eficacia) derivados de la aplicación de las Recomendaciones UIT-T relacionadas con la seguridad en diversos contextos (por ejemplo, en las esferas empresarial, comercial, gubernamental e industrial).</w:t>
      </w:r>
    </w:p>
    <w:p w:rsidR="0062564D" w:rsidRPr="00CA61A6" w:rsidRDefault="00287B9B" w:rsidP="00287B9B">
      <w:pPr>
        <w:pStyle w:val="Headingb"/>
        <w:keepLines/>
      </w:pPr>
      <w:bookmarkStart w:id="365" w:name="Item50_04"/>
      <w:r w:rsidRPr="00CA61A6">
        <w:lastRenderedPageBreak/>
        <w:t xml:space="preserve">Acción </w:t>
      </w:r>
      <w:r w:rsidR="0062564D" w:rsidRPr="00CA61A6">
        <w:t>50-04: CE</w:t>
      </w:r>
    </w:p>
    <w:p w:rsidR="0062564D" w:rsidRPr="00CA61A6" w:rsidRDefault="0062564D" w:rsidP="00637D84">
      <w:pPr>
        <w:rPr>
          <w:szCs w:val="24"/>
          <w:lang w:eastAsia="ja-JP"/>
        </w:rPr>
      </w:pPr>
      <w:bookmarkStart w:id="366" w:name="lt_pId804"/>
      <w:bookmarkEnd w:id="365"/>
      <w:r w:rsidRPr="00CA61A6">
        <w:rPr>
          <w:lang w:eastAsia="ja-JP"/>
        </w:rPr>
        <w:t xml:space="preserve">En el marco de la Cuestión 8/17 se está estudiando la seguridad de la computación en la nube y en la Cuestión 6/17 </w:t>
      </w:r>
      <w:r w:rsidR="00637D84">
        <w:rPr>
          <w:lang w:eastAsia="ja-JP"/>
        </w:rPr>
        <w:t>la</w:t>
      </w:r>
      <w:r w:rsidRPr="00CA61A6">
        <w:rPr>
          <w:lang w:eastAsia="ja-JP"/>
        </w:rPr>
        <w:t xml:space="preserve"> seguridad de la distribución eléctrica inteligente y los STI inteligentes.</w:t>
      </w:r>
      <w:bookmarkEnd w:id="366"/>
      <w:r w:rsidRPr="00CA61A6">
        <w:rPr>
          <w:lang w:eastAsia="ja-JP"/>
        </w:rPr>
        <w:t xml:space="preserve"> </w:t>
      </w:r>
      <w:bookmarkStart w:id="367" w:name="lt_pId805"/>
      <w:r w:rsidRPr="00CA61A6">
        <w:rPr>
          <w:lang w:eastAsia="ja-JP"/>
        </w:rPr>
        <w:t>La C11/17 está estudiando la aplicación de PKI en nuevos ámbitos, por ejemplo, la distribución eléctrica inteligente.</w:t>
      </w:r>
      <w:bookmarkEnd w:id="367"/>
    </w:p>
    <w:p w:rsidR="0062564D" w:rsidRPr="00CA61A6" w:rsidRDefault="00287B9B" w:rsidP="00287B9B">
      <w:pPr>
        <w:pStyle w:val="Headingb"/>
        <w:keepLines/>
      </w:pPr>
      <w:bookmarkStart w:id="368" w:name="Item50_05"/>
      <w:r w:rsidRPr="00CA61A6">
        <w:t xml:space="preserve">Acción </w:t>
      </w:r>
      <w:r w:rsidR="0062564D" w:rsidRPr="00CA61A6">
        <w:t>50-05: CE</w:t>
      </w:r>
      <w:r w:rsidRPr="00CA61A6">
        <w:t> </w:t>
      </w:r>
      <w:r w:rsidR="0062564D" w:rsidRPr="00CA61A6">
        <w:t>17</w:t>
      </w:r>
    </w:p>
    <w:p w:rsidR="0062564D" w:rsidRPr="00CA61A6" w:rsidRDefault="0062564D" w:rsidP="007B3478">
      <w:pPr>
        <w:rPr>
          <w:szCs w:val="24"/>
          <w:lang w:eastAsia="ja-JP"/>
        </w:rPr>
      </w:pPr>
      <w:bookmarkStart w:id="369" w:name="lt_pId807"/>
      <w:bookmarkEnd w:id="368"/>
      <w:r w:rsidRPr="00CA61A6">
        <w:rPr>
          <w:lang w:eastAsia="ja-JP"/>
        </w:rPr>
        <w:t>La CE</w:t>
      </w:r>
      <w:r w:rsidR="00E16148" w:rsidRPr="00CA61A6">
        <w:rPr>
          <w:lang w:eastAsia="ja-JP"/>
        </w:rPr>
        <w:t> </w:t>
      </w:r>
      <w:r w:rsidRPr="00CA61A6">
        <w:rPr>
          <w:lang w:eastAsia="ja-JP"/>
        </w:rPr>
        <w:t>17 invitó a presentar contribuciones sobre este particular.</w:t>
      </w:r>
      <w:bookmarkEnd w:id="369"/>
      <w:r w:rsidRPr="00CA61A6">
        <w:rPr>
          <w:lang w:eastAsia="ja-JP"/>
        </w:rPr>
        <w:t xml:space="preserve"> </w:t>
      </w:r>
      <w:bookmarkStart w:id="370" w:name="lt_pId808"/>
      <w:r w:rsidRPr="00CA61A6">
        <w:rPr>
          <w:lang w:eastAsia="ja-JP"/>
        </w:rPr>
        <w:t>La Cuestión 4/17 ha elaborado términos y definiciones sobre la creación de confianza y seguridad, comprendidas las vulnerabilidades, puntos débiles y garantías, en las Recomendaciones UIT-T de la serie X.1500.</w:t>
      </w:r>
      <w:bookmarkEnd w:id="370"/>
    </w:p>
    <w:p w:rsidR="0062564D" w:rsidRPr="00CA61A6" w:rsidRDefault="00287B9B" w:rsidP="00287B9B">
      <w:pPr>
        <w:pStyle w:val="Headingb"/>
        <w:keepLines/>
      </w:pPr>
      <w:bookmarkStart w:id="371" w:name="Item50_06"/>
      <w:r w:rsidRPr="00CA61A6">
        <w:t xml:space="preserve">Acción </w:t>
      </w:r>
      <w:r w:rsidR="0062564D" w:rsidRPr="00CA61A6">
        <w:t xml:space="preserve">50-06: </w:t>
      </w:r>
      <w:r w:rsidRPr="00CA61A6">
        <w:t>CE 17</w:t>
      </w:r>
    </w:p>
    <w:p w:rsidR="0062564D" w:rsidRPr="00CA61A6" w:rsidRDefault="0062564D" w:rsidP="00680050">
      <w:pPr>
        <w:rPr>
          <w:szCs w:val="24"/>
          <w:lang w:eastAsia="ja-JP"/>
        </w:rPr>
      </w:pPr>
      <w:bookmarkStart w:id="372" w:name="lt_pId810"/>
      <w:bookmarkEnd w:id="371"/>
      <w:r w:rsidRPr="00CA61A6">
        <w:rPr>
          <w:lang w:eastAsia="ja-JP"/>
        </w:rPr>
        <w:t>En el marco de la Cuestión 4/17 se ha preparado una serie de Recomendaciones que facilita</w:t>
      </w:r>
      <w:r w:rsidR="00680050">
        <w:rPr>
          <w:lang w:eastAsia="ja-JP"/>
        </w:rPr>
        <w:t>n</w:t>
      </w:r>
      <w:r w:rsidRPr="00CA61A6">
        <w:rPr>
          <w:lang w:eastAsia="ja-JP"/>
        </w:rPr>
        <w:t xml:space="preserve"> la compartición mundial, coherente e interoperativa de información sobre respuesta a incidentes relacionada con la serie X.1500: por ejemplo, UIT-T X.1520, X.1521 y X.1544.</w:t>
      </w:r>
      <w:bookmarkEnd w:id="372"/>
    </w:p>
    <w:p w:rsidR="0062564D" w:rsidRPr="00CA61A6" w:rsidRDefault="00287B9B" w:rsidP="00287B9B">
      <w:pPr>
        <w:pStyle w:val="Headingb"/>
        <w:keepLines/>
      </w:pPr>
      <w:r w:rsidRPr="00CA61A6">
        <w:t xml:space="preserve">Acción </w:t>
      </w:r>
      <w:r w:rsidR="0062564D" w:rsidRPr="00CA61A6">
        <w:t xml:space="preserve">50-07: </w:t>
      </w:r>
      <w:r w:rsidRPr="00CA61A6">
        <w:t>CE 17</w:t>
      </w:r>
    </w:p>
    <w:p w:rsidR="0062564D" w:rsidRPr="00CA61A6" w:rsidRDefault="0062564D" w:rsidP="007B3478">
      <w:pPr>
        <w:rPr>
          <w:szCs w:val="24"/>
          <w:lang w:eastAsia="ja-JP"/>
        </w:rPr>
      </w:pPr>
      <w:bookmarkStart w:id="373" w:name="lt_pId812"/>
      <w:r w:rsidRPr="00CA61A6">
        <w:rPr>
          <w:szCs w:val="24"/>
          <w:lang w:eastAsia="ja-JP"/>
        </w:rPr>
        <w:t>La hoja de ruta de normas de seguridad de las TIC y compendio de seguridad (incluida una lista de definiciones de seguridad aprobadas por el UIT-T) se actualizan continuamente.</w:t>
      </w:r>
      <w:bookmarkEnd w:id="373"/>
    </w:p>
    <w:p w:rsidR="0062564D" w:rsidRPr="00CA61A6" w:rsidRDefault="0062564D" w:rsidP="007D7621">
      <w:pPr>
        <w:keepNext/>
        <w:keepLines/>
        <w:rPr>
          <w:szCs w:val="24"/>
          <w:lang w:eastAsia="ja-JP"/>
        </w:rPr>
      </w:pPr>
      <w:bookmarkStart w:id="374" w:name="lt_pId813"/>
      <w:r w:rsidRPr="00CA61A6">
        <w:rPr>
          <w:szCs w:val="24"/>
          <w:lang w:eastAsia="ja-JP"/>
        </w:rPr>
        <w:t xml:space="preserve">La 6ª edición del manual de seguridad, concluido en septiembre de 2015, se publicó como Informe Técnico </w:t>
      </w:r>
      <w:bookmarkEnd w:id="374"/>
      <w:r w:rsidRPr="00CA61A6">
        <w:rPr>
          <w:szCs w:val="24"/>
          <w:lang w:eastAsia="ja-JP"/>
        </w:rPr>
        <w:t>– Seguridad de las telecomunicaciones y las tecnologías de la información – Visión general de asuntos relacionados con la seguridad de las telecomunicaciones y la implementa</w:t>
      </w:r>
      <w:r w:rsidR="007E282E">
        <w:rPr>
          <w:szCs w:val="24"/>
          <w:lang w:eastAsia="ja-JP"/>
        </w:rPr>
        <w:t>ción de las Recomendaciones UIT</w:t>
      </w:r>
      <w:r w:rsidR="007E282E">
        <w:rPr>
          <w:szCs w:val="24"/>
          <w:lang w:eastAsia="ja-JP"/>
        </w:rPr>
        <w:noBreakHyphen/>
      </w:r>
      <w:r w:rsidRPr="00CA61A6">
        <w:rPr>
          <w:szCs w:val="24"/>
          <w:lang w:eastAsia="ja-JP"/>
        </w:rPr>
        <w:t>T existentes</w:t>
      </w:r>
      <w:r w:rsidR="007D7621" w:rsidRPr="00CA61A6">
        <w:rPr>
          <w:szCs w:val="24"/>
          <w:lang w:eastAsia="ja-JP"/>
        </w:rPr>
        <w:t>.</w:t>
      </w:r>
    </w:p>
    <w:p w:rsidR="0062564D" w:rsidRPr="00CA61A6" w:rsidRDefault="00210D3C" w:rsidP="00806510">
      <w:pPr>
        <w:pStyle w:val="Headingb"/>
        <w:keepLines/>
      </w:pPr>
      <w:bookmarkStart w:id="375" w:name="Item50_08"/>
      <w:r w:rsidRPr="00CA61A6">
        <w:t xml:space="preserve">Acción </w:t>
      </w:r>
      <w:r w:rsidR="0062564D" w:rsidRPr="00CA61A6">
        <w:t>50-08: TSB</w:t>
      </w:r>
    </w:p>
    <w:p w:rsidR="0062564D" w:rsidRPr="00CA61A6" w:rsidRDefault="0062564D" w:rsidP="007B3478">
      <w:pPr>
        <w:rPr>
          <w:szCs w:val="24"/>
          <w:lang w:eastAsia="ja-JP"/>
        </w:rPr>
      </w:pPr>
      <w:bookmarkStart w:id="376" w:name="lt_pId815"/>
      <w:bookmarkEnd w:id="375"/>
      <w:r w:rsidRPr="00CA61A6">
        <w:rPr>
          <w:szCs w:val="24"/>
          <w:lang w:eastAsia="ja-JP"/>
        </w:rPr>
        <w:t>La CE</w:t>
      </w:r>
      <w:r w:rsidR="00B32353" w:rsidRPr="00CA61A6">
        <w:rPr>
          <w:szCs w:val="24"/>
          <w:lang w:eastAsia="ja-JP"/>
        </w:rPr>
        <w:t> </w:t>
      </w:r>
      <w:r w:rsidRPr="00CA61A6">
        <w:rPr>
          <w:szCs w:val="24"/>
          <w:lang w:eastAsia="ja-JP"/>
        </w:rPr>
        <w:t xml:space="preserve">17 mantiene comunicación continua con el Director </w:t>
      </w:r>
      <w:r w:rsidR="004B1DA2">
        <w:rPr>
          <w:szCs w:val="24"/>
          <w:lang w:eastAsia="ja-JP"/>
        </w:rPr>
        <w:t xml:space="preserve">de la </w:t>
      </w:r>
      <w:r w:rsidRPr="00CA61A6">
        <w:rPr>
          <w:szCs w:val="24"/>
          <w:lang w:eastAsia="ja-JP"/>
        </w:rPr>
        <w:t>TSB sobre sus iniciativas de ciberseguridad.</w:t>
      </w:r>
      <w:bookmarkEnd w:id="376"/>
    </w:p>
    <w:p w:rsidR="0062564D" w:rsidRPr="00CA61A6" w:rsidRDefault="0062564D" w:rsidP="007B3478">
      <w:pPr>
        <w:rPr>
          <w:szCs w:val="24"/>
          <w:lang w:eastAsia="ja-JP"/>
        </w:rPr>
      </w:pPr>
      <w:bookmarkStart w:id="377" w:name="lt_pId816"/>
      <w:r w:rsidRPr="00CA61A6">
        <w:rPr>
          <w:szCs w:val="24"/>
          <w:lang w:eastAsia="ja-JP"/>
        </w:rPr>
        <w:t>Se celebran reuniones de coordinación ordinarias entre la TSB y la BDT.</w:t>
      </w:r>
      <w:bookmarkEnd w:id="377"/>
    </w:p>
    <w:p w:rsidR="0062564D" w:rsidRPr="00CA61A6" w:rsidRDefault="00547C77" w:rsidP="004B2220">
      <w:pPr>
        <w:pStyle w:val="Headingb"/>
        <w:keepLines/>
      </w:pPr>
      <w:bookmarkStart w:id="378" w:name="Item50_09"/>
      <w:r w:rsidRPr="00CA61A6">
        <w:t xml:space="preserve">Acción </w:t>
      </w:r>
      <w:r w:rsidR="0062564D" w:rsidRPr="00CA61A6">
        <w:t>50-09: TSB</w:t>
      </w:r>
    </w:p>
    <w:p w:rsidR="0062564D" w:rsidRPr="00CA61A6" w:rsidRDefault="0062564D" w:rsidP="007B3478">
      <w:pPr>
        <w:rPr>
          <w:szCs w:val="24"/>
          <w:lang w:eastAsia="ja-JP"/>
        </w:rPr>
      </w:pPr>
      <w:bookmarkStart w:id="379" w:name="lt_pId818"/>
      <w:bookmarkEnd w:id="378"/>
      <w:r w:rsidRPr="00CA61A6">
        <w:rPr>
          <w:szCs w:val="24"/>
          <w:lang w:eastAsia="ja-JP"/>
        </w:rPr>
        <w:t xml:space="preserve">El documento presentado al Consejo sobre </w:t>
      </w:r>
      <w:r w:rsidR="00B26079" w:rsidRPr="00CA61A6">
        <w:rPr>
          <w:szCs w:val="24"/>
          <w:lang w:eastAsia="ja-JP"/>
        </w:rPr>
        <w:t>"</w:t>
      </w:r>
      <w:r w:rsidRPr="00CA61A6">
        <w:rPr>
          <w:szCs w:val="24"/>
          <w:lang w:eastAsia="ja-JP"/>
        </w:rPr>
        <w:t xml:space="preserve">Actividades de la UIT sobre </w:t>
      </w:r>
      <w:r w:rsidRPr="00CA61A6">
        <w:rPr>
          <w:color w:val="000000"/>
        </w:rPr>
        <w:t>fortalecimiento del papel de la UIT en la creación de confianza y seguridad en la utilización de las</w:t>
      </w:r>
      <w:r w:rsidRPr="00CA61A6">
        <w:rPr>
          <w:szCs w:val="24"/>
          <w:lang w:eastAsia="ja-JP"/>
        </w:rPr>
        <w:t xml:space="preserve"> TIC</w:t>
      </w:r>
      <w:r w:rsidR="00B26079" w:rsidRPr="00CA61A6">
        <w:rPr>
          <w:szCs w:val="24"/>
          <w:lang w:eastAsia="ja-JP"/>
        </w:rPr>
        <w:t>"</w:t>
      </w:r>
      <w:r w:rsidRPr="00CA61A6">
        <w:rPr>
          <w:szCs w:val="24"/>
          <w:lang w:eastAsia="ja-JP"/>
        </w:rPr>
        <w:t xml:space="preserve"> (</w:t>
      </w:r>
      <w:hyperlink r:id="rId114" w:history="1">
        <w:r w:rsidRPr="00CA61A6">
          <w:rPr>
            <w:color w:val="0000FF"/>
            <w:u w:val="single"/>
            <w:lang w:eastAsia="ja-JP"/>
          </w:rPr>
          <w:t>C13/23</w:t>
        </w:r>
      </w:hyperlink>
      <w:r w:rsidRPr="00CA61A6">
        <w:rPr>
          <w:color w:val="0000FF"/>
          <w:lang w:eastAsia="ja-JP"/>
        </w:rPr>
        <w:t xml:space="preserve">, </w:t>
      </w:r>
      <w:hyperlink r:id="rId115" w:history="1">
        <w:r w:rsidRPr="00CA61A6">
          <w:rPr>
            <w:color w:val="0000FF"/>
            <w:u w:val="single"/>
            <w:lang w:eastAsia="ja-JP"/>
          </w:rPr>
          <w:t>C14/23</w:t>
        </w:r>
      </w:hyperlink>
      <w:r w:rsidRPr="00CA61A6">
        <w:rPr>
          <w:color w:val="0000FF"/>
          <w:lang w:eastAsia="ja-JP"/>
        </w:rPr>
        <w:t xml:space="preserve">, </w:t>
      </w:r>
      <w:hyperlink r:id="rId116" w:history="1">
        <w:r w:rsidRPr="00CA61A6">
          <w:rPr>
            <w:color w:val="0000FF"/>
            <w:u w:val="single"/>
            <w:lang w:eastAsia="ja-JP"/>
          </w:rPr>
          <w:t>C15/18</w:t>
        </w:r>
      </w:hyperlink>
      <w:r w:rsidRPr="00CA61A6">
        <w:rPr>
          <w:color w:val="0000FF"/>
          <w:lang w:eastAsia="ja-JP"/>
        </w:rPr>
        <w:t xml:space="preserve">, </w:t>
      </w:r>
      <w:hyperlink r:id="rId117" w:history="1">
        <w:r w:rsidRPr="00CA61A6">
          <w:rPr>
            <w:color w:val="0000FF"/>
            <w:u w:val="single"/>
            <w:lang w:eastAsia="ja-JP"/>
          </w:rPr>
          <w:t>C16/18</w:t>
        </w:r>
      </w:hyperlink>
      <w:r w:rsidRPr="00CA61A6">
        <w:rPr>
          <w:szCs w:val="24"/>
          <w:lang w:eastAsia="ja-JP"/>
        </w:rPr>
        <w:t>) contiene información actualizada sobre los trabajos del UIT-T en materia de seguridad.</w:t>
      </w:r>
      <w:bookmarkEnd w:id="379"/>
    </w:p>
    <w:p w:rsidR="0062564D" w:rsidRPr="00CA61A6" w:rsidRDefault="0062564D" w:rsidP="007B3478">
      <w:pPr>
        <w:rPr>
          <w:szCs w:val="24"/>
          <w:lang w:eastAsia="ja-JP"/>
        </w:rPr>
      </w:pPr>
      <w:bookmarkStart w:id="380" w:name="lt_pId819"/>
      <w:r w:rsidRPr="00CA61A6">
        <w:rPr>
          <w:szCs w:val="24"/>
          <w:lang w:eastAsia="ja-JP"/>
        </w:rPr>
        <w:t>La CE</w:t>
      </w:r>
      <w:r w:rsidR="00C87396" w:rsidRPr="00CA61A6">
        <w:rPr>
          <w:szCs w:val="24"/>
          <w:lang w:eastAsia="ja-JP"/>
        </w:rPr>
        <w:t> </w:t>
      </w:r>
      <w:r w:rsidRPr="00CA61A6">
        <w:rPr>
          <w:szCs w:val="24"/>
          <w:lang w:eastAsia="ja-JP"/>
        </w:rPr>
        <w:t>17 mantiene comunicación constante con el Director de la TSB sobre sus actividades relativas a la Resolución 50.</w:t>
      </w:r>
      <w:bookmarkEnd w:id="380"/>
    </w:p>
    <w:p w:rsidR="0062564D" w:rsidRPr="00CA61A6" w:rsidRDefault="00B8345F" w:rsidP="008F7B37">
      <w:pPr>
        <w:pStyle w:val="Headingb"/>
        <w:keepLines/>
      </w:pPr>
      <w:bookmarkStart w:id="381" w:name="Item50_10"/>
      <w:r w:rsidRPr="00CA61A6">
        <w:t xml:space="preserve">Acción </w:t>
      </w:r>
      <w:r w:rsidR="0062564D" w:rsidRPr="00CA61A6">
        <w:t>50-10: TSB</w:t>
      </w:r>
    </w:p>
    <w:p w:rsidR="0062564D" w:rsidRPr="00CA61A6" w:rsidRDefault="0062564D" w:rsidP="00664976">
      <w:pPr>
        <w:rPr>
          <w:szCs w:val="24"/>
          <w:lang w:eastAsia="ja-JP"/>
        </w:rPr>
      </w:pPr>
      <w:bookmarkStart w:id="382" w:name="lt_pId821"/>
      <w:bookmarkEnd w:id="381"/>
      <w:r w:rsidRPr="00CA61A6">
        <w:rPr>
          <w:szCs w:val="24"/>
          <w:lang w:eastAsia="ja-JP"/>
        </w:rPr>
        <w:t>Se ha facilitado regularmente información al GT del Consejo sobre la CMSI.</w:t>
      </w:r>
      <w:bookmarkEnd w:id="382"/>
    </w:p>
    <w:p w:rsidR="0062564D" w:rsidRPr="00CA61A6" w:rsidRDefault="00A90097" w:rsidP="00830D93">
      <w:pPr>
        <w:pStyle w:val="Headingb"/>
        <w:keepLines/>
      </w:pPr>
      <w:bookmarkStart w:id="383" w:name="Item50_11"/>
      <w:r w:rsidRPr="00CA61A6">
        <w:t xml:space="preserve">Acción </w:t>
      </w:r>
      <w:r w:rsidR="0062564D" w:rsidRPr="00CA61A6">
        <w:t>50-11: TSB</w:t>
      </w:r>
    </w:p>
    <w:p w:rsidR="0062564D" w:rsidRPr="00CA61A6" w:rsidRDefault="0062564D" w:rsidP="007B3478">
      <w:pPr>
        <w:rPr>
          <w:szCs w:val="24"/>
          <w:lang w:eastAsia="ja-JP"/>
        </w:rPr>
      </w:pPr>
      <w:bookmarkStart w:id="384" w:name="lt_pId823"/>
      <w:bookmarkEnd w:id="383"/>
      <w:r w:rsidRPr="00CA61A6">
        <w:rPr>
          <w:szCs w:val="24"/>
          <w:lang w:eastAsia="ja-JP"/>
        </w:rPr>
        <w:t>IMPACT participó en el diálogo de expertos sobre seguimiento de aeronaves, 26-27 de mayo 2014, Malaysia.</w:t>
      </w:r>
      <w:bookmarkEnd w:id="384"/>
    </w:p>
    <w:p w:rsidR="0062564D" w:rsidRPr="00CA61A6" w:rsidRDefault="0062564D" w:rsidP="007B3478">
      <w:pPr>
        <w:rPr>
          <w:szCs w:val="24"/>
          <w:lang w:eastAsia="ja-JP"/>
        </w:rPr>
      </w:pPr>
      <w:bookmarkStart w:id="385" w:name="lt_pId824"/>
      <w:r w:rsidRPr="00CA61A6">
        <w:rPr>
          <w:lang w:eastAsia="ja-JP"/>
        </w:rPr>
        <w:t>COM 17 – TD 2323 indica intereses de varias Cuestiones de la CE</w:t>
      </w:r>
      <w:r w:rsidR="00E16148" w:rsidRPr="00CA61A6">
        <w:rPr>
          <w:lang w:eastAsia="ja-JP"/>
        </w:rPr>
        <w:t> </w:t>
      </w:r>
      <w:r w:rsidRPr="00CA61A6">
        <w:rPr>
          <w:lang w:eastAsia="ja-JP"/>
        </w:rPr>
        <w:t>17 sobre ciertas Resoluciones de la CMDT-14.</w:t>
      </w:r>
      <w:bookmarkEnd w:id="385"/>
    </w:p>
    <w:p w:rsidR="0062564D" w:rsidRPr="00CA61A6" w:rsidRDefault="00E21D04" w:rsidP="005602AA">
      <w:pPr>
        <w:pStyle w:val="Headingb"/>
        <w:keepLines/>
      </w:pPr>
      <w:bookmarkStart w:id="386" w:name="Item50_12"/>
      <w:r w:rsidRPr="00CA61A6">
        <w:t xml:space="preserve">Acción </w:t>
      </w:r>
      <w:r w:rsidR="0062564D" w:rsidRPr="00CA61A6">
        <w:t>50-12: TSB</w:t>
      </w:r>
    </w:p>
    <w:p w:rsidR="0062564D" w:rsidRPr="00CA61A6" w:rsidRDefault="0062564D" w:rsidP="007B3478">
      <w:pPr>
        <w:rPr>
          <w:szCs w:val="24"/>
          <w:lang w:eastAsia="ja-JP"/>
        </w:rPr>
      </w:pPr>
      <w:bookmarkStart w:id="387" w:name="lt_pId826"/>
      <w:bookmarkEnd w:id="386"/>
      <w:r w:rsidRPr="00CA61A6">
        <w:rPr>
          <w:szCs w:val="24"/>
          <w:lang w:eastAsia="ja-JP"/>
        </w:rPr>
        <w:t>Nota: este punto no corresponde al Director de la TSB.</w:t>
      </w:r>
      <w:bookmarkEnd w:id="387"/>
    </w:p>
    <w:p w:rsidR="00DA6165" w:rsidRPr="00CA61A6" w:rsidRDefault="00110CAD" w:rsidP="00377336">
      <w:hyperlink w:anchor="Top" w:history="1">
        <w:r w:rsidR="00DA6165" w:rsidRPr="00CA61A6">
          <w:rPr>
            <w:rStyle w:val="Hyperlink"/>
          </w:rPr>
          <w:t>» Arriba</w:t>
        </w:r>
      </w:hyperlink>
    </w:p>
    <w:p w:rsidR="0062564D" w:rsidRPr="00CA61A6" w:rsidRDefault="009E25FC" w:rsidP="009E25FC">
      <w:pPr>
        <w:pStyle w:val="Heading1"/>
      </w:pPr>
      <w:bookmarkStart w:id="388" w:name="_23_Resolución_52"/>
      <w:bookmarkStart w:id="389" w:name="_Toc463335774"/>
      <w:bookmarkEnd w:id="388"/>
      <w:r w:rsidRPr="00CA61A6">
        <w:t>23</w:t>
      </w:r>
      <w:r w:rsidRPr="00CA61A6">
        <w:tab/>
      </w:r>
      <w:r w:rsidR="0062564D" w:rsidRPr="00CA61A6">
        <w:t xml:space="preserve">Resolución </w:t>
      </w:r>
      <w:r w:rsidR="0062564D" w:rsidRPr="00CA61A6">
        <w:rPr>
          <w:rStyle w:val="href"/>
        </w:rPr>
        <w:t>52</w:t>
      </w:r>
      <w:r w:rsidR="0062564D" w:rsidRPr="00CA61A6">
        <w:t xml:space="preserve"> </w:t>
      </w:r>
      <w:r w:rsidR="00787AEC" w:rsidRPr="00CA61A6">
        <w:t>–</w:t>
      </w:r>
      <w:r w:rsidR="0062564D" w:rsidRPr="00CA61A6">
        <w:t xml:space="preserve"> Respuesta y lucha contra el correo basura</w:t>
      </w:r>
      <w:bookmarkEnd w:id="389"/>
    </w:p>
    <w:p w:rsidR="0062564D" w:rsidRPr="00CA61A6" w:rsidRDefault="0062564D" w:rsidP="008C0F1C">
      <w:pPr>
        <w:pStyle w:val="Headingb"/>
        <w:keepLines/>
      </w:pPr>
      <w:r w:rsidRPr="00CA61A6">
        <w:t>Resolución 52</w:t>
      </w:r>
    </w:p>
    <w:p w:rsidR="0062564D" w:rsidRPr="00CA61A6" w:rsidRDefault="0062564D" w:rsidP="007B3478">
      <w:pPr>
        <w:pStyle w:val="Call"/>
      </w:pPr>
      <w:r w:rsidRPr="00CA61A6">
        <w:t>resuelve encargar a las Comisiones de Estudio competentes</w:t>
      </w:r>
    </w:p>
    <w:p w:rsidR="0062564D" w:rsidRPr="00CA61A6" w:rsidRDefault="0062564D" w:rsidP="007B3478">
      <w:r w:rsidRPr="00CA61A6">
        <w:t>1</w:t>
      </w:r>
      <w:r w:rsidRPr="00CA61A6">
        <w:tab/>
        <w:t>que sigan prestando apoyo a los trabajos en curso de la Comisión de Estudio 17 relacionados con la lucha contra el spam (por ejemplo, en el correo electrónico) y acelere sus tareas relativas al spam con el fin de resolver las amenazas presentes y futuras en el marco de las atribuciones y esferas de competencia del UIT-T, según proceda; y</w:t>
      </w:r>
    </w:p>
    <w:p w:rsidR="0062564D" w:rsidRPr="00CA61A6" w:rsidRDefault="0062564D" w:rsidP="007B3478">
      <w:r w:rsidRPr="00CA61A6">
        <w:t>2</w:t>
      </w:r>
      <w:r w:rsidRPr="00CA61A6">
        <w:tab/>
        <w:t>que siga colaborando con las organizaciones que corresponda (por ejemplo, el Grupo de Tareas Especiales de Ingeniería en Internet (IETF)) para elaborar con carácter urgente Recomendaciones técnicas destinadas al intercambio de prácticas idóneas y a la divulgación de información en talleres conjuntos, sesiones de formación, etc.,</w:t>
      </w:r>
    </w:p>
    <w:p w:rsidR="0062564D" w:rsidRPr="00CA61A6" w:rsidRDefault="0062564D" w:rsidP="007B3478">
      <w:pPr>
        <w:pStyle w:val="Call"/>
      </w:pPr>
      <w:r w:rsidRPr="00CA61A6">
        <w:t>encarga además a la Comisión de Estudios 17 del UIT-T</w:t>
      </w:r>
    </w:p>
    <w:p w:rsidR="0062564D" w:rsidRPr="00CA61A6" w:rsidRDefault="0062564D" w:rsidP="007B3478">
      <w:r w:rsidRPr="00CA61A6">
        <w:t>que informe periódicamente al Grupo Asesor de Normalización de las Telecomunicaciones (GANT) sobre la aplicación de la presente Resolución,</w:t>
      </w:r>
    </w:p>
    <w:p w:rsidR="0062564D" w:rsidRPr="00CA61A6" w:rsidRDefault="0062564D" w:rsidP="007B3478">
      <w:pPr>
        <w:pStyle w:val="Call"/>
      </w:pPr>
      <w:r w:rsidRPr="00CA61A6">
        <w:t>encarga al Director de la Oficina de Normalización de las Telecomunicaciones</w:t>
      </w:r>
    </w:p>
    <w:p w:rsidR="0062564D" w:rsidRPr="00CA61A6" w:rsidRDefault="0062564D" w:rsidP="007B3478">
      <w:r w:rsidRPr="00CA61A6">
        <w:t>1</w:t>
      </w:r>
      <w:r w:rsidRPr="00CA61A6">
        <w:tab/>
        <w:t>que facilite toda la asistencia necesaria para acelerar esas actividades;</w:t>
      </w:r>
    </w:p>
    <w:p w:rsidR="0062564D" w:rsidRPr="00CA61A6" w:rsidRDefault="0062564D" w:rsidP="007B3478">
      <w:r w:rsidRPr="00CA61A6">
        <w:t>2</w:t>
      </w:r>
      <w:r w:rsidRPr="00CA61A6">
        <w:tab/>
        <w:t xml:space="preserve">que inicie un estudio, incluido el envío de un cuestionario a los miembros de la UIT, en el que se indique el volumen , los tipos (por ejemplo, spam en correos electrónicos, spam en SMS, mensajes no solicitados en aplicaciones multimedios IP) y las características (por ejemplo, distintas rutas y fuentes principales) del tráfico de spam, con la finalidad de ayudar a los Estados Miembros y a las empresas de explotación pertinentes a identificar dichas rutas y fuentes y dichos volúmenes, y de calcular el importe de las inversiones en instalaciones y otros medios técnicos para responder y luchar contra dicho spam, teniendo en cuenta los trabajos que ya se han realizado; </w:t>
      </w:r>
    </w:p>
    <w:p w:rsidR="0062564D" w:rsidRPr="00CA61A6" w:rsidRDefault="0062564D" w:rsidP="007B3478">
      <w:r w:rsidRPr="00CA61A6">
        <w:t>3</w:t>
      </w:r>
      <w:r w:rsidRPr="00CA61A6">
        <w:tab/>
        <w:t>que siga cooperando con el Secretario General, en el contexto de su iniciativa sobre ciberseguridad, y con la Oficina de Desarrollo de las Telecomunicaciones, en lo tocante a cualquier tema relacionado con la ciberseguridad, de conformidad con la Resolución 45 (Rev. Hyderabad, 2010) de la Conferencia Mundial de Desarrollo de las Telecomunicaciones, y garantice la coordinación entre esas diferentes actividades,</w:t>
      </w:r>
    </w:p>
    <w:p w:rsidR="0062564D" w:rsidRPr="00CA61A6" w:rsidRDefault="0062564D" w:rsidP="007B3478">
      <w:pPr>
        <w:pStyle w:val="Call"/>
      </w:pPr>
      <w:r w:rsidRPr="00CA61A6">
        <w:t>invita a los Estados Miembros, a los Miembros de Sector y a los Asociados</w:t>
      </w:r>
    </w:p>
    <w:p w:rsidR="0062564D" w:rsidRPr="00CA61A6" w:rsidRDefault="0062564D" w:rsidP="007B3478">
      <w:r w:rsidRPr="00CA61A6">
        <w:t>a que contribuyan a esta labor,</w:t>
      </w:r>
    </w:p>
    <w:p w:rsidR="0062564D" w:rsidRPr="00CA61A6" w:rsidRDefault="0062564D" w:rsidP="007B3478">
      <w:pPr>
        <w:pStyle w:val="Call"/>
      </w:pPr>
      <w:r w:rsidRPr="00CA61A6">
        <w:t>invita además a los Estados Miembros</w:t>
      </w:r>
    </w:p>
    <w:p w:rsidR="0062564D" w:rsidRDefault="0062564D" w:rsidP="008C0F1C">
      <w:pPr>
        <w:spacing w:after="120"/>
      </w:pPr>
      <w:r w:rsidRPr="00CA61A6">
        <w:t>a que adopten las disposiciones oportunas para garantizar que se tomen las medidas adecuadas y eficaces en el contexto de sus marcos jurídicos nacionales para luchar contra el spam y su propagación.</w:t>
      </w:r>
    </w:p>
    <w:p w:rsidR="003908C4" w:rsidRDefault="003908C4" w:rsidP="008C0F1C">
      <w:pPr>
        <w:spacing w:after="120"/>
      </w:pPr>
    </w:p>
    <w:p w:rsidR="003908C4" w:rsidRPr="00CA61A6" w:rsidRDefault="003908C4" w:rsidP="008C0F1C">
      <w:pPr>
        <w:spacing w:after="120"/>
      </w:pPr>
    </w:p>
    <w:tbl>
      <w:tblPr>
        <w:tblW w:w="9832"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4692"/>
        <w:gridCol w:w="1607"/>
        <w:gridCol w:w="1182"/>
        <w:gridCol w:w="1365"/>
      </w:tblGrid>
      <w:tr w:rsidR="0062564D" w:rsidRPr="00CA61A6" w:rsidTr="00B81DCD">
        <w:trPr>
          <w:cantSplit/>
          <w:trHeight w:val="647"/>
          <w:tblHeader/>
        </w:trPr>
        <w:tc>
          <w:tcPr>
            <w:tcW w:w="986" w:type="dxa"/>
            <w:tcBorders>
              <w:bottom w:val="double" w:sz="4" w:space="0" w:color="auto"/>
            </w:tcBorders>
            <w:vAlign w:val="center"/>
          </w:tcPr>
          <w:p w:rsidR="0062564D" w:rsidRPr="00CA61A6" w:rsidRDefault="005F3907" w:rsidP="005F3907">
            <w:pPr>
              <w:pStyle w:val="Tablehead"/>
            </w:pPr>
            <w:r w:rsidRPr="00CA61A6">
              <w:lastRenderedPageBreak/>
              <w:t>Número</w:t>
            </w:r>
          </w:p>
        </w:tc>
        <w:tc>
          <w:tcPr>
            <w:tcW w:w="4692" w:type="dxa"/>
            <w:tcBorders>
              <w:bottom w:val="double" w:sz="4" w:space="0" w:color="auto"/>
            </w:tcBorders>
            <w:shd w:val="clear" w:color="auto" w:fill="auto"/>
            <w:vAlign w:val="center"/>
            <w:hideMark/>
          </w:tcPr>
          <w:p w:rsidR="0062564D" w:rsidRPr="00CA61A6" w:rsidRDefault="0062564D" w:rsidP="005F3907">
            <w:pPr>
              <w:pStyle w:val="Tablehead"/>
            </w:pPr>
            <w:r w:rsidRPr="00CA61A6">
              <w:t>Acción</w:t>
            </w:r>
          </w:p>
        </w:tc>
        <w:tc>
          <w:tcPr>
            <w:tcW w:w="1607" w:type="dxa"/>
            <w:tcBorders>
              <w:bottom w:val="double" w:sz="4" w:space="0" w:color="auto"/>
            </w:tcBorders>
            <w:shd w:val="clear" w:color="auto" w:fill="auto"/>
            <w:vAlign w:val="center"/>
            <w:hideMark/>
          </w:tcPr>
          <w:p w:rsidR="0062564D" w:rsidRPr="00CA61A6" w:rsidRDefault="0062564D" w:rsidP="005F3907">
            <w:pPr>
              <w:pStyle w:val="Tablehead"/>
            </w:pPr>
            <w:r w:rsidRPr="00CA61A6">
              <w:t>Fecha objetivo</w:t>
            </w:r>
          </w:p>
        </w:tc>
        <w:tc>
          <w:tcPr>
            <w:tcW w:w="1182" w:type="dxa"/>
            <w:tcBorders>
              <w:bottom w:val="double" w:sz="4" w:space="0" w:color="auto"/>
            </w:tcBorders>
            <w:vAlign w:val="center"/>
          </w:tcPr>
          <w:p w:rsidR="0062564D" w:rsidRPr="00CA61A6" w:rsidRDefault="0062564D" w:rsidP="005F3907">
            <w:pPr>
              <w:pStyle w:val="Tablehead"/>
            </w:pPr>
            <w:r w:rsidRPr="00CA61A6">
              <w:t>Objetivos periódicos cumplidos</w:t>
            </w:r>
          </w:p>
        </w:tc>
        <w:tc>
          <w:tcPr>
            <w:tcW w:w="1365" w:type="dxa"/>
            <w:tcBorders>
              <w:bottom w:val="double" w:sz="4" w:space="0" w:color="auto"/>
            </w:tcBorders>
            <w:vAlign w:val="center"/>
          </w:tcPr>
          <w:p w:rsidR="0062564D" w:rsidRPr="00CA61A6" w:rsidRDefault="0062564D" w:rsidP="005F3907">
            <w:pPr>
              <w:pStyle w:val="Tablehead"/>
            </w:pPr>
            <w:r w:rsidRPr="00CA61A6">
              <w:t>Completada</w:t>
            </w:r>
          </w:p>
        </w:tc>
      </w:tr>
      <w:tr w:rsidR="0062564D" w:rsidRPr="00CA61A6" w:rsidTr="00B81DCD">
        <w:trPr>
          <w:cantSplit/>
          <w:trHeight w:val="620"/>
        </w:trPr>
        <w:tc>
          <w:tcPr>
            <w:tcW w:w="986" w:type="dxa"/>
            <w:tcBorders>
              <w:top w:val="double" w:sz="4" w:space="0" w:color="auto"/>
            </w:tcBorders>
            <w:vAlign w:val="center"/>
          </w:tcPr>
          <w:p w:rsidR="0062564D" w:rsidRPr="00CA61A6" w:rsidRDefault="00110CAD" w:rsidP="007B3478">
            <w:pPr>
              <w:pStyle w:val="Tabletext"/>
              <w:jc w:val="center"/>
            </w:pPr>
            <w:hyperlink w:anchor="Item52_01" w:history="1">
              <w:r w:rsidR="0062564D" w:rsidRPr="00CA61A6">
                <w:rPr>
                  <w:rStyle w:val="Hyperlink"/>
                </w:rPr>
                <w:t>52-01</w:t>
              </w:r>
            </w:hyperlink>
          </w:p>
        </w:tc>
        <w:tc>
          <w:tcPr>
            <w:tcW w:w="4692" w:type="dxa"/>
            <w:tcBorders>
              <w:top w:val="double" w:sz="4" w:space="0" w:color="auto"/>
            </w:tcBorders>
            <w:shd w:val="clear" w:color="auto" w:fill="auto"/>
            <w:vAlign w:val="center"/>
            <w:hideMark/>
          </w:tcPr>
          <w:p w:rsidR="0062564D" w:rsidRPr="00CA61A6" w:rsidRDefault="0062564D" w:rsidP="007B3478">
            <w:pPr>
              <w:pStyle w:val="Tabletext"/>
            </w:pPr>
            <w:r w:rsidRPr="00CA61A6">
              <w:t>La</w:t>
            </w:r>
            <w:r w:rsidR="001A234D">
              <w:t>s CE, en particular la</w:t>
            </w:r>
            <w:r w:rsidRPr="00CA61A6">
              <w:t xml:space="preserve"> CE 17</w:t>
            </w:r>
            <w:r w:rsidR="001A234D">
              <w:t>,</w:t>
            </w:r>
            <w:r w:rsidRPr="00CA61A6">
              <w:t xml:space="preserve"> acelerará</w:t>
            </w:r>
            <w:r w:rsidR="001A234D">
              <w:t>n</w:t>
            </w:r>
            <w:r w:rsidRPr="00CA61A6">
              <w:t xml:space="preserve"> sus trabajos sobre el correo basura (spam)</w:t>
            </w:r>
          </w:p>
        </w:tc>
        <w:tc>
          <w:tcPr>
            <w:tcW w:w="1607" w:type="dxa"/>
            <w:tcBorders>
              <w:top w:val="double" w:sz="4" w:space="0" w:color="auto"/>
            </w:tcBorders>
            <w:shd w:val="clear" w:color="auto" w:fill="auto"/>
            <w:vAlign w:val="center"/>
            <w:hideMark/>
          </w:tcPr>
          <w:p w:rsidR="0062564D" w:rsidRPr="00CA61A6" w:rsidRDefault="0062564D" w:rsidP="007B3478">
            <w:pPr>
              <w:pStyle w:val="Tabletext"/>
              <w:jc w:val="center"/>
            </w:pPr>
            <w:r w:rsidRPr="00CA61A6">
              <w:t>En curso</w:t>
            </w:r>
          </w:p>
        </w:tc>
        <w:tc>
          <w:tcPr>
            <w:tcW w:w="1182" w:type="dxa"/>
            <w:tcBorders>
              <w:top w:val="double" w:sz="4" w:space="0" w:color="auto"/>
            </w:tcBorders>
            <w:vAlign w:val="center"/>
          </w:tcPr>
          <w:p w:rsidR="0062564D" w:rsidRPr="00CA61A6" w:rsidRDefault="0062564D" w:rsidP="007B3478">
            <w:pPr>
              <w:pStyle w:val="Tabletext"/>
              <w:jc w:val="center"/>
            </w:pPr>
            <w:r w:rsidRPr="00CA61A6">
              <w:sym w:font="Wingdings" w:char="F0FC"/>
            </w:r>
          </w:p>
        </w:tc>
        <w:tc>
          <w:tcPr>
            <w:tcW w:w="1365" w:type="dxa"/>
            <w:tcBorders>
              <w:top w:val="double" w:sz="4" w:space="0" w:color="auto"/>
            </w:tcBorders>
            <w:vAlign w:val="center"/>
          </w:tcPr>
          <w:p w:rsidR="0062564D" w:rsidRPr="00CA61A6" w:rsidRDefault="0062564D" w:rsidP="007B3478">
            <w:pPr>
              <w:pStyle w:val="Tabletext"/>
              <w:jc w:val="center"/>
            </w:pPr>
          </w:p>
        </w:tc>
      </w:tr>
      <w:tr w:rsidR="0062564D" w:rsidRPr="00CA61A6" w:rsidTr="00B81DCD">
        <w:trPr>
          <w:cantSplit/>
          <w:trHeight w:val="710"/>
        </w:trPr>
        <w:tc>
          <w:tcPr>
            <w:tcW w:w="986" w:type="dxa"/>
            <w:tcBorders>
              <w:top w:val="single" w:sz="4" w:space="0" w:color="auto"/>
            </w:tcBorders>
            <w:vAlign w:val="center"/>
          </w:tcPr>
          <w:p w:rsidR="0062564D" w:rsidRPr="00CA61A6" w:rsidRDefault="00110CAD" w:rsidP="007B3478">
            <w:pPr>
              <w:pStyle w:val="Tabletext"/>
              <w:jc w:val="center"/>
            </w:pPr>
            <w:hyperlink w:anchor="Item52_02" w:history="1">
              <w:r w:rsidR="0062564D" w:rsidRPr="00CA61A6">
                <w:rPr>
                  <w:rStyle w:val="Hyperlink"/>
                </w:rPr>
                <w:t>52-02</w:t>
              </w:r>
            </w:hyperlink>
          </w:p>
        </w:tc>
        <w:tc>
          <w:tcPr>
            <w:tcW w:w="4692" w:type="dxa"/>
            <w:tcBorders>
              <w:top w:val="single" w:sz="4" w:space="0" w:color="auto"/>
            </w:tcBorders>
            <w:shd w:val="clear" w:color="auto" w:fill="auto"/>
            <w:vAlign w:val="center"/>
            <w:hideMark/>
          </w:tcPr>
          <w:p w:rsidR="0062564D" w:rsidRPr="00CA61A6" w:rsidRDefault="0062564D" w:rsidP="007B3478">
            <w:pPr>
              <w:pStyle w:val="Tabletext"/>
            </w:pPr>
            <w:r w:rsidRPr="00CA61A6">
              <w:t>Las CE colaborarán con otras organizaciones pertinentes a fin de elaborar Recomendaciones para intercambiar prácticas idóneas; participarán en talleres, sesiones de formación, etc.</w:t>
            </w:r>
          </w:p>
        </w:tc>
        <w:tc>
          <w:tcPr>
            <w:tcW w:w="1607" w:type="dxa"/>
            <w:tcBorders>
              <w:top w:val="single" w:sz="4" w:space="0" w:color="auto"/>
            </w:tcBorders>
            <w:shd w:val="clear" w:color="auto" w:fill="auto"/>
            <w:vAlign w:val="center"/>
            <w:hideMark/>
          </w:tcPr>
          <w:p w:rsidR="0062564D" w:rsidRPr="00CA61A6" w:rsidRDefault="0062564D" w:rsidP="007B3478">
            <w:pPr>
              <w:pStyle w:val="Tabletext"/>
              <w:jc w:val="center"/>
            </w:pPr>
            <w:r w:rsidRPr="00CA61A6">
              <w:t>En curso</w:t>
            </w:r>
          </w:p>
        </w:tc>
        <w:tc>
          <w:tcPr>
            <w:tcW w:w="1182" w:type="dxa"/>
            <w:tcBorders>
              <w:top w:val="single" w:sz="4" w:space="0" w:color="auto"/>
            </w:tcBorders>
            <w:vAlign w:val="center"/>
          </w:tcPr>
          <w:p w:rsidR="0062564D" w:rsidRPr="00CA61A6" w:rsidRDefault="00F1528E" w:rsidP="007B3478">
            <w:pPr>
              <w:pStyle w:val="Tabletext"/>
              <w:jc w:val="center"/>
            </w:pPr>
            <w:r w:rsidRPr="00CA61A6">
              <w:sym w:font="Wingdings" w:char="F0FC"/>
            </w:r>
          </w:p>
        </w:tc>
        <w:tc>
          <w:tcPr>
            <w:tcW w:w="1365" w:type="dxa"/>
            <w:tcBorders>
              <w:top w:val="single" w:sz="4" w:space="0" w:color="auto"/>
            </w:tcBorders>
            <w:shd w:val="clear" w:color="auto" w:fill="auto"/>
            <w:vAlign w:val="center"/>
          </w:tcPr>
          <w:p w:rsidR="0062564D" w:rsidRPr="00CA61A6" w:rsidRDefault="0062564D" w:rsidP="007B3478">
            <w:pPr>
              <w:pStyle w:val="Tabletext"/>
              <w:jc w:val="center"/>
            </w:pPr>
          </w:p>
        </w:tc>
      </w:tr>
      <w:tr w:rsidR="0062564D" w:rsidRPr="00CA61A6" w:rsidTr="00B81DCD">
        <w:trPr>
          <w:cantSplit/>
          <w:trHeight w:val="530"/>
        </w:trPr>
        <w:tc>
          <w:tcPr>
            <w:tcW w:w="986" w:type="dxa"/>
            <w:vAlign w:val="center"/>
          </w:tcPr>
          <w:p w:rsidR="0062564D" w:rsidRPr="00CA61A6" w:rsidRDefault="00110CAD" w:rsidP="007B3478">
            <w:pPr>
              <w:pStyle w:val="Tabletext"/>
              <w:jc w:val="center"/>
            </w:pPr>
            <w:hyperlink w:anchor="Item52_03" w:history="1">
              <w:r w:rsidR="0062564D" w:rsidRPr="00CA61A6">
                <w:rPr>
                  <w:rStyle w:val="Hyperlink"/>
                </w:rPr>
                <w:t>52-03</w:t>
              </w:r>
            </w:hyperlink>
          </w:p>
        </w:tc>
        <w:tc>
          <w:tcPr>
            <w:tcW w:w="4692" w:type="dxa"/>
            <w:shd w:val="clear" w:color="auto" w:fill="auto"/>
            <w:vAlign w:val="center"/>
            <w:hideMark/>
          </w:tcPr>
          <w:p w:rsidR="0062564D" w:rsidRPr="00CA61A6" w:rsidRDefault="0062564D" w:rsidP="007B3478">
            <w:pPr>
              <w:pStyle w:val="Tabletext"/>
            </w:pPr>
            <w:r w:rsidRPr="00CA61A6">
              <w:t xml:space="preserve">La CE </w:t>
            </w:r>
            <w:r w:rsidR="009611C8">
              <w:t xml:space="preserve">17 </w:t>
            </w:r>
            <w:r w:rsidRPr="00CA61A6">
              <w:t>informará a cada reunión del GANT de los progresos realizados en relación con la Resolución 52</w:t>
            </w:r>
          </w:p>
        </w:tc>
        <w:tc>
          <w:tcPr>
            <w:tcW w:w="1607" w:type="dxa"/>
            <w:shd w:val="clear" w:color="auto" w:fill="auto"/>
            <w:vAlign w:val="center"/>
            <w:hideMark/>
          </w:tcPr>
          <w:p w:rsidR="0062564D" w:rsidRPr="00CA61A6" w:rsidRDefault="0062564D" w:rsidP="007B3478">
            <w:pPr>
              <w:pStyle w:val="Tabletext"/>
              <w:jc w:val="center"/>
            </w:pPr>
            <w:r w:rsidRPr="00CA61A6">
              <w:t>En curso</w:t>
            </w:r>
          </w:p>
        </w:tc>
        <w:tc>
          <w:tcPr>
            <w:tcW w:w="1182" w:type="dxa"/>
            <w:vAlign w:val="center"/>
          </w:tcPr>
          <w:p w:rsidR="0062564D" w:rsidRPr="00CA61A6" w:rsidRDefault="0062564D" w:rsidP="007B3478">
            <w:pPr>
              <w:pStyle w:val="Tabletext"/>
              <w:jc w:val="center"/>
            </w:pPr>
            <w:r w:rsidRPr="00CA61A6">
              <w:sym w:font="Wingdings" w:char="F0FC"/>
            </w:r>
          </w:p>
        </w:tc>
        <w:tc>
          <w:tcPr>
            <w:tcW w:w="1365" w:type="dxa"/>
            <w:vAlign w:val="center"/>
          </w:tcPr>
          <w:p w:rsidR="0062564D" w:rsidRPr="00CA61A6" w:rsidRDefault="0062564D" w:rsidP="007B3478">
            <w:pPr>
              <w:pStyle w:val="Tabletext"/>
              <w:jc w:val="center"/>
            </w:pPr>
          </w:p>
        </w:tc>
      </w:tr>
      <w:tr w:rsidR="0062564D" w:rsidRPr="00CA61A6" w:rsidTr="00B81DCD">
        <w:trPr>
          <w:cantSplit/>
          <w:trHeight w:val="530"/>
        </w:trPr>
        <w:tc>
          <w:tcPr>
            <w:tcW w:w="986" w:type="dxa"/>
            <w:vAlign w:val="center"/>
          </w:tcPr>
          <w:p w:rsidR="0062564D" w:rsidRPr="00CA61A6" w:rsidRDefault="00110CAD" w:rsidP="007B3478">
            <w:pPr>
              <w:pStyle w:val="Tabletext"/>
              <w:jc w:val="center"/>
            </w:pPr>
            <w:hyperlink w:anchor="Item52_04" w:history="1">
              <w:r w:rsidR="0062564D" w:rsidRPr="00CA61A6">
                <w:rPr>
                  <w:rStyle w:val="Hyperlink"/>
                </w:rPr>
                <w:t>52-04</w:t>
              </w:r>
            </w:hyperlink>
          </w:p>
        </w:tc>
        <w:tc>
          <w:tcPr>
            <w:tcW w:w="4692" w:type="dxa"/>
            <w:shd w:val="clear" w:color="auto" w:fill="auto"/>
            <w:vAlign w:val="center"/>
          </w:tcPr>
          <w:p w:rsidR="0062564D" w:rsidRPr="00CA61A6" w:rsidRDefault="0062564D" w:rsidP="007B3478">
            <w:pPr>
              <w:pStyle w:val="Tabletext"/>
            </w:pPr>
            <w:r w:rsidRPr="00CA61A6">
              <w:t>La CE</w:t>
            </w:r>
            <w:r w:rsidR="00E16148" w:rsidRPr="00CA61A6">
              <w:t> </w:t>
            </w:r>
            <w:r w:rsidRPr="00CA61A6">
              <w:t xml:space="preserve">17 iniciará un estudio de la encuesta a los </w:t>
            </w:r>
            <w:r w:rsidR="009159FD" w:rsidRPr="00CA61A6">
              <w:t xml:space="preserve">miembros </w:t>
            </w:r>
            <w:r w:rsidRPr="00CA61A6">
              <w:t>de la UIT sobre el correo basura</w:t>
            </w:r>
          </w:p>
        </w:tc>
        <w:tc>
          <w:tcPr>
            <w:tcW w:w="1607" w:type="dxa"/>
            <w:shd w:val="clear" w:color="auto" w:fill="auto"/>
            <w:vAlign w:val="center"/>
          </w:tcPr>
          <w:p w:rsidR="0062564D" w:rsidRPr="00CA61A6" w:rsidRDefault="0062564D" w:rsidP="007B3478">
            <w:pPr>
              <w:pStyle w:val="Tabletext"/>
              <w:jc w:val="center"/>
            </w:pPr>
            <w:bookmarkStart w:id="390" w:name="lt_pId867"/>
            <w:r w:rsidRPr="00CA61A6">
              <w:t>Abril de 2013</w:t>
            </w:r>
            <w:bookmarkEnd w:id="390"/>
          </w:p>
        </w:tc>
        <w:tc>
          <w:tcPr>
            <w:tcW w:w="1182" w:type="dxa"/>
            <w:vAlign w:val="center"/>
          </w:tcPr>
          <w:p w:rsidR="0062564D" w:rsidRPr="00CA61A6" w:rsidRDefault="0062564D" w:rsidP="007B3478">
            <w:pPr>
              <w:pStyle w:val="Tabletext"/>
              <w:jc w:val="center"/>
            </w:pPr>
            <w:r w:rsidRPr="00CA61A6">
              <w:sym w:font="Wingdings" w:char="F0FC"/>
            </w:r>
          </w:p>
        </w:tc>
        <w:tc>
          <w:tcPr>
            <w:tcW w:w="1365" w:type="dxa"/>
            <w:vAlign w:val="center"/>
          </w:tcPr>
          <w:p w:rsidR="0062564D" w:rsidRPr="00CA61A6" w:rsidRDefault="0062564D" w:rsidP="007B3478">
            <w:pPr>
              <w:pStyle w:val="Tabletext"/>
              <w:jc w:val="center"/>
            </w:pPr>
          </w:p>
        </w:tc>
      </w:tr>
    </w:tbl>
    <w:p w:rsidR="0062564D" w:rsidRPr="00CA61A6" w:rsidRDefault="00D31789" w:rsidP="00D31789">
      <w:pPr>
        <w:pStyle w:val="Headingb"/>
        <w:keepLines/>
      </w:pPr>
      <w:bookmarkStart w:id="391" w:name="Item52_01"/>
      <w:r w:rsidRPr="00CA61A6">
        <w:t xml:space="preserve">Acción </w:t>
      </w:r>
      <w:r w:rsidR="0062564D" w:rsidRPr="00CA61A6">
        <w:t>52-01: CE</w:t>
      </w:r>
      <w:r w:rsidRPr="00CA61A6">
        <w:t> </w:t>
      </w:r>
      <w:r w:rsidR="0062564D" w:rsidRPr="00CA61A6">
        <w:t>17</w:t>
      </w:r>
    </w:p>
    <w:p w:rsidR="0062564D" w:rsidRPr="00CA61A6" w:rsidRDefault="0062564D" w:rsidP="007B3478">
      <w:pPr>
        <w:rPr>
          <w:szCs w:val="24"/>
          <w:lang w:eastAsia="ja-JP"/>
        </w:rPr>
      </w:pPr>
      <w:bookmarkStart w:id="392" w:name="lt_pId870"/>
      <w:bookmarkEnd w:id="391"/>
      <w:r w:rsidRPr="00CA61A6">
        <w:rPr>
          <w:szCs w:val="24"/>
          <w:lang w:eastAsia="ja-JP"/>
        </w:rPr>
        <w:t>Se ha establecido la estructura de la lucha contra el correo basura mediante medidas técnicas, que consta de 5 niveles: estrategia técnica, directrices, marco, tecnología y suplemento.</w:t>
      </w:r>
      <w:bookmarkEnd w:id="392"/>
      <w:r w:rsidRPr="00CA61A6">
        <w:rPr>
          <w:szCs w:val="24"/>
          <w:lang w:eastAsia="ja-JP"/>
        </w:rPr>
        <w:t xml:space="preserve"> </w:t>
      </w:r>
      <w:bookmarkStart w:id="393" w:name="lt_pId871"/>
      <w:r w:rsidRPr="00CA61A6">
        <w:rPr>
          <w:szCs w:val="24"/>
          <w:lang w:eastAsia="ja-JP"/>
        </w:rPr>
        <w:t>Las ramas de esta estructura se basan principalmente en el tipo de correo basura: por correo electrónico, por multimedios IP, por mensajería a móviles, por mensajería instantánea, etc.</w:t>
      </w:r>
      <w:bookmarkEnd w:id="393"/>
    </w:p>
    <w:p w:rsidR="0062564D" w:rsidRPr="00CA61A6" w:rsidRDefault="0062564D" w:rsidP="007B3478">
      <w:pPr>
        <w:rPr>
          <w:szCs w:val="24"/>
          <w:highlight w:val="cyan"/>
          <w:lang w:eastAsia="ja-JP"/>
        </w:rPr>
      </w:pPr>
      <w:r w:rsidRPr="00CA61A6">
        <w:rPr>
          <w:rFonts w:asciiTheme="majorBidi" w:hAnsiTheme="majorBidi" w:cstheme="majorBidi"/>
          <w:lang w:eastAsia="ja-JP"/>
        </w:rPr>
        <w:t>La CE</w:t>
      </w:r>
      <w:r w:rsidR="00E16148" w:rsidRPr="00CA61A6">
        <w:rPr>
          <w:rFonts w:asciiTheme="majorBidi" w:hAnsiTheme="majorBidi" w:cstheme="majorBidi"/>
          <w:lang w:eastAsia="ja-JP"/>
        </w:rPr>
        <w:t> </w:t>
      </w:r>
      <w:r w:rsidRPr="00CA61A6">
        <w:rPr>
          <w:szCs w:val="24"/>
          <w:lang w:eastAsia="ja-JP"/>
        </w:rPr>
        <w:t>17</w:t>
      </w:r>
      <w:r w:rsidRPr="00CA61A6">
        <w:rPr>
          <w:rFonts w:asciiTheme="majorBidi" w:hAnsiTheme="majorBidi" w:cstheme="majorBidi"/>
          <w:lang w:eastAsia="ja-JP"/>
        </w:rPr>
        <w:t xml:space="preserve"> ha aprobado 9 Recomendaciones (que se enumeran a continuación) y 5 Suplementos sobre medios técnicos para luchar contra el correo basura.</w:t>
      </w:r>
    </w:p>
    <w:p w:rsidR="0062564D" w:rsidRPr="00CA61A6" w:rsidRDefault="0044690C" w:rsidP="00895241">
      <w:pPr>
        <w:rPr>
          <w:szCs w:val="24"/>
          <w:lang w:eastAsia="ja-JP"/>
        </w:rPr>
      </w:pPr>
      <w:bookmarkStart w:id="394" w:name="lt_pId873"/>
      <w:r>
        <w:rPr>
          <w:szCs w:val="24"/>
          <w:lang w:eastAsia="ja-JP"/>
        </w:rPr>
        <w:t xml:space="preserve">Recomendaciones </w:t>
      </w:r>
      <w:r w:rsidR="0062564D" w:rsidRPr="00CA61A6">
        <w:rPr>
          <w:szCs w:val="24"/>
          <w:lang w:eastAsia="ja-JP"/>
        </w:rPr>
        <w:t>UIT-T X.1231 (</w:t>
      </w:r>
      <w:r w:rsidR="0062564D" w:rsidRPr="00CA61A6">
        <w:rPr>
          <w:i/>
          <w:iCs/>
          <w:szCs w:val="24"/>
          <w:lang w:eastAsia="ja-JP"/>
        </w:rPr>
        <w:t>Estrategias técnicas contra el correo basura</w:t>
      </w:r>
      <w:r w:rsidR="0062564D" w:rsidRPr="00CA61A6">
        <w:rPr>
          <w:szCs w:val="24"/>
          <w:lang w:eastAsia="ja-JP"/>
        </w:rPr>
        <w:t>), X.1240 (</w:t>
      </w:r>
      <w:r w:rsidR="0062564D" w:rsidRPr="00CA61A6">
        <w:rPr>
          <w:i/>
          <w:iCs/>
          <w:szCs w:val="24"/>
          <w:lang w:eastAsia="ja-JP"/>
        </w:rPr>
        <w:t>Tecnologías utilizadas contra el correo basura</w:t>
      </w:r>
      <w:r w:rsidR="0062564D" w:rsidRPr="00CA61A6">
        <w:rPr>
          <w:szCs w:val="24"/>
          <w:lang w:eastAsia="ja-JP"/>
        </w:rPr>
        <w:t>), X.1241 (</w:t>
      </w:r>
      <w:r w:rsidR="0062564D" w:rsidRPr="00CA61A6">
        <w:rPr>
          <w:i/>
          <w:iCs/>
          <w:szCs w:val="24"/>
          <w:lang w:eastAsia="ja-JP"/>
        </w:rPr>
        <w:t>Marco técnico contra el correo basura</w:t>
      </w:r>
      <w:r w:rsidR="0062564D" w:rsidRPr="00CA61A6">
        <w:rPr>
          <w:szCs w:val="24"/>
          <w:lang w:eastAsia="ja-JP"/>
        </w:rPr>
        <w:t>), X.1242 (</w:t>
      </w:r>
      <w:r w:rsidR="0062564D" w:rsidRPr="00CA61A6">
        <w:rPr>
          <w:i/>
          <w:iCs/>
          <w:szCs w:val="24"/>
          <w:lang w:eastAsia="ja-JP"/>
        </w:rPr>
        <w:t>Sistema de filtrado de correo basura en el servicio de mensajes cortos (SMS) basado en reglas especificadas por el usuario</w:t>
      </w:r>
      <w:r w:rsidR="0062564D" w:rsidRPr="00CA61A6">
        <w:rPr>
          <w:szCs w:val="24"/>
          <w:lang w:eastAsia="ja-JP"/>
        </w:rPr>
        <w:t>), X.1243 (</w:t>
      </w:r>
      <w:r w:rsidR="0062564D" w:rsidRPr="00CA61A6">
        <w:rPr>
          <w:i/>
          <w:iCs/>
          <w:szCs w:val="24"/>
          <w:lang w:eastAsia="ja-JP"/>
        </w:rPr>
        <w:t>Sistema de pasarela interactivo para la lucha contra el correo basura</w:t>
      </w:r>
      <w:r w:rsidR="0062564D" w:rsidRPr="00CA61A6">
        <w:rPr>
          <w:szCs w:val="24"/>
          <w:lang w:eastAsia="ja-JP"/>
        </w:rPr>
        <w:t>), X.1244 (</w:t>
      </w:r>
      <w:r w:rsidR="0062564D" w:rsidRPr="00CA61A6">
        <w:rPr>
          <w:i/>
          <w:iCs/>
          <w:szCs w:val="24"/>
          <w:lang w:eastAsia="ja-JP"/>
        </w:rPr>
        <w:t>Aspectos globales para contrarrestar el correo basura en las aplicaciones multimedios en las redes IP</w:t>
      </w:r>
      <w:r w:rsidR="00917A83" w:rsidRPr="00917A83">
        <w:rPr>
          <w:szCs w:val="24"/>
          <w:lang w:eastAsia="ja-JP"/>
        </w:rPr>
        <w:t>)</w:t>
      </w:r>
      <w:r w:rsidR="0062564D" w:rsidRPr="00CA61A6">
        <w:rPr>
          <w:szCs w:val="24"/>
          <w:lang w:eastAsia="ja-JP"/>
        </w:rPr>
        <w:t>, X.1245 (</w:t>
      </w:r>
      <w:r w:rsidR="0062564D" w:rsidRPr="00CA61A6">
        <w:rPr>
          <w:i/>
          <w:iCs/>
          <w:szCs w:val="24"/>
          <w:lang w:eastAsia="ja-JP"/>
        </w:rPr>
        <w:t>Marco de aplicaciones multimedios IP para la lucha contra el correo basura</w:t>
      </w:r>
      <w:r w:rsidR="00895241">
        <w:rPr>
          <w:szCs w:val="24"/>
          <w:lang w:eastAsia="ja-JP"/>
        </w:rPr>
        <w:t xml:space="preserve">), </w:t>
      </w:r>
      <w:r w:rsidR="0062564D" w:rsidRPr="00CA61A6">
        <w:rPr>
          <w:szCs w:val="24"/>
          <w:lang w:eastAsia="ja-JP"/>
        </w:rPr>
        <w:t>X.1246</w:t>
      </w:r>
      <w:r w:rsidR="0062564D" w:rsidRPr="00CA61A6">
        <w:t xml:space="preserve"> </w:t>
      </w:r>
      <w:r w:rsidR="00895241">
        <w:t>(</w:t>
      </w:r>
      <w:r w:rsidR="0062564D" w:rsidRPr="00CA61A6">
        <w:rPr>
          <w:rFonts w:asciiTheme="majorBidi" w:hAnsiTheme="majorBidi"/>
          <w:i/>
          <w:lang w:eastAsia="ja-JP"/>
        </w:rPr>
        <w:t>Tecnologías implicadas en la lucha contra el spam de voz en las organ</w:t>
      </w:r>
      <w:r w:rsidR="00895241">
        <w:rPr>
          <w:rFonts w:asciiTheme="majorBidi" w:hAnsiTheme="majorBidi"/>
          <w:i/>
          <w:lang w:eastAsia="ja-JP"/>
        </w:rPr>
        <w:t>izaciones de telecomunicaciones</w:t>
      </w:r>
      <w:r w:rsidR="00895241" w:rsidRPr="00895241">
        <w:rPr>
          <w:rFonts w:asciiTheme="majorBidi" w:hAnsiTheme="majorBidi"/>
          <w:iCs/>
          <w:lang w:eastAsia="ja-JP"/>
        </w:rPr>
        <w:t>)</w:t>
      </w:r>
      <w:r w:rsidR="0062564D" w:rsidRPr="00CA61A6">
        <w:rPr>
          <w:rFonts w:asciiTheme="majorBidi" w:hAnsiTheme="majorBidi"/>
          <w:i/>
          <w:lang w:eastAsia="ja-JP"/>
        </w:rPr>
        <w:t xml:space="preserve">, </w:t>
      </w:r>
      <w:r w:rsidR="00895241">
        <w:rPr>
          <w:rFonts w:asciiTheme="majorBidi" w:hAnsiTheme="majorBidi"/>
          <w:i/>
          <w:lang w:eastAsia="ja-JP"/>
        </w:rPr>
        <w:t>y</w:t>
      </w:r>
      <w:r w:rsidR="0062564D" w:rsidRPr="00CA61A6">
        <w:rPr>
          <w:rFonts w:asciiTheme="majorBidi" w:hAnsiTheme="majorBidi"/>
          <w:i/>
          <w:lang w:eastAsia="ja-JP"/>
        </w:rPr>
        <w:t xml:space="preserve"> </w:t>
      </w:r>
      <w:r w:rsidR="0062564D" w:rsidRPr="00CA61A6">
        <w:rPr>
          <w:szCs w:val="24"/>
          <w:lang w:eastAsia="ja-JP"/>
        </w:rPr>
        <w:t>X.1247</w:t>
      </w:r>
      <w:bookmarkEnd w:id="394"/>
      <w:r w:rsidR="005624FE">
        <w:rPr>
          <w:szCs w:val="24"/>
          <w:lang w:eastAsia="ja-JP"/>
        </w:rPr>
        <w:t xml:space="preserve"> (</w:t>
      </w:r>
      <w:r w:rsidR="0062564D" w:rsidRPr="00CA61A6">
        <w:rPr>
          <w:i/>
          <w:iCs/>
          <w:szCs w:val="24"/>
          <w:lang w:eastAsia="ja-JP"/>
        </w:rPr>
        <w:t>Marco técnico para luchar contra el correo basura en la mensajería móvil</w:t>
      </w:r>
      <w:r w:rsidR="00FE79F5" w:rsidRPr="00FE79F5">
        <w:rPr>
          <w:szCs w:val="24"/>
          <w:lang w:eastAsia="ja-JP"/>
        </w:rPr>
        <w:t>)</w:t>
      </w:r>
      <w:r w:rsidR="0062564D" w:rsidRPr="00CA61A6">
        <w:rPr>
          <w:i/>
          <w:iCs/>
          <w:szCs w:val="24"/>
          <w:lang w:eastAsia="ja-JP"/>
        </w:rPr>
        <w:t>.</w:t>
      </w:r>
    </w:p>
    <w:p w:rsidR="0062564D" w:rsidRPr="00CA61A6" w:rsidRDefault="0062564D" w:rsidP="007B3478">
      <w:pPr>
        <w:rPr>
          <w:szCs w:val="24"/>
          <w:lang w:eastAsia="ja-JP"/>
        </w:rPr>
      </w:pPr>
      <w:bookmarkStart w:id="395" w:name="lt_pId874"/>
      <w:r w:rsidRPr="00CA61A6">
        <w:rPr>
          <w:rFonts w:asciiTheme="majorBidi" w:hAnsiTheme="majorBidi" w:cstheme="majorBidi"/>
          <w:lang w:eastAsia="ja-JP"/>
        </w:rPr>
        <w:t xml:space="preserve">Los trabajos en curso de la Cuestión 5/17 comprende </w:t>
      </w:r>
      <w:r w:rsidRPr="00CA61A6">
        <w:rPr>
          <w:szCs w:val="24"/>
          <w:lang w:eastAsia="ja-JP"/>
        </w:rPr>
        <w:t xml:space="preserve">X.ticvs, </w:t>
      </w:r>
      <w:r w:rsidRPr="00CA61A6">
        <w:rPr>
          <w:i/>
          <w:iCs/>
          <w:szCs w:val="24"/>
          <w:lang w:eastAsia="ja-JP"/>
        </w:rPr>
        <w:t xml:space="preserve">Tecnologías implicadas en la lucha contra el spam de voz en las organizaciones de telecomunicaciones, </w:t>
      </w:r>
      <w:r w:rsidRPr="00784C1F">
        <w:rPr>
          <w:i/>
          <w:iCs/>
          <w:szCs w:val="24"/>
          <w:lang w:eastAsia="ja-JP"/>
        </w:rPr>
        <w:t>y prácticas correspondientes</w:t>
      </w:r>
      <w:r w:rsidRPr="00CA61A6">
        <w:rPr>
          <w:i/>
          <w:lang w:eastAsia="ja-JP"/>
        </w:rPr>
        <w:t>;</w:t>
      </w:r>
      <w:r w:rsidRPr="00CA61A6">
        <w:rPr>
          <w:lang w:eastAsia="ja-JP"/>
        </w:rPr>
        <w:t xml:space="preserve"> y X.tfcma, </w:t>
      </w:r>
      <w:r w:rsidRPr="00CA61A6">
        <w:rPr>
          <w:i/>
          <w:iCs/>
          <w:lang w:eastAsia="ja-JP"/>
        </w:rPr>
        <w:t>Marco técnico para la lucha contra el spam publicitario en aplicaciones móviles</w:t>
      </w:r>
      <w:r w:rsidRPr="00CA61A6">
        <w:rPr>
          <w:lang w:eastAsia="ja-JP"/>
        </w:rPr>
        <w:t>; dos suplementos y prácticas correspondientes</w:t>
      </w:r>
      <w:r w:rsidRPr="00CA61A6">
        <w:rPr>
          <w:rFonts w:asciiTheme="majorBidi" w:hAnsiTheme="majorBidi"/>
          <w:lang w:eastAsia="ja-JP"/>
        </w:rPr>
        <w:t>.</w:t>
      </w:r>
      <w:bookmarkEnd w:id="395"/>
    </w:p>
    <w:p w:rsidR="0062564D" w:rsidRPr="00CA61A6" w:rsidRDefault="0062564D" w:rsidP="007B3478">
      <w:pPr>
        <w:rPr>
          <w:szCs w:val="24"/>
          <w:lang w:eastAsia="ja-JP"/>
        </w:rPr>
      </w:pPr>
      <w:bookmarkStart w:id="396" w:name="lt_pId875"/>
      <w:r w:rsidRPr="00CA61A6">
        <w:rPr>
          <w:szCs w:val="24"/>
          <w:lang w:eastAsia="ja-JP"/>
        </w:rPr>
        <w:t>La colaboración continúa con las organizaciones pertinentes, por ejemplo, 3GPP, IETF, GSMA, M3AAWG, etc., a fin de encontrar las medidas efectivas y eficientes de luchar contra el posible spam.</w:t>
      </w:r>
      <w:bookmarkEnd w:id="396"/>
    </w:p>
    <w:p w:rsidR="0062564D" w:rsidRPr="00CA61A6" w:rsidRDefault="006F3E01" w:rsidP="006F3E01">
      <w:pPr>
        <w:pStyle w:val="Headingb"/>
        <w:keepLines/>
      </w:pPr>
      <w:bookmarkStart w:id="397" w:name="Item52_02"/>
      <w:r w:rsidRPr="00CA61A6">
        <w:t xml:space="preserve">Acción </w:t>
      </w:r>
      <w:r w:rsidR="0062564D" w:rsidRPr="00CA61A6">
        <w:t>52-02: CE</w:t>
      </w:r>
    </w:p>
    <w:p w:rsidR="0062564D" w:rsidRPr="00CA61A6" w:rsidRDefault="0062564D" w:rsidP="007B3478">
      <w:pPr>
        <w:rPr>
          <w:szCs w:val="24"/>
          <w:lang w:eastAsia="ja-JP"/>
        </w:rPr>
      </w:pPr>
      <w:bookmarkStart w:id="398" w:name="lt_pId877"/>
      <w:bookmarkEnd w:id="397"/>
      <w:r w:rsidRPr="00CA61A6">
        <w:rPr>
          <w:szCs w:val="24"/>
          <w:lang w:eastAsia="ja-JP"/>
        </w:rPr>
        <w:t>La Cuestión 5/17, Lucha contra el spam por medios técnicos, ha intercambiado las prácticas idóneas con las CE</w:t>
      </w:r>
      <w:r w:rsidR="00E16148" w:rsidRPr="00CA61A6">
        <w:rPr>
          <w:szCs w:val="24"/>
          <w:lang w:eastAsia="ja-JP"/>
        </w:rPr>
        <w:t> </w:t>
      </w:r>
      <w:r w:rsidRPr="00CA61A6">
        <w:rPr>
          <w:szCs w:val="24"/>
          <w:lang w:eastAsia="ja-JP"/>
        </w:rPr>
        <w:t>2, CE</w:t>
      </w:r>
      <w:r w:rsidR="00E16148" w:rsidRPr="00CA61A6">
        <w:rPr>
          <w:szCs w:val="24"/>
          <w:lang w:eastAsia="ja-JP"/>
        </w:rPr>
        <w:t> </w:t>
      </w:r>
      <w:r w:rsidRPr="00CA61A6">
        <w:rPr>
          <w:szCs w:val="24"/>
          <w:lang w:eastAsia="ja-JP"/>
        </w:rPr>
        <w:t>13 y CE</w:t>
      </w:r>
      <w:r w:rsidR="00E16148" w:rsidRPr="00CA61A6">
        <w:rPr>
          <w:szCs w:val="24"/>
          <w:lang w:eastAsia="ja-JP"/>
        </w:rPr>
        <w:t> </w:t>
      </w:r>
      <w:r w:rsidR="00806455">
        <w:rPr>
          <w:szCs w:val="24"/>
          <w:lang w:eastAsia="ja-JP"/>
        </w:rPr>
        <w:t xml:space="preserve">16 del UIT-T </w:t>
      </w:r>
      <w:r w:rsidRPr="00CA61A6">
        <w:rPr>
          <w:szCs w:val="24"/>
          <w:lang w:eastAsia="ja-JP"/>
        </w:rPr>
        <w:t xml:space="preserve">y la Cuestión </w:t>
      </w:r>
      <w:r w:rsidR="00E16148" w:rsidRPr="00CA61A6">
        <w:rPr>
          <w:szCs w:val="24"/>
          <w:lang w:eastAsia="ja-JP"/>
        </w:rPr>
        <w:t>C</w:t>
      </w:r>
      <w:r w:rsidRPr="00CA61A6">
        <w:rPr>
          <w:szCs w:val="24"/>
          <w:lang w:eastAsia="ja-JP"/>
        </w:rPr>
        <w:t>22/1 del UIT-D, M3AAWG, IETF STIR, GSMA SG y 3GPP SA3.</w:t>
      </w:r>
      <w:bookmarkEnd w:id="398"/>
      <w:r w:rsidRPr="00CA61A6">
        <w:rPr>
          <w:szCs w:val="24"/>
          <w:lang w:eastAsia="ja-JP"/>
        </w:rPr>
        <w:t xml:space="preserve"> </w:t>
      </w:r>
      <w:bookmarkStart w:id="399" w:name="lt_pId878"/>
      <w:r w:rsidRPr="00CA61A6">
        <w:rPr>
          <w:szCs w:val="24"/>
          <w:lang w:eastAsia="ja-JP"/>
        </w:rPr>
        <w:t>Se han establecido relaciones de coordinación con esos órganos.</w:t>
      </w:r>
      <w:bookmarkEnd w:id="399"/>
      <w:r w:rsidRPr="00CA61A6">
        <w:rPr>
          <w:szCs w:val="24"/>
          <w:lang w:eastAsia="ja-JP"/>
        </w:rPr>
        <w:t xml:space="preserve"> </w:t>
      </w:r>
      <w:bookmarkStart w:id="400" w:name="lt_pId879"/>
      <w:r w:rsidRPr="00CA61A6">
        <w:rPr>
          <w:szCs w:val="24"/>
          <w:lang w:eastAsia="ja-JP"/>
        </w:rPr>
        <w:t>Asimismo, la Cuestión 5/17 ha examinado todos los documentos pertinentes de los órganos anteriores y de la OCDE, ENISA y NIST.</w:t>
      </w:r>
      <w:bookmarkEnd w:id="400"/>
    </w:p>
    <w:p w:rsidR="0062564D" w:rsidRPr="00CA61A6" w:rsidRDefault="0062564D" w:rsidP="007B3478">
      <w:pPr>
        <w:rPr>
          <w:szCs w:val="24"/>
          <w:lang w:eastAsia="ja-JP"/>
        </w:rPr>
      </w:pPr>
      <w:bookmarkStart w:id="401" w:name="lt_pId880"/>
      <w:r w:rsidRPr="00CA61A6">
        <w:rPr>
          <w:color w:val="000000"/>
          <w:lang w:eastAsia="ja-JP"/>
        </w:rPr>
        <w:t xml:space="preserve">La Cuestión 5/17 presenta diapositivas sobre las Recomendaciones UIT-T y actividades sobre lucha contra el spam </w:t>
      </w:r>
      <w:bookmarkEnd w:id="401"/>
      <w:r w:rsidRPr="00CA61A6">
        <w:rPr>
          <w:color w:val="000000"/>
          <w:lang w:eastAsia="ja-JP"/>
        </w:rPr>
        <w:t xml:space="preserve">en el </w:t>
      </w:r>
      <w:hyperlink r:id="rId118" w:history="1">
        <w:r w:rsidR="00A518A6">
          <w:rPr>
            <w:rStyle w:val="Hyperlink"/>
            <w:lang w:eastAsia="ja-JP"/>
          </w:rPr>
          <w:t>t</w:t>
        </w:r>
        <w:r w:rsidRPr="00CA61A6">
          <w:rPr>
            <w:rStyle w:val="Hyperlink"/>
            <w:lang w:eastAsia="ja-JP"/>
          </w:rPr>
          <w:t xml:space="preserve">aller de la UIT sobre </w:t>
        </w:r>
        <w:r w:rsidR="001A21F8" w:rsidRPr="00CA61A6">
          <w:rPr>
            <w:rStyle w:val="Hyperlink"/>
            <w:lang w:eastAsia="ja-JP"/>
          </w:rPr>
          <w:t xml:space="preserve">"Respuesta </w:t>
        </w:r>
        <w:r w:rsidRPr="00CA61A6">
          <w:rPr>
            <w:rStyle w:val="Hyperlink"/>
            <w:lang w:eastAsia="ja-JP"/>
          </w:rPr>
          <w:t>y lucha contra el correo basura</w:t>
        </w:r>
      </w:hyperlink>
      <w:r w:rsidR="001A21F8" w:rsidRPr="00CA61A6">
        <w:rPr>
          <w:rStyle w:val="Hyperlink"/>
        </w:rPr>
        <w:t>"</w:t>
      </w:r>
      <w:r w:rsidRPr="00CA61A6">
        <w:rPr>
          <w:color w:val="000000"/>
          <w:lang w:eastAsia="ja-JP"/>
        </w:rPr>
        <w:t xml:space="preserve">, que se celebró en Durban (Sudáfrica) el 8 de julio de 2013, y el </w:t>
      </w:r>
      <w:hyperlink r:id="rId119" w:history="1">
        <w:r w:rsidR="00A518A6">
          <w:rPr>
            <w:rStyle w:val="Hyperlink"/>
            <w:lang w:eastAsia="ja-JP"/>
          </w:rPr>
          <w:t>t</w:t>
        </w:r>
        <w:r w:rsidRPr="00CA61A6">
          <w:rPr>
            <w:rStyle w:val="Hyperlink"/>
            <w:lang w:eastAsia="ja-JP"/>
          </w:rPr>
          <w:t xml:space="preserve">aller conjunto de la CITEL (CCP.I), la </w:t>
        </w:r>
        <w:r w:rsidRPr="00CA61A6">
          <w:rPr>
            <w:rStyle w:val="Hyperlink"/>
            <w:lang w:eastAsia="ja-JP"/>
          </w:rPr>
          <w:lastRenderedPageBreak/>
          <w:t>UIT e Internet Society sobre lucha contra el correo basura</w:t>
        </w:r>
      </w:hyperlink>
      <w:r w:rsidRPr="00CA61A6">
        <w:rPr>
          <w:color w:val="000000"/>
          <w:lang w:eastAsia="ja-JP"/>
        </w:rPr>
        <w:t>, que tuvo lugar en Mendoza (Argentina) el 7 de octubre de 2013.</w:t>
      </w:r>
    </w:p>
    <w:p w:rsidR="0062564D" w:rsidRPr="00CA61A6" w:rsidRDefault="00883945" w:rsidP="00DA792C">
      <w:pPr>
        <w:pStyle w:val="Headingb"/>
        <w:keepLines/>
      </w:pPr>
      <w:bookmarkStart w:id="402" w:name="Item52_03"/>
      <w:r w:rsidRPr="00CA61A6">
        <w:t xml:space="preserve">Acción </w:t>
      </w:r>
      <w:r w:rsidR="0062564D" w:rsidRPr="00CA61A6">
        <w:t xml:space="preserve">52-03: </w:t>
      </w:r>
      <w:r w:rsidR="00DA792C" w:rsidRPr="00CA61A6">
        <w:t>CE 17</w:t>
      </w:r>
    </w:p>
    <w:p w:rsidR="0062564D" w:rsidRPr="00CA61A6" w:rsidRDefault="0062564D" w:rsidP="007B3478">
      <w:pPr>
        <w:rPr>
          <w:szCs w:val="24"/>
          <w:lang w:eastAsia="ja-JP"/>
        </w:rPr>
      </w:pPr>
      <w:bookmarkStart w:id="403" w:name="lt_pId882"/>
      <w:bookmarkEnd w:id="402"/>
      <w:r w:rsidRPr="00CA61A6">
        <w:rPr>
          <w:szCs w:val="24"/>
          <w:lang w:eastAsia="ja-JP"/>
        </w:rPr>
        <w:t>La CE</w:t>
      </w:r>
      <w:r w:rsidR="00534B01" w:rsidRPr="00CA61A6">
        <w:rPr>
          <w:szCs w:val="24"/>
          <w:lang w:eastAsia="ja-JP"/>
        </w:rPr>
        <w:t> </w:t>
      </w:r>
      <w:r w:rsidRPr="00CA61A6">
        <w:rPr>
          <w:szCs w:val="24"/>
          <w:lang w:eastAsia="ja-JP"/>
        </w:rPr>
        <w:t>17 presentó en cada reunión del GANT un informe de la Comisión de Estudio Rectora sobre seguridad de las telecomunicaciones.</w:t>
      </w:r>
      <w:bookmarkEnd w:id="403"/>
    </w:p>
    <w:p w:rsidR="0062564D" w:rsidRPr="00CA61A6" w:rsidRDefault="00DA792C" w:rsidP="00DA792C">
      <w:pPr>
        <w:pStyle w:val="Headingb"/>
        <w:keepLines/>
      </w:pPr>
      <w:bookmarkStart w:id="404" w:name="Item52_04"/>
      <w:r w:rsidRPr="00CA61A6">
        <w:t xml:space="preserve">Acción </w:t>
      </w:r>
      <w:r w:rsidR="0062564D" w:rsidRPr="00CA61A6">
        <w:t xml:space="preserve">52-04: </w:t>
      </w:r>
      <w:r w:rsidRPr="00CA61A6">
        <w:t>CE 17</w:t>
      </w:r>
    </w:p>
    <w:p w:rsidR="0062564D" w:rsidRPr="00CA61A6" w:rsidRDefault="0062564D" w:rsidP="007B3478">
      <w:pPr>
        <w:rPr>
          <w:szCs w:val="24"/>
          <w:lang w:eastAsia="ja-JP"/>
        </w:rPr>
      </w:pPr>
      <w:bookmarkStart w:id="405" w:name="lt_pId884"/>
      <w:bookmarkEnd w:id="404"/>
      <w:r w:rsidRPr="00CA61A6">
        <w:rPr>
          <w:lang w:eastAsia="ja-JP"/>
        </w:rPr>
        <w:t>La Cuestión 5/17 terminó el proyecto de cuestionario y lo envió al Director de la TSB para su finalización.</w:t>
      </w:r>
      <w:bookmarkEnd w:id="405"/>
      <w:r w:rsidRPr="00CA61A6">
        <w:rPr>
          <w:lang w:eastAsia="ja-JP"/>
        </w:rPr>
        <w:t xml:space="preserve"> </w:t>
      </w:r>
      <w:bookmarkStart w:id="406" w:name="lt_pId885"/>
      <w:r w:rsidRPr="00CA61A6">
        <w:rPr>
          <w:lang w:eastAsia="ja-JP"/>
        </w:rPr>
        <w:t xml:space="preserve">Este cuestionario se enviará a todos los Estados Miembros, Miembros de Sector y otras organizaciones pertinentes </w:t>
      </w:r>
      <w:r w:rsidR="00FB41E6">
        <w:rPr>
          <w:lang w:eastAsia="ja-JP"/>
        </w:rPr>
        <w:t xml:space="preserve">para </w:t>
      </w:r>
      <w:r w:rsidRPr="00CA61A6">
        <w:rPr>
          <w:lang w:eastAsia="ja-JP"/>
        </w:rPr>
        <w:t>la recopilación de información, futura normalización y prácticas idóneas.</w:t>
      </w:r>
      <w:bookmarkEnd w:id="406"/>
    </w:p>
    <w:p w:rsidR="001D740E" w:rsidRPr="00CA61A6" w:rsidRDefault="00110CAD" w:rsidP="001D740E">
      <w:hyperlink w:anchor="Top" w:history="1">
        <w:r w:rsidR="001D740E" w:rsidRPr="00CA61A6">
          <w:rPr>
            <w:rStyle w:val="Hyperlink"/>
          </w:rPr>
          <w:t>» Arriba</w:t>
        </w:r>
      </w:hyperlink>
    </w:p>
    <w:p w:rsidR="0062564D" w:rsidRPr="00CA61A6" w:rsidRDefault="00DA3BD5" w:rsidP="00AB0FD9">
      <w:pPr>
        <w:pStyle w:val="Heading1"/>
      </w:pPr>
      <w:bookmarkStart w:id="407" w:name="_24_Resolución_54"/>
      <w:bookmarkStart w:id="408" w:name="_Toc463335775"/>
      <w:bookmarkEnd w:id="407"/>
      <w:r w:rsidRPr="00CA61A6">
        <w:t>24</w:t>
      </w:r>
      <w:r w:rsidRPr="00CA61A6">
        <w:tab/>
      </w:r>
      <w:r w:rsidR="0062564D" w:rsidRPr="00CA61A6">
        <w:t xml:space="preserve">Resolución </w:t>
      </w:r>
      <w:r w:rsidR="0062564D" w:rsidRPr="00CA61A6">
        <w:rPr>
          <w:rStyle w:val="href"/>
        </w:rPr>
        <w:t>54</w:t>
      </w:r>
      <w:r w:rsidR="00AB0FD9" w:rsidRPr="00CA61A6">
        <w:t xml:space="preserve"> – </w:t>
      </w:r>
      <w:r w:rsidR="0062564D" w:rsidRPr="00CA61A6">
        <w:t xml:space="preserve">Creación de </w:t>
      </w:r>
      <w:r w:rsidR="000C17DA" w:rsidRPr="00CA61A6">
        <w:t xml:space="preserve">Grupos Regionales </w:t>
      </w:r>
      <w:r w:rsidR="009A3086" w:rsidRPr="00CA61A6">
        <w:t>y asistencia a esos </w:t>
      </w:r>
      <w:r w:rsidR="0062564D" w:rsidRPr="00CA61A6">
        <w:t>grupos</w:t>
      </w:r>
      <w:bookmarkEnd w:id="408"/>
    </w:p>
    <w:p w:rsidR="0062564D" w:rsidRPr="00CA61A6" w:rsidRDefault="0062564D" w:rsidP="00DA3BD5">
      <w:pPr>
        <w:pStyle w:val="Headingb"/>
        <w:keepLines/>
      </w:pPr>
      <w:r w:rsidRPr="00CA61A6">
        <w:t>Resolución 54</w:t>
      </w:r>
    </w:p>
    <w:p w:rsidR="0062564D" w:rsidRPr="00CA61A6" w:rsidRDefault="0062564D" w:rsidP="007B3478">
      <w:pPr>
        <w:pStyle w:val="Call"/>
      </w:pPr>
      <w:r w:rsidRPr="00CA61A6">
        <w:t>resuelve</w:t>
      </w:r>
    </w:p>
    <w:p w:rsidR="0062564D" w:rsidRPr="00CA61A6" w:rsidRDefault="0062564D" w:rsidP="007B3478">
      <w:r w:rsidRPr="00CA61A6">
        <w:t>1</w:t>
      </w:r>
      <w:r w:rsidRPr="00CA61A6">
        <w:tab/>
        <w:t>apoyar, caso por caso, la creación coordinada de Grupos Regionales de Comisiones de Estudio del UIT-T, y alentar la cooperación y colaboración de esos Grupos con entidades de normalización regionales;</w:t>
      </w:r>
    </w:p>
    <w:p w:rsidR="0062564D" w:rsidRPr="00CA61A6" w:rsidRDefault="0062564D" w:rsidP="007B3478">
      <w:r w:rsidRPr="00CA61A6">
        <w:t>2</w:t>
      </w:r>
      <w:r w:rsidRPr="00CA61A6">
        <w:tab/>
        <w:t>invitar al Consejo a considerar la posibilidad de prestar apoyo a esos Grupos Regionales, según proceda,</w:t>
      </w:r>
    </w:p>
    <w:p w:rsidR="0062564D" w:rsidRPr="00CA61A6" w:rsidRDefault="0062564D" w:rsidP="007B3478">
      <w:pPr>
        <w:pStyle w:val="Call"/>
      </w:pPr>
      <w:r w:rsidRPr="00CA61A6">
        <w:t>invita a las Regiones y a sus Estados Miembros</w:t>
      </w:r>
    </w:p>
    <w:p w:rsidR="0062564D" w:rsidRPr="00CA61A6" w:rsidRDefault="0062564D" w:rsidP="007B3478">
      <w:r w:rsidRPr="00CA61A6">
        <w:t>1</w:t>
      </w:r>
      <w:r w:rsidRPr="00CA61A6">
        <w:tab/>
        <w:t xml:space="preserve">a proseguir la creación de Grupos Regionales en las Comisiones de Estudio del UIT-T, de conformidad con el </w:t>
      </w:r>
      <w:r w:rsidRPr="00CA61A6">
        <w:rPr>
          <w:i/>
          <w:iCs/>
        </w:rPr>
        <w:t xml:space="preserve">resuelve </w:t>
      </w:r>
      <w:r w:rsidRPr="00CA61A6">
        <w:t>1 de esta Resolución y a prestar apoyo a las reuniones y actividades que realicen, en coordinación con la TSB, si procede;</w:t>
      </w:r>
    </w:p>
    <w:p w:rsidR="0062564D" w:rsidRPr="00CA61A6" w:rsidRDefault="0062564D" w:rsidP="007B3478">
      <w:r w:rsidRPr="00CA61A6">
        <w:t>2</w:t>
      </w:r>
      <w:r w:rsidRPr="00CA61A6">
        <w:tab/>
        <w:t>a elaborar proyectos de mandato y de métodos de trabajo para esos Grupos Regionales que haya de aprobar la Comisión de Estudio tutora;</w:t>
      </w:r>
    </w:p>
    <w:p w:rsidR="0062564D" w:rsidRPr="00CA61A6" w:rsidRDefault="0062564D" w:rsidP="007B3478">
      <w:r w:rsidRPr="00CA61A6">
        <w:t>3</w:t>
      </w:r>
      <w:r w:rsidRPr="00CA61A6">
        <w:tab/>
        <w:t>a crear organismos regionales de normalización, llegado el caso, y alentar sus reuniones conjuntas y coordinadas con los Grupos Regionales de Comisiones de Estudio del UIT-T en sus respectivas regiones, con el propósito de que dichos organismos de normalización acojan esas reuniones de los Grupos Regionales,</w:t>
      </w:r>
    </w:p>
    <w:p w:rsidR="0062564D" w:rsidRPr="00CA61A6" w:rsidRDefault="0062564D" w:rsidP="007B3478">
      <w:pPr>
        <w:pStyle w:val="Call"/>
      </w:pPr>
      <w:r w:rsidRPr="00CA61A6">
        <w:t>invita a los Grupos Regionales así creados</w:t>
      </w:r>
    </w:p>
    <w:p w:rsidR="0062564D" w:rsidRPr="00CA61A6" w:rsidRDefault="0062564D" w:rsidP="007B3478">
      <w:r w:rsidRPr="00CA61A6">
        <w:t>1</w:t>
      </w:r>
      <w:r w:rsidRPr="00CA61A6">
        <w:tab/>
        <w:t>a difundir la información relativa a la normalización de las telecomunicaciones, alentando la participación de los países en desarrollo en las actividades de normalización en sus regiones, y a presentar contribuciones por escrito a la Comisión de Estudio tutora en las que se reflejen las prioridades de la correspondiente región;</w:t>
      </w:r>
    </w:p>
    <w:p w:rsidR="0062564D" w:rsidRPr="00CA61A6" w:rsidRDefault="0062564D" w:rsidP="007B3478">
      <w:r w:rsidRPr="00CA61A6">
        <w:t>2</w:t>
      </w:r>
      <w:r w:rsidRPr="00CA61A6">
        <w:tab/>
        <w:t>a cooperar estrechamente con las respectivas organizaciones regionales competentes,</w:t>
      </w:r>
    </w:p>
    <w:p w:rsidR="0062564D" w:rsidRPr="00CA61A6" w:rsidRDefault="0062564D" w:rsidP="007B3478">
      <w:pPr>
        <w:pStyle w:val="Call"/>
      </w:pPr>
      <w:r w:rsidRPr="00CA61A6">
        <w:t>encarga a las Comisiones de Estudio y al Grupo Asesor de Normalización de las Telecomunicaciones</w:t>
      </w:r>
    </w:p>
    <w:p w:rsidR="0062564D" w:rsidRPr="00CA61A6" w:rsidRDefault="0062564D" w:rsidP="007B3478">
      <w:r w:rsidRPr="00CA61A6">
        <w:t>a coordinar reuniones conjuntas de los Grupos Regionales de Comisiones de Estudio del UIT-T,</w:t>
      </w:r>
    </w:p>
    <w:p w:rsidR="0062564D" w:rsidRPr="00CA61A6" w:rsidRDefault="0062564D" w:rsidP="007B3478">
      <w:pPr>
        <w:pStyle w:val="Call"/>
      </w:pPr>
      <w:r w:rsidRPr="00CA61A6">
        <w:lastRenderedPageBreak/>
        <w:t>encarga al Director de la Oficina de Normalización de las Telecomunicaciones que, en colaboración con el Director de la Oficina de Desarrollo de las Telecomunicaciones y, con sujeción a los recursos asignados o aportados disponibles,</w:t>
      </w:r>
    </w:p>
    <w:p w:rsidR="0062564D" w:rsidRPr="00CA61A6" w:rsidRDefault="0062564D" w:rsidP="007B3478">
      <w:r w:rsidRPr="00CA61A6">
        <w:t>1</w:t>
      </w:r>
      <w:r w:rsidRPr="00CA61A6">
        <w:tab/>
        <w:t>facilite todo el apoyo necesario para la creación y el buen funcionamiento de los Grupos Regionales;</w:t>
      </w:r>
    </w:p>
    <w:p w:rsidR="0062564D" w:rsidRPr="00CA61A6" w:rsidRDefault="0062564D" w:rsidP="007B3478">
      <w:r w:rsidRPr="00CA61A6">
        <w:t>2</w:t>
      </w:r>
      <w:r w:rsidRPr="00CA61A6">
        <w:tab/>
        <w:t>considere la posibilidad de celebrar simultáneamente, cuando sea posible, talleres y reuniones de los Grupos Regionales de Comisiones de Estudio del UIT-T;</w:t>
      </w:r>
    </w:p>
    <w:p w:rsidR="0062564D" w:rsidRPr="00CA61A6" w:rsidRDefault="0062564D" w:rsidP="007B3478">
      <w:r w:rsidRPr="00CA61A6">
        <w:t>3</w:t>
      </w:r>
      <w:r w:rsidRPr="00CA61A6">
        <w:tab/>
        <w:t>adopte las medidas necesarias para facilitar la organización de reuniones y de talleres de estos Grupos Regionales,</w:t>
      </w:r>
    </w:p>
    <w:p w:rsidR="0062564D" w:rsidRPr="00CA61A6" w:rsidRDefault="0062564D" w:rsidP="007B3478">
      <w:pPr>
        <w:pStyle w:val="Call"/>
      </w:pPr>
      <w:r w:rsidRPr="00CA61A6">
        <w:t xml:space="preserve">pide al Director de la Oficina de Normalización de las Telecomunicaciones </w:t>
      </w:r>
    </w:p>
    <w:p w:rsidR="0062564D" w:rsidRPr="00CA61A6" w:rsidRDefault="0062564D" w:rsidP="007B3478">
      <w:r w:rsidRPr="00CA61A6">
        <w:t>que coopere con el Director de la Oficina de Desarrollo de las Telecomunicaciones para:</w:t>
      </w:r>
    </w:p>
    <w:p w:rsidR="0062564D" w:rsidRPr="00CA61A6" w:rsidRDefault="0062564D" w:rsidP="007B3478">
      <w:pPr>
        <w:pStyle w:val="enumlev1"/>
      </w:pPr>
      <w:r w:rsidRPr="00CA61A6">
        <w:t>i)</w:t>
      </w:r>
      <w:r w:rsidRPr="00CA61A6">
        <w:tab/>
        <w:t>seguir prestando asistencia específica a la actual Comisión de Estudio 3, así como a otros Grupos Regionales;</w:t>
      </w:r>
    </w:p>
    <w:p w:rsidR="0062564D" w:rsidRPr="00CA61A6" w:rsidRDefault="0062564D" w:rsidP="007B3478">
      <w:pPr>
        <w:pStyle w:val="enumlev1"/>
        <w:spacing w:before="60"/>
      </w:pPr>
      <w:r w:rsidRPr="00CA61A6">
        <w:t>ii)</w:t>
      </w:r>
      <w:r w:rsidRPr="00CA61A6">
        <w:tab/>
        <w:t>fomentar el desarrollo continuo por los miembros de los Grupos Regionales de la Comisión de Estudio 3, de herramientas informáticas relacionadas con su metodología de costes;</w:t>
      </w:r>
    </w:p>
    <w:p w:rsidR="0062564D" w:rsidRPr="00CA61A6" w:rsidRDefault="0062564D" w:rsidP="007B3478">
      <w:pPr>
        <w:pStyle w:val="enumlev1"/>
        <w:spacing w:before="60"/>
      </w:pPr>
      <w:r w:rsidRPr="00CA61A6">
        <w:t>iii)</w:t>
      </w:r>
      <w:r w:rsidRPr="00CA61A6">
        <w:tab/>
        <w:t>tomar las medidas necesarias para facilitar las reuniones de los Grupos Regionales actuales y futuros de la Comisión de Estudio 3 y favorecer las sinergias necesarias entre los dos Sectores,</w:t>
      </w:r>
    </w:p>
    <w:p w:rsidR="0062564D" w:rsidRPr="00CA61A6" w:rsidRDefault="0062564D" w:rsidP="007B3478">
      <w:pPr>
        <w:pStyle w:val="Call"/>
        <w:keepNext w:val="0"/>
        <w:keepLines w:val="0"/>
      </w:pPr>
      <w:r w:rsidRPr="00CA61A6">
        <w:t>invita además a los Grupos Regionales así creados</w:t>
      </w:r>
    </w:p>
    <w:p w:rsidR="0062564D" w:rsidRPr="00CA61A6" w:rsidRDefault="0062564D" w:rsidP="002F4642">
      <w:pPr>
        <w:spacing w:after="120"/>
      </w:pPr>
      <w:r w:rsidRPr="00CA61A6">
        <w:t>a cooperar estrechamente con las respectivas organizaciones regionales pertinentes y a presentar informes sobre sus trabajos en sus regiones respectivas.</w:t>
      </w:r>
    </w:p>
    <w:tbl>
      <w:tblPr>
        <w:tblW w:w="9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4874"/>
        <w:gridCol w:w="1561"/>
        <w:gridCol w:w="1165"/>
        <w:gridCol w:w="1320"/>
      </w:tblGrid>
      <w:tr w:rsidR="0062564D" w:rsidRPr="00CA61A6" w:rsidTr="00BB485F">
        <w:trPr>
          <w:cantSplit/>
          <w:tblHeader/>
          <w:jc w:val="center"/>
        </w:trPr>
        <w:tc>
          <w:tcPr>
            <w:tcW w:w="1075" w:type="dxa"/>
            <w:tcBorders>
              <w:bottom w:val="double" w:sz="4" w:space="0" w:color="auto"/>
            </w:tcBorders>
            <w:shd w:val="clear" w:color="auto" w:fill="auto"/>
            <w:vAlign w:val="center"/>
          </w:tcPr>
          <w:p w:rsidR="0062564D" w:rsidRPr="00CA61A6" w:rsidRDefault="00953118" w:rsidP="00953118">
            <w:pPr>
              <w:pStyle w:val="Tablehead"/>
            </w:pPr>
            <w:r w:rsidRPr="00CA61A6">
              <w:t>Número</w:t>
            </w:r>
          </w:p>
        </w:tc>
        <w:tc>
          <w:tcPr>
            <w:tcW w:w="4874" w:type="dxa"/>
            <w:tcBorders>
              <w:bottom w:val="double" w:sz="4" w:space="0" w:color="auto"/>
            </w:tcBorders>
            <w:shd w:val="clear" w:color="auto" w:fill="auto"/>
            <w:vAlign w:val="center"/>
            <w:hideMark/>
          </w:tcPr>
          <w:p w:rsidR="0062564D" w:rsidRPr="00CA61A6" w:rsidRDefault="0062564D" w:rsidP="00953118">
            <w:pPr>
              <w:pStyle w:val="Tablehead"/>
            </w:pPr>
            <w:r w:rsidRPr="00CA61A6">
              <w:t>Acción</w:t>
            </w:r>
          </w:p>
        </w:tc>
        <w:tc>
          <w:tcPr>
            <w:tcW w:w="1561" w:type="dxa"/>
            <w:tcBorders>
              <w:bottom w:val="double" w:sz="4" w:space="0" w:color="auto"/>
            </w:tcBorders>
            <w:shd w:val="clear" w:color="auto" w:fill="auto"/>
            <w:vAlign w:val="center"/>
            <w:hideMark/>
          </w:tcPr>
          <w:p w:rsidR="0062564D" w:rsidRPr="00CA61A6" w:rsidRDefault="0062564D" w:rsidP="00953118">
            <w:pPr>
              <w:pStyle w:val="Tablehead"/>
            </w:pPr>
            <w:r w:rsidRPr="00CA61A6">
              <w:t>Fecha objetivo</w:t>
            </w:r>
          </w:p>
        </w:tc>
        <w:tc>
          <w:tcPr>
            <w:tcW w:w="1165" w:type="dxa"/>
            <w:tcBorders>
              <w:bottom w:val="double" w:sz="4" w:space="0" w:color="auto"/>
            </w:tcBorders>
            <w:shd w:val="clear" w:color="auto" w:fill="auto"/>
          </w:tcPr>
          <w:p w:rsidR="0062564D" w:rsidRPr="00CA61A6" w:rsidRDefault="0062564D" w:rsidP="00953118">
            <w:pPr>
              <w:pStyle w:val="Tablehead"/>
            </w:pPr>
            <w:r w:rsidRPr="00CA61A6">
              <w:t>Objetivos periódicos cumplidos</w:t>
            </w:r>
          </w:p>
        </w:tc>
        <w:tc>
          <w:tcPr>
            <w:tcW w:w="1320" w:type="dxa"/>
            <w:tcBorders>
              <w:bottom w:val="double" w:sz="4" w:space="0" w:color="auto"/>
            </w:tcBorders>
            <w:shd w:val="clear" w:color="auto" w:fill="auto"/>
            <w:vAlign w:val="center"/>
          </w:tcPr>
          <w:p w:rsidR="0062564D" w:rsidRPr="00CA61A6" w:rsidRDefault="0062564D" w:rsidP="00953118">
            <w:pPr>
              <w:pStyle w:val="Tablehead"/>
            </w:pPr>
            <w:r w:rsidRPr="00CA61A6">
              <w:t>Completada</w:t>
            </w:r>
          </w:p>
        </w:tc>
      </w:tr>
      <w:tr w:rsidR="0062564D" w:rsidRPr="00CA61A6" w:rsidTr="00BB485F">
        <w:trPr>
          <w:cantSplit/>
          <w:jc w:val="center"/>
        </w:trPr>
        <w:tc>
          <w:tcPr>
            <w:tcW w:w="1075" w:type="dxa"/>
            <w:tcBorders>
              <w:top w:val="double" w:sz="4" w:space="0" w:color="auto"/>
            </w:tcBorders>
            <w:shd w:val="clear" w:color="auto" w:fill="auto"/>
            <w:vAlign w:val="center"/>
          </w:tcPr>
          <w:p w:rsidR="0062564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54_01" w:history="1">
              <w:r w:rsidR="0062564D" w:rsidRPr="00CA61A6">
                <w:rPr>
                  <w:color w:val="0000FF"/>
                  <w:sz w:val="20"/>
                  <w:u w:val="single"/>
                </w:rPr>
                <w:t>54-01</w:t>
              </w:r>
            </w:hyperlink>
          </w:p>
        </w:tc>
        <w:tc>
          <w:tcPr>
            <w:tcW w:w="4874" w:type="dxa"/>
            <w:tcBorders>
              <w:top w:val="double" w:sz="4" w:space="0" w:color="auto"/>
            </w:tcBorders>
            <w:shd w:val="clear" w:color="auto" w:fill="auto"/>
            <w:hideMark/>
          </w:tcPr>
          <w:p w:rsidR="0062564D" w:rsidRPr="00CA61A6" w:rsidRDefault="0062564D" w:rsidP="007F4DA2">
            <w:pPr>
              <w:pStyle w:val="Tabletext"/>
            </w:pPr>
            <w:bookmarkStart w:id="409" w:name="lt_pId931"/>
            <w:r w:rsidRPr="00CA61A6">
              <w:t xml:space="preserve">La TSB ayudará a crear de manera coordinada </w:t>
            </w:r>
            <w:r w:rsidR="00E96FC2" w:rsidRPr="00CA61A6">
              <w:t xml:space="preserve">Grupos Regionales </w:t>
            </w:r>
            <w:r w:rsidRPr="00CA61A6">
              <w:t>de Comisiones de Estudio del UIT</w:t>
            </w:r>
            <w:r w:rsidR="00E172C1" w:rsidRPr="00CA61A6">
              <w:noBreakHyphen/>
            </w:r>
            <w:r w:rsidRPr="00CA61A6">
              <w:t xml:space="preserve">T </w:t>
            </w:r>
            <w:bookmarkEnd w:id="409"/>
          </w:p>
        </w:tc>
        <w:tc>
          <w:tcPr>
            <w:tcW w:w="1561" w:type="dxa"/>
            <w:tcBorders>
              <w:top w:val="double" w:sz="4" w:space="0" w:color="auto"/>
            </w:tcBorders>
            <w:shd w:val="clear" w:color="auto" w:fill="auto"/>
            <w:vAlign w:val="center"/>
            <w:hideMark/>
          </w:tcPr>
          <w:p w:rsidR="0062564D" w:rsidRPr="00CA61A6" w:rsidRDefault="0062564D" w:rsidP="00843459">
            <w:pPr>
              <w:pStyle w:val="Tabletext"/>
              <w:jc w:val="center"/>
            </w:pPr>
            <w:r w:rsidRPr="00CA61A6">
              <w:t>En curso</w:t>
            </w:r>
          </w:p>
        </w:tc>
        <w:tc>
          <w:tcPr>
            <w:tcW w:w="1165" w:type="dxa"/>
            <w:tcBorders>
              <w:top w:val="double" w:sz="4" w:space="0" w:color="auto"/>
            </w:tcBorders>
            <w:shd w:val="clear" w:color="auto" w:fill="auto"/>
            <w:vAlign w:val="center"/>
          </w:tcPr>
          <w:p w:rsidR="0062564D" w:rsidRPr="00CA61A6" w:rsidRDefault="007D12B5" w:rsidP="00843459">
            <w:pPr>
              <w:pStyle w:val="Tabletext"/>
              <w:jc w:val="center"/>
            </w:pPr>
            <w:r w:rsidRPr="00CA61A6">
              <w:sym w:font="Wingdings" w:char="F0FC"/>
            </w:r>
          </w:p>
        </w:tc>
        <w:tc>
          <w:tcPr>
            <w:tcW w:w="1320" w:type="dxa"/>
            <w:tcBorders>
              <w:top w:val="double" w:sz="4" w:space="0" w:color="auto"/>
            </w:tcBorders>
            <w:shd w:val="clear" w:color="auto" w:fill="auto"/>
            <w:vAlign w:val="center"/>
          </w:tcPr>
          <w:p w:rsidR="0062564D" w:rsidRPr="00CA61A6" w:rsidRDefault="0062564D" w:rsidP="00843459">
            <w:pPr>
              <w:pStyle w:val="Tabletext"/>
              <w:jc w:val="center"/>
            </w:pPr>
          </w:p>
        </w:tc>
      </w:tr>
      <w:tr w:rsidR="0062564D" w:rsidRPr="00CA61A6" w:rsidTr="00BB485F">
        <w:trPr>
          <w:cantSplit/>
          <w:jc w:val="center"/>
        </w:trPr>
        <w:tc>
          <w:tcPr>
            <w:tcW w:w="1075" w:type="dxa"/>
            <w:shd w:val="clear" w:color="auto" w:fill="auto"/>
            <w:vAlign w:val="center"/>
          </w:tcPr>
          <w:p w:rsidR="0062564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54_02" w:history="1">
              <w:r w:rsidR="0062564D" w:rsidRPr="00CA61A6">
                <w:rPr>
                  <w:color w:val="0000FF"/>
                  <w:sz w:val="20"/>
                  <w:u w:val="single"/>
                </w:rPr>
                <w:t>54-02</w:t>
              </w:r>
            </w:hyperlink>
            <w:r w:rsidR="0062564D" w:rsidRPr="00CA61A6">
              <w:rPr>
                <w:sz w:val="20"/>
              </w:rPr>
              <w:t xml:space="preserve"> </w:t>
            </w:r>
          </w:p>
        </w:tc>
        <w:tc>
          <w:tcPr>
            <w:tcW w:w="4874" w:type="dxa"/>
            <w:shd w:val="clear" w:color="auto" w:fill="auto"/>
            <w:hideMark/>
          </w:tcPr>
          <w:p w:rsidR="0062564D" w:rsidRPr="00CA61A6" w:rsidRDefault="0062564D" w:rsidP="00CF47E5">
            <w:pPr>
              <w:pStyle w:val="Tabletext"/>
            </w:pPr>
            <w:bookmarkStart w:id="410" w:name="lt_pId935"/>
            <w:r w:rsidRPr="00CA61A6">
              <w:t xml:space="preserve">El Director de la TSB invitará al Consejo a examinar la posibilidad de crear </w:t>
            </w:r>
            <w:r w:rsidR="00E96FC2" w:rsidRPr="00CA61A6">
              <w:t>Grupos Regionales</w:t>
            </w:r>
            <w:r w:rsidRPr="00CA61A6">
              <w:t>, según proceda</w:t>
            </w:r>
            <w:bookmarkEnd w:id="410"/>
          </w:p>
        </w:tc>
        <w:tc>
          <w:tcPr>
            <w:tcW w:w="1561" w:type="dxa"/>
            <w:shd w:val="clear" w:color="auto" w:fill="auto"/>
            <w:vAlign w:val="center"/>
            <w:hideMark/>
          </w:tcPr>
          <w:p w:rsidR="0062564D" w:rsidRPr="00CA61A6" w:rsidRDefault="0062564D" w:rsidP="00843459">
            <w:pPr>
              <w:pStyle w:val="Tabletext"/>
              <w:jc w:val="center"/>
            </w:pPr>
            <w:bookmarkStart w:id="411" w:name="lt_pId936"/>
            <w:r w:rsidRPr="00CA61A6">
              <w:t>Consejo de 2013</w:t>
            </w:r>
            <w:bookmarkEnd w:id="411"/>
          </w:p>
        </w:tc>
        <w:tc>
          <w:tcPr>
            <w:tcW w:w="1165" w:type="dxa"/>
            <w:shd w:val="clear" w:color="auto" w:fill="auto"/>
            <w:vAlign w:val="center"/>
          </w:tcPr>
          <w:p w:rsidR="0062564D" w:rsidRPr="00CA61A6" w:rsidRDefault="0062564D" w:rsidP="00843459">
            <w:pPr>
              <w:pStyle w:val="Tabletext"/>
              <w:jc w:val="center"/>
            </w:pPr>
          </w:p>
        </w:tc>
        <w:tc>
          <w:tcPr>
            <w:tcW w:w="1320" w:type="dxa"/>
            <w:shd w:val="clear" w:color="auto" w:fill="auto"/>
            <w:vAlign w:val="center"/>
          </w:tcPr>
          <w:p w:rsidR="0062564D" w:rsidRPr="00CA61A6" w:rsidRDefault="007D12B5" w:rsidP="00843459">
            <w:pPr>
              <w:pStyle w:val="Tabletext"/>
              <w:jc w:val="center"/>
            </w:pPr>
            <w:r w:rsidRPr="00CA61A6">
              <w:sym w:font="Wingdings" w:char="F0FC"/>
            </w:r>
          </w:p>
        </w:tc>
      </w:tr>
      <w:tr w:rsidR="0062564D" w:rsidRPr="00CA61A6" w:rsidTr="00BB485F">
        <w:trPr>
          <w:cantSplit/>
          <w:jc w:val="center"/>
        </w:trPr>
        <w:tc>
          <w:tcPr>
            <w:tcW w:w="1075" w:type="dxa"/>
            <w:shd w:val="clear" w:color="auto" w:fill="auto"/>
            <w:vAlign w:val="center"/>
          </w:tcPr>
          <w:p w:rsidR="0062564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54_03" w:history="1">
              <w:r w:rsidR="0062564D" w:rsidRPr="00CA61A6">
                <w:rPr>
                  <w:color w:val="0000FF"/>
                  <w:sz w:val="20"/>
                  <w:u w:val="single"/>
                </w:rPr>
                <w:t>54-03</w:t>
              </w:r>
            </w:hyperlink>
            <w:r w:rsidR="0062564D" w:rsidRPr="00CA61A6">
              <w:rPr>
                <w:sz w:val="20"/>
              </w:rPr>
              <w:t xml:space="preserve"> </w:t>
            </w:r>
            <w:r w:rsidR="00A26D40" w:rsidRPr="00CA61A6">
              <w:rPr>
                <w:sz w:val="20"/>
              </w:rPr>
              <w:br/>
            </w:r>
            <w:r w:rsidR="0062564D" w:rsidRPr="00CA61A6">
              <w:rPr>
                <w:sz w:val="20"/>
              </w:rPr>
              <w:t>(</w:t>
            </w:r>
            <w:hyperlink w:anchor="Item44_25" w:history="1">
              <w:r w:rsidR="0062564D" w:rsidRPr="00CA61A6">
                <w:rPr>
                  <w:color w:val="0000FF"/>
                  <w:sz w:val="20"/>
                  <w:u w:val="single"/>
                </w:rPr>
                <w:t>44-25</w:t>
              </w:r>
            </w:hyperlink>
            <w:r w:rsidR="0062564D" w:rsidRPr="00CA61A6">
              <w:rPr>
                <w:sz w:val="20"/>
              </w:rPr>
              <w:t>)</w:t>
            </w:r>
          </w:p>
        </w:tc>
        <w:tc>
          <w:tcPr>
            <w:tcW w:w="4874" w:type="dxa"/>
            <w:shd w:val="clear" w:color="auto" w:fill="auto"/>
          </w:tcPr>
          <w:p w:rsidR="0062564D" w:rsidRPr="00CA61A6" w:rsidRDefault="0062564D" w:rsidP="00CF47E5">
            <w:pPr>
              <w:pStyle w:val="Tabletext"/>
            </w:pPr>
            <w:bookmarkStart w:id="412" w:name="lt_pId939"/>
            <w:r w:rsidRPr="00CA61A6">
              <w:t xml:space="preserve">La TSB instará a crear órganos regionales de normalización, según proceda, y reuniones mixtas y coordinadas de dichos órganos con </w:t>
            </w:r>
            <w:r w:rsidR="00E96FC2" w:rsidRPr="00CA61A6">
              <w:t xml:space="preserve">Grupos Regionales </w:t>
            </w:r>
            <w:r w:rsidRPr="00CA61A6">
              <w:t xml:space="preserve">(véase también la </w:t>
            </w:r>
            <w:hyperlink w:anchor="_17_Resolución_44" w:history="1">
              <w:r w:rsidRPr="00CA61A6">
                <w:rPr>
                  <w:color w:val="0000FF"/>
                  <w:u w:val="single"/>
                </w:rPr>
                <w:t>Resolución 44</w:t>
              </w:r>
            </w:hyperlink>
            <w:r w:rsidRPr="00CA61A6">
              <w:t>)</w:t>
            </w:r>
            <w:bookmarkEnd w:id="412"/>
          </w:p>
        </w:tc>
        <w:tc>
          <w:tcPr>
            <w:tcW w:w="1561" w:type="dxa"/>
            <w:shd w:val="clear" w:color="auto" w:fill="auto"/>
            <w:vAlign w:val="center"/>
          </w:tcPr>
          <w:p w:rsidR="0062564D" w:rsidRPr="00CA61A6" w:rsidRDefault="0062564D" w:rsidP="00843459">
            <w:pPr>
              <w:pStyle w:val="Tabletext"/>
              <w:jc w:val="center"/>
            </w:pPr>
            <w:r w:rsidRPr="00CA61A6">
              <w:t>En curso</w:t>
            </w:r>
          </w:p>
        </w:tc>
        <w:tc>
          <w:tcPr>
            <w:tcW w:w="1165" w:type="dxa"/>
            <w:shd w:val="clear" w:color="auto" w:fill="auto"/>
            <w:vAlign w:val="center"/>
          </w:tcPr>
          <w:p w:rsidR="0062564D" w:rsidRPr="00CA61A6" w:rsidRDefault="007D12B5" w:rsidP="00843459">
            <w:pPr>
              <w:pStyle w:val="Tabletext"/>
              <w:jc w:val="center"/>
            </w:pPr>
            <w:r w:rsidRPr="00CA61A6">
              <w:sym w:font="Wingdings" w:char="F0FC"/>
            </w:r>
          </w:p>
        </w:tc>
        <w:tc>
          <w:tcPr>
            <w:tcW w:w="1320" w:type="dxa"/>
            <w:shd w:val="clear" w:color="auto" w:fill="auto"/>
            <w:vAlign w:val="center"/>
          </w:tcPr>
          <w:p w:rsidR="0062564D" w:rsidRPr="00CA61A6" w:rsidRDefault="0062564D" w:rsidP="00843459">
            <w:pPr>
              <w:pStyle w:val="Tabletext"/>
              <w:jc w:val="center"/>
            </w:pPr>
          </w:p>
        </w:tc>
      </w:tr>
      <w:tr w:rsidR="0062564D" w:rsidRPr="00CA61A6" w:rsidTr="00BB485F">
        <w:trPr>
          <w:cantSplit/>
          <w:jc w:val="center"/>
        </w:trPr>
        <w:tc>
          <w:tcPr>
            <w:tcW w:w="1075" w:type="dxa"/>
            <w:shd w:val="clear" w:color="auto" w:fill="auto"/>
            <w:vAlign w:val="center"/>
          </w:tcPr>
          <w:p w:rsidR="0062564D" w:rsidRPr="00CA61A6" w:rsidRDefault="00110CAD" w:rsidP="00F81EF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54_04" w:history="1">
              <w:r w:rsidR="0062564D" w:rsidRPr="00CA61A6">
                <w:rPr>
                  <w:color w:val="0000FF"/>
                  <w:sz w:val="20"/>
                  <w:u w:val="single"/>
                </w:rPr>
                <w:t>54-04</w:t>
              </w:r>
            </w:hyperlink>
            <w:r w:rsidR="00F81EF3" w:rsidRPr="00CA61A6">
              <w:rPr>
                <w:color w:val="0000FF"/>
                <w:sz w:val="20"/>
                <w:u w:val="single"/>
              </w:rPr>
              <w:br/>
            </w:r>
            <w:r w:rsidR="0062564D" w:rsidRPr="00CA61A6">
              <w:rPr>
                <w:sz w:val="20"/>
              </w:rPr>
              <w:t>(</w:t>
            </w:r>
            <w:hyperlink w:anchor="Item44_14" w:history="1">
              <w:r w:rsidR="0062564D" w:rsidRPr="00CA61A6">
                <w:rPr>
                  <w:color w:val="0000FF"/>
                  <w:sz w:val="20"/>
                  <w:u w:val="single"/>
                </w:rPr>
                <w:t>44-14</w:t>
              </w:r>
            </w:hyperlink>
            <w:r w:rsidR="0062564D" w:rsidRPr="00CA61A6">
              <w:rPr>
                <w:color w:val="0000FF"/>
                <w:sz w:val="20"/>
                <w:u w:val="single"/>
              </w:rPr>
              <w:t>)</w:t>
            </w:r>
          </w:p>
        </w:tc>
        <w:tc>
          <w:tcPr>
            <w:tcW w:w="4874" w:type="dxa"/>
            <w:shd w:val="clear" w:color="auto" w:fill="auto"/>
            <w:hideMark/>
          </w:tcPr>
          <w:p w:rsidR="0062564D" w:rsidRPr="00CA61A6" w:rsidRDefault="0062564D" w:rsidP="00CF47E5">
            <w:pPr>
              <w:pStyle w:val="Tabletext"/>
            </w:pPr>
            <w:bookmarkStart w:id="413" w:name="lt_pId944"/>
            <w:r w:rsidRPr="00CA61A6">
              <w:t xml:space="preserve">Las CE y el GANT coordinarán las reuniones conjuntas de </w:t>
            </w:r>
            <w:r w:rsidR="00E96FC2" w:rsidRPr="00CA61A6">
              <w:t>Grupos Regionales</w:t>
            </w:r>
            <w:bookmarkEnd w:id="413"/>
            <w:r w:rsidR="00E96FC2" w:rsidRPr="00CA61A6">
              <w:t xml:space="preserve"> </w:t>
            </w:r>
          </w:p>
        </w:tc>
        <w:tc>
          <w:tcPr>
            <w:tcW w:w="1561" w:type="dxa"/>
            <w:shd w:val="clear" w:color="auto" w:fill="auto"/>
            <w:vAlign w:val="center"/>
            <w:hideMark/>
          </w:tcPr>
          <w:p w:rsidR="0062564D" w:rsidRPr="00CA61A6" w:rsidRDefault="0062564D" w:rsidP="00843459">
            <w:pPr>
              <w:pStyle w:val="Tabletext"/>
              <w:jc w:val="center"/>
            </w:pPr>
            <w:r w:rsidRPr="00CA61A6">
              <w:t>En curso</w:t>
            </w:r>
          </w:p>
        </w:tc>
        <w:tc>
          <w:tcPr>
            <w:tcW w:w="1165" w:type="dxa"/>
            <w:shd w:val="clear" w:color="auto" w:fill="auto"/>
            <w:vAlign w:val="center"/>
          </w:tcPr>
          <w:p w:rsidR="0062564D" w:rsidRPr="00CA61A6" w:rsidRDefault="007D12B5" w:rsidP="00843459">
            <w:pPr>
              <w:pStyle w:val="Tabletext"/>
              <w:jc w:val="center"/>
            </w:pPr>
            <w:r w:rsidRPr="00CA61A6">
              <w:sym w:font="Wingdings" w:char="F0FC"/>
            </w:r>
          </w:p>
        </w:tc>
        <w:tc>
          <w:tcPr>
            <w:tcW w:w="1320" w:type="dxa"/>
            <w:shd w:val="clear" w:color="auto" w:fill="auto"/>
            <w:vAlign w:val="center"/>
          </w:tcPr>
          <w:p w:rsidR="0062564D" w:rsidRPr="00CA61A6" w:rsidRDefault="0062564D" w:rsidP="00843459">
            <w:pPr>
              <w:pStyle w:val="Tabletext"/>
              <w:jc w:val="center"/>
            </w:pPr>
          </w:p>
        </w:tc>
      </w:tr>
      <w:tr w:rsidR="0062564D" w:rsidRPr="00CA61A6" w:rsidTr="00BB485F">
        <w:trPr>
          <w:cantSplit/>
          <w:jc w:val="center"/>
        </w:trPr>
        <w:tc>
          <w:tcPr>
            <w:tcW w:w="1075" w:type="dxa"/>
            <w:shd w:val="clear" w:color="auto" w:fill="auto"/>
            <w:vAlign w:val="center"/>
          </w:tcPr>
          <w:p w:rsidR="0062564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54_05" w:history="1">
              <w:r w:rsidR="0062564D" w:rsidRPr="00CA61A6">
                <w:rPr>
                  <w:color w:val="0000FF"/>
                  <w:sz w:val="20"/>
                  <w:u w:val="single"/>
                </w:rPr>
                <w:t>54-05</w:t>
              </w:r>
            </w:hyperlink>
            <w:r w:rsidR="0062564D" w:rsidRPr="00CA61A6">
              <w:rPr>
                <w:color w:val="0000FF"/>
                <w:sz w:val="20"/>
                <w:u w:val="single"/>
              </w:rPr>
              <w:t xml:space="preserve"> </w:t>
            </w:r>
            <w:r w:rsidR="00825077" w:rsidRPr="00CA61A6">
              <w:rPr>
                <w:color w:val="0000FF"/>
                <w:sz w:val="20"/>
                <w:u w:val="single"/>
              </w:rPr>
              <w:br/>
            </w:r>
            <w:r w:rsidR="0062564D" w:rsidRPr="00CA61A6">
              <w:rPr>
                <w:color w:val="0000FF"/>
                <w:sz w:val="20"/>
                <w:u w:val="single"/>
              </w:rPr>
              <w:t>(</w:t>
            </w:r>
            <w:hyperlink w:anchor="Item44_21" w:history="1">
              <w:r w:rsidR="0062564D" w:rsidRPr="00CA61A6">
                <w:rPr>
                  <w:color w:val="0000FF"/>
                  <w:sz w:val="20"/>
                  <w:u w:val="single"/>
                </w:rPr>
                <w:t>44-21</w:t>
              </w:r>
            </w:hyperlink>
            <w:r w:rsidR="0062564D" w:rsidRPr="00CA61A6">
              <w:rPr>
                <w:sz w:val="20"/>
              </w:rPr>
              <w:t>)</w:t>
            </w:r>
          </w:p>
        </w:tc>
        <w:tc>
          <w:tcPr>
            <w:tcW w:w="4874" w:type="dxa"/>
            <w:shd w:val="clear" w:color="auto" w:fill="auto"/>
          </w:tcPr>
          <w:p w:rsidR="0062564D" w:rsidRPr="00CA61A6" w:rsidRDefault="0062564D" w:rsidP="00CF47E5">
            <w:pPr>
              <w:pStyle w:val="Tabletext"/>
            </w:pPr>
            <w:bookmarkStart w:id="414" w:name="lt_pId948"/>
            <w:r w:rsidRPr="00CA61A6">
              <w:t xml:space="preserve">La TSB proporcionará toda la ayuda necesaria para la creación, organización de reuniones y talleres de los </w:t>
            </w:r>
            <w:r w:rsidR="00E96FC2" w:rsidRPr="00CA61A6">
              <w:t xml:space="preserve">Grupos Regionales </w:t>
            </w:r>
            <w:r w:rsidRPr="00CA61A6">
              <w:t xml:space="preserve">a fin de garantizar su buen funcionamiento (véase también la </w:t>
            </w:r>
            <w:hyperlink w:anchor="_17_Resolución_44" w:history="1">
              <w:r w:rsidRPr="00CA61A6">
                <w:rPr>
                  <w:color w:val="0000FF"/>
                  <w:u w:val="single"/>
                </w:rPr>
                <w:t>Resolución 44</w:t>
              </w:r>
            </w:hyperlink>
            <w:r w:rsidRPr="00CA61A6">
              <w:t>)</w:t>
            </w:r>
            <w:bookmarkEnd w:id="414"/>
          </w:p>
        </w:tc>
        <w:tc>
          <w:tcPr>
            <w:tcW w:w="1561" w:type="dxa"/>
            <w:shd w:val="clear" w:color="auto" w:fill="auto"/>
            <w:vAlign w:val="center"/>
          </w:tcPr>
          <w:p w:rsidR="0062564D" w:rsidRPr="00CA61A6" w:rsidRDefault="0062564D" w:rsidP="00843459">
            <w:pPr>
              <w:pStyle w:val="Tabletext"/>
              <w:jc w:val="center"/>
            </w:pPr>
            <w:r w:rsidRPr="00CA61A6">
              <w:t>En curso</w:t>
            </w:r>
          </w:p>
        </w:tc>
        <w:tc>
          <w:tcPr>
            <w:tcW w:w="1165" w:type="dxa"/>
            <w:shd w:val="clear" w:color="auto" w:fill="auto"/>
            <w:vAlign w:val="center"/>
          </w:tcPr>
          <w:p w:rsidR="0062564D" w:rsidRPr="00CA61A6" w:rsidRDefault="007D12B5" w:rsidP="00843459">
            <w:pPr>
              <w:pStyle w:val="Tabletext"/>
              <w:jc w:val="center"/>
            </w:pPr>
            <w:r w:rsidRPr="00CA61A6">
              <w:sym w:font="Wingdings" w:char="F0FC"/>
            </w:r>
          </w:p>
        </w:tc>
        <w:tc>
          <w:tcPr>
            <w:tcW w:w="1320" w:type="dxa"/>
            <w:shd w:val="clear" w:color="auto" w:fill="auto"/>
            <w:vAlign w:val="center"/>
          </w:tcPr>
          <w:p w:rsidR="0062564D" w:rsidRPr="00CA61A6" w:rsidRDefault="0062564D" w:rsidP="00843459">
            <w:pPr>
              <w:pStyle w:val="Tabletext"/>
              <w:jc w:val="center"/>
            </w:pPr>
          </w:p>
        </w:tc>
      </w:tr>
      <w:tr w:rsidR="0062564D" w:rsidRPr="00CA61A6" w:rsidTr="00BB485F">
        <w:trPr>
          <w:cantSplit/>
          <w:jc w:val="center"/>
        </w:trPr>
        <w:tc>
          <w:tcPr>
            <w:tcW w:w="1075" w:type="dxa"/>
            <w:shd w:val="clear" w:color="auto" w:fill="auto"/>
            <w:vAlign w:val="center"/>
          </w:tcPr>
          <w:p w:rsidR="0062564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54_06" w:history="1">
              <w:r w:rsidR="0062564D" w:rsidRPr="00CA61A6">
                <w:rPr>
                  <w:color w:val="0000FF"/>
                  <w:sz w:val="20"/>
                  <w:u w:val="single"/>
                </w:rPr>
                <w:t>54-06</w:t>
              </w:r>
            </w:hyperlink>
            <w:r w:rsidR="0062564D" w:rsidRPr="00CA61A6">
              <w:rPr>
                <w:color w:val="0000FF"/>
                <w:sz w:val="20"/>
                <w:u w:val="single"/>
              </w:rPr>
              <w:t xml:space="preserve"> </w:t>
            </w:r>
            <w:r w:rsidR="00825077" w:rsidRPr="00CA61A6">
              <w:rPr>
                <w:color w:val="0000FF"/>
                <w:sz w:val="20"/>
                <w:u w:val="single"/>
              </w:rPr>
              <w:br/>
            </w:r>
            <w:r w:rsidR="0062564D" w:rsidRPr="00CA61A6">
              <w:rPr>
                <w:color w:val="0000FF"/>
                <w:sz w:val="20"/>
                <w:u w:val="single"/>
              </w:rPr>
              <w:t>(</w:t>
            </w:r>
            <w:hyperlink w:anchor="Item44_24" w:history="1">
              <w:r w:rsidR="0062564D" w:rsidRPr="00CA61A6">
                <w:rPr>
                  <w:color w:val="0000FF"/>
                  <w:sz w:val="20"/>
                  <w:u w:val="single"/>
                </w:rPr>
                <w:t>44-24</w:t>
              </w:r>
            </w:hyperlink>
            <w:r w:rsidR="0062564D" w:rsidRPr="00CA61A6">
              <w:rPr>
                <w:sz w:val="20"/>
              </w:rPr>
              <w:t>)</w:t>
            </w:r>
          </w:p>
        </w:tc>
        <w:tc>
          <w:tcPr>
            <w:tcW w:w="4874" w:type="dxa"/>
            <w:shd w:val="clear" w:color="auto" w:fill="auto"/>
          </w:tcPr>
          <w:p w:rsidR="0062564D" w:rsidRPr="00CA61A6" w:rsidRDefault="0062564D" w:rsidP="00CF47E5">
            <w:pPr>
              <w:pStyle w:val="Tabletext"/>
            </w:pPr>
            <w:bookmarkStart w:id="415" w:name="lt_pId952"/>
            <w:r w:rsidRPr="00CA61A6">
              <w:t xml:space="preserve">La TSB organizará talleres y seminarios sobre BSG para países en desarrollo, en paralelo con las reuniones de los </w:t>
            </w:r>
            <w:r w:rsidR="00070C09" w:rsidRPr="00CA61A6">
              <w:t xml:space="preserve">Grupos Regionales </w:t>
            </w:r>
            <w:r w:rsidRPr="00CA61A6">
              <w:t xml:space="preserve">del UIT-T, de ser posible, en coordinación/colaboración con el UIT-D (véase también la </w:t>
            </w:r>
            <w:hyperlink w:anchor="_17_Resolución_44" w:history="1">
              <w:r w:rsidRPr="00CA61A6">
                <w:rPr>
                  <w:color w:val="0000FF"/>
                  <w:u w:val="single"/>
                </w:rPr>
                <w:t>Resolución 44</w:t>
              </w:r>
            </w:hyperlink>
            <w:r w:rsidRPr="00CA61A6">
              <w:t>)</w:t>
            </w:r>
            <w:bookmarkEnd w:id="415"/>
          </w:p>
        </w:tc>
        <w:tc>
          <w:tcPr>
            <w:tcW w:w="1561" w:type="dxa"/>
            <w:shd w:val="clear" w:color="auto" w:fill="auto"/>
            <w:vAlign w:val="center"/>
          </w:tcPr>
          <w:p w:rsidR="0062564D" w:rsidRPr="00CA61A6" w:rsidRDefault="0062564D" w:rsidP="00843459">
            <w:pPr>
              <w:pStyle w:val="Tabletext"/>
              <w:jc w:val="center"/>
            </w:pPr>
            <w:r w:rsidRPr="00CA61A6">
              <w:t>En curso</w:t>
            </w:r>
          </w:p>
        </w:tc>
        <w:tc>
          <w:tcPr>
            <w:tcW w:w="1165" w:type="dxa"/>
            <w:shd w:val="clear" w:color="auto" w:fill="auto"/>
            <w:vAlign w:val="center"/>
          </w:tcPr>
          <w:p w:rsidR="0062564D" w:rsidRPr="00CA61A6" w:rsidRDefault="007D12B5" w:rsidP="00843459">
            <w:pPr>
              <w:pStyle w:val="Tabletext"/>
              <w:jc w:val="center"/>
            </w:pPr>
            <w:r w:rsidRPr="00CA61A6">
              <w:sym w:font="Wingdings" w:char="F0FC"/>
            </w:r>
          </w:p>
        </w:tc>
        <w:tc>
          <w:tcPr>
            <w:tcW w:w="1320" w:type="dxa"/>
            <w:shd w:val="clear" w:color="auto" w:fill="auto"/>
            <w:vAlign w:val="center"/>
          </w:tcPr>
          <w:p w:rsidR="0062564D" w:rsidRPr="00CA61A6" w:rsidRDefault="0062564D" w:rsidP="00843459">
            <w:pPr>
              <w:pStyle w:val="Tabletext"/>
              <w:jc w:val="center"/>
            </w:pPr>
          </w:p>
        </w:tc>
      </w:tr>
      <w:tr w:rsidR="0062564D" w:rsidRPr="00CA61A6" w:rsidTr="00BB485F">
        <w:trPr>
          <w:cantSplit/>
          <w:jc w:val="center"/>
        </w:trPr>
        <w:tc>
          <w:tcPr>
            <w:tcW w:w="1075" w:type="dxa"/>
            <w:shd w:val="clear" w:color="auto" w:fill="auto"/>
            <w:vAlign w:val="center"/>
          </w:tcPr>
          <w:p w:rsidR="0062564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54_07" w:history="1">
              <w:r w:rsidR="0062564D" w:rsidRPr="00CA61A6">
                <w:rPr>
                  <w:color w:val="0000FF"/>
                  <w:sz w:val="20"/>
                  <w:u w:val="single"/>
                </w:rPr>
                <w:t>54-07</w:t>
              </w:r>
            </w:hyperlink>
          </w:p>
        </w:tc>
        <w:tc>
          <w:tcPr>
            <w:tcW w:w="4874" w:type="dxa"/>
            <w:shd w:val="clear" w:color="auto" w:fill="auto"/>
          </w:tcPr>
          <w:p w:rsidR="0062564D" w:rsidRPr="00CA61A6" w:rsidRDefault="0062564D" w:rsidP="00CF47E5">
            <w:pPr>
              <w:pStyle w:val="Tabletext"/>
            </w:pPr>
            <w:bookmarkStart w:id="416" w:name="lt_pId956"/>
            <w:r w:rsidRPr="00CA61A6">
              <w:t>El Director de la TSB cooperará con el Director de la BDT para seguir prestando asistencia específica a los Grupos Regionales de la CE</w:t>
            </w:r>
            <w:r w:rsidR="008B5B32" w:rsidRPr="00CA61A6">
              <w:t> </w:t>
            </w:r>
            <w:r w:rsidRPr="00CA61A6">
              <w:t>3 del UIT-T, fomentar el desarrollo continuo de herramientas y aplicaciones informáticas</w:t>
            </w:r>
            <w:bookmarkEnd w:id="416"/>
          </w:p>
        </w:tc>
        <w:tc>
          <w:tcPr>
            <w:tcW w:w="1561" w:type="dxa"/>
            <w:shd w:val="clear" w:color="auto" w:fill="auto"/>
            <w:vAlign w:val="center"/>
          </w:tcPr>
          <w:p w:rsidR="0062564D" w:rsidRPr="00CA61A6" w:rsidRDefault="0062564D" w:rsidP="00843459">
            <w:pPr>
              <w:pStyle w:val="Tabletext"/>
              <w:jc w:val="center"/>
            </w:pPr>
            <w:r w:rsidRPr="00CA61A6">
              <w:t>En curso</w:t>
            </w:r>
          </w:p>
        </w:tc>
        <w:tc>
          <w:tcPr>
            <w:tcW w:w="1165" w:type="dxa"/>
            <w:shd w:val="clear" w:color="auto" w:fill="auto"/>
            <w:vAlign w:val="center"/>
          </w:tcPr>
          <w:p w:rsidR="0062564D" w:rsidRPr="00CA61A6" w:rsidRDefault="007D12B5" w:rsidP="00843459">
            <w:pPr>
              <w:pStyle w:val="Tabletext"/>
              <w:jc w:val="center"/>
            </w:pPr>
            <w:r w:rsidRPr="00CA61A6">
              <w:sym w:font="Wingdings" w:char="F0FC"/>
            </w:r>
          </w:p>
        </w:tc>
        <w:tc>
          <w:tcPr>
            <w:tcW w:w="1320" w:type="dxa"/>
            <w:shd w:val="clear" w:color="auto" w:fill="auto"/>
            <w:vAlign w:val="center"/>
          </w:tcPr>
          <w:p w:rsidR="0062564D" w:rsidRPr="00CA61A6" w:rsidRDefault="0062564D" w:rsidP="00843459">
            <w:pPr>
              <w:pStyle w:val="Tabletext"/>
              <w:jc w:val="center"/>
            </w:pPr>
          </w:p>
        </w:tc>
      </w:tr>
    </w:tbl>
    <w:p w:rsidR="0062564D" w:rsidRPr="00CA61A6" w:rsidRDefault="00680FCA" w:rsidP="004F3FC1">
      <w:pPr>
        <w:pStyle w:val="Headingb"/>
        <w:keepLines/>
      </w:pPr>
      <w:bookmarkStart w:id="417" w:name="Item54_01"/>
      <w:r w:rsidRPr="00CA61A6">
        <w:t xml:space="preserve">Acción </w:t>
      </w:r>
      <w:r w:rsidR="0062564D" w:rsidRPr="00CA61A6">
        <w:t xml:space="preserve">54-01: TSB, </w:t>
      </w:r>
      <w:r w:rsidR="004F3FC1" w:rsidRPr="00CA61A6">
        <w:t>Comisiones de Estudio</w:t>
      </w:r>
    </w:p>
    <w:p w:rsidR="0062564D" w:rsidRPr="00CA61A6" w:rsidRDefault="0062564D" w:rsidP="007B3478">
      <w:pPr>
        <w:rPr>
          <w:szCs w:val="24"/>
          <w:lang w:eastAsia="ja-JP"/>
        </w:rPr>
      </w:pPr>
      <w:bookmarkStart w:id="418" w:name="lt_pId960"/>
      <w:bookmarkEnd w:id="417"/>
      <w:r w:rsidRPr="00CA61A6">
        <w:rPr>
          <w:szCs w:val="24"/>
          <w:lang w:eastAsia="ja-JP"/>
        </w:rPr>
        <w:t xml:space="preserve">Los siguientes </w:t>
      </w:r>
      <w:r w:rsidR="000C17DA" w:rsidRPr="00CA61A6">
        <w:rPr>
          <w:szCs w:val="24"/>
          <w:lang w:eastAsia="ja-JP"/>
        </w:rPr>
        <w:t xml:space="preserve">Grupos Regionales </w:t>
      </w:r>
      <w:r w:rsidRPr="00CA61A6">
        <w:rPr>
          <w:szCs w:val="24"/>
          <w:lang w:eastAsia="ja-JP"/>
        </w:rPr>
        <w:t>se han reunido desde la AMNT-12:</w:t>
      </w:r>
      <w:bookmarkEnd w:id="418"/>
    </w:p>
    <w:p w:rsidR="0062564D" w:rsidRPr="00CA61A6" w:rsidRDefault="0062564D" w:rsidP="00DE3408">
      <w:pPr>
        <w:pStyle w:val="Headingb"/>
        <w:keepLines/>
        <w:rPr>
          <w:i/>
          <w:iCs/>
        </w:rPr>
      </w:pPr>
      <w:bookmarkStart w:id="419" w:name="lt_pId961"/>
      <w:r w:rsidRPr="00CA61A6">
        <w:rPr>
          <w:i/>
          <w:iCs/>
        </w:rPr>
        <w:t xml:space="preserve">Comisión de Estudio 3 del UIT-T </w:t>
      </w:r>
      <w:bookmarkEnd w:id="419"/>
    </w:p>
    <w:p w:rsidR="0062564D" w:rsidRPr="00CA61A6" w:rsidRDefault="00E40958" w:rsidP="00D8115D">
      <w:pPr>
        <w:pStyle w:val="enumlev1"/>
        <w:rPr>
          <w:lang w:eastAsia="ja-JP"/>
        </w:rPr>
      </w:pPr>
      <w:bookmarkStart w:id="420" w:name="lt_pId962"/>
      <w:r w:rsidRPr="00CA61A6">
        <w:rPr>
          <w:lang w:eastAsia="ja-JP"/>
        </w:rPr>
        <w:t>•</w:t>
      </w:r>
      <w:r w:rsidRPr="00CA61A6">
        <w:rPr>
          <w:lang w:eastAsia="ja-JP"/>
        </w:rPr>
        <w:tab/>
      </w:r>
      <w:r w:rsidR="00D8115D" w:rsidRPr="00CA61A6">
        <w:rPr>
          <w:lang w:eastAsia="ja-JP"/>
        </w:rPr>
        <w:t>Grupo Regional para África</w:t>
      </w:r>
      <w:r w:rsidR="0062564D" w:rsidRPr="00CA61A6">
        <w:rPr>
          <w:lang w:eastAsia="ja-JP"/>
        </w:rPr>
        <w:t xml:space="preserve"> (4-7 de febrero de 2013, El Cairo, Egipto)</w:t>
      </w:r>
      <w:bookmarkEnd w:id="420"/>
    </w:p>
    <w:p w:rsidR="0062564D" w:rsidRPr="00CA61A6" w:rsidRDefault="00E40958" w:rsidP="00D8115D">
      <w:pPr>
        <w:pStyle w:val="enumlev1"/>
        <w:rPr>
          <w:lang w:eastAsia="ja-JP"/>
        </w:rPr>
      </w:pPr>
      <w:bookmarkStart w:id="421" w:name="lt_pId963"/>
      <w:r w:rsidRPr="00CA61A6">
        <w:rPr>
          <w:lang w:eastAsia="ja-JP"/>
        </w:rPr>
        <w:t>•</w:t>
      </w:r>
      <w:r w:rsidRPr="00CA61A6">
        <w:rPr>
          <w:lang w:eastAsia="ja-JP"/>
        </w:rPr>
        <w:tab/>
      </w:r>
      <w:r w:rsidR="0062564D" w:rsidRPr="00CA61A6">
        <w:rPr>
          <w:lang w:eastAsia="ja-JP"/>
        </w:rPr>
        <w:t>Grupo Regional para África (20-21 de febrero de 2014, Congo, Brazzaville)</w:t>
      </w:r>
      <w:bookmarkEnd w:id="421"/>
    </w:p>
    <w:p w:rsidR="0062564D" w:rsidRPr="00CA61A6" w:rsidRDefault="00E40958" w:rsidP="00D8115D">
      <w:pPr>
        <w:pStyle w:val="enumlev1"/>
        <w:rPr>
          <w:lang w:eastAsia="ja-JP"/>
        </w:rPr>
      </w:pPr>
      <w:bookmarkStart w:id="422" w:name="lt_pId964"/>
      <w:r w:rsidRPr="00CA61A6">
        <w:rPr>
          <w:lang w:eastAsia="ja-JP"/>
        </w:rPr>
        <w:t>•</w:t>
      </w:r>
      <w:r w:rsidRPr="00CA61A6">
        <w:rPr>
          <w:lang w:eastAsia="ja-JP"/>
        </w:rPr>
        <w:tab/>
      </w:r>
      <w:r w:rsidR="0062564D" w:rsidRPr="00CA61A6">
        <w:rPr>
          <w:lang w:eastAsia="ja-JP"/>
        </w:rPr>
        <w:t>Grupo Regional para África (3-5 de febrero de 2015, Santo Tomé y Príncipe)</w:t>
      </w:r>
      <w:bookmarkEnd w:id="422"/>
    </w:p>
    <w:p w:rsidR="0062564D" w:rsidRPr="00CA61A6" w:rsidRDefault="00E40958" w:rsidP="00D8115D">
      <w:pPr>
        <w:pStyle w:val="enumlev1"/>
        <w:rPr>
          <w:lang w:eastAsia="ja-JP"/>
        </w:rPr>
      </w:pPr>
      <w:bookmarkStart w:id="423" w:name="lt_pId965"/>
      <w:r w:rsidRPr="00CA61A6">
        <w:rPr>
          <w:lang w:eastAsia="ja-JP"/>
        </w:rPr>
        <w:t>•</w:t>
      </w:r>
      <w:r w:rsidRPr="00CA61A6">
        <w:rPr>
          <w:lang w:eastAsia="ja-JP"/>
        </w:rPr>
        <w:tab/>
      </w:r>
      <w:r w:rsidR="0062564D" w:rsidRPr="00CA61A6">
        <w:rPr>
          <w:lang w:eastAsia="ja-JP"/>
        </w:rPr>
        <w:t>Grupo Regional para África (19-21 de enero de 2016, Abiyán, Cote d’Ivoire)</w:t>
      </w:r>
      <w:bookmarkEnd w:id="423"/>
      <w:r w:rsidR="0062564D" w:rsidRPr="00CA61A6">
        <w:rPr>
          <w:lang w:eastAsia="ja-JP"/>
        </w:rPr>
        <w:t xml:space="preserve"> </w:t>
      </w:r>
    </w:p>
    <w:p w:rsidR="0062564D" w:rsidRPr="00CA61A6" w:rsidRDefault="00E40958" w:rsidP="00D8115D">
      <w:pPr>
        <w:pStyle w:val="enumlev1"/>
        <w:rPr>
          <w:lang w:eastAsia="ja-JP"/>
        </w:rPr>
      </w:pPr>
      <w:bookmarkStart w:id="424" w:name="lt_pId966"/>
      <w:r w:rsidRPr="00CA61A6">
        <w:rPr>
          <w:lang w:eastAsia="ja-JP"/>
        </w:rPr>
        <w:t>•</w:t>
      </w:r>
      <w:r w:rsidRPr="00CA61A6">
        <w:rPr>
          <w:lang w:eastAsia="ja-JP"/>
        </w:rPr>
        <w:tab/>
      </w:r>
      <w:r w:rsidR="0062564D" w:rsidRPr="00CA61A6">
        <w:rPr>
          <w:lang w:eastAsia="ja-JP"/>
        </w:rPr>
        <w:t>Grupo Regional para América Latina y el Caribe (19-22 de marzo de 2013, México</w:t>
      </w:r>
      <w:r w:rsidR="001A0245">
        <w:rPr>
          <w:lang w:eastAsia="ja-JP"/>
        </w:rPr>
        <w:t> </w:t>
      </w:r>
      <w:r w:rsidR="004906F0">
        <w:rPr>
          <w:lang w:eastAsia="ja-JP"/>
        </w:rPr>
        <w:t>City</w:t>
      </w:r>
      <w:r w:rsidR="0062564D" w:rsidRPr="00CA61A6">
        <w:rPr>
          <w:lang w:eastAsia="ja-JP"/>
        </w:rPr>
        <w:t>, México)</w:t>
      </w:r>
      <w:bookmarkEnd w:id="424"/>
    </w:p>
    <w:p w:rsidR="0062564D" w:rsidRPr="00CA61A6" w:rsidRDefault="00E40958" w:rsidP="00D8115D">
      <w:pPr>
        <w:pStyle w:val="enumlev1"/>
        <w:rPr>
          <w:lang w:eastAsia="ja-JP"/>
        </w:rPr>
      </w:pPr>
      <w:bookmarkStart w:id="425" w:name="lt_pId967"/>
      <w:r w:rsidRPr="00CA61A6">
        <w:rPr>
          <w:lang w:eastAsia="ja-JP"/>
        </w:rPr>
        <w:t>•</w:t>
      </w:r>
      <w:r w:rsidRPr="00CA61A6">
        <w:rPr>
          <w:lang w:eastAsia="ja-JP"/>
        </w:rPr>
        <w:tab/>
      </w:r>
      <w:r w:rsidR="0062564D" w:rsidRPr="00CA61A6">
        <w:rPr>
          <w:lang w:eastAsia="ja-JP"/>
        </w:rPr>
        <w:t>Grupo Regional para América Latina y el Caribe (13-14 de marzo de 2014, San José, Costa Rica)</w:t>
      </w:r>
      <w:bookmarkEnd w:id="425"/>
    </w:p>
    <w:p w:rsidR="0062564D" w:rsidRPr="00CA61A6" w:rsidRDefault="00E40958" w:rsidP="00D8115D">
      <w:pPr>
        <w:pStyle w:val="enumlev1"/>
        <w:rPr>
          <w:lang w:eastAsia="ja-JP"/>
        </w:rPr>
      </w:pPr>
      <w:bookmarkStart w:id="426" w:name="lt_pId968"/>
      <w:r w:rsidRPr="00CA61A6">
        <w:rPr>
          <w:lang w:eastAsia="ja-JP"/>
        </w:rPr>
        <w:t>•</w:t>
      </w:r>
      <w:r w:rsidRPr="00CA61A6">
        <w:rPr>
          <w:lang w:eastAsia="ja-JP"/>
        </w:rPr>
        <w:tab/>
      </w:r>
      <w:r w:rsidR="0062564D" w:rsidRPr="00CA61A6">
        <w:rPr>
          <w:lang w:eastAsia="ja-JP"/>
        </w:rPr>
        <w:t>Grupo Regional para América Latina y el Caribe (22-24 de abril de 2015, Nassau, Bahamas)</w:t>
      </w:r>
      <w:bookmarkEnd w:id="426"/>
    </w:p>
    <w:p w:rsidR="0062564D" w:rsidRPr="00CA61A6" w:rsidRDefault="00E40958" w:rsidP="006333E5">
      <w:pPr>
        <w:pStyle w:val="enumlev1"/>
        <w:rPr>
          <w:lang w:eastAsia="ja-JP"/>
        </w:rPr>
      </w:pPr>
      <w:bookmarkStart w:id="427" w:name="lt_pId969"/>
      <w:r w:rsidRPr="00CA61A6">
        <w:rPr>
          <w:lang w:eastAsia="ja-JP"/>
        </w:rPr>
        <w:t>•</w:t>
      </w:r>
      <w:r w:rsidRPr="00CA61A6">
        <w:rPr>
          <w:lang w:eastAsia="ja-JP"/>
        </w:rPr>
        <w:tab/>
      </w:r>
      <w:r w:rsidR="0062564D" w:rsidRPr="00CA61A6">
        <w:rPr>
          <w:lang w:eastAsia="ja-JP"/>
        </w:rPr>
        <w:t xml:space="preserve">Grupo Regional para América Latina y el Caribe (16-17 </w:t>
      </w:r>
      <w:r w:rsidR="006333E5">
        <w:rPr>
          <w:lang w:eastAsia="ja-JP"/>
        </w:rPr>
        <w:t>de junio</w:t>
      </w:r>
      <w:r w:rsidR="00777328">
        <w:rPr>
          <w:lang w:eastAsia="ja-JP"/>
        </w:rPr>
        <w:t xml:space="preserve"> de</w:t>
      </w:r>
      <w:r w:rsidR="0062564D" w:rsidRPr="00CA61A6">
        <w:rPr>
          <w:lang w:eastAsia="ja-JP"/>
        </w:rPr>
        <w:t xml:space="preserve"> 2016, Brasilia, Brasil)</w:t>
      </w:r>
      <w:bookmarkEnd w:id="427"/>
    </w:p>
    <w:p w:rsidR="0062564D" w:rsidRPr="00CA61A6" w:rsidRDefault="00E40958" w:rsidP="00D8115D">
      <w:pPr>
        <w:pStyle w:val="enumlev1"/>
        <w:rPr>
          <w:lang w:eastAsia="ja-JP"/>
        </w:rPr>
      </w:pPr>
      <w:bookmarkStart w:id="428" w:name="lt_pId970"/>
      <w:r w:rsidRPr="00CA61A6">
        <w:rPr>
          <w:lang w:eastAsia="ja-JP"/>
        </w:rPr>
        <w:t>•</w:t>
      </w:r>
      <w:r w:rsidRPr="00CA61A6">
        <w:rPr>
          <w:lang w:eastAsia="ja-JP"/>
        </w:rPr>
        <w:tab/>
      </w:r>
      <w:r w:rsidR="0062564D" w:rsidRPr="00CA61A6">
        <w:rPr>
          <w:lang w:eastAsia="ja-JP"/>
        </w:rPr>
        <w:t>Grupo Regional para Asia y Oceanía (8-10 de abril de 2013, Tokyo, Japón)</w:t>
      </w:r>
      <w:bookmarkEnd w:id="428"/>
    </w:p>
    <w:p w:rsidR="0062564D" w:rsidRPr="00CA61A6" w:rsidRDefault="00E40958" w:rsidP="00D8115D">
      <w:pPr>
        <w:pStyle w:val="enumlev1"/>
        <w:rPr>
          <w:lang w:eastAsia="ja-JP"/>
        </w:rPr>
      </w:pPr>
      <w:bookmarkStart w:id="429" w:name="lt_pId971"/>
      <w:r w:rsidRPr="00CA61A6">
        <w:rPr>
          <w:lang w:eastAsia="ja-JP"/>
        </w:rPr>
        <w:t>•</w:t>
      </w:r>
      <w:r w:rsidRPr="00CA61A6">
        <w:rPr>
          <w:lang w:eastAsia="ja-JP"/>
        </w:rPr>
        <w:tab/>
      </w:r>
      <w:r w:rsidR="0062564D" w:rsidRPr="00CA61A6">
        <w:rPr>
          <w:lang w:eastAsia="ja-JP"/>
        </w:rPr>
        <w:t>Grupo Regional para Asia y Oceanía (1-2 de septiembre de 2014, Yangon, Myanmar)</w:t>
      </w:r>
      <w:bookmarkEnd w:id="429"/>
    </w:p>
    <w:p w:rsidR="0062564D" w:rsidRPr="00CA61A6" w:rsidRDefault="00E40958" w:rsidP="005334EB">
      <w:pPr>
        <w:pStyle w:val="enumlev1"/>
        <w:rPr>
          <w:lang w:eastAsia="ja-JP"/>
        </w:rPr>
      </w:pPr>
      <w:bookmarkStart w:id="430" w:name="lt_pId972"/>
      <w:r w:rsidRPr="00CA61A6">
        <w:rPr>
          <w:lang w:eastAsia="ja-JP"/>
        </w:rPr>
        <w:t>•</w:t>
      </w:r>
      <w:r w:rsidRPr="00CA61A6">
        <w:rPr>
          <w:lang w:eastAsia="ja-JP"/>
        </w:rPr>
        <w:tab/>
      </w:r>
      <w:r w:rsidR="0062564D" w:rsidRPr="00CA61A6">
        <w:rPr>
          <w:lang w:eastAsia="ja-JP"/>
        </w:rPr>
        <w:t xml:space="preserve">Grupo Regional para Asia y Oceanía (29 </w:t>
      </w:r>
      <w:r w:rsidR="005334EB" w:rsidRPr="00CA61A6">
        <w:rPr>
          <w:lang w:eastAsia="ja-JP"/>
        </w:rPr>
        <w:t>de septiembre-</w:t>
      </w:r>
      <w:r w:rsidR="0062564D" w:rsidRPr="00CA61A6">
        <w:rPr>
          <w:lang w:eastAsia="ja-JP"/>
        </w:rPr>
        <w:t xml:space="preserve">1 de octubre </w:t>
      </w:r>
      <w:r w:rsidR="00777328">
        <w:rPr>
          <w:lang w:eastAsia="ja-JP"/>
        </w:rPr>
        <w:t xml:space="preserve">de </w:t>
      </w:r>
      <w:r w:rsidR="0062564D" w:rsidRPr="00CA61A6">
        <w:rPr>
          <w:lang w:eastAsia="ja-JP"/>
        </w:rPr>
        <w:t>2015, Kuala Lumpur, Malaysia)</w:t>
      </w:r>
    </w:p>
    <w:p w:rsidR="0062564D" w:rsidRPr="00CA61A6" w:rsidRDefault="00911C45" w:rsidP="00D8115D">
      <w:pPr>
        <w:pStyle w:val="enumlev1"/>
        <w:rPr>
          <w:lang w:eastAsia="ja-JP"/>
        </w:rPr>
      </w:pPr>
      <w:r w:rsidRPr="00CA61A6">
        <w:rPr>
          <w:lang w:eastAsia="ja-JP"/>
        </w:rPr>
        <w:t>•</w:t>
      </w:r>
      <w:r w:rsidRPr="00CA61A6">
        <w:rPr>
          <w:lang w:eastAsia="ja-JP"/>
        </w:rPr>
        <w:tab/>
      </w:r>
      <w:r w:rsidR="0062564D" w:rsidRPr="00CA61A6">
        <w:rPr>
          <w:lang w:eastAsia="ja-JP"/>
        </w:rPr>
        <w:t>Grupo Regional para los Estados Árabes (29-30 de octubre de 2013, Manama, Bahrein)</w:t>
      </w:r>
      <w:bookmarkEnd w:id="430"/>
      <w:r w:rsidR="0062564D" w:rsidRPr="00CA61A6">
        <w:rPr>
          <w:lang w:eastAsia="ja-JP"/>
        </w:rPr>
        <w:t xml:space="preserve"> </w:t>
      </w:r>
    </w:p>
    <w:p w:rsidR="0062564D" w:rsidRPr="00CA61A6" w:rsidRDefault="00911C45" w:rsidP="00D8115D">
      <w:pPr>
        <w:pStyle w:val="enumlev1"/>
        <w:rPr>
          <w:lang w:eastAsia="ja-JP"/>
        </w:rPr>
      </w:pPr>
      <w:bookmarkStart w:id="431" w:name="lt_pId973"/>
      <w:r w:rsidRPr="00CA61A6">
        <w:rPr>
          <w:lang w:eastAsia="ja-JP"/>
        </w:rPr>
        <w:t>•</w:t>
      </w:r>
      <w:r w:rsidRPr="00CA61A6">
        <w:rPr>
          <w:lang w:eastAsia="ja-JP"/>
        </w:rPr>
        <w:tab/>
      </w:r>
      <w:r w:rsidR="0062564D" w:rsidRPr="00CA61A6">
        <w:rPr>
          <w:lang w:eastAsia="ja-JP"/>
        </w:rPr>
        <w:t>Grupo Regional para los Estados Árabes (24-25 de noviembre de 2014, Kuwait City, Kuwait)</w:t>
      </w:r>
      <w:bookmarkEnd w:id="431"/>
    </w:p>
    <w:p w:rsidR="001C0B4F" w:rsidRDefault="00911C45" w:rsidP="00084BE7">
      <w:pPr>
        <w:pStyle w:val="enumlev1"/>
        <w:rPr>
          <w:lang w:eastAsia="ja-JP"/>
        </w:rPr>
      </w:pPr>
      <w:bookmarkStart w:id="432" w:name="lt_pId974"/>
      <w:r w:rsidRPr="00CA61A6">
        <w:rPr>
          <w:lang w:eastAsia="ja-JP"/>
        </w:rPr>
        <w:t>•</w:t>
      </w:r>
      <w:r w:rsidRPr="00CA61A6">
        <w:rPr>
          <w:lang w:eastAsia="ja-JP"/>
        </w:rPr>
        <w:tab/>
      </w:r>
      <w:r w:rsidR="0062564D" w:rsidRPr="00CA61A6">
        <w:rPr>
          <w:lang w:eastAsia="ja-JP"/>
        </w:rPr>
        <w:t>Grupo Regional para los Estados Árabes (30 de noviembre</w:t>
      </w:r>
      <w:r w:rsidR="00084BE7" w:rsidRPr="00CA61A6">
        <w:rPr>
          <w:lang w:eastAsia="ja-JP"/>
        </w:rPr>
        <w:t>-</w:t>
      </w:r>
      <w:r w:rsidR="0062564D" w:rsidRPr="00CA61A6">
        <w:rPr>
          <w:lang w:eastAsia="ja-JP"/>
        </w:rPr>
        <w:t xml:space="preserve">2 de diciembre </w:t>
      </w:r>
      <w:r w:rsidR="00F24B6C">
        <w:rPr>
          <w:lang w:eastAsia="ja-JP"/>
        </w:rPr>
        <w:t xml:space="preserve">de </w:t>
      </w:r>
      <w:r w:rsidR="0062564D" w:rsidRPr="00CA61A6">
        <w:rPr>
          <w:lang w:eastAsia="ja-JP"/>
        </w:rPr>
        <w:t>2015, Manama, Bahrei</w:t>
      </w:r>
      <w:r w:rsidR="00873F5A" w:rsidRPr="00CA61A6">
        <w:rPr>
          <w:lang w:eastAsia="ja-JP"/>
        </w:rPr>
        <w:t>n)</w:t>
      </w:r>
    </w:p>
    <w:p w:rsidR="0062564D" w:rsidRPr="00CA61A6" w:rsidRDefault="001C0B4F" w:rsidP="00084BE7">
      <w:pPr>
        <w:pStyle w:val="enumlev1"/>
        <w:rPr>
          <w:lang w:eastAsia="ja-JP"/>
        </w:rPr>
      </w:pPr>
      <w:r w:rsidRPr="00CA61A6">
        <w:rPr>
          <w:lang w:eastAsia="ja-JP"/>
        </w:rPr>
        <w:t>•</w:t>
      </w:r>
      <w:r w:rsidRPr="00CA61A6">
        <w:rPr>
          <w:lang w:eastAsia="ja-JP"/>
        </w:rPr>
        <w:tab/>
      </w:r>
      <w:r w:rsidR="0062564D" w:rsidRPr="00CA61A6">
        <w:rPr>
          <w:lang w:eastAsia="ja-JP"/>
        </w:rPr>
        <w:t>Grupo Regional para la CRC/CEI (4 de diciembre de 2015, Baku, Azerbayán</w:t>
      </w:r>
      <w:bookmarkEnd w:id="432"/>
      <w:r>
        <w:rPr>
          <w:lang w:eastAsia="ja-JP"/>
        </w:rPr>
        <w:t>)</w:t>
      </w:r>
    </w:p>
    <w:p w:rsidR="0062564D" w:rsidRPr="00CA61A6" w:rsidRDefault="0062564D" w:rsidP="00207263">
      <w:pPr>
        <w:pStyle w:val="Headingb"/>
        <w:keepLines/>
        <w:rPr>
          <w:i/>
          <w:iCs/>
        </w:rPr>
      </w:pPr>
      <w:bookmarkStart w:id="433" w:name="lt_pId975"/>
      <w:r w:rsidRPr="00CA61A6">
        <w:rPr>
          <w:i/>
          <w:iCs/>
        </w:rPr>
        <w:t xml:space="preserve">Comisión de Estudio 5 del UIT-T </w:t>
      </w:r>
      <w:bookmarkEnd w:id="433"/>
    </w:p>
    <w:p w:rsidR="0062564D" w:rsidRPr="00CA61A6" w:rsidRDefault="006E02F3" w:rsidP="00FD7AA3">
      <w:pPr>
        <w:pStyle w:val="enumlev1"/>
        <w:rPr>
          <w:lang w:eastAsia="ja-JP"/>
        </w:rPr>
      </w:pPr>
      <w:bookmarkStart w:id="434" w:name="lt_pId976"/>
      <w:r w:rsidRPr="00CA61A6">
        <w:rPr>
          <w:lang w:eastAsia="ja-JP"/>
        </w:rPr>
        <w:t>•</w:t>
      </w:r>
      <w:r w:rsidRPr="00CA61A6">
        <w:rPr>
          <w:lang w:eastAsia="ja-JP"/>
        </w:rPr>
        <w:tab/>
      </w:r>
      <w:r w:rsidR="0062564D" w:rsidRPr="00CA61A6">
        <w:rPr>
          <w:lang w:eastAsia="ja-JP"/>
        </w:rPr>
        <w:t>Grupo Regional para África (29 de enero</w:t>
      </w:r>
      <w:r w:rsidR="00FD7AA3" w:rsidRPr="00CA61A6">
        <w:rPr>
          <w:lang w:eastAsia="ja-JP"/>
        </w:rPr>
        <w:t>-</w:t>
      </w:r>
      <w:r w:rsidR="0062564D" w:rsidRPr="00CA61A6">
        <w:rPr>
          <w:lang w:eastAsia="ja-JP"/>
        </w:rPr>
        <w:t>07 de febrero de 2013</w:t>
      </w:r>
      <w:r w:rsidR="000932A6">
        <w:rPr>
          <w:lang w:eastAsia="ja-JP"/>
        </w:rPr>
        <w:t>,</w:t>
      </w:r>
      <w:r w:rsidR="0062564D" w:rsidRPr="00CA61A6">
        <w:rPr>
          <w:lang w:eastAsia="ja-JP"/>
        </w:rPr>
        <w:t xml:space="preserve"> Ginebra, Suiza)</w:t>
      </w:r>
      <w:bookmarkEnd w:id="434"/>
    </w:p>
    <w:p w:rsidR="0062564D" w:rsidRPr="00CA61A6" w:rsidRDefault="006E02F3" w:rsidP="00FD7AA3">
      <w:pPr>
        <w:pStyle w:val="enumlev1"/>
        <w:rPr>
          <w:lang w:eastAsia="ja-JP"/>
        </w:rPr>
      </w:pPr>
      <w:bookmarkStart w:id="435" w:name="lt_pId977"/>
      <w:r w:rsidRPr="00CA61A6">
        <w:rPr>
          <w:lang w:eastAsia="ja-JP"/>
        </w:rPr>
        <w:t>•</w:t>
      </w:r>
      <w:r w:rsidRPr="00CA61A6">
        <w:rPr>
          <w:lang w:eastAsia="ja-JP"/>
        </w:rPr>
        <w:tab/>
      </w:r>
      <w:r w:rsidR="0062564D" w:rsidRPr="00CA61A6">
        <w:rPr>
          <w:lang w:eastAsia="ja-JP"/>
        </w:rPr>
        <w:t>Grupo Regional para África (16</w:t>
      </w:r>
      <w:r w:rsidR="00FD7AA3" w:rsidRPr="00CA61A6">
        <w:rPr>
          <w:lang w:eastAsia="ja-JP"/>
        </w:rPr>
        <w:t>-</w:t>
      </w:r>
      <w:r w:rsidR="0062564D" w:rsidRPr="00CA61A6">
        <w:rPr>
          <w:lang w:eastAsia="ja-JP"/>
        </w:rPr>
        <w:t>17 de julio de 2013, Ouagadougou, Burkina Faso)</w:t>
      </w:r>
      <w:bookmarkEnd w:id="435"/>
    </w:p>
    <w:p w:rsidR="0062564D" w:rsidRPr="00CA61A6" w:rsidRDefault="006E02F3" w:rsidP="00FD7AA3">
      <w:pPr>
        <w:pStyle w:val="enumlev1"/>
        <w:rPr>
          <w:lang w:eastAsia="ja-JP"/>
        </w:rPr>
      </w:pPr>
      <w:bookmarkStart w:id="436" w:name="lt_pId978"/>
      <w:r w:rsidRPr="00CA61A6">
        <w:rPr>
          <w:lang w:eastAsia="ja-JP"/>
        </w:rPr>
        <w:t>•</w:t>
      </w:r>
      <w:r w:rsidRPr="00CA61A6">
        <w:rPr>
          <w:lang w:eastAsia="ja-JP"/>
        </w:rPr>
        <w:tab/>
      </w:r>
      <w:r w:rsidR="0062564D" w:rsidRPr="00CA61A6">
        <w:rPr>
          <w:lang w:eastAsia="ja-JP"/>
        </w:rPr>
        <w:t>Grupo Regional para África (25 (pm)-26 de junio de 2015, Kampala, Uganda)</w:t>
      </w:r>
      <w:bookmarkEnd w:id="436"/>
    </w:p>
    <w:p w:rsidR="0062564D" w:rsidRPr="00CA61A6" w:rsidRDefault="006E02F3" w:rsidP="006E02F3">
      <w:pPr>
        <w:pStyle w:val="enumlev1"/>
        <w:rPr>
          <w:lang w:eastAsia="ja-JP"/>
        </w:rPr>
      </w:pPr>
      <w:bookmarkStart w:id="437" w:name="lt_pId979"/>
      <w:r w:rsidRPr="00CA61A6">
        <w:rPr>
          <w:lang w:eastAsia="ja-JP"/>
        </w:rPr>
        <w:t>•</w:t>
      </w:r>
      <w:r w:rsidRPr="00CA61A6">
        <w:rPr>
          <w:lang w:eastAsia="ja-JP"/>
        </w:rPr>
        <w:tab/>
      </w:r>
      <w:r w:rsidR="0062564D" w:rsidRPr="00CA61A6">
        <w:rPr>
          <w:lang w:eastAsia="ja-JP"/>
        </w:rPr>
        <w:t>Grupo Regional para la Región Árabe (4-6 de septiembre de 2013, Rabat, Marruecos)</w:t>
      </w:r>
      <w:bookmarkEnd w:id="437"/>
    </w:p>
    <w:p w:rsidR="0062564D" w:rsidRPr="00CA61A6" w:rsidRDefault="006E02F3" w:rsidP="006E02F3">
      <w:pPr>
        <w:pStyle w:val="enumlev1"/>
        <w:rPr>
          <w:lang w:eastAsia="ja-JP"/>
        </w:rPr>
      </w:pPr>
      <w:bookmarkStart w:id="438" w:name="lt_pId980"/>
      <w:r w:rsidRPr="00CA61A6">
        <w:rPr>
          <w:lang w:eastAsia="ja-JP"/>
        </w:rPr>
        <w:t>•</w:t>
      </w:r>
      <w:r w:rsidRPr="00CA61A6">
        <w:rPr>
          <w:lang w:eastAsia="ja-JP"/>
        </w:rPr>
        <w:tab/>
      </w:r>
      <w:r w:rsidR="0062564D" w:rsidRPr="00CA61A6">
        <w:rPr>
          <w:lang w:eastAsia="ja-JP"/>
        </w:rPr>
        <w:t>Grupo Regional para las Américas (9 de octubre de 2013, Mendoza, Argentina</w:t>
      </w:r>
      <w:bookmarkEnd w:id="438"/>
      <w:r w:rsidR="00AE58C6">
        <w:rPr>
          <w:lang w:eastAsia="ja-JP"/>
        </w:rPr>
        <w:t>)</w:t>
      </w:r>
    </w:p>
    <w:p w:rsidR="0062564D" w:rsidRPr="00CA61A6" w:rsidRDefault="006E02F3" w:rsidP="006E02F3">
      <w:pPr>
        <w:pStyle w:val="enumlev1"/>
        <w:rPr>
          <w:lang w:eastAsia="ja-JP"/>
        </w:rPr>
      </w:pPr>
      <w:bookmarkStart w:id="439" w:name="lt_pId981"/>
      <w:r w:rsidRPr="00CA61A6">
        <w:rPr>
          <w:lang w:eastAsia="ja-JP"/>
        </w:rPr>
        <w:t>•</w:t>
      </w:r>
      <w:r w:rsidRPr="00CA61A6">
        <w:rPr>
          <w:lang w:eastAsia="ja-JP"/>
        </w:rPr>
        <w:tab/>
      </w:r>
      <w:r w:rsidR="0062564D" w:rsidRPr="00CA61A6">
        <w:rPr>
          <w:lang w:eastAsia="ja-JP"/>
        </w:rPr>
        <w:t xml:space="preserve">Grupo Regional para África </w:t>
      </w:r>
      <w:r w:rsidR="00FD7AA3" w:rsidRPr="00CA61A6">
        <w:rPr>
          <w:lang w:eastAsia="ja-JP"/>
        </w:rPr>
        <w:t>(25-</w:t>
      </w:r>
      <w:r w:rsidR="0062564D" w:rsidRPr="00CA61A6">
        <w:rPr>
          <w:lang w:eastAsia="ja-JP"/>
        </w:rPr>
        <w:t>26 de junio de 2014, Kampala, Uganda)</w:t>
      </w:r>
      <w:bookmarkEnd w:id="439"/>
    </w:p>
    <w:p w:rsidR="0062564D" w:rsidRPr="00CA61A6" w:rsidRDefault="006E02F3" w:rsidP="006E02F3">
      <w:pPr>
        <w:pStyle w:val="enumlev1"/>
        <w:rPr>
          <w:lang w:eastAsia="ja-JP"/>
        </w:rPr>
      </w:pPr>
      <w:bookmarkStart w:id="440" w:name="lt_pId982"/>
      <w:r w:rsidRPr="00CA61A6">
        <w:rPr>
          <w:lang w:eastAsia="ja-JP"/>
        </w:rPr>
        <w:t>•</w:t>
      </w:r>
      <w:r w:rsidRPr="00CA61A6">
        <w:rPr>
          <w:lang w:eastAsia="ja-JP"/>
        </w:rPr>
        <w:tab/>
      </w:r>
      <w:r w:rsidR="0062564D" w:rsidRPr="00CA61A6">
        <w:rPr>
          <w:lang w:eastAsia="ja-JP"/>
        </w:rPr>
        <w:t>Grupo Regional para las Américas (1 de octubre de 2014, Mérida, México)</w:t>
      </w:r>
      <w:bookmarkEnd w:id="440"/>
    </w:p>
    <w:p w:rsidR="0062564D" w:rsidRPr="00CA61A6" w:rsidRDefault="006E02F3" w:rsidP="006E02F3">
      <w:pPr>
        <w:pStyle w:val="enumlev1"/>
        <w:rPr>
          <w:lang w:eastAsia="ja-JP"/>
        </w:rPr>
      </w:pPr>
      <w:bookmarkStart w:id="441" w:name="lt_pId983"/>
      <w:r w:rsidRPr="00CA61A6">
        <w:rPr>
          <w:lang w:eastAsia="ja-JP"/>
        </w:rPr>
        <w:t>•</w:t>
      </w:r>
      <w:r w:rsidRPr="00CA61A6">
        <w:rPr>
          <w:lang w:eastAsia="ja-JP"/>
        </w:rPr>
        <w:tab/>
      </w:r>
      <w:r w:rsidR="0062564D" w:rsidRPr="00CA61A6">
        <w:rPr>
          <w:lang w:eastAsia="ja-JP"/>
        </w:rPr>
        <w:t>Grupo Regional para las Américas (25 de noviembre de 2014, Kuwait City, Kuwait)</w:t>
      </w:r>
      <w:bookmarkEnd w:id="441"/>
    </w:p>
    <w:p w:rsidR="0062564D" w:rsidRPr="00CA61A6" w:rsidRDefault="006E02F3" w:rsidP="006E02F3">
      <w:pPr>
        <w:pStyle w:val="enumlev1"/>
        <w:rPr>
          <w:lang w:eastAsia="ja-JP"/>
        </w:rPr>
      </w:pPr>
      <w:bookmarkStart w:id="442" w:name="lt_pId984"/>
      <w:r w:rsidRPr="00CA61A6">
        <w:rPr>
          <w:lang w:eastAsia="ja-JP"/>
        </w:rPr>
        <w:lastRenderedPageBreak/>
        <w:t>•</w:t>
      </w:r>
      <w:r w:rsidRPr="00CA61A6">
        <w:rPr>
          <w:lang w:eastAsia="ja-JP"/>
        </w:rPr>
        <w:tab/>
      </w:r>
      <w:r w:rsidR="0062564D" w:rsidRPr="00CA61A6">
        <w:rPr>
          <w:lang w:eastAsia="ja-JP"/>
        </w:rPr>
        <w:t>Grupo Regional para Asia y el Pacífico (26 de septiembre de 2014, Beijing, China)</w:t>
      </w:r>
      <w:bookmarkEnd w:id="442"/>
    </w:p>
    <w:p w:rsidR="0062564D" w:rsidRPr="00CA61A6" w:rsidRDefault="006E02F3" w:rsidP="006E02F3">
      <w:pPr>
        <w:pStyle w:val="enumlev1"/>
        <w:rPr>
          <w:lang w:eastAsia="ja-JP"/>
        </w:rPr>
      </w:pPr>
      <w:bookmarkStart w:id="443" w:name="lt_pId985"/>
      <w:r w:rsidRPr="00CA61A6">
        <w:rPr>
          <w:lang w:eastAsia="ja-JP"/>
        </w:rPr>
        <w:t>•</w:t>
      </w:r>
      <w:r w:rsidRPr="00CA61A6">
        <w:rPr>
          <w:lang w:eastAsia="ja-JP"/>
        </w:rPr>
        <w:tab/>
      </w:r>
      <w:r w:rsidR="0062564D" w:rsidRPr="00CA61A6">
        <w:rPr>
          <w:lang w:eastAsia="ja-JP"/>
        </w:rPr>
        <w:t xml:space="preserve">Grupo Regional para África </w:t>
      </w:r>
      <w:r w:rsidR="00FD7AA3" w:rsidRPr="00CA61A6">
        <w:rPr>
          <w:lang w:eastAsia="ja-JP"/>
        </w:rPr>
        <w:t>(26-</w:t>
      </w:r>
      <w:r w:rsidR="0062564D" w:rsidRPr="00CA61A6">
        <w:rPr>
          <w:lang w:eastAsia="ja-JP"/>
        </w:rPr>
        <w:t>27 de marzo de 2015, Dakar, Senegal)</w:t>
      </w:r>
      <w:bookmarkEnd w:id="443"/>
    </w:p>
    <w:p w:rsidR="0062564D" w:rsidRPr="00CA61A6" w:rsidRDefault="0062564D" w:rsidP="00B57F0F">
      <w:pPr>
        <w:pStyle w:val="Headingb"/>
        <w:keepLines/>
        <w:rPr>
          <w:i/>
          <w:iCs/>
        </w:rPr>
      </w:pPr>
      <w:bookmarkStart w:id="444" w:name="lt_pId986"/>
      <w:r w:rsidRPr="00CA61A6">
        <w:rPr>
          <w:i/>
          <w:iCs/>
        </w:rPr>
        <w:t xml:space="preserve">Comisión de Estudio 12 del UIT-T </w:t>
      </w:r>
      <w:bookmarkEnd w:id="444"/>
    </w:p>
    <w:p w:rsidR="0062564D" w:rsidRPr="00CA61A6" w:rsidRDefault="00B852D3" w:rsidP="00B852D3">
      <w:pPr>
        <w:pStyle w:val="enumlev1"/>
        <w:rPr>
          <w:lang w:eastAsia="ja-JP"/>
        </w:rPr>
      </w:pPr>
      <w:bookmarkStart w:id="445" w:name="lt_pId987"/>
      <w:r w:rsidRPr="00CA61A6">
        <w:rPr>
          <w:lang w:eastAsia="ja-JP"/>
        </w:rPr>
        <w:t>•</w:t>
      </w:r>
      <w:r w:rsidRPr="00CA61A6">
        <w:rPr>
          <w:lang w:eastAsia="ja-JP"/>
        </w:rPr>
        <w:tab/>
      </w:r>
      <w:r w:rsidR="0062564D" w:rsidRPr="00CA61A6">
        <w:rPr>
          <w:lang w:eastAsia="ja-JP"/>
        </w:rPr>
        <w:t>Grupo Regional sobre QoS para la región de África (reunión preparatoria, Ginebra</w:t>
      </w:r>
      <w:r w:rsidR="0019332A" w:rsidRPr="00CA61A6">
        <w:rPr>
          <w:lang w:eastAsia="ja-JP"/>
        </w:rPr>
        <w:t>, 19</w:t>
      </w:r>
      <w:r w:rsidR="0019332A" w:rsidRPr="00CA61A6">
        <w:rPr>
          <w:lang w:eastAsia="ja-JP"/>
        </w:rPr>
        <w:noBreakHyphen/>
      </w:r>
      <w:r w:rsidR="0062564D" w:rsidRPr="00CA61A6">
        <w:rPr>
          <w:lang w:eastAsia="ja-JP"/>
        </w:rPr>
        <w:t>28 de marzo de 2013)</w:t>
      </w:r>
      <w:bookmarkEnd w:id="445"/>
      <w:r w:rsidR="0062564D" w:rsidRPr="00CA61A6">
        <w:rPr>
          <w:lang w:eastAsia="ja-JP"/>
        </w:rPr>
        <w:t xml:space="preserve"> </w:t>
      </w:r>
    </w:p>
    <w:p w:rsidR="0062564D" w:rsidRPr="00CA61A6" w:rsidRDefault="00B852D3" w:rsidP="00B852D3">
      <w:pPr>
        <w:pStyle w:val="enumlev1"/>
        <w:rPr>
          <w:lang w:eastAsia="ja-JP"/>
        </w:rPr>
      </w:pPr>
      <w:bookmarkStart w:id="446" w:name="lt_pId988"/>
      <w:r w:rsidRPr="00CA61A6">
        <w:rPr>
          <w:lang w:eastAsia="ja-JP"/>
        </w:rPr>
        <w:t>•</w:t>
      </w:r>
      <w:r w:rsidRPr="00CA61A6">
        <w:rPr>
          <w:lang w:eastAsia="ja-JP"/>
        </w:rPr>
        <w:tab/>
      </w:r>
      <w:r w:rsidR="0062564D" w:rsidRPr="00CA61A6">
        <w:rPr>
          <w:lang w:eastAsia="ja-JP"/>
        </w:rPr>
        <w:t>Grupo Regional sobre QoS para la región de África (19 de julio de 2013, Ouagadougou, Burkina Faso)</w:t>
      </w:r>
      <w:bookmarkEnd w:id="446"/>
    </w:p>
    <w:p w:rsidR="0062564D" w:rsidRPr="00CA61A6" w:rsidRDefault="00B852D3" w:rsidP="00B852D3">
      <w:pPr>
        <w:pStyle w:val="enumlev1"/>
        <w:rPr>
          <w:lang w:eastAsia="ja-JP"/>
        </w:rPr>
      </w:pPr>
      <w:bookmarkStart w:id="447" w:name="lt_pId989"/>
      <w:r w:rsidRPr="00CA61A6">
        <w:rPr>
          <w:lang w:eastAsia="ja-JP"/>
        </w:rPr>
        <w:t>•</w:t>
      </w:r>
      <w:r w:rsidRPr="00CA61A6">
        <w:rPr>
          <w:lang w:eastAsia="ja-JP"/>
        </w:rPr>
        <w:tab/>
      </w:r>
      <w:r w:rsidR="0062564D" w:rsidRPr="00CA61A6">
        <w:rPr>
          <w:lang w:eastAsia="ja-JP"/>
        </w:rPr>
        <w:t>Grupo Regional sobre QoS para la región de África (26 de junio de 2014, Kampala, Uganda)</w:t>
      </w:r>
      <w:bookmarkEnd w:id="447"/>
    </w:p>
    <w:p w:rsidR="0062564D" w:rsidRPr="00CA61A6" w:rsidRDefault="00B852D3" w:rsidP="00B852D3">
      <w:pPr>
        <w:pStyle w:val="enumlev1"/>
        <w:rPr>
          <w:lang w:eastAsia="ja-JP"/>
        </w:rPr>
      </w:pPr>
      <w:bookmarkStart w:id="448" w:name="lt_pId990"/>
      <w:r w:rsidRPr="00CA61A6">
        <w:rPr>
          <w:lang w:eastAsia="ja-JP"/>
        </w:rPr>
        <w:t>•</w:t>
      </w:r>
      <w:r w:rsidRPr="00CA61A6">
        <w:rPr>
          <w:lang w:eastAsia="ja-JP"/>
        </w:rPr>
        <w:tab/>
      </w:r>
      <w:r w:rsidR="0062564D" w:rsidRPr="00CA61A6">
        <w:rPr>
          <w:lang w:eastAsia="ja-JP"/>
        </w:rPr>
        <w:t>Grupo Regional sobre QoS para la región de África (23 de marzo de 2015, Dakar, Senegal)</w:t>
      </w:r>
      <w:bookmarkEnd w:id="448"/>
    </w:p>
    <w:p w:rsidR="0062564D" w:rsidRPr="00CA61A6" w:rsidRDefault="00B852D3" w:rsidP="00B852D3">
      <w:pPr>
        <w:pStyle w:val="enumlev1"/>
        <w:rPr>
          <w:lang w:eastAsia="ja-JP"/>
        </w:rPr>
      </w:pPr>
      <w:bookmarkStart w:id="449" w:name="lt_pId991"/>
      <w:r w:rsidRPr="00CA61A6">
        <w:rPr>
          <w:lang w:eastAsia="ja-JP"/>
        </w:rPr>
        <w:t>•</w:t>
      </w:r>
      <w:r w:rsidRPr="00CA61A6">
        <w:rPr>
          <w:lang w:eastAsia="ja-JP"/>
        </w:rPr>
        <w:tab/>
      </w:r>
      <w:r w:rsidR="0062564D" w:rsidRPr="00CA61A6">
        <w:rPr>
          <w:lang w:eastAsia="ja-JP"/>
        </w:rPr>
        <w:t>Grupo Regional sobre QoS para la región de África (18 de mar</w:t>
      </w:r>
      <w:r w:rsidR="00117B68">
        <w:rPr>
          <w:lang w:eastAsia="ja-JP"/>
        </w:rPr>
        <w:t>zo de 2016, Livingstone, Zambia</w:t>
      </w:r>
      <w:r w:rsidR="0062564D" w:rsidRPr="00CA61A6">
        <w:rPr>
          <w:lang w:eastAsia="ja-JP"/>
        </w:rPr>
        <w:t>)</w:t>
      </w:r>
      <w:bookmarkEnd w:id="449"/>
    </w:p>
    <w:p w:rsidR="0062564D" w:rsidRPr="00CA61A6" w:rsidRDefault="0062564D" w:rsidP="00DB1A30">
      <w:pPr>
        <w:pStyle w:val="Headingb"/>
        <w:keepLines/>
        <w:rPr>
          <w:i/>
          <w:iCs/>
        </w:rPr>
      </w:pPr>
      <w:bookmarkStart w:id="450" w:name="lt_pId992"/>
      <w:r w:rsidRPr="00CA61A6">
        <w:rPr>
          <w:i/>
          <w:iCs/>
        </w:rPr>
        <w:t xml:space="preserve">Comisión de Estudio 13 del UIT-T </w:t>
      </w:r>
      <w:bookmarkEnd w:id="450"/>
    </w:p>
    <w:p w:rsidR="0062564D" w:rsidRPr="00CA61A6" w:rsidRDefault="00FC7AE7" w:rsidP="00FC7AE7">
      <w:pPr>
        <w:pStyle w:val="enumlev1"/>
        <w:rPr>
          <w:lang w:eastAsia="ja-JP"/>
        </w:rPr>
      </w:pPr>
      <w:bookmarkStart w:id="451" w:name="lt_pId993"/>
      <w:r w:rsidRPr="00CA61A6">
        <w:rPr>
          <w:lang w:eastAsia="ja-JP"/>
        </w:rPr>
        <w:t>•</w:t>
      </w:r>
      <w:r w:rsidRPr="00CA61A6">
        <w:rPr>
          <w:lang w:eastAsia="ja-JP"/>
        </w:rPr>
        <w:tab/>
      </w:r>
      <w:r w:rsidR="0062564D" w:rsidRPr="00CA61A6">
        <w:rPr>
          <w:lang w:eastAsia="ja-JP"/>
        </w:rPr>
        <w:t xml:space="preserve">Grupo Regional para África </w:t>
      </w:r>
      <w:r w:rsidR="00720DFF" w:rsidRPr="00CA61A6">
        <w:rPr>
          <w:lang w:eastAsia="ja-JP"/>
        </w:rPr>
        <w:t>(10-</w:t>
      </w:r>
      <w:r w:rsidR="0062564D" w:rsidRPr="00CA61A6">
        <w:rPr>
          <w:lang w:eastAsia="ja-JP"/>
        </w:rPr>
        <w:t>11 de septiembre de 2013, Algiers, Argelia)</w:t>
      </w:r>
      <w:bookmarkEnd w:id="451"/>
    </w:p>
    <w:p w:rsidR="0062564D" w:rsidRPr="00CA61A6" w:rsidRDefault="00FC7AE7" w:rsidP="00720DFF">
      <w:pPr>
        <w:pStyle w:val="enumlev1"/>
        <w:rPr>
          <w:lang w:eastAsia="ja-JP"/>
        </w:rPr>
      </w:pPr>
      <w:bookmarkStart w:id="452" w:name="lt_pId994"/>
      <w:r w:rsidRPr="00CA61A6">
        <w:rPr>
          <w:lang w:eastAsia="ja-JP"/>
        </w:rPr>
        <w:t>•</w:t>
      </w:r>
      <w:r w:rsidRPr="00CA61A6">
        <w:rPr>
          <w:lang w:eastAsia="ja-JP"/>
        </w:rPr>
        <w:tab/>
      </w:r>
      <w:r w:rsidR="0062564D" w:rsidRPr="00CA61A6">
        <w:rPr>
          <w:lang w:eastAsia="ja-JP"/>
        </w:rPr>
        <w:t>Grupo Regional para África (29</w:t>
      </w:r>
      <w:r w:rsidR="00720DFF" w:rsidRPr="00CA61A6">
        <w:rPr>
          <w:lang w:eastAsia="ja-JP"/>
        </w:rPr>
        <w:t>-</w:t>
      </w:r>
      <w:r w:rsidR="0062564D" w:rsidRPr="00CA61A6">
        <w:rPr>
          <w:lang w:eastAsia="ja-JP"/>
        </w:rPr>
        <w:t>30 de abril de 2014, Túnez, Túnez)</w:t>
      </w:r>
      <w:bookmarkEnd w:id="452"/>
    </w:p>
    <w:p w:rsidR="0062564D" w:rsidRPr="00CA61A6" w:rsidRDefault="00FC7AE7" w:rsidP="00FC7AE7">
      <w:pPr>
        <w:pStyle w:val="enumlev1"/>
        <w:rPr>
          <w:lang w:eastAsia="ja-JP"/>
        </w:rPr>
      </w:pPr>
      <w:bookmarkStart w:id="453" w:name="lt_pId995"/>
      <w:r w:rsidRPr="00CA61A6">
        <w:rPr>
          <w:lang w:eastAsia="ja-JP"/>
        </w:rPr>
        <w:t>•</w:t>
      </w:r>
      <w:r w:rsidRPr="00CA61A6">
        <w:rPr>
          <w:lang w:eastAsia="ja-JP"/>
        </w:rPr>
        <w:tab/>
      </w:r>
      <w:r w:rsidR="0062564D" w:rsidRPr="00CA61A6">
        <w:rPr>
          <w:lang w:eastAsia="ja-JP"/>
        </w:rPr>
        <w:t>Actividad electrónica del Grupo Regional de la CE</w:t>
      </w:r>
      <w:r w:rsidR="00534B01" w:rsidRPr="00CA61A6">
        <w:rPr>
          <w:lang w:eastAsia="ja-JP"/>
        </w:rPr>
        <w:t> 13 para África (21 de mayo de </w:t>
      </w:r>
      <w:r w:rsidR="0062564D" w:rsidRPr="00CA61A6">
        <w:rPr>
          <w:lang w:eastAsia="ja-JP"/>
        </w:rPr>
        <w:t>2014)</w:t>
      </w:r>
      <w:bookmarkEnd w:id="453"/>
    </w:p>
    <w:p w:rsidR="0062564D" w:rsidRPr="00CA61A6" w:rsidRDefault="00FC7AE7" w:rsidP="00FC7AE7">
      <w:pPr>
        <w:pStyle w:val="enumlev1"/>
        <w:rPr>
          <w:lang w:eastAsia="ja-JP"/>
        </w:rPr>
      </w:pPr>
      <w:bookmarkStart w:id="454" w:name="lt_pId996"/>
      <w:r w:rsidRPr="00CA61A6">
        <w:rPr>
          <w:lang w:eastAsia="ja-JP"/>
        </w:rPr>
        <w:t>•</w:t>
      </w:r>
      <w:r w:rsidRPr="00CA61A6">
        <w:rPr>
          <w:lang w:eastAsia="ja-JP"/>
        </w:rPr>
        <w:tab/>
      </w:r>
      <w:r w:rsidR="0062564D" w:rsidRPr="00CA61A6">
        <w:rPr>
          <w:lang w:eastAsia="ja-JP"/>
        </w:rPr>
        <w:t>Actividad electrónica del Grupo Regional de la CE</w:t>
      </w:r>
      <w:r w:rsidR="00534B01" w:rsidRPr="00CA61A6">
        <w:rPr>
          <w:lang w:eastAsia="ja-JP"/>
        </w:rPr>
        <w:t> </w:t>
      </w:r>
      <w:r w:rsidR="0062564D" w:rsidRPr="00CA61A6">
        <w:rPr>
          <w:lang w:eastAsia="ja-JP"/>
        </w:rPr>
        <w:t>13 para África (4 de junio de 2014)</w:t>
      </w:r>
      <w:bookmarkEnd w:id="454"/>
    </w:p>
    <w:p w:rsidR="0062564D" w:rsidRPr="00CA61A6" w:rsidRDefault="00FC7AE7" w:rsidP="00FC7AE7">
      <w:pPr>
        <w:pStyle w:val="enumlev1"/>
        <w:rPr>
          <w:lang w:eastAsia="ja-JP"/>
        </w:rPr>
      </w:pPr>
      <w:bookmarkStart w:id="455" w:name="lt_pId997"/>
      <w:r w:rsidRPr="00CA61A6">
        <w:rPr>
          <w:lang w:eastAsia="ja-JP"/>
        </w:rPr>
        <w:t>•</w:t>
      </w:r>
      <w:r w:rsidRPr="00CA61A6">
        <w:rPr>
          <w:lang w:eastAsia="ja-JP"/>
        </w:rPr>
        <w:tab/>
      </w:r>
      <w:r w:rsidR="0062564D" w:rsidRPr="00CA61A6">
        <w:rPr>
          <w:lang w:eastAsia="ja-JP"/>
        </w:rPr>
        <w:t>Actividad electrónica del Grupo Regional de la CE</w:t>
      </w:r>
      <w:r w:rsidR="00534B01" w:rsidRPr="00CA61A6">
        <w:rPr>
          <w:lang w:eastAsia="ja-JP"/>
        </w:rPr>
        <w:t> </w:t>
      </w:r>
      <w:r w:rsidR="0062564D" w:rsidRPr="00CA61A6">
        <w:rPr>
          <w:lang w:eastAsia="ja-JP"/>
        </w:rPr>
        <w:t>13 para África (18 de junio de 2014)</w:t>
      </w:r>
      <w:bookmarkEnd w:id="455"/>
    </w:p>
    <w:p w:rsidR="0062564D" w:rsidRPr="00CA61A6" w:rsidRDefault="00FC7AE7" w:rsidP="00FC7AE7">
      <w:pPr>
        <w:pStyle w:val="enumlev1"/>
        <w:rPr>
          <w:lang w:eastAsia="ja-JP"/>
        </w:rPr>
      </w:pPr>
      <w:bookmarkStart w:id="456" w:name="lt_pId998"/>
      <w:r w:rsidRPr="00CA61A6">
        <w:rPr>
          <w:lang w:eastAsia="ja-JP"/>
        </w:rPr>
        <w:t>•</w:t>
      </w:r>
      <w:r w:rsidRPr="00CA61A6">
        <w:rPr>
          <w:lang w:eastAsia="ja-JP"/>
        </w:rPr>
        <w:tab/>
      </w:r>
      <w:r w:rsidR="0062564D" w:rsidRPr="00CA61A6">
        <w:rPr>
          <w:lang w:eastAsia="ja-JP"/>
        </w:rPr>
        <w:t xml:space="preserve">Grupo Regional para África </w:t>
      </w:r>
      <w:r w:rsidR="00720DFF" w:rsidRPr="00CA61A6">
        <w:rPr>
          <w:lang w:eastAsia="ja-JP"/>
        </w:rPr>
        <w:t>(25-</w:t>
      </w:r>
      <w:r w:rsidR="0062564D" w:rsidRPr="00CA61A6">
        <w:rPr>
          <w:lang w:eastAsia="ja-JP"/>
        </w:rPr>
        <w:t>26 de febrero de 2015, Livingstone, Zambia)</w:t>
      </w:r>
      <w:bookmarkEnd w:id="456"/>
    </w:p>
    <w:p w:rsidR="0062564D" w:rsidRPr="00CA61A6" w:rsidRDefault="00FC7AE7" w:rsidP="00FC7AE7">
      <w:pPr>
        <w:pStyle w:val="enumlev1"/>
        <w:rPr>
          <w:lang w:eastAsia="ja-JP"/>
        </w:rPr>
      </w:pPr>
      <w:bookmarkStart w:id="457" w:name="lt_pId999"/>
      <w:r w:rsidRPr="00CA61A6">
        <w:rPr>
          <w:lang w:eastAsia="ja-JP"/>
        </w:rPr>
        <w:t>•</w:t>
      </w:r>
      <w:r w:rsidRPr="00CA61A6">
        <w:rPr>
          <w:lang w:eastAsia="ja-JP"/>
        </w:rPr>
        <w:tab/>
      </w:r>
      <w:r w:rsidR="0062564D" w:rsidRPr="00CA61A6">
        <w:rPr>
          <w:lang w:eastAsia="ja-JP"/>
        </w:rPr>
        <w:t xml:space="preserve">Grupo Regional para África </w:t>
      </w:r>
      <w:r w:rsidR="00720DFF" w:rsidRPr="00CA61A6">
        <w:rPr>
          <w:lang w:eastAsia="ja-JP"/>
        </w:rPr>
        <w:t>(16-</w:t>
      </w:r>
      <w:r w:rsidR="0062564D" w:rsidRPr="00CA61A6">
        <w:rPr>
          <w:lang w:eastAsia="ja-JP"/>
        </w:rPr>
        <w:t>17 de marzo de 2016, Accra, Ghana)</w:t>
      </w:r>
      <w:bookmarkEnd w:id="457"/>
    </w:p>
    <w:p w:rsidR="0062564D" w:rsidRPr="00CA61A6" w:rsidRDefault="0062564D" w:rsidP="00DB1A30">
      <w:pPr>
        <w:pStyle w:val="Headingb"/>
        <w:keepLines/>
        <w:rPr>
          <w:i/>
          <w:iCs/>
        </w:rPr>
      </w:pPr>
      <w:bookmarkStart w:id="458" w:name="lt_pId1000"/>
      <w:r w:rsidRPr="00CA61A6">
        <w:rPr>
          <w:i/>
          <w:iCs/>
        </w:rPr>
        <w:t xml:space="preserve">Comisión de Estudio 17 del UIT-T </w:t>
      </w:r>
      <w:bookmarkEnd w:id="458"/>
    </w:p>
    <w:p w:rsidR="0062564D" w:rsidRPr="00CA61A6" w:rsidRDefault="0099400B" w:rsidP="0099400B">
      <w:pPr>
        <w:pStyle w:val="enumlev1"/>
        <w:rPr>
          <w:lang w:eastAsia="ja-JP"/>
        </w:rPr>
      </w:pPr>
      <w:bookmarkStart w:id="459" w:name="lt_pId1001"/>
      <w:r w:rsidRPr="00CA61A6">
        <w:rPr>
          <w:lang w:eastAsia="ja-JP"/>
        </w:rPr>
        <w:t>•</w:t>
      </w:r>
      <w:r w:rsidRPr="00CA61A6">
        <w:rPr>
          <w:lang w:eastAsia="ja-JP"/>
        </w:rPr>
        <w:tab/>
      </w:r>
      <w:r w:rsidR="0062564D" w:rsidRPr="00CA61A6">
        <w:rPr>
          <w:lang w:eastAsia="ja-JP"/>
        </w:rPr>
        <w:t xml:space="preserve">Grupo Regional para África </w:t>
      </w:r>
      <w:r w:rsidR="008669DE" w:rsidRPr="00CA61A6">
        <w:rPr>
          <w:lang w:eastAsia="ja-JP"/>
        </w:rPr>
        <w:t>(21-</w:t>
      </w:r>
      <w:r w:rsidR="0062564D" w:rsidRPr="00CA61A6">
        <w:rPr>
          <w:lang w:eastAsia="ja-JP"/>
        </w:rPr>
        <w:t>22 de enero de 2016, Abiyán, Cȏte d’Ivoire)</w:t>
      </w:r>
      <w:bookmarkEnd w:id="459"/>
    </w:p>
    <w:p w:rsidR="0062564D" w:rsidRPr="00CA61A6" w:rsidRDefault="00F96A16" w:rsidP="00B7321D">
      <w:pPr>
        <w:pStyle w:val="Headingb"/>
        <w:keepLines/>
      </w:pPr>
      <w:bookmarkStart w:id="460" w:name="Item54_02"/>
      <w:r w:rsidRPr="00CA61A6">
        <w:t xml:space="preserve">Acción </w:t>
      </w:r>
      <w:r w:rsidR="0062564D" w:rsidRPr="00CA61A6">
        <w:t>54-02: TSB</w:t>
      </w:r>
    </w:p>
    <w:p w:rsidR="0062564D" w:rsidRPr="00CA61A6" w:rsidRDefault="0062564D" w:rsidP="007B3478">
      <w:pPr>
        <w:rPr>
          <w:szCs w:val="24"/>
          <w:lang w:eastAsia="ja-JP"/>
        </w:rPr>
      </w:pPr>
      <w:bookmarkStart w:id="461" w:name="lt_pId1003"/>
      <w:bookmarkEnd w:id="460"/>
      <w:r w:rsidRPr="00CA61A6">
        <w:rPr>
          <w:szCs w:val="24"/>
          <w:lang w:eastAsia="ja-JP"/>
        </w:rPr>
        <w:t xml:space="preserve">En su </w:t>
      </w:r>
      <w:r w:rsidR="000B54DB" w:rsidRPr="00CA61A6">
        <w:rPr>
          <w:szCs w:val="24"/>
          <w:lang w:eastAsia="ja-JP"/>
        </w:rPr>
        <w:t xml:space="preserve">Informe </w:t>
      </w:r>
      <w:r w:rsidRPr="00CA61A6">
        <w:rPr>
          <w:szCs w:val="24"/>
          <w:lang w:eastAsia="ja-JP"/>
        </w:rPr>
        <w:t>de la AMNT-12 al Consejo de 2013 (</w:t>
      </w:r>
      <w:hyperlink r:id="rId120" w:history="1">
        <w:r w:rsidRPr="00CA61A6">
          <w:rPr>
            <w:color w:val="0000FF"/>
            <w:szCs w:val="24"/>
            <w:u w:val="single"/>
            <w:lang w:eastAsia="ja-JP"/>
          </w:rPr>
          <w:t>C13/22</w:t>
        </w:r>
      </w:hyperlink>
      <w:r w:rsidRPr="00CA61A6">
        <w:rPr>
          <w:szCs w:val="24"/>
          <w:lang w:eastAsia="ja-JP"/>
        </w:rPr>
        <w:t xml:space="preserve">), el Director de la TSB invitó al Consejo a considerar la posibilidad de prestar asistencia a los </w:t>
      </w:r>
      <w:r w:rsidR="000C17DA" w:rsidRPr="00CA61A6">
        <w:rPr>
          <w:szCs w:val="24"/>
          <w:lang w:eastAsia="ja-JP"/>
        </w:rPr>
        <w:t>Grupos Regionales</w:t>
      </w:r>
      <w:r w:rsidRPr="00CA61A6">
        <w:rPr>
          <w:szCs w:val="24"/>
          <w:lang w:eastAsia="ja-JP"/>
        </w:rPr>
        <w:t>, según proceda.</w:t>
      </w:r>
      <w:bookmarkEnd w:id="461"/>
    </w:p>
    <w:p w:rsidR="0062564D" w:rsidRPr="00CA61A6" w:rsidRDefault="00945920" w:rsidP="00D36A2E">
      <w:pPr>
        <w:pStyle w:val="Headingb"/>
        <w:keepLines/>
      </w:pPr>
      <w:bookmarkStart w:id="462" w:name="Item54_03"/>
      <w:r w:rsidRPr="00CA61A6">
        <w:t xml:space="preserve">Acción </w:t>
      </w:r>
      <w:r w:rsidR="0062564D" w:rsidRPr="00CA61A6">
        <w:t>54-03: TSB</w:t>
      </w:r>
    </w:p>
    <w:p w:rsidR="0062564D" w:rsidRPr="00CA61A6" w:rsidRDefault="0062564D" w:rsidP="00A655DC">
      <w:pPr>
        <w:rPr>
          <w:szCs w:val="24"/>
          <w:lang w:eastAsia="ja-JP"/>
        </w:rPr>
      </w:pPr>
      <w:bookmarkStart w:id="463" w:name="lt_pId1005"/>
      <w:bookmarkEnd w:id="462"/>
      <w:r w:rsidRPr="00CA61A6">
        <w:rPr>
          <w:szCs w:val="24"/>
          <w:lang w:eastAsia="ja-JP"/>
        </w:rPr>
        <w:t xml:space="preserve">Véase </w:t>
      </w:r>
      <w:r w:rsidR="00A655DC">
        <w:rPr>
          <w:szCs w:val="24"/>
          <w:lang w:eastAsia="ja-JP"/>
        </w:rPr>
        <w:t>la</w:t>
      </w:r>
      <w:r w:rsidRPr="00CA61A6">
        <w:rPr>
          <w:szCs w:val="24"/>
          <w:lang w:eastAsia="ja-JP"/>
        </w:rPr>
        <w:t xml:space="preserve"> </w:t>
      </w:r>
      <w:hyperlink w:anchor="Item44_25" w:history="1">
        <w:r w:rsidR="00A655DC" w:rsidRPr="00A47192">
          <w:rPr>
            <w:rStyle w:val="Hyperlink"/>
            <w:lang w:eastAsia="ja-JP"/>
          </w:rPr>
          <w:t>Acción</w:t>
        </w:r>
        <w:r w:rsidRPr="00A47192">
          <w:rPr>
            <w:rStyle w:val="Hyperlink"/>
            <w:lang w:eastAsia="ja-JP"/>
          </w:rPr>
          <w:t xml:space="preserve"> </w:t>
        </w:r>
        <w:r w:rsidRPr="00A47192">
          <w:rPr>
            <w:rStyle w:val="Hyperlink"/>
            <w:szCs w:val="24"/>
            <w:lang w:eastAsia="ja-JP"/>
          </w:rPr>
          <w:t>44-25</w:t>
        </w:r>
      </w:hyperlink>
      <w:r w:rsidRPr="00F46D9B">
        <w:t>.</w:t>
      </w:r>
      <w:bookmarkEnd w:id="463"/>
    </w:p>
    <w:p w:rsidR="0062564D" w:rsidRPr="00CA61A6" w:rsidRDefault="00945920" w:rsidP="00992AAA">
      <w:pPr>
        <w:pStyle w:val="Headingb"/>
        <w:keepLines/>
      </w:pPr>
      <w:bookmarkStart w:id="464" w:name="Item54_04"/>
      <w:r w:rsidRPr="00CA61A6">
        <w:t xml:space="preserve">Acción </w:t>
      </w:r>
      <w:r w:rsidR="0062564D" w:rsidRPr="00CA61A6">
        <w:t xml:space="preserve">54-04: </w:t>
      </w:r>
      <w:r w:rsidR="003C7808" w:rsidRPr="00CA61A6">
        <w:t>GANT</w:t>
      </w:r>
      <w:r w:rsidR="0062564D" w:rsidRPr="00CA61A6">
        <w:t xml:space="preserve"> </w:t>
      </w:r>
      <w:r w:rsidR="00992AAA" w:rsidRPr="00CA61A6">
        <w:t>y</w:t>
      </w:r>
      <w:r w:rsidR="003C7808" w:rsidRPr="00CA61A6">
        <w:t xml:space="preserve"> CE</w:t>
      </w:r>
    </w:p>
    <w:p w:rsidR="0062564D" w:rsidRPr="00CA61A6" w:rsidRDefault="0062564D" w:rsidP="00A655DC">
      <w:pPr>
        <w:rPr>
          <w:szCs w:val="24"/>
          <w:lang w:eastAsia="ja-JP"/>
        </w:rPr>
      </w:pPr>
      <w:bookmarkStart w:id="465" w:name="lt_pId1007"/>
      <w:bookmarkEnd w:id="464"/>
      <w:r w:rsidRPr="00CA61A6">
        <w:rPr>
          <w:szCs w:val="24"/>
          <w:lang w:eastAsia="ja-JP"/>
        </w:rPr>
        <w:t xml:space="preserve">Véase </w:t>
      </w:r>
      <w:r w:rsidR="00A655DC">
        <w:rPr>
          <w:szCs w:val="24"/>
          <w:lang w:eastAsia="ja-JP"/>
        </w:rPr>
        <w:t>la</w:t>
      </w:r>
      <w:r w:rsidR="00A655DC" w:rsidRPr="00CA61A6">
        <w:rPr>
          <w:szCs w:val="24"/>
          <w:lang w:eastAsia="ja-JP"/>
        </w:rPr>
        <w:t xml:space="preserve"> </w:t>
      </w:r>
      <w:hyperlink w:anchor="Item44_14" w:history="1">
        <w:r w:rsidR="00A655DC" w:rsidRPr="00E4556F">
          <w:rPr>
            <w:rStyle w:val="Hyperlink"/>
            <w:szCs w:val="24"/>
            <w:lang w:eastAsia="ja-JP"/>
          </w:rPr>
          <w:t xml:space="preserve">Acción </w:t>
        </w:r>
        <w:r w:rsidRPr="00E4556F">
          <w:rPr>
            <w:rStyle w:val="Hyperlink"/>
            <w:szCs w:val="24"/>
            <w:lang w:eastAsia="ja-JP"/>
          </w:rPr>
          <w:t>44-14</w:t>
        </w:r>
        <w:bookmarkEnd w:id="465"/>
      </w:hyperlink>
      <w:r w:rsidR="0031528B" w:rsidRPr="00E4556F">
        <w:rPr>
          <w:szCs w:val="24"/>
          <w:lang w:eastAsia="ja-JP"/>
        </w:rPr>
        <w:t>.</w:t>
      </w:r>
    </w:p>
    <w:p w:rsidR="0062564D" w:rsidRPr="00CA61A6" w:rsidRDefault="00945920" w:rsidP="00D36A2E">
      <w:pPr>
        <w:pStyle w:val="Headingb"/>
        <w:keepLines/>
      </w:pPr>
      <w:bookmarkStart w:id="466" w:name="Item54_05"/>
      <w:r w:rsidRPr="00CA61A6">
        <w:t xml:space="preserve">Acción </w:t>
      </w:r>
      <w:r w:rsidR="0062564D" w:rsidRPr="00CA61A6">
        <w:t>54-05: TSB</w:t>
      </w:r>
    </w:p>
    <w:p w:rsidR="0062564D" w:rsidRPr="00CA61A6" w:rsidRDefault="0062564D" w:rsidP="00A655DC">
      <w:pPr>
        <w:rPr>
          <w:szCs w:val="24"/>
          <w:lang w:eastAsia="ja-JP"/>
        </w:rPr>
      </w:pPr>
      <w:bookmarkStart w:id="467" w:name="lt_pId1009"/>
      <w:bookmarkEnd w:id="466"/>
      <w:r w:rsidRPr="00CA61A6">
        <w:rPr>
          <w:szCs w:val="24"/>
          <w:lang w:eastAsia="ja-JP"/>
        </w:rPr>
        <w:t xml:space="preserve">Véase </w:t>
      </w:r>
      <w:r w:rsidR="00A655DC">
        <w:rPr>
          <w:szCs w:val="24"/>
          <w:lang w:eastAsia="ja-JP"/>
        </w:rPr>
        <w:t>la</w:t>
      </w:r>
      <w:r w:rsidR="00A655DC" w:rsidRPr="00CA61A6">
        <w:rPr>
          <w:szCs w:val="24"/>
          <w:lang w:eastAsia="ja-JP"/>
        </w:rPr>
        <w:t xml:space="preserve"> </w:t>
      </w:r>
      <w:hyperlink w:anchor="Item44_21" w:history="1">
        <w:r w:rsidR="00A655DC" w:rsidRPr="002D19C3">
          <w:rPr>
            <w:rStyle w:val="Hyperlink"/>
            <w:szCs w:val="24"/>
            <w:lang w:eastAsia="ja-JP"/>
          </w:rPr>
          <w:t xml:space="preserve">Acción </w:t>
        </w:r>
        <w:r w:rsidRPr="002D19C3">
          <w:rPr>
            <w:rStyle w:val="Hyperlink"/>
            <w:szCs w:val="24"/>
            <w:lang w:eastAsia="ja-JP"/>
          </w:rPr>
          <w:t>44-21</w:t>
        </w:r>
        <w:bookmarkEnd w:id="467"/>
      </w:hyperlink>
      <w:r w:rsidR="0031528B" w:rsidRPr="002D19C3">
        <w:rPr>
          <w:szCs w:val="24"/>
          <w:lang w:eastAsia="ja-JP"/>
        </w:rPr>
        <w:t>.</w:t>
      </w:r>
    </w:p>
    <w:p w:rsidR="0062564D" w:rsidRPr="00CA61A6" w:rsidRDefault="00945920" w:rsidP="00D36A2E">
      <w:pPr>
        <w:pStyle w:val="Headingb"/>
        <w:keepLines/>
      </w:pPr>
      <w:bookmarkStart w:id="468" w:name="Item54_06"/>
      <w:r w:rsidRPr="00CA61A6">
        <w:t xml:space="preserve">Acción </w:t>
      </w:r>
      <w:r w:rsidR="0062564D" w:rsidRPr="00CA61A6">
        <w:t>54-06: TSB</w:t>
      </w:r>
    </w:p>
    <w:p w:rsidR="0062564D" w:rsidRPr="00CA61A6" w:rsidRDefault="0062564D" w:rsidP="00A655DC">
      <w:pPr>
        <w:rPr>
          <w:szCs w:val="24"/>
          <w:lang w:eastAsia="ja-JP"/>
        </w:rPr>
      </w:pPr>
      <w:bookmarkStart w:id="469" w:name="lt_pId1011"/>
      <w:bookmarkEnd w:id="468"/>
      <w:r w:rsidRPr="00CA61A6">
        <w:rPr>
          <w:szCs w:val="24"/>
          <w:lang w:eastAsia="ja-JP"/>
        </w:rPr>
        <w:t xml:space="preserve">Véase </w:t>
      </w:r>
      <w:r w:rsidR="00A655DC">
        <w:rPr>
          <w:szCs w:val="24"/>
          <w:lang w:eastAsia="ja-JP"/>
        </w:rPr>
        <w:t>la</w:t>
      </w:r>
      <w:r w:rsidR="00A655DC" w:rsidRPr="00CA61A6">
        <w:rPr>
          <w:szCs w:val="24"/>
          <w:lang w:eastAsia="ja-JP"/>
        </w:rPr>
        <w:t xml:space="preserve"> </w:t>
      </w:r>
      <w:hyperlink w:anchor="Item44_24" w:history="1">
        <w:r w:rsidR="00A655DC" w:rsidRPr="002D19C3">
          <w:rPr>
            <w:rStyle w:val="Hyperlink"/>
            <w:szCs w:val="24"/>
            <w:lang w:eastAsia="ja-JP"/>
          </w:rPr>
          <w:t xml:space="preserve">Acción </w:t>
        </w:r>
        <w:r w:rsidRPr="002D19C3">
          <w:rPr>
            <w:rStyle w:val="Hyperlink"/>
            <w:szCs w:val="24"/>
            <w:lang w:eastAsia="ja-JP"/>
          </w:rPr>
          <w:t>44-24</w:t>
        </w:r>
        <w:bookmarkEnd w:id="469"/>
      </w:hyperlink>
      <w:r w:rsidR="0031528B" w:rsidRPr="002D19C3">
        <w:rPr>
          <w:szCs w:val="24"/>
          <w:lang w:eastAsia="ja-JP"/>
        </w:rPr>
        <w:t>.</w:t>
      </w:r>
    </w:p>
    <w:p w:rsidR="0062564D" w:rsidRPr="00CA61A6" w:rsidRDefault="00945920" w:rsidP="00D36A2E">
      <w:pPr>
        <w:pStyle w:val="Headingb"/>
        <w:keepLines/>
      </w:pPr>
      <w:bookmarkStart w:id="470" w:name="Item54_07"/>
      <w:bookmarkStart w:id="471" w:name="Item50_07"/>
      <w:bookmarkEnd w:id="470"/>
      <w:r w:rsidRPr="00CA61A6">
        <w:lastRenderedPageBreak/>
        <w:t xml:space="preserve">Acción </w:t>
      </w:r>
      <w:r w:rsidR="0062564D" w:rsidRPr="00CA61A6">
        <w:t>54-07: TSB</w:t>
      </w:r>
    </w:p>
    <w:p w:rsidR="0062564D" w:rsidRPr="00CA61A6" w:rsidRDefault="0062564D" w:rsidP="00476C60">
      <w:pPr>
        <w:rPr>
          <w:szCs w:val="24"/>
          <w:lang w:eastAsia="ja-JP"/>
        </w:rPr>
      </w:pPr>
      <w:bookmarkStart w:id="472" w:name="lt_pId1013"/>
      <w:bookmarkEnd w:id="471"/>
      <w:r w:rsidRPr="00CA61A6">
        <w:rPr>
          <w:szCs w:val="24"/>
          <w:lang w:eastAsia="ja-JP"/>
        </w:rPr>
        <w:t>Durante el periodo de estudios se organizaron reuniones del Grupo Regional de la CE</w:t>
      </w:r>
      <w:r w:rsidR="008B5B32" w:rsidRPr="00CA61A6">
        <w:rPr>
          <w:szCs w:val="24"/>
          <w:lang w:eastAsia="ja-JP"/>
        </w:rPr>
        <w:t> </w:t>
      </w:r>
      <w:r w:rsidRPr="00CA61A6">
        <w:rPr>
          <w:szCs w:val="24"/>
          <w:lang w:eastAsia="ja-JP"/>
        </w:rPr>
        <w:t>3 en cooperación con la BDT y sus foros sobre cuestiones regionales y económicas.</w:t>
      </w:r>
      <w:bookmarkEnd w:id="472"/>
      <w:r w:rsidRPr="00CA61A6">
        <w:rPr>
          <w:szCs w:val="24"/>
          <w:lang w:eastAsia="ja-JP"/>
        </w:rPr>
        <w:t xml:space="preserve"> </w:t>
      </w:r>
      <w:bookmarkStart w:id="473" w:name="lt_pId1014"/>
      <w:r w:rsidRPr="00CA61A6">
        <w:rPr>
          <w:szCs w:val="24"/>
          <w:lang w:eastAsia="ja-JP"/>
        </w:rPr>
        <w:t xml:space="preserve">Para conocer las fechas de las reuniones en este periodo de estudios, véase </w:t>
      </w:r>
      <w:r w:rsidR="00476C60">
        <w:rPr>
          <w:szCs w:val="24"/>
          <w:lang w:eastAsia="ja-JP"/>
        </w:rPr>
        <w:t>la</w:t>
      </w:r>
      <w:r w:rsidRPr="00CA61A6">
        <w:rPr>
          <w:szCs w:val="24"/>
          <w:lang w:eastAsia="ja-JP"/>
        </w:rPr>
        <w:t xml:space="preserve"> </w:t>
      </w:r>
      <w:hyperlink w:anchor="Item54_01" w:history="1">
        <w:r w:rsidR="00476C60" w:rsidRPr="008828BE">
          <w:rPr>
            <w:rStyle w:val="Hyperlink"/>
            <w:szCs w:val="24"/>
            <w:lang w:eastAsia="ja-JP"/>
          </w:rPr>
          <w:t>Acción</w:t>
        </w:r>
        <w:r w:rsidRPr="008828BE">
          <w:rPr>
            <w:rStyle w:val="Hyperlink"/>
            <w:szCs w:val="24"/>
            <w:lang w:eastAsia="ja-JP"/>
          </w:rPr>
          <w:t xml:space="preserve"> 54-01</w:t>
        </w:r>
      </w:hyperlink>
      <w:r w:rsidRPr="002F0341">
        <w:t>.</w:t>
      </w:r>
      <w:bookmarkEnd w:id="473"/>
    </w:p>
    <w:p w:rsidR="0062564D" w:rsidRPr="00CA61A6" w:rsidRDefault="0062564D" w:rsidP="007B3478">
      <w:pPr>
        <w:rPr>
          <w:szCs w:val="24"/>
          <w:lang w:eastAsia="ja-JP"/>
        </w:rPr>
      </w:pPr>
      <w:bookmarkStart w:id="474" w:name="lt_pId1015"/>
      <w:r w:rsidRPr="00CA61A6">
        <w:rPr>
          <w:szCs w:val="24"/>
          <w:lang w:eastAsia="ja-JP"/>
        </w:rPr>
        <w:t xml:space="preserve">En 2015 se elaboró una herramienta en línea para ANR sobre itinerancia móvil internacional, que está disponible en este enlace: </w:t>
      </w:r>
      <w:hyperlink r:id="rId121" w:history="1">
        <w:r w:rsidRPr="00CA61A6">
          <w:rPr>
            <w:color w:val="0000FF"/>
            <w:szCs w:val="24"/>
            <w:u w:val="single"/>
            <w:lang w:eastAsia="ja-JP"/>
          </w:rPr>
          <w:t>http://www.itu.int/net4/roamingtool/</w:t>
        </w:r>
      </w:hyperlink>
      <w:bookmarkEnd w:id="474"/>
      <w:r w:rsidR="00CD76BE" w:rsidRPr="00CA61A6">
        <w:rPr>
          <w:szCs w:val="24"/>
          <w:lang w:eastAsia="ja-JP"/>
        </w:rPr>
        <w:t>.</w:t>
      </w:r>
    </w:p>
    <w:p w:rsidR="0062564D" w:rsidRPr="00CA61A6" w:rsidRDefault="0062564D" w:rsidP="007B3478">
      <w:pPr>
        <w:rPr>
          <w:szCs w:val="24"/>
          <w:lang w:eastAsia="ja-JP"/>
        </w:rPr>
      </w:pPr>
      <w:bookmarkStart w:id="475" w:name="lt_pId1016"/>
      <w:r w:rsidRPr="00CA61A6">
        <w:rPr>
          <w:szCs w:val="24"/>
          <w:lang w:eastAsia="ja-JP"/>
        </w:rPr>
        <w:t>Para obtener información actualizada, véase la página de la CE</w:t>
      </w:r>
      <w:r w:rsidR="008B5B32" w:rsidRPr="00CA61A6">
        <w:rPr>
          <w:szCs w:val="24"/>
          <w:lang w:eastAsia="ja-JP"/>
        </w:rPr>
        <w:t> </w:t>
      </w:r>
      <w:r w:rsidRPr="00CA61A6">
        <w:rPr>
          <w:szCs w:val="24"/>
          <w:lang w:eastAsia="ja-JP"/>
        </w:rPr>
        <w:t xml:space="preserve">3 del UIT-T en </w:t>
      </w:r>
      <w:hyperlink r:id="rId122" w:history="1">
        <w:r w:rsidRPr="00CA61A6">
          <w:rPr>
            <w:color w:val="0000FF"/>
            <w:szCs w:val="24"/>
            <w:u w:val="single"/>
            <w:lang w:eastAsia="ja-JP"/>
          </w:rPr>
          <w:t>http://itu.int/en/ITU-T/studygroups/2013-2016/03</w:t>
        </w:r>
      </w:hyperlink>
      <w:r w:rsidRPr="00E12FF0">
        <w:t>.</w:t>
      </w:r>
      <w:bookmarkEnd w:id="475"/>
    </w:p>
    <w:p w:rsidR="00E87828" w:rsidRPr="00CA61A6" w:rsidRDefault="00110CAD" w:rsidP="00E87828">
      <w:hyperlink w:anchor="Top" w:history="1">
        <w:r w:rsidR="00E87828" w:rsidRPr="00CA61A6">
          <w:rPr>
            <w:rStyle w:val="Hyperlink"/>
          </w:rPr>
          <w:t>» Arriba</w:t>
        </w:r>
      </w:hyperlink>
    </w:p>
    <w:p w:rsidR="0062564D" w:rsidRPr="00CA61A6" w:rsidRDefault="00B77530" w:rsidP="00CF75F8">
      <w:pPr>
        <w:pStyle w:val="Heading1"/>
      </w:pPr>
      <w:bookmarkStart w:id="476" w:name="_25_Resolución_55"/>
      <w:bookmarkStart w:id="477" w:name="_Toc463335776"/>
      <w:bookmarkEnd w:id="476"/>
      <w:r w:rsidRPr="00CA61A6">
        <w:t>25</w:t>
      </w:r>
      <w:r w:rsidRPr="00CA61A6">
        <w:tab/>
      </w:r>
      <w:r w:rsidR="0062564D" w:rsidRPr="00CA61A6">
        <w:t xml:space="preserve">Resolución </w:t>
      </w:r>
      <w:r w:rsidR="0062564D" w:rsidRPr="00CA61A6">
        <w:rPr>
          <w:rStyle w:val="href"/>
        </w:rPr>
        <w:t>55</w:t>
      </w:r>
      <w:r w:rsidR="00CF75F8" w:rsidRPr="00CA61A6">
        <w:t xml:space="preserve"> – </w:t>
      </w:r>
      <w:r w:rsidR="0062564D" w:rsidRPr="00CA61A6">
        <w:t>Integración de una perspectiva de género en las actividades del</w:t>
      </w:r>
      <w:r w:rsidRPr="00CA61A6">
        <w:t xml:space="preserve"> </w:t>
      </w:r>
      <w:r w:rsidR="0062564D" w:rsidRPr="00CA61A6">
        <w:t>Sector de Normalización de las Telecomunicaciones de la UIT</w:t>
      </w:r>
      <w:bookmarkEnd w:id="477"/>
    </w:p>
    <w:p w:rsidR="0062564D" w:rsidRPr="00CA61A6" w:rsidRDefault="0082565C" w:rsidP="00C95C21">
      <w:pPr>
        <w:pStyle w:val="Headingb"/>
        <w:keepLines/>
      </w:pPr>
      <w:r w:rsidRPr="00CA61A6">
        <w:t>Resolución 55</w:t>
      </w:r>
    </w:p>
    <w:p w:rsidR="0062564D" w:rsidRPr="00CA61A6" w:rsidRDefault="0062564D" w:rsidP="007B3478">
      <w:pPr>
        <w:pStyle w:val="Call"/>
      </w:pPr>
      <w:r w:rsidRPr="00CA61A6">
        <w:t>resuelve</w:t>
      </w:r>
    </w:p>
    <w:p w:rsidR="0062564D" w:rsidRPr="00CA61A6" w:rsidRDefault="0062564D" w:rsidP="007B3478">
      <w:r w:rsidRPr="00CA61A6">
        <w:t>1</w:t>
      </w:r>
      <w:r w:rsidRPr="00CA61A6">
        <w:tab/>
        <w:t>que el UIT-T continúe fomentando la incorporación de una perspectiva de género, incluida la utilización de un lenguaje neutro a efectos del género, en todas las actividades y todos los grupos del UIT-T incluidos el GANT y las Comisiones de Estudio del UIT</w:t>
      </w:r>
      <w:r w:rsidRPr="00CA61A6">
        <w:noBreakHyphen/>
        <w:t>T;</w:t>
      </w:r>
    </w:p>
    <w:p w:rsidR="0062564D" w:rsidRPr="00CA61A6" w:rsidRDefault="0062564D" w:rsidP="007B3478">
      <w:r w:rsidRPr="00CA61A6">
        <w:t>2</w:t>
      </w:r>
      <w:r w:rsidRPr="00CA61A6">
        <w:tab/>
        <w:t>que se garantice la inclusión de la perspectiva de género en la aplicación de todos los resultados pertinentes de la presente Asamblea;</w:t>
      </w:r>
    </w:p>
    <w:p w:rsidR="0062564D" w:rsidRPr="00CA61A6" w:rsidRDefault="0062564D" w:rsidP="007B3478">
      <w:r w:rsidRPr="00CA61A6">
        <w:t>3</w:t>
      </w:r>
      <w:r w:rsidRPr="00CA61A6">
        <w:tab/>
        <w:t>que se dé una alta prioridad a la integración de las cuestiones de género en la gestión, contratación de personal y funcionamiento del UIT-T;</w:t>
      </w:r>
    </w:p>
    <w:p w:rsidR="0062564D" w:rsidRPr="00CA61A6" w:rsidRDefault="0062564D" w:rsidP="007B3478">
      <w:r w:rsidRPr="00CA61A6">
        <w:t>4</w:t>
      </w:r>
      <w:r w:rsidRPr="00CA61A6">
        <w:tab/>
        <w:t>que se invite al GANT, al Grupo Asesor de Radiocomunicaciones (GAR) y al Grupo Asesor de Desarrollo de las Telecomunicaciones (GADT) a que ayuden a identificar los temas y mecanismos para impulsar la integración de la perspectiva del género, así como los asuntos de interés mutuo a este respecto,</w:t>
      </w:r>
    </w:p>
    <w:p w:rsidR="0062564D" w:rsidRPr="00CA61A6" w:rsidRDefault="0062564D" w:rsidP="007B3478">
      <w:pPr>
        <w:pStyle w:val="Call"/>
      </w:pPr>
      <w:r w:rsidRPr="00CA61A6">
        <w:t>encarga al Director de la Oficina de Normalización de las Telecomunicaciones</w:t>
      </w:r>
    </w:p>
    <w:p w:rsidR="0062564D" w:rsidRPr="00CA61A6" w:rsidRDefault="0062564D" w:rsidP="007B3478">
      <w:r w:rsidRPr="00CA61A6">
        <w:t>1</w:t>
      </w:r>
      <w:r w:rsidRPr="00CA61A6">
        <w:tab/>
        <w:t>que inicie la integración de una perspectiva de género en la labor de la TSB, con arreglo a los principios que ya se aplican en la UIT;</w:t>
      </w:r>
    </w:p>
    <w:p w:rsidR="0062564D" w:rsidRPr="00CA61A6" w:rsidRDefault="0062564D" w:rsidP="007B3478">
      <w:r w:rsidRPr="00CA61A6">
        <w:t>2</w:t>
      </w:r>
      <w:r w:rsidRPr="00CA61A6">
        <w:tab/>
        <w:t>que organice cursos de capacitación sobre la integración de una política de género destinados al personal de la TSB;</w:t>
      </w:r>
    </w:p>
    <w:p w:rsidR="0062564D" w:rsidRPr="00CA61A6" w:rsidRDefault="0062564D" w:rsidP="007B3478">
      <w:r w:rsidRPr="00CA61A6">
        <w:t>3</w:t>
      </w:r>
      <w:r w:rsidRPr="00CA61A6">
        <w:tab/>
        <w:t>que aliente a los Estados Miembros y Miembros de Sector a contribuir al logro de los objetivos en materia de igualdad de género, mediante la participación equitativa de mujeres y hombres cualificados tanto en las actividades de normalización como en los puestos de liderazgo;</w:t>
      </w:r>
    </w:p>
    <w:p w:rsidR="0062564D" w:rsidRPr="00CA61A6" w:rsidRDefault="0062564D" w:rsidP="007B3478">
      <w:r w:rsidRPr="00CA61A6">
        <w:t>4</w:t>
      </w:r>
      <w:r w:rsidRPr="00CA61A6">
        <w:tab/>
        <w:t>que fomente la participación, la contribución y el liderazgo de las mujeres en todos los aspectos de las actividades del UIT-T;</w:t>
      </w:r>
    </w:p>
    <w:p w:rsidR="0062564D" w:rsidRPr="00CA61A6" w:rsidRDefault="0062564D" w:rsidP="007B3478">
      <w:pPr>
        <w:rPr>
          <w:rFonts w:asciiTheme="majorBidi" w:hAnsiTheme="majorBidi" w:cstheme="majorBidi"/>
          <w:szCs w:val="24"/>
        </w:rPr>
      </w:pPr>
      <w:r w:rsidRPr="00CA61A6">
        <w:rPr>
          <w:rFonts w:asciiTheme="majorBidi" w:hAnsiTheme="majorBidi" w:cstheme="majorBidi"/>
          <w:szCs w:val="24"/>
        </w:rPr>
        <w:t>5</w:t>
      </w:r>
      <w:r w:rsidRPr="00CA61A6">
        <w:rPr>
          <w:rFonts w:asciiTheme="majorBidi" w:hAnsiTheme="majorBidi" w:cstheme="majorBidi"/>
          <w:szCs w:val="24"/>
        </w:rPr>
        <w:tab/>
      </w:r>
      <w:r w:rsidRPr="00CA61A6">
        <w:rPr>
          <w:rFonts w:asciiTheme="majorBidi" w:hAnsiTheme="majorBidi" w:cstheme="majorBidi"/>
          <w:color w:val="000000"/>
          <w:szCs w:val="24"/>
        </w:rPr>
        <w:t>que realice estudios para identificar a mujeres que participan en la labor de normalización con la finalidad de crear en el UIT-T un Grupo de Mujeres en la Normalización;</w:t>
      </w:r>
    </w:p>
    <w:p w:rsidR="0062564D" w:rsidRPr="00CA61A6" w:rsidRDefault="0062564D" w:rsidP="007B3478">
      <w:r w:rsidRPr="00CA61A6">
        <w:t>6</w:t>
      </w:r>
      <w:r w:rsidRPr="00CA61A6">
        <w:tab/>
        <w:t>que realice un examen anual de los progresos realizados en el Sector en cuanto al progreso de la integración de la política de género, y que comparta las conclusiones del mismo con el GANT y la próxima AMNT,</w:t>
      </w:r>
    </w:p>
    <w:p w:rsidR="0062564D" w:rsidRPr="00CA61A6" w:rsidRDefault="0062564D" w:rsidP="007B3478">
      <w:pPr>
        <w:pStyle w:val="Call"/>
      </w:pPr>
      <w:r w:rsidRPr="00CA61A6">
        <w:lastRenderedPageBreak/>
        <w:t>invita al Secretario General</w:t>
      </w:r>
    </w:p>
    <w:p w:rsidR="0062564D" w:rsidRPr="00CA61A6" w:rsidRDefault="0062564D" w:rsidP="007B3478">
      <w:pPr>
        <w:rPr>
          <w:rFonts w:asciiTheme="majorBidi" w:hAnsiTheme="majorBidi" w:cstheme="majorBidi"/>
          <w:szCs w:val="24"/>
        </w:rPr>
      </w:pPr>
      <w:r w:rsidRPr="00CA61A6">
        <w:rPr>
          <w:rFonts w:asciiTheme="majorBidi" w:hAnsiTheme="majorBidi" w:cstheme="majorBidi"/>
          <w:szCs w:val="24"/>
        </w:rPr>
        <w:t>1</w:t>
      </w:r>
      <w:r w:rsidRPr="00CA61A6">
        <w:rPr>
          <w:rFonts w:asciiTheme="majorBidi" w:hAnsiTheme="majorBidi" w:cstheme="majorBidi"/>
          <w:szCs w:val="24"/>
        </w:rPr>
        <w:tab/>
      </w:r>
      <w:r w:rsidRPr="00CA61A6">
        <w:rPr>
          <w:rFonts w:asciiTheme="majorBidi" w:hAnsiTheme="majorBidi" w:cstheme="majorBidi"/>
          <w:color w:val="000000"/>
          <w:szCs w:val="24"/>
        </w:rPr>
        <w:t>a cumplir con las obligaciones en materia de presentación de informes requeridas por ONU</w:t>
      </w:r>
      <w:r w:rsidRPr="00CA61A6">
        <w:rPr>
          <w:rFonts w:asciiTheme="majorBidi" w:hAnsiTheme="majorBidi" w:cstheme="majorBidi"/>
          <w:color w:val="000000"/>
          <w:szCs w:val="24"/>
        </w:rPr>
        <w:noBreakHyphen/>
        <w:t>SWAP sobre las actividades del UIT-T encaminadas a fomentar la igualdad de género y la emancipación de las mujeres;</w:t>
      </w:r>
    </w:p>
    <w:p w:rsidR="0062564D" w:rsidRPr="00CA61A6" w:rsidRDefault="0062564D" w:rsidP="007B3478">
      <w:r w:rsidRPr="00CA61A6">
        <w:t>2</w:t>
      </w:r>
      <w:r w:rsidRPr="00CA61A6">
        <w:tab/>
        <w:t xml:space="preserve">a instar al personal de la UIT a que tome en consideración las directrices neutrales a efectos del género recogidas en la </w:t>
      </w:r>
      <w:r w:rsidRPr="00CA61A6">
        <w:rPr>
          <w:i/>
          <w:iCs/>
        </w:rPr>
        <w:t>Guía de Estilo del inglés de la UIT</w:t>
      </w:r>
      <w:r w:rsidRPr="00CA61A6">
        <w:t xml:space="preserve"> y a evitar en la medida de lo posible la utilización de términos con connotaciones de género,</w:t>
      </w:r>
    </w:p>
    <w:p w:rsidR="0062564D" w:rsidRPr="00CA61A6" w:rsidRDefault="0062564D" w:rsidP="007B3478">
      <w:pPr>
        <w:pStyle w:val="Call"/>
      </w:pPr>
      <w:r w:rsidRPr="00CA61A6">
        <w:t>invita a los Estados Miembros y a los Miembros de Sector</w:t>
      </w:r>
    </w:p>
    <w:p w:rsidR="0062564D" w:rsidRPr="00CA61A6" w:rsidRDefault="0062564D" w:rsidP="007B3478">
      <w:r w:rsidRPr="00CA61A6">
        <w:t>1</w:t>
      </w:r>
      <w:r w:rsidRPr="00CA61A6">
        <w:tab/>
        <w:t>a presentar candidaturas a los puestos de Presidente y Vicepresidente con el fin de apoyar la participación activa de expertas en los Grupos y las actividades de normalización, así como en sus propias administraciones y delegaciones;</w:t>
      </w:r>
    </w:p>
    <w:p w:rsidR="0062564D" w:rsidRPr="00CA61A6" w:rsidRDefault="0062564D" w:rsidP="007B3478">
      <w:pPr>
        <w:rPr>
          <w:rFonts w:asciiTheme="majorBidi" w:hAnsiTheme="majorBidi" w:cstheme="majorBidi"/>
          <w:szCs w:val="24"/>
        </w:rPr>
      </w:pPr>
      <w:r w:rsidRPr="00CA61A6">
        <w:rPr>
          <w:rFonts w:asciiTheme="majorBidi" w:hAnsiTheme="majorBidi" w:cstheme="majorBidi"/>
          <w:szCs w:val="24"/>
        </w:rPr>
        <w:t>2</w:t>
      </w:r>
      <w:r w:rsidRPr="00CA61A6">
        <w:rPr>
          <w:rFonts w:asciiTheme="majorBidi" w:hAnsiTheme="majorBidi" w:cstheme="majorBidi"/>
          <w:szCs w:val="24"/>
        </w:rPr>
        <w:tab/>
        <w:t xml:space="preserve">a que apoyen y participen activamente en los trabajos de la TSB encaminados a </w:t>
      </w:r>
      <w:r w:rsidRPr="00CA61A6">
        <w:rPr>
          <w:rFonts w:asciiTheme="majorBidi" w:hAnsiTheme="majorBidi" w:cstheme="majorBidi"/>
          <w:color w:val="000000"/>
          <w:szCs w:val="24"/>
        </w:rPr>
        <w:t xml:space="preserve">nombrar expertos para el Grupo de Mujeres en la Normalización de la UIT y </w:t>
      </w:r>
      <w:r w:rsidRPr="00CA61A6">
        <w:rPr>
          <w:rFonts w:asciiTheme="majorBidi" w:hAnsiTheme="majorBidi" w:cstheme="majorBidi"/>
          <w:szCs w:val="24"/>
        </w:rPr>
        <w:t>promover el uso de las TIC para la emancipación económica y social de las mujeres y las niñas;</w:t>
      </w:r>
    </w:p>
    <w:p w:rsidR="0062564D" w:rsidRPr="00CA61A6" w:rsidRDefault="0062564D" w:rsidP="00AF3CED">
      <w:pPr>
        <w:spacing w:after="120"/>
      </w:pPr>
      <w:r w:rsidRPr="00CA61A6">
        <w:t>3</w:t>
      </w:r>
      <w:r w:rsidRPr="00CA61A6">
        <w:tab/>
        <w:t>a alentar la educación de niñas y mujeres en las TIC y prepararlas para una carrera en el campo de la normalización de las TIC.</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4608"/>
        <w:gridCol w:w="1477"/>
        <w:gridCol w:w="1245"/>
        <w:gridCol w:w="1261"/>
      </w:tblGrid>
      <w:tr w:rsidR="0062564D" w:rsidRPr="00CA61A6" w:rsidTr="00BB485F">
        <w:trPr>
          <w:cantSplit/>
          <w:tblHeader/>
          <w:jc w:val="center"/>
        </w:trPr>
        <w:tc>
          <w:tcPr>
            <w:tcW w:w="916" w:type="dxa"/>
            <w:tcBorders>
              <w:bottom w:val="double" w:sz="4" w:space="0" w:color="auto"/>
            </w:tcBorders>
            <w:shd w:val="clear" w:color="auto" w:fill="auto"/>
            <w:vAlign w:val="center"/>
          </w:tcPr>
          <w:p w:rsidR="0062564D" w:rsidRPr="00CA61A6" w:rsidRDefault="00F40D97" w:rsidP="00F40D97">
            <w:pPr>
              <w:pStyle w:val="Tablehead"/>
            </w:pPr>
            <w:r w:rsidRPr="00CA61A6">
              <w:t>Número</w:t>
            </w:r>
          </w:p>
        </w:tc>
        <w:tc>
          <w:tcPr>
            <w:tcW w:w="4608" w:type="dxa"/>
            <w:tcBorders>
              <w:bottom w:val="double" w:sz="4" w:space="0" w:color="auto"/>
            </w:tcBorders>
            <w:shd w:val="clear" w:color="auto" w:fill="auto"/>
            <w:vAlign w:val="center"/>
            <w:hideMark/>
          </w:tcPr>
          <w:p w:rsidR="0062564D" w:rsidRPr="00CA61A6" w:rsidRDefault="0062564D" w:rsidP="00F40D97">
            <w:pPr>
              <w:pStyle w:val="Tablehead"/>
            </w:pPr>
            <w:r w:rsidRPr="00CA61A6">
              <w:t>Acción</w:t>
            </w:r>
          </w:p>
        </w:tc>
        <w:tc>
          <w:tcPr>
            <w:tcW w:w="1477" w:type="dxa"/>
            <w:tcBorders>
              <w:bottom w:val="double" w:sz="4" w:space="0" w:color="auto"/>
            </w:tcBorders>
            <w:shd w:val="clear" w:color="auto" w:fill="auto"/>
            <w:vAlign w:val="center"/>
            <w:hideMark/>
          </w:tcPr>
          <w:p w:rsidR="0062564D" w:rsidRPr="00CA61A6" w:rsidRDefault="0062564D" w:rsidP="00F40D97">
            <w:pPr>
              <w:pStyle w:val="Tablehead"/>
            </w:pPr>
            <w:r w:rsidRPr="00CA61A6">
              <w:t>Fecha objetivo</w:t>
            </w:r>
          </w:p>
        </w:tc>
        <w:tc>
          <w:tcPr>
            <w:tcW w:w="1245" w:type="dxa"/>
            <w:tcBorders>
              <w:bottom w:val="double" w:sz="4" w:space="0" w:color="auto"/>
            </w:tcBorders>
            <w:shd w:val="clear" w:color="auto" w:fill="auto"/>
          </w:tcPr>
          <w:p w:rsidR="0062564D" w:rsidRPr="00CA61A6" w:rsidRDefault="0062564D" w:rsidP="00F40D97">
            <w:pPr>
              <w:pStyle w:val="Tablehead"/>
            </w:pPr>
            <w:r w:rsidRPr="00CA61A6">
              <w:t>Objetivos periódicos cumplidos</w:t>
            </w:r>
          </w:p>
        </w:tc>
        <w:tc>
          <w:tcPr>
            <w:tcW w:w="1261" w:type="dxa"/>
            <w:tcBorders>
              <w:bottom w:val="double" w:sz="4" w:space="0" w:color="auto"/>
            </w:tcBorders>
            <w:shd w:val="clear" w:color="auto" w:fill="auto"/>
            <w:vAlign w:val="center"/>
          </w:tcPr>
          <w:p w:rsidR="0062564D" w:rsidRPr="00CA61A6" w:rsidRDefault="0062564D" w:rsidP="00F40D97">
            <w:pPr>
              <w:pStyle w:val="Tablehead"/>
            </w:pPr>
            <w:r w:rsidRPr="00CA61A6">
              <w:t>Completada</w:t>
            </w:r>
          </w:p>
        </w:tc>
      </w:tr>
      <w:tr w:rsidR="0062564D" w:rsidRPr="00CA61A6" w:rsidTr="00BB485F">
        <w:trPr>
          <w:cantSplit/>
          <w:jc w:val="center"/>
        </w:trPr>
        <w:tc>
          <w:tcPr>
            <w:tcW w:w="916" w:type="dxa"/>
            <w:tcBorders>
              <w:top w:val="double" w:sz="4" w:space="0" w:color="auto"/>
            </w:tcBorders>
            <w:shd w:val="clear" w:color="auto" w:fill="auto"/>
            <w:vAlign w:val="center"/>
          </w:tcPr>
          <w:p w:rsidR="0062564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55_01" w:history="1">
              <w:r w:rsidR="0062564D" w:rsidRPr="00CA61A6">
                <w:rPr>
                  <w:color w:val="0000FF"/>
                  <w:sz w:val="20"/>
                  <w:u w:val="single"/>
                </w:rPr>
                <w:t>55-01</w:t>
              </w:r>
            </w:hyperlink>
          </w:p>
        </w:tc>
        <w:tc>
          <w:tcPr>
            <w:tcW w:w="4608" w:type="dxa"/>
            <w:tcBorders>
              <w:top w:val="double" w:sz="4" w:space="0" w:color="auto"/>
            </w:tcBorders>
            <w:shd w:val="clear" w:color="auto" w:fill="auto"/>
            <w:hideMark/>
          </w:tcPr>
          <w:p w:rsidR="0062564D" w:rsidRPr="00CA61A6" w:rsidRDefault="0062564D" w:rsidP="00EC6D9B">
            <w:pPr>
              <w:pStyle w:val="Tabletext"/>
            </w:pPr>
            <w:bookmarkStart w:id="478" w:name="lt_pId1060"/>
            <w:r w:rsidRPr="00CA61A6">
              <w:t>El GANT, el GAR y el GADT prestarán asistencia a identificar temas y mecanismos para la incorporación de una perspectiva de género</w:t>
            </w:r>
            <w:bookmarkEnd w:id="478"/>
            <w:r w:rsidRPr="00CA61A6">
              <w:t xml:space="preserve"> </w:t>
            </w:r>
          </w:p>
        </w:tc>
        <w:tc>
          <w:tcPr>
            <w:tcW w:w="1477" w:type="dxa"/>
            <w:tcBorders>
              <w:top w:val="double" w:sz="4" w:space="0" w:color="auto"/>
            </w:tcBorders>
            <w:shd w:val="clear" w:color="auto" w:fill="auto"/>
            <w:vAlign w:val="center"/>
            <w:hideMark/>
          </w:tcPr>
          <w:p w:rsidR="0062564D" w:rsidRPr="00CA61A6" w:rsidRDefault="0062564D" w:rsidP="00EC6D9B">
            <w:pPr>
              <w:pStyle w:val="Tabletext"/>
              <w:jc w:val="center"/>
            </w:pPr>
            <w:r w:rsidRPr="00CA61A6">
              <w:t>En curso</w:t>
            </w:r>
          </w:p>
        </w:tc>
        <w:tc>
          <w:tcPr>
            <w:tcW w:w="1245" w:type="dxa"/>
            <w:tcBorders>
              <w:top w:val="double" w:sz="4" w:space="0" w:color="auto"/>
            </w:tcBorders>
            <w:shd w:val="clear" w:color="auto" w:fill="auto"/>
            <w:vAlign w:val="center"/>
          </w:tcPr>
          <w:p w:rsidR="0062564D" w:rsidRPr="00CA61A6" w:rsidRDefault="001D6D13" w:rsidP="00EC6D9B">
            <w:pPr>
              <w:pStyle w:val="Tabletext"/>
              <w:jc w:val="center"/>
            </w:pPr>
            <w:r w:rsidRPr="00CA61A6">
              <w:sym w:font="Wingdings" w:char="F0FC"/>
            </w:r>
          </w:p>
        </w:tc>
        <w:tc>
          <w:tcPr>
            <w:tcW w:w="1261" w:type="dxa"/>
            <w:tcBorders>
              <w:top w:val="double" w:sz="4" w:space="0" w:color="auto"/>
            </w:tcBorders>
            <w:shd w:val="clear" w:color="auto" w:fill="auto"/>
            <w:vAlign w:val="center"/>
          </w:tcPr>
          <w:p w:rsidR="0062564D" w:rsidRPr="00CA61A6" w:rsidRDefault="0062564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p>
        </w:tc>
      </w:tr>
      <w:tr w:rsidR="0062564D" w:rsidRPr="00CA61A6" w:rsidTr="00BB485F">
        <w:trPr>
          <w:cantSplit/>
          <w:jc w:val="center"/>
        </w:trPr>
        <w:tc>
          <w:tcPr>
            <w:tcW w:w="916" w:type="dxa"/>
            <w:shd w:val="clear" w:color="auto" w:fill="auto"/>
            <w:vAlign w:val="center"/>
          </w:tcPr>
          <w:p w:rsidR="0062564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55_02" w:history="1">
              <w:r w:rsidR="0062564D" w:rsidRPr="00CA61A6">
                <w:rPr>
                  <w:color w:val="0000FF"/>
                  <w:sz w:val="20"/>
                  <w:u w:val="single"/>
                </w:rPr>
                <w:t>55-02</w:t>
              </w:r>
            </w:hyperlink>
          </w:p>
        </w:tc>
        <w:tc>
          <w:tcPr>
            <w:tcW w:w="4608" w:type="dxa"/>
            <w:shd w:val="clear" w:color="auto" w:fill="auto"/>
          </w:tcPr>
          <w:p w:rsidR="0062564D" w:rsidRPr="00CA61A6" w:rsidRDefault="0062564D" w:rsidP="00EC6D9B">
            <w:pPr>
              <w:pStyle w:val="Tabletext"/>
            </w:pPr>
            <w:bookmarkStart w:id="479" w:name="lt_pId1064"/>
            <w:r w:rsidRPr="00CA61A6">
              <w:t>El Director de la TSB organizará formación sobre incorporación de una perspectiva de género destinada al personal de la TSB</w:t>
            </w:r>
            <w:bookmarkEnd w:id="479"/>
          </w:p>
        </w:tc>
        <w:tc>
          <w:tcPr>
            <w:tcW w:w="1477" w:type="dxa"/>
            <w:shd w:val="clear" w:color="auto" w:fill="auto"/>
            <w:vAlign w:val="center"/>
          </w:tcPr>
          <w:p w:rsidR="0062564D" w:rsidRPr="00CA61A6" w:rsidRDefault="0062564D" w:rsidP="00EC6D9B">
            <w:pPr>
              <w:pStyle w:val="Tabletext"/>
              <w:jc w:val="center"/>
            </w:pPr>
            <w:r w:rsidRPr="00CA61A6">
              <w:t>Terminada</w:t>
            </w:r>
          </w:p>
        </w:tc>
        <w:tc>
          <w:tcPr>
            <w:tcW w:w="1245" w:type="dxa"/>
            <w:shd w:val="clear" w:color="auto" w:fill="auto"/>
            <w:vAlign w:val="center"/>
          </w:tcPr>
          <w:p w:rsidR="0062564D" w:rsidRPr="00CA61A6" w:rsidRDefault="001D6D13" w:rsidP="00EC6D9B">
            <w:pPr>
              <w:pStyle w:val="Tabletext"/>
              <w:jc w:val="center"/>
            </w:pPr>
            <w:r w:rsidRPr="00CA61A6">
              <w:sym w:font="Wingdings" w:char="F0FC"/>
            </w:r>
          </w:p>
        </w:tc>
        <w:tc>
          <w:tcPr>
            <w:tcW w:w="1261" w:type="dxa"/>
            <w:shd w:val="clear" w:color="auto" w:fill="auto"/>
            <w:vAlign w:val="center"/>
          </w:tcPr>
          <w:p w:rsidR="0062564D" w:rsidRPr="00CA61A6" w:rsidRDefault="0062564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p>
        </w:tc>
      </w:tr>
      <w:tr w:rsidR="0062564D" w:rsidRPr="00CA61A6" w:rsidTr="00BB485F">
        <w:trPr>
          <w:cantSplit/>
          <w:jc w:val="center"/>
        </w:trPr>
        <w:tc>
          <w:tcPr>
            <w:tcW w:w="916" w:type="dxa"/>
            <w:shd w:val="clear" w:color="auto" w:fill="auto"/>
            <w:vAlign w:val="center"/>
          </w:tcPr>
          <w:p w:rsidR="0062564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55_03" w:history="1">
              <w:r w:rsidR="0062564D" w:rsidRPr="00CA61A6">
                <w:rPr>
                  <w:color w:val="0000FF"/>
                  <w:sz w:val="20"/>
                  <w:u w:val="single"/>
                </w:rPr>
                <w:t>55-03</w:t>
              </w:r>
            </w:hyperlink>
          </w:p>
        </w:tc>
        <w:tc>
          <w:tcPr>
            <w:tcW w:w="4608" w:type="dxa"/>
            <w:shd w:val="clear" w:color="auto" w:fill="auto"/>
            <w:hideMark/>
          </w:tcPr>
          <w:p w:rsidR="0062564D" w:rsidRPr="00CA61A6" w:rsidRDefault="0062564D" w:rsidP="005C1552">
            <w:pPr>
              <w:pStyle w:val="Tabletext"/>
            </w:pPr>
            <w:bookmarkStart w:id="480" w:name="lt_pId1068"/>
            <w:r w:rsidRPr="00CA61A6">
              <w:t xml:space="preserve">El Director de la TSB instará </w:t>
            </w:r>
            <w:r w:rsidR="002E7810">
              <w:t xml:space="preserve">a </w:t>
            </w:r>
            <w:r w:rsidR="005C1552">
              <w:t xml:space="preserve">los Estados Miembros y </w:t>
            </w:r>
            <w:r w:rsidR="008A06D3">
              <w:t xml:space="preserve">a los </w:t>
            </w:r>
            <w:r w:rsidR="005C1552">
              <w:t>Miembros de Sector</w:t>
            </w:r>
            <w:r w:rsidRPr="00CA61A6">
              <w:t xml:space="preserve"> </w:t>
            </w:r>
            <w:r w:rsidR="005B6107">
              <w:t>a</w:t>
            </w:r>
            <w:r w:rsidRPr="00CA61A6">
              <w:t xml:space="preserve"> incluir mujeres y hombres cualificados en sus delegaciones y administraciones, y solicitará la candidatura de expertas para los puestos de Presidentes y Vicepresidentes (véase también la </w:t>
            </w:r>
            <w:hyperlink w:anchor="_13_Resolución_35" w:history="1">
              <w:r w:rsidRPr="00CA61A6">
                <w:rPr>
                  <w:color w:val="0000FF"/>
                  <w:u w:val="single"/>
                </w:rPr>
                <w:t>Resolución 35</w:t>
              </w:r>
            </w:hyperlink>
            <w:r w:rsidRPr="00CA61A6">
              <w:t>)</w:t>
            </w:r>
            <w:bookmarkEnd w:id="480"/>
          </w:p>
        </w:tc>
        <w:tc>
          <w:tcPr>
            <w:tcW w:w="1477" w:type="dxa"/>
            <w:shd w:val="clear" w:color="auto" w:fill="auto"/>
            <w:vAlign w:val="center"/>
            <w:hideMark/>
          </w:tcPr>
          <w:p w:rsidR="0062564D" w:rsidRPr="00CA61A6" w:rsidRDefault="0062564D" w:rsidP="00EC6D9B">
            <w:pPr>
              <w:pStyle w:val="Tabletext"/>
              <w:jc w:val="center"/>
            </w:pPr>
            <w:r w:rsidRPr="00CA61A6">
              <w:t>En curso</w:t>
            </w:r>
          </w:p>
        </w:tc>
        <w:tc>
          <w:tcPr>
            <w:tcW w:w="1245" w:type="dxa"/>
            <w:shd w:val="clear" w:color="auto" w:fill="auto"/>
            <w:vAlign w:val="center"/>
          </w:tcPr>
          <w:p w:rsidR="0062564D" w:rsidRPr="00CA61A6" w:rsidRDefault="001D6D13" w:rsidP="00EC6D9B">
            <w:pPr>
              <w:pStyle w:val="Tabletext"/>
              <w:jc w:val="center"/>
            </w:pPr>
            <w:r w:rsidRPr="00CA61A6">
              <w:sym w:font="Wingdings" w:char="F0FC"/>
            </w:r>
          </w:p>
        </w:tc>
        <w:tc>
          <w:tcPr>
            <w:tcW w:w="1261" w:type="dxa"/>
            <w:shd w:val="clear" w:color="auto" w:fill="auto"/>
            <w:vAlign w:val="center"/>
          </w:tcPr>
          <w:p w:rsidR="0062564D" w:rsidRPr="00CA61A6" w:rsidRDefault="0062564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p>
        </w:tc>
      </w:tr>
      <w:tr w:rsidR="0062564D" w:rsidRPr="00CA61A6" w:rsidTr="00BB485F">
        <w:trPr>
          <w:cantSplit/>
          <w:jc w:val="center"/>
        </w:trPr>
        <w:tc>
          <w:tcPr>
            <w:tcW w:w="916" w:type="dxa"/>
            <w:shd w:val="clear" w:color="auto" w:fill="auto"/>
            <w:vAlign w:val="center"/>
          </w:tcPr>
          <w:p w:rsidR="0062564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55_04" w:history="1">
              <w:r w:rsidR="0062564D" w:rsidRPr="00CA61A6">
                <w:rPr>
                  <w:color w:val="0000FF"/>
                  <w:sz w:val="20"/>
                  <w:u w:val="single"/>
                </w:rPr>
                <w:t>55-04</w:t>
              </w:r>
            </w:hyperlink>
          </w:p>
        </w:tc>
        <w:tc>
          <w:tcPr>
            <w:tcW w:w="4608" w:type="dxa"/>
            <w:shd w:val="clear" w:color="auto" w:fill="auto"/>
            <w:hideMark/>
          </w:tcPr>
          <w:p w:rsidR="0062564D" w:rsidRPr="00CA61A6" w:rsidRDefault="0062564D" w:rsidP="00E23EE3">
            <w:pPr>
              <w:pStyle w:val="Tabletext"/>
            </w:pPr>
            <w:r w:rsidRPr="00CA61A6">
              <w:t>El Director de la TSB determinará a mujeres que participan en la labor de normalización con la finalidad de crear en el UIT-T un Grupo de Mujeres en la Normalización</w:t>
            </w:r>
          </w:p>
        </w:tc>
        <w:tc>
          <w:tcPr>
            <w:tcW w:w="1477" w:type="dxa"/>
            <w:shd w:val="clear" w:color="auto" w:fill="auto"/>
            <w:vAlign w:val="center"/>
            <w:hideMark/>
          </w:tcPr>
          <w:p w:rsidR="0062564D" w:rsidRPr="00CA61A6" w:rsidRDefault="0062564D" w:rsidP="00EC6D9B">
            <w:pPr>
              <w:pStyle w:val="Tabletext"/>
              <w:jc w:val="center"/>
            </w:pPr>
            <w:r w:rsidRPr="00CA61A6">
              <w:t>Terminada</w:t>
            </w:r>
          </w:p>
        </w:tc>
        <w:tc>
          <w:tcPr>
            <w:tcW w:w="1245" w:type="dxa"/>
            <w:shd w:val="clear" w:color="auto" w:fill="auto"/>
            <w:vAlign w:val="center"/>
          </w:tcPr>
          <w:p w:rsidR="0062564D" w:rsidRPr="00CA61A6" w:rsidRDefault="001D6D13" w:rsidP="00EC6D9B">
            <w:pPr>
              <w:pStyle w:val="Tabletext"/>
              <w:jc w:val="center"/>
            </w:pPr>
            <w:r w:rsidRPr="00CA61A6">
              <w:sym w:font="Wingdings" w:char="F0FC"/>
            </w:r>
          </w:p>
        </w:tc>
        <w:tc>
          <w:tcPr>
            <w:tcW w:w="1261" w:type="dxa"/>
            <w:shd w:val="clear" w:color="auto" w:fill="auto"/>
            <w:vAlign w:val="center"/>
          </w:tcPr>
          <w:p w:rsidR="0062564D" w:rsidRPr="00CA61A6" w:rsidRDefault="0062564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p>
        </w:tc>
      </w:tr>
      <w:tr w:rsidR="0062564D" w:rsidRPr="00CA61A6" w:rsidTr="00BB485F">
        <w:trPr>
          <w:cantSplit/>
          <w:jc w:val="center"/>
        </w:trPr>
        <w:tc>
          <w:tcPr>
            <w:tcW w:w="916" w:type="dxa"/>
            <w:shd w:val="clear" w:color="auto" w:fill="auto"/>
            <w:vAlign w:val="center"/>
          </w:tcPr>
          <w:p w:rsidR="0062564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55_05" w:history="1">
              <w:r w:rsidR="0062564D" w:rsidRPr="00CA61A6">
                <w:rPr>
                  <w:color w:val="0000FF"/>
                  <w:sz w:val="20"/>
                  <w:u w:val="single"/>
                </w:rPr>
                <w:t>55-05</w:t>
              </w:r>
            </w:hyperlink>
          </w:p>
        </w:tc>
        <w:tc>
          <w:tcPr>
            <w:tcW w:w="4608" w:type="dxa"/>
            <w:shd w:val="clear" w:color="auto" w:fill="auto"/>
          </w:tcPr>
          <w:p w:rsidR="0062564D" w:rsidRPr="00CA61A6" w:rsidRDefault="0062564D" w:rsidP="00967634">
            <w:pPr>
              <w:pStyle w:val="Tabletext"/>
            </w:pPr>
            <w:r w:rsidRPr="00CA61A6">
              <w:t xml:space="preserve">El Director de la TSB realizará un examen anual de los progresos realizados en el Sector en cuanto al progreso de la integración de la política de género, y </w:t>
            </w:r>
            <w:r w:rsidR="00967634">
              <w:t>compartirá</w:t>
            </w:r>
            <w:r w:rsidRPr="00CA61A6">
              <w:t xml:space="preserve"> las conclusiones del mismo con el GANT y la próxima AMNT</w:t>
            </w:r>
          </w:p>
        </w:tc>
        <w:tc>
          <w:tcPr>
            <w:tcW w:w="1477" w:type="dxa"/>
            <w:shd w:val="clear" w:color="auto" w:fill="auto"/>
            <w:vAlign w:val="center"/>
          </w:tcPr>
          <w:p w:rsidR="0062564D" w:rsidRPr="00CA61A6" w:rsidRDefault="0062564D" w:rsidP="00EC6D9B">
            <w:pPr>
              <w:pStyle w:val="Tabletext"/>
              <w:jc w:val="center"/>
            </w:pPr>
            <w:r w:rsidRPr="00CA61A6">
              <w:t>En curso</w:t>
            </w:r>
          </w:p>
        </w:tc>
        <w:tc>
          <w:tcPr>
            <w:tcW w:w="1245" w:type="dxa"/>
            <w:shd w:val="clear" w:color="auto" w:fill="auto"/>
            <w:vAlign w:val="center"/>
          </w:tcPr>
          <w:p w:rsidR="0062564D" w:rsidRPr="00CA61A6" w:rsidRDefault="001D6D13" w:rsidP="00EC6D9B">
            <w:pPr>
              <w:pStyle w:val="Tabletext"/>
              <w:jc w:val="center"/>
            </w:pPr>
            <w:r w:rsidRPr="00CA61A6">
              <w:sym w:font="Wingdings" w:char="F0FC"/>
            </w:r>
          </w:p>
        </w:tc>
        <w:tc>
          <w:tcPr>
            <w:tcW w:w="1261" w:type="dxa"/>
            <w:shd w:val="clear" w:color="auto" w:fill="auto"/>
            <w:vAlign w:val="center"/>
          </w:tcPr>
          <w:p w:rsidR="0062564D" w:rsidRPr="00CA61A6" w:rsidRDefault="0062564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rPr>
            </w:pPr>
          </w:p>
        </w:tc>
      </w:tr>
      <w:tr w:rsidR="0062564D" w:rsidRPr="00CA61A6" w:rsidTr="00BB485F">
        <w:trPr>
          <w:cantSplit/>
          <w:jc w:val="center"/>
        </w:trPr>
        <w:tc>
          <w:tcPr>
            <w:tcW w:w="916" w:type="dxa"/>
            <w:shd w:val="clear" w:color="auto" w:fill="auto"/>
            <w:vAlign w:val="center"/>
          </w:tcPr>
          <w:p w:rsidR="0062564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55_06" w:history="1">
              <w:r w:rsidR="0062564D" w:rsidRPr="00CA61A6">
                <w:rPr>
                  <w:color w:val="0000FF"/>
                  <w:sz w:val="20"/>
                  <w:u w:val="single"/>
                </w:rPr>
                <w:t>55-06</w:t>
              </w:r>
            </w:hyperlink>
          </w:p>
        </w:tc>
        <w:tc>
          <w:tcPr>
            <w:tcW w:w="4608" w:type="dxa"/>
            <w:shd w:val="clear" w:color="auto" w:fill="auto"/>
            <w:hideMark/>
          </w:tcPr>
          <w:p w:rsidR="0062564D" w:rsidRPr="00CA61A6" w:rsidRDefault="0062564D" w:rsidP="00E23EE3">
            <w:pPr>
              <w:pStyle w:val="Tabletext"/>
            </w:pPr>
            <w:r w:rsidRPr="00CA61A6">
              <w:t>La Secretaría General cumplirá con las obligaciones d</w:t>
            </w:r>
            <w:r w:rsidR="00F1258B">
              <w:t>e notificación exigidas por ONU</w:t>
            </w:r>
            <w:r w:rsidR="00F1258B" w:rsidRPr="00CA61A6">
              <w:rPr>
                <w:szCs w:val="24"/>
                <w:lang w:eastAsia="ja-JP"/>
              </w:rPr>
              <w:t>-</w:t>
            </w:r>
            <w:r w:rsidRPr="00CA61A6">
              <w:t>SWAP sobre las actividades del UIT-T encaminadas a fomentar la igualdad de género y la emancipación de las mujeres, e instará al personal de la UIT a evitar en la medida de lo posible la utilización de términos con connotaciones de género</w:t>
            </w:r>
          </w:p>
        </w:tc>
        <w:tc>
          <w:tcPr>
            <w:tcW w:w="1477" w:type="dxa"/>
            <w:shd w:val="clear" w:color="auto" w:fill="auto"/>
            <w:vAlign w:val="center"/>
            <w:hideMark/>
          </w:tcPr>
          <w:p w:rsidR="0062564D" w:rsidRPr="00CA61A6" w:rsidRDefault="0062564D" w:rsidP="00EC6D9B">
            <w:pPr>
              <w:pStyle w:val="Tabletext"/>
              <w:jc w:val="center"/>
            </w:pPr>
            <w:r w:rsidRPr="00CA61A6">
              <w:t>En curso</w:t>
            </w:r>
          </w:p>
        </w:tc>
        <w:tc>
          <w:tcPr>
            <w:tcW w:w="1245" w:type="dxa"/>
            <w:shd w:val="clear" w:color="auto" w:fill="auto"/>
            <w:vAlign w:val="center"/>
          </w:tcPr>
          <w:p w:rsidR="0062564D" w:rsidRPr="00CA61A6" w:rsidRDefault="001D6D13" w:rsidP="00EC6D9B">
            <w:pPr>
              <w:pStyle w:val="Tabletext"/>
              <w:jc w:val="center"/>
            </w:pPr>
            <w:r w:rsidRPr="00CA61A6">
              <w:sym w:font="Wingdings" w:char="F0FC"/>
            </w:r>
          </w:p>
        </w:tc>
        <w:tc>
          <w:tcPr>
            <w:tcW w:w="1261" w:type="dxa"/>
            <w:shd w:val="clear" w:color="auto" w:fill="auto"/>
            <w:vAlign w:val="center"/>
          </w:tcPr>
          <w:p w:rsidR="0062564D" w:rsidRPr="00CA61A6" w:rsidRDefault="0062564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rPr>
            </w:pPr>
          </w:p>
        </w:tc>
      </w:tr>
    </w:tbl>
    <w:p w:rsidR="0062564D" w:rsidRPr="00CA61A6" w:rsidRDefault="00423A78" w:rsidP="00D8073F">
      <w:pPr>
        <w:pStyle w:val="Headingb"/>
        <w:keepLines/>
      </w:pPr>
      <w:bookmarkStart w:id="481" w:name="Item55_01"/>
      <w:r w:rsidRPr="00CA61A6">
        <w:lastRenderedPageBreak/>
        <w:t xml:space="preserve">Acción </w:t>
      </w:r>
      <w:r w:rsidR="0062564D" w:rsidRPr="00CA61A6">
        <w:t xml:space="preserve">55-01: </w:t>
      </w:r>
      <w:r w:rsidR="00D8073F">
        <w:t>GANT</w:t>
      </w:r>
    </w:p>
    <w:p w:rsidR="0062564D" w:rsidRPr="00CA61A6" w:rsidRDefault="0062564D" w:rsidP="007B3478">
      <w:pPr>
        <w:rPr>
          <w:szCs w:val="24"/>
          <w:lang w:eastAsia="ja-JP"/>
        </w:rPr>
      </w:pPr>
      <w:bookmarkStart w:id="482" w:name="lt_pId1084"/>
      <w:bookmarkEnd w:id="481"/>
      <w:r w:rsidRPr="00CA61A6">
        <w:rPr>
          <w:szCs w:val="24"/>
          <w:lang w:eastAsia="ja-JP"/>
        </w:rPr>
        <w:t xml:space="preserve">El </w:t>
      </w:r>
      <w:r w:rsidRPr="00CA61A6">
        <w:rPr>
          <w:color w:val="000000"/>
        </w:rPr>
        <w:t>Grupo Especial sobre cuestiones de género</w:t>
      </w:r>
      <w:r w:rsidRPr="00CA61A6">
        <w:rPr>
          <w:szCs w:val="24"/>
          <w:lang w:eastAsia="ja-JP"/>
        </w:rPr>
        <w:t xml:space="preserve"> de la Secretaría de la UIT está estudiando la forma de promover la igualdad de género en la UIT y colaborar con todos los actores de la UIT para incorporar una perspectiva de género en todos los trabajos de la UIT.</w:t>
      </w:r>
      <w:bookmarkEnd w:id="482"/>
      <w:r w:rsidRPr="00CA61A6">
        <w:rPr>
          <w:szCs w:val="24"/>
          <w:lang w:eastAsia="ja-JP"/>
        </w:rPr>
        <w:t xml:space="preserve"> </w:t>
      </w:r>
      <w:bookmarkStart w:id="483" w:name="lt_pId1085"/>
      <w:r w:rsidRPr="00CA61A6">
        <w:rPr>
          <w:szCs w:val="24"/>
          <w:lang w:eastAsia="ja-JP"/>
        </w:rPr>
        <w:t>No se prevé ninguna actividad concreta para el GANT.</w:t>
      </w:r>
      <w:bookmarkEnd w:id="483"/>
    </w:p>
    <w:p w:rsidR="0062564D" w:rsidRPr="00CA61A6" w:rsidRDefault="003F4403" w:rsidP="00C03867">
      <w:pPr>
        <w:pStyle w:val="Headingb"/>
        <w:keepLines/>
      </w:pPr>
      <w:bookmarkStart w:id="484" w:name="Item55_02"/>
      <w:r w:rsidRPr="00CA61A6">
        <w:t xml:space="preserve">Acción </w:t>
      </w:r>
      <w:r w:rsidR="0062564D" w:rsidRPr="00CA61A6">
        <w:t>55-02: TSB</w:t>
      </w:r>
    </w:p>
    <w:bookmarkEnd w:id="484"/>
    <w:p w:rsidR="0062564D" w:rsidRPr="00407C00" w:rsidRDefault="0062564D" w:rsidP="007B3478">
      <w:pPr>
        <w:rPr>
          <w:szCs w:val="24"/>
          <w:lang w:eastAsia="ja-JP"/>
        </w:rPr>
      </w:pPr>
      <w:r w:rsidRPr="00CA61A6">
        <w:rPr>
          <w:szCs w:val="24"/>
          <w:lang w:eastAsia="ja-JP"/>
        </w:rPr>
        <w:t>La TSB sigue colaborando con las demás Oficinas y la Secretaría General en el avance de las cuestiones de género en el marco del nuevo Grupo Especial sobre cuestiones de género de la UIT.</w:t>
      </w:r>
    </w:p>
    <w:p w:rsidR="0062564D" w:rsidRPr="00CA61A6" w:rsidRDefault="00DD08F4" w:rsidP="00C03867">
      <w:pPr>
        <w:pStyle w:val="Headingb"/>
        <w:keepLines/>
      </w:pPr>
      <w:bookmarkStart w:id="485" w:name="Item55_03"/>
      <w:r w:rsidRPr="00CA61A6">
        <w:t xml:space="preserve">Acción </w:t>
      </w:r>
      <w:r w:rsidR="00407C00">
        <w:t>55-03: TSB, Miembros del UIT-T</w:t>
      </w:r>
    </w:p>
    <w:p w:rsidR="0062564D" w:rsidRPr="00CA61A6" w:rsidRDefault="0062564D" w:rsidP="007B3478">
      <w:pPr>
        <w:rPr>
          <w:szCs w:val="24"/>
          <w:lang w:eastAsia="ja-JP"/>
        </w:rPr>
      </w:pPr>
      <w:bookmarkStart w:id="486" w:name="lt_pId1089"/>
      <w:bookmarkEnd w:id="485"/>
      <w:r w:rsidRPr="00CA61A6">
        <w:rPr>
          <w:color w:val="000000"/>
          <w:szCs w:val="24"/>
          <w:lang w:eastAsia="ja-JP"/>
        </w:rPr>
        <w:t xml:space="preserve">En esta Resolución se alienta a los Estados Miembros y a los Miembros de </w:t>
      </w:r>
      <w:r w:rsidR="00D5137D" w:rsidRPr="00CA61A6">
        <w:rPr>
          <w:color w:val="000000"/>
          <w:szCs w:val="24"/>
          <w:lang w:eastAsia="ja-JP"/>
        </w:rPr>
        <w:t xml:space="preserve">Sector </w:t>
      </w:r>
      <w:r w:rsidRPr="00CA61A6">
        <w:rPr>
          <w:color w:val="000000"/>
          <w:szCs w:val="24"/>
          <w:lang w:eastAsia="ja-JP"/>
        </w:rPr>
        <w:t>a apoyar la participación activa de expertas en actividades y grupos de normalización.</w:t>
      </w:r>
      <w:bookmarkEnd w:id="486"/>
    </w:p>
    <w:p w:rsidR="0062564D" w:rsidRPr="00CA61A6" w:rsidRDefault="00DD08F4" w:rsidP="00C03867">
      <w:pPr>
        <w:pStyle w:val="Headingb"/>
        <w:keepLines/>
      </w:pPr>
      <w:bookmarkStart w:id="487" w:name="Item55_04"/>
      <w:r w:rsidRPr="00CA61A6">
        <w:t xml:space="preserve">Acción </w:t>
      </w:r>
      <w:r w:rsidR="0062564D" w:rsidRPr="00CA61A6">
        <w:t>55-04: TSB</w:t>
      </w:r>
    </w:p>
    <w:p w:rsidR="0062564D" w:rsidRPr="00CA61A6" w:rsidRDefault="0062564D" w:rsidP="007B3478">
      <w:pPr>
        <w:rPr>
          <w:szCs w:val="24"/>
          <w:lang w:eastAsia="ja-JP"/>
        </w:rPr>
      </w:pPr>
      <w:bookmarkStart w:id="488" w:name="lt_pId1091"/>
      <w:bookmarkEnd w:id="487"/>
      <w:r w:rsidRPr="00CA61A6">
        <w:rPr>
          <w:szCs w:val="24"/>
          <w:lang w:eastAsia="ja-JP"/>
        </w:rPr>
        <w:t>La TSB ha creado el Grupo de Expertas en Normalización (WISE), cuyo cometido es ayudar al UIT-T a avanzar la agenda de género y promover una mayor y más activa participación de mujeres en los trabajos.</w:t>
      </w:r>
      <w:bookmarkEnd w:id="488"/>
      <w:r w:rsidRPr="00CA61A6">
        <w:rPr>
          <w:szCs w:val="24"/>
          <w:lang w:eastAsia="ja-JP"/>
        </w:rPr>
        <w:t xml:space="preserve"> </w:t>
      </w:r>
      <w:bookmarkStart w:id="489" w:name="lt_pId1092"/>
      <w:r w:rsidRPr="00CA61A6">
        <w:rPr>
          <w:szCs w:val="24"/>
          <w:lang w:eastAsia="ja-JP"/>
        </w:rPr>
        <w:t>Pueden formar parte del Grupo tanto hombres como mujeres.</w:t>
      </w:r>
      <w:bookmarkEnd w:id="489"/>
      <w:r w:rsidRPr="00CA61A6">
        <w:rPr>
          <w:szCs w:val="24"/>
          <w:lang w:eastAsia="ja-JP"/>
        </w:rPr>
        <w:t xml:space="preserve"> </w:t>
      </w:r>
      <w:bookmarkStart w:id="490" w:name="lt_pId1093"/>
      <w:r w:rsidRPr="00CA61A6">
        <w:rPr>
          <w:szCs w:val="24"/>
          <w:lang w:eastAsia="ja-JP"/>
        </w:rPr>
        <w:t>El primer even</w:t>
      </w:r>
      <w:r w:rsidR="00CE0E88">
        <w:rPr>
          <w:szCs w:val="24"/>
          <w:lang w:eastAsia="ja-JP"/>
        </w:rPr>
        <w:t>to WISE te</w:t>
      </w:r>
      <w:r w:rsidR="00942189">
        <w:rPr>
          <w:szCs w:val="24"/>
          <w:lang w:eastAsia="ja-JP"/>
        </w:rPr>
        <w:t xml:space="preserve">ndrá lugar en </w:t>
      </w:r>
      <w:r w:rsidR="00CE0E88">
        <w:rPr>
          <w:szCs w:val="24"/>
          <w:lang w:eastAsia="ja-JP"/>
        </w:rPr>
        <w:t>l</w:t>
      </w:r>
      <w:r w:rsidR="00942189">
        <w:rPr>
          <w:szCs w:val="24"/>
          <w:lang w:eastAsia="ja-JP"/>
        </w:rPr>
        <w:t>a</w:t>
      </w:r>
      <w:r w:rsidR="00CE0E88">
        <w:rPr>
          <w:szCs w:val="24"/>
          <w:lang w:eastAsia="ja-JP"/>
        </w:rPr>
        <w:t xml:space="preserve"> AMNT</w:t>
      </w:r>
      <w:r w:rsidR="00CE0E88">
        <w:rPr>
          <w:szCs w:val="24"/>
          <w:lang w:eastAsia="ja-JP"/>
        </w:rPr>
        <w:noBreakHyphen/>
      </w:r>
      <w:r w:rsidRPr="00CA61A6">
        <w:rPr>
          <w:szCs w:val="24"/>
          <w:lang w:eastAsia="ja-JP"/>
        </w:rPr>
        <w:t>16.</w:t>
      </w:r>
      <w:bookmarkEnd w:id="490"/>
    </w:p>
    <w:p w:rsidR="0062564D" w:rsidRPr="00CA61A6" w:rsidRDefault="00DD08F4" w:rsidP="00C03867">
      <w:pPr>
        <w:pStyle w:val="Headingb"/>
        <w:keepLines/>
      </w:pPr>
      <w:bookmarkStart w:id="491" w:name="Item55_05"/>
      <w:r w:rsidRPr="00CA61A6">
        <w:t xml:space="preserve">Acción </w:t>
      </w:r>
      <w:r w:rsidR="0062564D" w:rsidRPr="00CA61A6">
        <w:t>55-05: TSB</w:t>
      </w:r>
    </w:p>
    <w:p w:rsidR="0062564D" w:rsidRPr="00CA61A6" w:rsidRDefault="0062564D" w:rsidP="007B3478">
      <w:pPr>
        <w:rPr>
          <w:bCs/>
          <w:szCs w:val="24"/>
          <w:lang w:eastAsia="ja-JP"/>
        </w:rPr>
      </w:pPr>
      <w:bookmarkStart w:id="492" w:name="lt_pId1095"/>
      <w:bookmarkEnd w:id="491"/>
      <w:r w:rsidRPr="00CA61A6">
        <w:rPr>
          <w:szCs w:val="24"/>
          <w:lang w:eastAsia="ja-JP"/>
        </w:rPr>
        <w:t>Actualmente el 56% del personal de la TSB son mujeres.</w:t>
      </w:r>
      <w:bookmarkEnd w:id="492"/>
      <w:r w:rsidRPr="00CA61A6">
        <w:rPr>
          <w:szCs w:val="24"/>
          <w:lang w:eastAsia="ja-JP"/>
        </w:rPr>
        <w:t xml:space="preserve"> </w:t>
      </w:r>
      <w:bookmarkStart w:id="493" w:name="lt_pId1096"/>
      <w:r w:rsidRPr="00CA61A6">
        <w:rPr>
          <w:szCs w:val="24"/>
          <w:lang w:eastAsia="ja-JP"/>
        </w:rPr>
        <w:t>El número de mujeres en la categoría profesional se ha más que triplicado en los últimos diez años: de 3 en 2006 a 14 en 2016, es decir</w:t>
      </w:r>
      <w:r w:rsidR="003A565C">
        <w:rPr>
          <w:szCs w:val="24"/>
          <w:lang w:eastAsia="ja-JP"/>
        </w:rPr>
        <w:t>,</w:t>
      </w:r>
      <w:r w:rsidRPr="00CA61A6">
        <w:rPr>
          <w:szCs w:val="24"/>
          <w:lang w:eastAsia="ja-JP"/>
        </w:rPr>
        <w:t xml:space="preserve"> el 41% del personal de esta categoría.</w:t>
      </w:r>
      <w:bookmarkEnd w:id="493"/>
      <w:r w:rsidRPr="00CA61A6">
        <w:rPr>
          <w:szCs w:val="24"/>
          <w:lang w:eastAsia="ja-JP"/>
        </w:rPr>
        <w:t xml:space="preserve"> </w:t>
      </w:r>
      <w:bookmarkStart w:id="494" w:name="lt_pId1097"/>
      <w:r w:rsidRPr="00CA61A6">
        <w:rPr>
          <w:szCs w:val="24"/>
          <w:lang w:eastAsia="ja-JP"/>
        </w:rPr>
        <w:t>La igualdad de género y el empoderamiento de la mujer siguen siendo prioridades en la TSB.</w:t>
      </w:r>
      <w:bookmarkEnd w:id="494"/>
      <w:r w:rsidRPr="00CA61A6">
        <w:rPr>
          <w:szCs w:val="24"/>
          <w:lang w:eastAsia="ja-JP"/>
        </w:rPr>
        <w:t xml:space="preserve"> </w:t>
      </w:r>
    </w:p>
    <w:p w:rsidR="0062564D" w:rsidRPr="00CA61A6" w:rsidRDefault="0062564D" w:rsidP="007B3478">
      <w:pPr>
        <w:rPr>
          <w:szCs w:val="24"/>
          <w:lang w:eastAsia="ja-JP"/>
        </w:rPr>
      </w:pPr>
      <w:bookmarkStart w:id="495" w:name="lt_pId1098"/>
      <w:r w:rsidRPr="00CA61A6">
        <w:rPr>
          <w:bCs/>
          <w:szCs w:val="24"/>
          <w:lang w:eastAsia="ja-JP"/>
        </w:rPr>
        <w:t xml:space="preserve">En lo que respecta a la participación en reuniones, el porcentaje de mujeres que asiste a las reuniones de la TSB sigue siendo un </w:t>
      </w:r>
      <w:r w:rsidRPr="00CA61A6">
        <w:rPr>
          <w:szCs w:val="24"/>
          <w:lang w:eastAsia="ja-JP"/>
        </w:rPr>
        <w:t>15% aproximadamente.</w:t>
      </w:r>
      <w:bookmarkEnd w:id="495"/>
    </w:p>
    <w:p w:rsidR="0062564D" w:rsidRPr="00CA61A6" w:rsidRDefault="00DD08F4" w:rsidP="00C03867">
      <w:pPr>
        <w:pStyle w:val="Headingb"/>
        <w:keepLines/>
      </w:pPr>
      <w:bookmarkStart w:id="496" w:name="Item55_06"/>
      <w:r w:rsidRPr="00CA61A6">
        <w:t xml:space="preserve">Acción </w:t>
      </w:r>
      <w:r w:rsidR="0062564D" w:rsidRPr="00CA61A6">
        <w:t>55-06: Secretaría General de la UIT</w:t>
      </w:r>
    </w:p>
    <w:p w:rsidR="0062564D" w:rsidRPr="00CA61A6" w:rsidRDefault="0062564D" w:rsidP="007B3478">
      <w:pPr>
        <w:rPr>
          <w:szCs w:val="24"/>
          <w:lang w:eastAsia="ja-JP"/>
        </w:rPr>
      </w:pPr>
      <w:bookmarkStart w:id="497" w:name="lt_pId1100"/>
      <w:bookmarkEnd w:id="496"/>
      <w:r w:rsidRPr="00CA61A6">
        <w:rPr>
          <w:szCs w:val="24"/>
          <w:lang w:eastAsia="ja-JP"/>
        </w:rPr>
        <w:t>En enero de 2015 la UIT informó por segunda vez a ONU-SWAP sobre las actividades realizadas en materia de igualdad de género y empoderamiento de la mujer.</w:t>
      </w:r>
      <w:bookmarkEnd w:id="497"/>
    </w:p>
    <w:p w:rsidR="00936BC1" w:rsidRPr="00CA61A6" w:rsidRDefault="00110CAD" w:rsidP="00936BC1">
      <w:hyperlink w:anchor="Top" w:history="1">
        <w:r w:rsidR="00936BC1" w:rsidRPr="00CA61A6">
          <w:rPr>
            <w:rStyle w:val="Hyperlink"/>
          </w:rPr>
          <w:t>» Arriba</w:t>
        </w:r>
      </w:hyperlink>
    </w:p>
    <w:p w:rsidR="0062564D" w:rsidRPr="00CA61A6" w:rsidRDefault="002354D5" w:rsidP="00DC3C15">
      <w:pPr>
        <w:pStyle w:val="Heading1"/>
        <w:spacing w:before="240"/>
      </w:pPr>
      <w:bookmarkStart w:id="498" w:name="_26_Resolución_57"/>
      <w:bookmarkStart w:id="499" w:name="_Toc463335777"/>
      <w:bookmarkEnd w:id="498"/>
      <w:r w:rsidRPr="00CA61A6">
        <w:t>26</w:t>
      </w:r>
      <w:r w:rsidRPr="00CA61A6">
        <w:tab/>
      </w:r>
      <w:r w:rsidR="0062564D" w:rsidRPr="00CA61A6">
        <w:t xml:space="preserve">Resolución </w:t>
      </w:r>
      <w:r w:rsidR="0062564D" w:rsidRPr="00CA61A6">
        <w:rPr>
          <w:rStyle w:val="href"/>
        </w:rPr>
        <w:t>57</w:t>
      </w:r>
      <w:r w:rsidR="004C22D2" w:rsidRPr="00CA61A6">
        <w:t xml:space="preserve"> – </w:t>
      </w:r>
      <w:r w:rsidR="0062564D" w:rsidRPr="00CA61A6">
        <w:t>Fortalecimiento de la coordinación y la cooperación entre los tres Sectores de la UIT en asuntos de interés mutuo</w:t>
      </w:r>
      <w:bookmarkEnd w:id="499"/>
    </w:p>
    <w:p w:rsidR="0062564D" w:rsidRPr="00CA61A6" w:rsidRDefault="0062564D" w:rsidP="00536CDF">
      <w:pPr>
        <w:pStyle w:val="Headingb"/>
        <w:keepLines/>
      </w:pPr>
      <w:r w:rsidRPr="00CA61A6">
        <w:t>Resolución 57</w:t>
      </w:r>
    </w:p>
    <w:p w:rsidR="0062564D" w:rsidRPr="00CA61A6" w:rsidRDefault="0062564D" w:rsidP="007B3478">
      <w:pPr>
        <w:pStyle w:val="Call"/>
      </w:pPr>
      <w:r w:rsidRPr="00CA61A6">
        <w:t>resuelve</w:t>
      </w:r>
    </w:p>
    <w:p w:rsidR="0062564D" w:rsidRPr="00CA61A6" w:rsidRDefault="0062564D" w:rsidP="007B3478">
      <w:r w:rsidRPr="00CA61A6">
        <w:t>1</w:t>
      </w:r>
      <w:r w:rsidRPr="00CA61A6">
        <w:tab/>
        <w:t>invitar al Grupo Asesor de Radiocomunicaciones (GAR), al Grupo Asesor de Normalización de las Telecomunicaciones (GANT) y al Grupo Asesor de Desarrollo de las Telecomunicaciones (GADT) a prestar su asistencia para la identificación de temas comunes a los tres Sectores y de mecanismos para fomentar la cooperación y colaboración de todos los Sectores en asuntos de interés mutuo;</w:t>
      </w:r>
    </w:p>
    <w:p w:rsidR="0062564D" w:rsidRPr="00CA61A6" w:rsidRDefault="0062564D" w:rsidP="00987862">
      <w:pPr>
        <w:spacing w:after="120"/>
        <w:rPr>
          <w:szCs w:val="24"/>
          <w:lang w:eastAsia="ja-JP"/>
        </w:rPr>
      </w:pPr>
      <w:r w:rsidRPr="00CA61A6">
        <w:t>2</w:t>
      </w:r>
      <w:r w:rsidRPr="00CA61A6">
        <w:tab/>
        <w:t>invitar a los Directores de las Oficinas de Radiocomunicaciones (BR), de Normalización de las Telecomunicaciones (TSB) y de Desarrollo de las Telecomunicaciones (BDT) a colaborar e informar a los organismos asesores de los respectivos Sectores sobre opciones para mejorar la cooperación a escala de las secretarías a fin de que la coordinación sea lo más estrecha posible.</w:t>
      </w:r>
    </w:p>
    <w:tbl>
      <w:tblPr>
        <w:tblW w:w="9507" w:type="dxa"/>
        <w:tblInd w:w="-13" w:type="dxa"/>
        <w:tblLook w:val="04A0" w:firstRow="1" w:lastRow="0" w:firstColumn="1" w:lastColumn="0" w:noHBand="0" w:noVBand="1"/>
      </w:tblPr>
      <w:tblGrid>
        <w:gridCol w:w="916"/>
        <w:gridCol w:w="4479"/>
        <w:gridCol w:w="1606"/>
        <w:gridCol w:w="1245"/>
        <w:gridCol w:w="1261"/>
      </w:tblGrid>
      <w:tr w:rsidR="0062564D" w:rsidRPr="00CA61A6" w:rsidTr="00106116">
        <w:trPr>
          <w:trHeight w:val="647"/>
          <w:tblHeader/>
        </w:trPr>
        <w:tc>
          <w:tcPr>
            <w:tcW w:w="916" w:type="dxa"/>
            <w:tcBorders>
              <w:top w:val="single" w:sz="4" w:space="0" w:color="auto"/>
              <w:left w:val="single" w:sz="4" w:space="0" w:color="auto"/>
              <w:bottom w:val="double" w:sz="4" w:space="0" w:color="auto"/>
              <w:right w:val="single" w:sz="4" w:space="0" w:color="auto"/>
            </w:tcBorders>
            <w:vAlign w:val="center"/>
          </w:tcPr>
          <w:p w:rsidR="0062564D" w:rsidRPr="00CA61A6" w:rsidRDefault="008524CF" w:rsidP="007B3478">
            <w:pPr>
              <w:pStyle w:val="Tablehead"/>
            </w:pPr>
            <w:r w:rsidRPr="00CA61A6">
              <w:lastRenderedPageBreak/>
              <w:t>Número</w:t>
            </w:r>
          </w:p>
        </w:tc>
        <w:tc>
          <w:tcPr>
            <w:tcW w:w="4479" w:type="dxa"/>
            <w:tcBorders>
              <w:top w:val="single" w:sz="4" w:space="0" w:color="auto"/>
              <w:left w:val="single" w:sz="4" w:space="0" w:color="auto"/>
              <w:bottom w:val="double" w:sz="4" w:space="0" w:color="auto"/>
              <w:right w:val="single" w:sz="4" w:space="0" w:color="auto"/>
            </w:tcBorders>
            <w:shd w:val="clear" w:color="auto" w:fill="auto"/>
            <w:vAlign w:val="center"/>
            <w:hideMark/>
          </w:tcPr>
          <w:p w:rsidR="0062564D" w:rsidRPr="00CA61A6" w:rsidRDefault="0062564D" w:rsidP="007B3478">
            <w:pPr>
              <w:pStyle w:val="Tablehead"/>
            </w:pPr>
            <w:r w:rsidRPr="00CA61A6">
              <w:t>Acción</w:t>
            </w:r>
          </w:p>
        </w:tc>
        <w:tc>
          <w:tcPr>
            <w:tcW w:w="1606" w:type="dxa"/>
            <w:tcBorders>
              <w:top w:val="single" w:sz="4" w:space="0" w:color="auto"/>
              <w:left w:val="nil"/>
              <w:bottom w:val="double" w:sz="4" w:space="0" w:color="auto"/>
              <w:right w:val="single" w:sz="4" w:space="0" w:color="auto"/>
            </w:tcBorders>
            <w:shd w:val="clear" w:color="auto" w:fill="auto"/>
            <w:vAlign w:val="center"/>
            <w:hideMark/>
          </w:tcPr>
          <w:p w:rsidR="0062564D" w:rsidRPr="00CA61A6" w:rsidRDefault="0062564D" w:rsidP="007B3478">
            <w:pPr>
              <w:pStyle w:val="Tablehead"/>
            </w:pPr>
            <w:r w:rsidRPr="00CA61A6">
              <w:t>Fecha objetivo</w:t>
            </w:r>
          </w:p>
        </w:tc>
        <w:tc>
          <w:tcPr>
            <w:tcW w:w="1245" w:type="dxa"/>
            <w:tcBorders>
              <w:top w:val="single" w:sz="4" w:space="0" w:color="auto"/>
              <w:left w:val="nil"/>
              <w:bottom w:val="double" w:sz="4" w:space="0" w:color="auto"/>
              <w:right w:val="single" w:sz="4" w:space="0" w:color="auto"/>
            </w:tcBorders>
            <w:vAlign w:val="center"/>
          </w:tcPr>
          <w:p w:rsidR="0062564D" w:rsidRPr="00CA61A6" w:rsidRDefault="0062564D" w:rsidP="007B3478">
            <w:pPr>
              <w:pStyle w:val="Tablehead"/>
            </w:pPr>
            <w:r w:rsidRPr="00CA61A6">
              <w:t>Objetivos periódicos cumplidos</w:t>
            </w:r>
          </w:p>
        </w:tc>
        <w:tc>
          <w:tcPr>
            <w:tcW w:w="1261" w:type="dxa"/>
            <w:tcBorders>
              <w:top w:val="single" w:sz="4" w:space="0" w:color="auto"/>
              <w:left w:val="single" w:sz="4" w:space="0" w:color="auto"/>
              <w:bottom w:val="double" w:sz="4" w:space="0" w:color="auto"/>
              <w:right w:val="single" w:sz="4" w:space="0" w:color="auto"/>
            </w:tcBorders>
            <w:vAlign w:val="center"/>
          </w:tcPr>
          <w:p w:rsidR="0062564D" w:rsidRPr="00CA61A6" w:rsidRDefault="0062564D" w:rsidP="007B3478">
            <w:pPr>
              <w:pStyle w:val="Tablehead"/>
            </w:pPr>
            <w:r w:rsidRPr="00CA61A6">
              <w:t>Completada</w:t>
            </w:r>
          </w:p>
        </w:tc>
      </w:tr>
      <w:tr w:rsidR="0062564D" w:rsidRPr="00CA61A6" w:rsidTr="00106116">
        <w:trPr>
          <w:trHeight w:val="620"/>
        </w:trPr>
        <w:tc>
          <w:tcPr>
            <w:tcW w:w="916" w:type="dxa"/>
            <w:tcBorders>
              <w:top w:val="double" w:sz="4" w:space="0" w:color="auto"/>
              <w:left w:val="single" w:sz="4" w:space="0" w:color="auto"/>
              <w:bottom w:val="single" w:sz="4" w:space="0" w:color="auto"/>
              <w:right w:val="single" w:sz="4" w:space="0" w:color="auto"/>
            </w:tcBorders>
            <w:vAlign w:val="center"/>
          </w:tcPr>
          <w:p w:rsidR="0062564D" w:rsidRPr="00CA61A6" w:rsidRDefault="00110CAD" w:rsidP="007B3478">
            <w:pPr>
              <w:pStyle w:val="Tabletext"/>
              <w:spacing w:before="120" w:after="0"/>
              <w:jc w:val="center"/>
              <w:rPr>
                <w:rFonts w:asciiTheme="majorBidi" w:hAnsiTheme="majorBidi" w:cstheme="majorBidi"/>
              </w:rPr>
            </w:pPr>
            <w:hyperlink w:anchor="Item57_01" w:history="1">
              <w:r w:rsidR="0062564D" w:rsidRPr="00CA61A6">
                <w:rPr>
                  <w:rStyle w:val="Hyperlink"/>
                  <w:rFonts w:asciiTheme="majorBidi" w:hAnsiTheme="majorBidi" w:cstheme="majorBidi"/>
                </w:rPr>
                <w:t>57-01</w:t>
              </w:r>
            </w:hyperlink>
          </w:p>
        </w:tc>
        <w:tc>
          <w:tcPr>
            <w:tcW w:w="4479" w:type="dxa"/>
            <w:tcBorders>
              <w:top w:val="double" w:sz="4" w:space="0" w:color="auto"/>
              <w:left w:val="single" w:sz="4" w:space="0" w:color="auto"/>
              <w:bottom w:val="single" w:sz="4" w:space="0" w:color="auto"/>
              <w:right w:val="single" w:sz="4" w:space="0" w:color="auto"/>
            </w:tcBorders>
            <w:shd w:val="clear" w:color="auto" w:fill="auto"/>
            <w:hideMark/>
          </w:tcPr>
          <w:p w:rsidR="0062564D" w:rsidRPr="00CA61A6" w:rsidRDefault="0062564D" w:rsidP="007B3478">
            <w:pPr>
              <w:pStyle w:val="Tabletext"/>
            </w:pPr>
            <w:r w:rsidRPr="00CA61A6">
              <w:t>En cada reunión, el GANT estudiará si hay nuevos temas que puedan interesar también a los otros Sectores, que manifestarán ese interés al GANT en esa misma reunión</w:t>
            </w:r>
          </w:p>
        </w:tc>
        <w:tc>
          <w:tcPr>
            <w:tcW w:w="1606" w:type="dxa"/>
            <w:tcBorders>
              <w:top w:val="double" w:sz="4" w:space="0" w:color="auto"/>
              <w:left w:val="nil"/>
              <w:bottom w:val="single" w:sz="4" w:space="0" w:color="auto"/>
              <w:right w:val="single" w:sz="4" w:space="0" w:color="auto"/>
            </w:tcBorders>
            <w:shd w:val="clear" w:color="auto" w:fill="auto"/>
            <w:vAlign w:val="center"/>
            <w:hideMark/>
          </w:tcPr>
          <w:p w:rsidR="0062564D" w:rsidRPr="00CA61A6" w:rsidRDefault="0062564D" w:rsidP="007B3478">
            <w:pPr>
              <w:pStyle w:val="Tabletext"/>
              <w:jc w:val="center"/>
            </w:pPr>
            <w:r w:rsidRPr="00CA61A6">
              <w:t>En curso</w:t>
            </w:r>
          </w:p>
        </w:tc>
        <w:tc>
          <w:tcPr>
            <w:tcW w:w="1245" w:type="dxa"/>
            <w:tcBorders>
              <w:top w:val="double" w:sz="4" w:space="0" w:color="auto"/>
              <w:left w:val="nil"/>
              <w:bottom w:val="single" w:sz="4" w:space="0" w:color="auto"/>
              <w:right w:val="single" w:sz="4" w:space="0" w:color="auto"/>
            </w:tcBorders>
            <w:vAlign w:val="center"/>
          </w:tcPr>
          <w:p w:rsidR="0062564D" w:rsidRPr="00CA61A6" w:rsidRDefault="0062564D" w:rsidP="007B3478">
            <w:pPr>
              <w:pStyle w:val="Tabletext"/>
              <w:jc w:val="center"/>
            </w:pPr>
            <w:r w:rsidRPr="00CA61A6">
              <w:sym w:font="Wingdings" w:char="F0FC"/>
            </w:r>
          </w:p>
        </w:tc>
        <w:tc>
          <w:tcPr>
            <w:tcW w:w="1261" w:type="dxa"/>
            <w:tcBorders>
              <w:top w:val="double" w:sz="4" w:space="0" w:color="auto"/>
              <w:left w:val="single" w:sz="4" w:space="0" w:color="auto"/>
              <w:bottom w:val="single" w:sz="4" w:space="0" w:color="auto"/>
              <w:right w:val="single" w:sz="4" w:space="0" w:color="auto"/>
            </w:tcBorders>
            <w:vAlign w:val="center"/>
          </w:tcPr>
          <w:p w:rsidR="0062564D" w:rsidRPr="00CA61A6" w:rsidRDefault="0062564D" w:rsidP="007B3478">
            <w:pPr>
              <w:pStyle w:val="Tabletext"/>
              <w:jc w:val="center"/>
            </w:pPr>
          </w:p>
        </w:tc>
      </w:tr>
      <w:tr w:rsidR="0062564D" w:rsidRPr="00CA61A6" w:rsidTr="00106116">
        <w:trPr>
          <w:trHeight w:val="710"/>
        </w:trPr>
        <w:tc>
          <w:tcPr>
            <w:tcW w:w="916" w:type="dxa"/>
            <w:tcBorders>
              <w:top w:val="nil"/>
              <w:left w:val="single" w:sz="4" w:space="0" w:color="auto"/>
              <w:bottom w:val="single" w:sz="4" w:space="0" w:color="auto"/>
              <w:right w:val="single" w:sz="4" w:space="0" w:color="auto"/>
            </w:tcBorders>
            <w:vAlign w:val="center"/>
          </w:tcPr>
          <w:p w:rsidR="0062564D" w:rsidRPr="00CA61A6" w:rsidRDefault="00110CAD" w:rsidP="007B3478">
            <w:pPr>
              <w:pStyle w:val="Tabletext"/>
              <w:spacing w:before="120" w:after="0"/>
              <w:jc w:val="center"/>
              <w:rPr>
                <w:rFonts w:asciiTheme="majorBidi" w:hAnsiTheme="majorBidi" w:cstheme="majorBidi"/>
              </w:rPr>
            </w:pPr>
            <w:hyperlink w:anchor="Item57_02" w:history="1">
              <w:r w:rsidR="0062564D" w:rsidRPr="00CA61A6">
                <w:rPr>
                  <w:rStyle w:val="Hyperlink"/>
                  <w:rFonts w:asciiTheme="majorBidi" w:hAnsiTheme="majorBidi" w:cstheme="majorBidi"/>
                </w:rPr>
                <w:t>57-02</w:t>
              </w:r>
            </w:hyperlink>
          </w:p>
        </w:tc>
        <w:tc>
          <w:tcPr>
            <w:tcW w:w="4479" w:type="dxa"/>
            <w:tcBorders>
              <w:top w:val="nil"/>
              <w:left w:val="single" w:sz="4" w:space="0" w:color="auto"/>
              <w:bottom w:val="single" w:sz="4" w:space="0" w:color="auto"/>
              <w:right w:val="single" w:sz="4" w:space="0" w:color="auto"/>
            </w:tcBorders>
            <w:shd w:val="clear" w:color="auto" w:fill="auto"/>
            <w:hideMark/>
          </w:tcPr>
          <w:p w:rsidR="0062564D" w:rsidRPr="00CA61A6" w:rsidRDefault="0062564D" w:rsidP="007B3478">
            <w:pPr>
              <w:pStyle w:val="Tabletext"/>
            </w:pPr>
            <w:r w:rsidRPr="00CA61A6">
              <w:t>La dirección de las tres Oficinas abordará en reuniones periódicas las mejoras en materia de coordinación y cooperación que se pueden efectuar a nivel de la Secretaría, y el Director de la TSB comunicará los resultados al GANT</w:t>
            </w:r>
          </w:p>
        </w:tc>
        <w:tc>
          <w:tcPr>
            <w:tcW w:w="1606" w:type="dxa"/>
            <w:tcBorders>
              <w:top w:val="nil"/>
              <w:left w:val="nil"/>
              <w:bottom w:val="single" w:sz="4" w:space="0" w:color="auto"/>
              <w:right w:val="single" w:sz="4" w:space="0" w:color="auto"/>
            </w:tcBorders>
            <w:shd w:val="clear" w:color="auto" w:fill="auto"/>
            <w:vAlign w:val="center"/>
            <w:hideMark/>
          </w:tcPr>
          <w:p w:rsidR="0062564D" w:rsidRPr="00CA61A6" w:rsidRDefault="0062564D" w:rsidP="007B3478">
            <w:pPr>
              <w:pStyle w:val="Tabletext"/>
              <w:jc w:val="center"/>
            </w:pPr>
            <w:r w:rsidRPr="00CA61A6">
              <w:t>En curso</w:t>
            </w:r>
          </w:p>
        </w:tc>
        <w:tc>
          <w:tcPr>
            <w:tcW w:w="1245" w:type="dxa"/>
            <w:tcBorders>
              <w:top w:val="nil"/>
              <w:left w:val="nil"/>
              <w:bottom w:val="single" w:sz="4" w:space="0" w:color="auto"/>
              <w:right w:val="single" w:sz="4" w:space="0" w:color="auto"/>
            </w:tcBorders>
            <w:vAlign w:val="center"/>
          </w:tcPr>
          <w:p w:rsidR="0062564D" w:rsidRPr="00CA61A6" w:rsidRDefault="0062564D" w:rsidP="007B3478">
            <w:pPr>
              <w:pStyle w:val="Tabletext"/>
              <w:jc w:val="center"/>
            </w:pPr>
            <w:r w:rsidRPr="00CA61A6">
              <w:sym w:font="Wingdings" w:char="F0FC"/>
            </w:r>
          </w:p>
        </w:tc>
        <w:tc>
          <w:tcPr>
            <w:tcW w:w="1261" w:type="dxa"/>
            <w:tcBorders>
              <w:top w:val="nil"/>
              <w:left w:val="single" w:sz="4" w:space="0" w:color="auto"/>
              <w:bottom w:val="single" w:sz="4" w:space="0" w:color="auto"/>
              <w:right w:val="single" w:sz="4" w:space="0" w:color="auto"/>
            </w:tcBorders>
            <w:vAlign w:val="center"/>
          </w:tcPr>
          <w:p w:rsidR="0062564D" w:rsidRPr="00CA61A6" w:rsidRDefault="0062564D" w:rsidP="007B3478">
            <w:pPr>
              <w:pStyle w:val="Tabletext"/>
              <w:jc w:val="center"/>
            </w:pPr>
          </w:p>
        </w:tc>
      </w:tr>
      <w:tr w:rsidR="0062564D" w:rsidRPr="00CA61A6" w:rsidTr="00106116">
        <w:trPr>
          <w:trHeight w:val="530"/>
        </w:trPr>
        <w:tc>
          <w:tcPr>
            <w:tcW w:w="916" w:type="dxa"/>
            <w:tcBorders>
              <w:top w:val="nil"/>
              <w:left w:val="single" w:sz="4" w:space="0" w:color="auto"/>
              <w:bottom w:val="single" w:sz="4" w:space="0" w:color="auto"/>
              <w:right w:val="single" w:sz="4" w:space="0" w:color="auto"/>
            </w:tcBorders>
            <w:vAlign w:val="center"/>
          </w:tcPr>
          <w:p w:rsidR="0062564D" w:rsidRPr="00CA61A6" w:rsidRDefault="00110CAD" w:rsidP="007B3478">
            <w:pPr>
              <w:pStyle w:val="Tabletext"/>
              <w:spacing w:before="120" w:after="0"/>
              <w:jc w:val="center"/>
              <w:rPr>
                <w:rFonts w:asciiTheme="majorBidi" w:hAnsiTheme="majorBidi" w:cstheme="majorBidi"/>
              </w:rPr>
            </w:pPr>
            <w:hyperlink w:anchor="Item57_03" w:history="1">
              <w:r w:rsidR="0062564D" w:rsidRPr="00CA61A6">
                <w:rPr>
                  <w:rStyle w:val="Hyperlink"/>
                  <w:rFonts w:asciiTheme="majorBidi" w:hAnsiTheme="majorBidi" w:cstheme="majorBidi"/>
                </w:rPr>
                <w:t>57-03</w:t>
              </w:r>
            </w:hyperlink>
          </w:p>
        </w:tc>
        <w:tc>
          <w:tcPr>
            <w:tcW w:w="4479" w:type="dxa"/>
            <w:tcBorders>
              <w:top w:val="nil"/>
              <w:left w:val="single" w:sz="4" w:space="0" w:color="auto"/>
              <w:bottom w:val="single" w:sz="4" w:space="0" w:color="auto"/>
              <w:right w:val="single" w:sz="4" w:space="0" w:color="auto"/>
            </w:tcBorders>
            <w:shd w:val="clear" w:color="auto" w:fill="auto"/>
            <w:hideMark/>
          </w:tcPr>
          <w:p w:rsidR="0062564D" w:rsidRPr="00CA61A6" w:rsidRDefault="0062564D" w:rsidP="007B3478">
            <w:pPr>
              <w:pStyle w:val="Tabletext"/>
            </w:pPr>
            <w:r w:rsidRPr="00CA61A6">
              <w:t>La TSB celebrará con las demás Oficinas reuniones conjuntas de los Presidentes de las CE del UIT-T, el UIT-R y el UIT-D</w:t>
            </w:r>
          </w:p>
        </w:tc>
        <w:tc>
          <w:tcPr>
            <w:tcW w:w="1606" w:type="dxa"/>
            <w:tcBorders>
              <w:top w:val="nil"/>
              <w:left w:val="nil"/>
              <w:bottom w:val="single" w:sz="4" w:space="0" w:color="auto"/>
              <w:right w:val="single" w:sz="4" w:space="0" w:color="auto"/>
            </w:tcBorders>
            <w:shd w:val="clear" w:color="auto" w:fill="auto"/>
            <w:vAlign w:val="center"/>
            <w:hideMark/>
          </w:tcPr>
          <w:p w:rsidR="0062564D" w:rsidRPr="00CA61A6" w:rsidRDefault="0062564D" w:rsidP="007B3478">
            <w:pPr>
              <w:pStyle w:val="Tabletext"/>
              <w:jc w:val="center"/>
            </w:pPr>
            <w:r w:rsidRPr="00CA61A6">
              <w:t>En curso</w:t>
            </w:r>
          </w:p>
        </w:tc>
        <w:tc>
          <w:tcPr>
            <w:tcW w:w="1245" w:type="dxa"/>
            <w:tcBorders>
              <w:top w:val="nil"/>
              <w:left w:val="nil"/>
              <w:bottom w:val="single" w:sz="4" w:space="0" w:color="auto"/>
              <w:right w:val="single" w:sz="4" w:space="0" w:color="auto"/>
            </w:tcBorders>
            <w:vAlign w:val="center"/>
          </w:tcPr>
          <w:p w:rsidR="0062564D" w:rsidRPr="00CA61A6" w:rsidRDefault="0062564D" w:rsidP="007B3478">
            <w:pPr>
              <w:pStyle w:val="Tabletext"/>
              <w:jc w:val="center"/>
            </w:pPr>
            <w:r w:rsidRPr="00CA61A6">
              <w:t>x</w:t>
            </w:r>
          </w:p>
        </w:tc>
        <w:tc>
          <w:tcPr>
            <w:tcW w:w="1261" w:type="dxa"/>
            <w:tcBorders>
              <w:top w:val="nil"/>
              <w:left w:val="single" w:sz="4" w:space="0" w:color="auto"/>
              <w:bottom w:val="single" w:sz="4" w:space="0" w:color="auto"/>
              <w:right w:val="single" w:sz="4" w:space="0" w:color="auto"/>
            </w:tcBorders>
            <w:vAlign w:val="center"/>
          </w:tcPr>
          <w:p w:rsidR="0062564D" w:rsidRPr="00CA61A6" w:rsidRDefault="0062564D" w:rsidP="007B3478">
            <w:pPr>
              <w:pStyle w:val="Tabletext"/>
              <w:jc w:val="center"/>
            </w:pPr>
          </w:p>
        </w:tc>
      </w:tr>
    </w:tbl>
    <w:p w:rsidR="0062564D" w:rsidRPr="00CA61A6" w:rsidRDefault="00EB732C" w:rsidP="00A51140">
      <w:pPr>
        <w:pStyle w:val="Headingb"/>
        <w:keepLines/>
      </w:pPr>
      <w:bookmarkStart w:id="500" w:name="Item57_01"/>
      <w:r w:rsidRPr="00CA61A6">
        <w:t xml:space="preserve">Acción </w:t>
      </w:r>
      <w:r w:rsidR="0062564D" w:rsidRPr="00CA61A6">
        <w:t xml:space="preserve">57-01: </w:t>
      </w:r>
      <w:r w:rsidR="00C67BD4" w:rsidRPr="00CA61A6">
        <w:t>GANT</w:t>
      </w:r>
    </w:p>
    <w:p w:rsidR="0062564D" w:rsidRPr="00CA61A6" w:rsidRDefault="0062564D" w:rsidP="007B3478">
      <w:pPr>
        <w:rPr>
          <w:szCs w:val="24"/>
          <w:lang w:eastAsia="ja-JP"/>
        </w:rPr>
      </w:pPr>
      <w:bookmarkStart w:id="501" w:name="lt_pId1127"/>
      <w:bookmarkEnd w:id="500"/>
      <w:r w:rsidRPr="00CA61A6">
        <w:rPr>
          <w:szCs w:val="24"/>
          <w:lang w:eastAsia="ja-JP"/>
        </w:rPr>
        <w:t>Se efectuó regularmente un examen con arreglo a la información recibida.</w:t>
      </w:r>
      <w:bookmarkEnd w:id="501"/>
    </w:p>
    <w:p w:rsidR="0062564D" w:rsidRPr="00CA61A6" w:rsidRDefault="0062564D" w:rsidP="00220B8C">
      <w:pPr>
        <w:rPr>
          <w:szCs w:val="24"/>
          <w:lang w:eastAsia="ja-JP"/>
        </w:rPr>
      </w:pPr>
      <w:bookmarkStart w:id="502" w:name="lt_pId1128"/>
      <w:r w:rsidRPr="00CA61A6">
        <w:rPr>
          <w:szCs w:val="24"/>
          <w:lang w:eastAsia="ja-JP"/>
        </w:rPr>
        <w:t xml:space="preserve">En junio de 2014 el GANT creó un </w:t>
      </w:r>
      <w:r w:rsidR="004D08F6" w:rsidRPr="00CA61A6">
        <w:rPr>
          <w:szCs w:val="24"/>
          <w:lang w:eastAsia="ja-JP"/>
        </w:rPr>
        <w:t xml:space="preserve">Subgrupo </w:t>
      </w:r>
      <w:r w:rsidRPr="00CA61A6">
        <w:rPr>
          <w:szCs w:val="24"/>
          <w:lang w:eastAsia="ja-JP"/>
        </w:rPr>
        <w:t xml:space="preserve">de </w:t>
      </w:r>
      <w:r w:rsidR="00B61BC3" w:rsidRPr="00CA61A6">
        <w:rPr>
          <w:szCs w:val="24"/>
          <w:lang w:eastAsia="ja-JP"/>
        </w:rPr>
        <w:t xml:space="preserve">Relator </w:t>
      </w:r>
      <w:r w:rsidRPr="00CA61A6">
        <w:rPr>
          <w:szCs w:val="24"/>
          <w:lang w:eastAsia="ja-JP"/>
        </w:rPr>
        <w:t xml:space="preserve">del GANT sobre </w:t>
      </w:r>
      <w:r w:rsidR="00B26079" w:rsidRPr="00CA61A6">
        <w:rPr>
          <w:szCs w:val="24"/>
          <w:lang w:eastAsia="ja-JP"/>
        </w:rPr>
        <w:t>"</w:t>
      </w:r>
      <w:r w:rsidRPr="00CA61A6">
        <w:rPr>
          <w:szCs w:val="24"/>
          <w:lang w:eastAsia="ja-JP"/>
        </w:rPr>
        <w:t>Colaboración y coordinación dentro de la UIT</w:t>
      </w:r>
      <w:r w:rsidR="00B26079" w:rsidRPr="00CA61A6">
        <w:rPr>
          <w:szCs w:val="24"/>
          <w:lang w:eastAsia="ja-JP"/>
        </w:rPr>
        <w:t>"</w:t>
      </w:r>
      <w:r w:rsidRPr="00CA61A6">
        <w:rPr>
          <w:szCs w:val="24"/>
          <w:lang w:eastAsia="ja-JP"/>
        </w:rPr>
        <w:t xml:space="preserve"> cuyo mandato, de conformidad con la decisión de la primer reunión del GANT celebrada en Ginebra, </w:t>
      </w:r>
      <w:r w:rsidR="00852B98">
        <w:rPr>
          <w:szCs w:val="24"/>
          <w:lang w:eastAsia="ja-JP"/>
        </w:rPr>
        <w:t xml:space="preserve">del </w:t>
      </w:r>
      <w:r w:rsidRPr="00CA61A6">
        <w:rPr>
          <w:szCs w:val="24"/>
          <w:lang w:eastAsia="ja-JP"/>
        </w:rPr>
        <w:t>4</w:t>
      </w:r>
      <w:r w:rsidR="00852B98">
        <w:rPr>
          <w:szCs w:val="24"/>
          <w:lang w:eastAsia="ja-JP"/>
        </w:rPr>
        <w:t xml:space="preserve"> al </w:t>
      </w:r>
      <w:r w:rsidRPr="00CA61A6">
        <w:rPr>
          <w:szCs w:val="24"/>
          <w:lang w:eastAsia="ja-JP"/>
        </w:rPr>
        <w:t>7 de junio de 2013 (Doc</w:t>
      </w:r>
      <w:bookmarkEnd w:id="502"/>
      <w:r w:rsidR="00220B8C">
        <w:rPr>
          <w:szCs w:val="24"/>
          <w:lang w:eastAsia="ja-JP"/>
        </w:rPr>
        <w:t>umento</w:t>
      </w:r>
      <w:r w:rsidRPr="00CA61A6">
        <w:rPr>
          <w:szCs w:val="24"/>
          <w:lang w:eastAsia="ja-JP"/>
        </w:rPr>
        <w:t xml:space="preserve"> </w:t>
      </w:r>
      <w:bookmarkStart w:id="503" w:name="lt_pId1129"/>
      <w:r w:rsidRPr="00CA61A6">
        <w:rPr>
          <w:szCs w:val="24"/>
          <w:lang w:eastAsia="ja-JP"/>
        </w:rPr>
        <w:t>TSAG – R 1)</w:t>
      </w:r>
      <w:r w:rsidR="00007390">
        <w:rPr>
          <w:szCs w:val="24"/>
          <w:lang w:eastAsia="ja-JP"/>
        </w:rPr>
        <w:t>,</w:t>
      </w:r>
      <w:r w:rsidRPr="00CA61A6">
        <w:rPr>
          <w:szCs w:val="24"/>
          <w:lang w:eastAsia="ja-JP"/>
        </w:rPr>
        <w:t xml:space="preserve"> es examinar los actuales métodos y modalidades de colaboración y/o coordinación con otros Sectores con objeto de alentar al UIT-T a mejorar la colaboración y la cooperación recíprocas sobre la base del respeto mutuo, de conformidad con la Resolución 57 de la Asamblea Mundial de Normalización de las Telecomunicaciones (Dubái, 2012).</w:t>
      </w:r>
      <w:bookmarkEnd w:id="503"/>
      <w:r w:rsidRPr="00CA61A6">
        <w:rPr>
          <w:szCs w:val="24"/>
          <w:lang w:eastAsia="ja-JP"/>
        </w:rPr>
        <w:t xml:space="preserve"> </w:t>
      </w:r>
      <w:bookmarkStart w:id="504" w:name="lt_pId1130"/>
      <w:r w:rsidRPr="00CA61A6">
        <w:rPr>
          <w:szCs w:val="24"/>
          <w:lang w:eastAsia="ja-JP"/>
        </w:rPr>
        <w:t>El Subgrupo de Relator estableció y mantuvo, a través del GANT, una estrecha relación con el GAR y el GADT a fin de crear sinergias con objeto de reforzar la coordinación y cooperación entre los tres Sectores de la UIT sobre asuntos de interés mutuo.</w:t>
      </w:r>
      <w:bookmarkEnd w:id="504"/>
    </w:p>
    <w:p w:rsidR="0062564D" w:rsidRPr="00CA61A6" w:rsidRDefault="0062564D" w:rsidP="00195FF0">
      <w:pPr>
        <w:rPr>
          <w:szCs w:val="24"/>
          <w:lang w:eastAsia="ja-JP"/>
        </w:rPr>
      </w:pPr>
      <w:bookmarkStart w:id="505" w:name="lt_pId1131"/>
      <w:r w:rsidRPr="00CA61A6">
        <w:rPr>
          <w:szCs w:val="24"/>
          <w:lang w:eastAsia="ja-JP"/>
        </w:rPr>
        <w:t xml:space="preserve">Este </w:t>
      </w:r>
      <w:r w:rsidR="00281C37" w:rsidRPr="00CA61A6">
        <w:rPr>
          <w:szCs w:val="24"/>
          <w:lang w:eastAsia="ja-JP"/>
        </w:rPr>
        <w:t xml:space="preserve">Subgrupo </w:t>
      </w:r>
      <w:r w:rsidRPr="00CA61A6">
        <w:rPr>
          <w:szCs w:val="24"/>
          <w:lang w:eastAsia="ja-JP"/>
        </w:rPr>
        <w:t>se reunió en enero de 2015, junio de 2015, febrero de 2016 y julio de 2016.</w:t>
      </w:r>
      <w:bookmarkEnd w:id="505"/>
    </w:p>
    <w:p w:rsidR="0062564D" w:rsidRPr="00CA61A6" w:rsidRDefault="0062564D" w:rsidP="007B3478">
      <w:pPr>
        <w:rPr>
          <w:szCs w:val="24"/>
          <w:lang w:eastAsia="ja-JP"/>
        </w:rPr>
      </w:pPr>
      <w:bookmarkStart w:id="506" w:name="lt_pId1132"/>
      <w:r w:rsidRPr="00CA61A6">
        <w:rPr>
          <w:szCs w:val="24"/>
          <w:lang w:eastAsia="ja-JP"/>
        </w:rPr>
        <w:t>En consecuencia, se elaboró documentación sobre asuntos de interés mutuo para las CE del UIT-D y del UIT-R con las CE del UIT-T, documentación que se transmitió al GADT, al GAR y a las Comisiones de Estudio del UIT-D, UIT-R y UIT-T, y se recibieron muchos comentarios.</w:t>
      </w:r>
      <w:bookmarkEnd w:id="506"/>
      <w:r w:rsidRPr="00CA61A6">
        <w:rPr>
          <w:szCs w:val="24"/>
          <w:lang w:eastAsia="ja-JP"/>
        </w:rPr>
        <w:t xml:space="preserve"> </w:t>
      </w:r>
      <w:bookmarkStart w:id="507" w:name="lt_pId1133"/>
      <w:r w:rsidRPr="00CA61A6">
        <w:rPr>
          <w:szCs w:val="24"/>
          <w:lang w:eastAsia="ja-JP"/>
        </w:rPr>
        <w:t>Se tiene previsto actualizar la documentación en el nuevo periodo de estudios 2017-2020 con los resultados de la AMNT-16.</w:t>
      </w:r>
      <w:bookmarkEnd w:id="507"/>
    </w:p>
    <w:p w:rsidR="0062564D" w:rsidRPr="00CA61A6" w:rsidRDefault="0062564D" w:rsidP="007B3478">
      <w:pPr>
        <w:rPr>
          <w:szCs w:val="24"/>
          <w:lang w:eastAsia="ja-JP"/>
        </w:rPr>
      </w:pPr>
      <w:bookmarkStart w:id="508" w:name="lt_pId1134"/>
      <w:r w:rsidRPr="00CA61A6">
        <w:rPr>
          <w:szCs w:val="24"/>
          <w:lang w:eastAsia="ja-JP"/>
        </w:rPr>
        <w:t>El GANT convino además en el mandato del equipo de coordinación intersectorial (ISCT) sobre cuestiones de interés mutuo, que fue aprobado por el GANT, el GAR y el GADT.</w:t>
      </w:r>
      <w:bookmarkEnd w:id="508"/>
      <w:r w:rsidRPr="00CA61A6">
        <w:rPr>
          <w:szCs w:val="24"/>
          <w:lang w:eastAsia="ja-JP"/>
        </w:rPr>
        <w:t xml:space="preserve"> </w:t>
      </w:r>
      <w:bookmarkStart w:id="509" w:name="lt_pId1135"/>
      <w:r w:rsidRPr="00CA61A6">
        <w:rPr>
          <w:szCs w:val="24"/>
          <w:lang w:eastAsia="ja-JP"/>
        </w:rPr>
        <w:t>El GANT también identifico posibles temas sobre los métodos de trabajo para la coordinación intersectorial de la UIT, que se enviaron al TSAG-RG-WM, al GADT, al GAR y a las CE del UIT-T.</w:t>
      </w:r>
      <w:bookmarkEnd w:id="509"/>
    </w:p>
    <w:p w:rsidR="0062564D" w:rsidRPr="00CA61A6" w:rsidRDefault="0062564D" w:rsidP="007B3478">
      <w:pPr>
        <w:rPr>
          <w:szCs w:val="24"/>
          <w:lang w:eastAsia="ja-JP"/>
        </w:rPr>
      </w:pPr>
      <w:bookmarkStart w:id="510" w:name="lt_pId1136"/>
      <w:r w:rsidRPr="00CA61A6">
        <w:rPr>
          <w:szCs w:val="24"/>
          <w:lang w:eastAsia="ja-JP"/>
        </w:rPr>
        <w:t xml:space="preserve">El GANT pidió al ISCT y al </w:t>
      </w:r>
      <w:r w:rsidRPr="00CA61A6">
        <w:rPr>
          <w:color w:val="000000"/>
        </w:rPr>
        <w:t xml:space="preserve">Grupo Especial de Coordinación Intersectorial </w:t>
      </w:r>
      <w:r w:rsidRPr="00CA61A6">
        <w:rPr>
          <w:szCs w:val="24"/>
          <w:lang w:eastAsia="ja-JP"/>
        </w:rPr>
        <w:t xml:space="preserve">(ISC-TF) de la UIT </w:t>
      </w:r>
      <w:r w:rsidRPr="00CA61A6">
        <w:rPr>
          <w:color w:val="000000"/>
        </w:rPr>
        <w:t>que consideren la posibi</w:t>
      </w:r>
      <w:r w:rsidR="00AC06E4">
        <w:rPr>
          <w:color w:val="000000"/>
        </w:rPr>
        <w:t>lidad de combinar el CCV y el CN</w:t>
      </w:r>
      <w:r w:rsidRPr="00CA61A6">
        <w:rPr>
          <w:color w:val="000000"/>
        </w:rPr>
        <w:t>V</w:t>
      </w:r>
      <w:r w:rsidRPr="00CA61A6">
        <w:rPr>
          <w:szCs w:val="24"/>
          <w:lang w:eastAsia="ja-JP"/>
        </w:rPr>
        <w:t xml:space="preserve"> hasta la próxima reunión del GANT.</w:t>
      </w:r>
      <w:bookmarkEnd w:id="510"/>
    </w:p>
    <w:p w:rsidR="0062564D" w:rsidRPr="00CA61A6" w:rsidRDefault="0084657D" w:rsidP="00C01A06">
      <w:pPr>
        <w:pStyle w:val="Headingb"/>
        <w:keepLines/>
      </w:pPr>
      <w:bookmarkStart w:id="511" w:name="Item57_02"/>
      <w:r w:rsidRPr="00CA61A6">
        <w:t xml:space="preserve">Acción </w:t>
      </w:r>
      <w:r w:rsidR="0062564D" w:rsidRPr="00CA61A6">
        <w:t>57-02: TSB</w:t>
      </w:r>
    </w:p>
    <w:p w:rsidR="0062564D" w:rsidRPr="00CA61A6" w:rsidRDefault="0062564D" w:rsidP="007B3478">
      <w:pPr>
        <w:rPr>
          <w:szCs w:val="24"/>
          <w:lang w:eastAsia="ja-JP"/>
        </w:rPr>
      </w:pPr>
      <w:bookmarkStart w:id="512" w:name="lt_pId1138"/>
      <w:bookmarkEnd w:id="511"/>
      <w:r w:rsidRPr="00CA61A6">
        <w:rPr>
          <w:szCs w:val="24"/>
          <w:lang w:eastAsia="ja-JP"/>
        </w:rPr>
        <w:t>Se celebraron regularmente reuniones del equipo directivo de las tres Oficinas.</w:t>
      </w:r>
      <w:bookmarkEnd w:id="512"/>
    </w:p>
    <w:p w:rsidR="0062564D" w:rsidRPr="00CA61A6" w:rsidRDefault="0084657D" w:rsidP="00C01A06">
      <w:pPr>
        <w:pStyle w:val="Headingb"/>
        <w:keepLines/>
      </w:pPr>
      <w:bookmarkStart w:id="513" w:name="Item57_03"/>
      <w:r w:rsidRPr="00CA61A6">
        <w:t xml:space="preserve">Acción </w:t>
      </w:r>
      <w:r w:rsidR="0062564D" w:rsidRPr="00CA61A6">
        <w:t>57-03: TSB</w:t>
      </w:r>
    </w:p>
    <w:p w:rsidR="0062564D" w:rsidRPr="00CA61A6" w:rsidRDefault="0062564D" w:rsidP="007B3478">
      <w:pPr>
        <w:rPr>
          <w:szCs w:val="24"/>
          <w:lang w:eastAsia="ja-JP"/>
        </w:rPr>
      </w:pPr>
      <w:bookmarkStart w:id="514" w:name="lt_pId1140"/>
      <w:bookmarkEnd w:id="513"/>
      <w:r w:rsidRPr="00CA61A6">
        <w:rPr>
          <w:szCs w:val="24"/>
          <w:lang w:eastAsia="ja-JP"/>
        </w:rPr>
        <w:t>No hubo actividad.</w:t>
      </w:r>
      <w:bookmarkEnd w:id="514"/>
    </w:p>
    <w:p w:rsidR="003303B0" w:rsidRPr="00CA61A6" w:rsidRDefault="00110CAD" w:rsidP="003303B0">
      <w:hyperlink w:anchor="Top" w:history="1">
        <w:r w:rsidR="003303B0" w:rsidRPr="00CA61A6">
          <w:rPr>
            <w:rStyle w:val="Hyperlink"/>
          </w:rPr>
          <w:t>» Arriba</w:t>
        </w:r>
      </w:hyperlink>
    </w:p>
    <w:p w:rsidR="0062564D" w:rsidRPr="00CA61A6" w:rsidRDefault="00D6707B" w:rsidP="007F2FB3">
      <w:pPr>
        <w:pStyle w:val="Heading1"/>
      </w:pPr>
      <w:bookmarkStart w:id="515" w:name="_27_Resolución_58"/>
      <w:bookmarkStart w:id="516" w:name="_Toc463335778"/>
      <w:bookmarkEnd w:id="515"/>
      <w:r w:rsidRPr="00CA61A6">
        <w:lastRenderedPageBreak/>
        <w:t>27</w:t>
      </w:r>
      <w:r w:rsidRPr="00CA61A6">
        <w:tab/>
      </w:r>
      <w:r w:rsidR="007F2FB3" w:rsidRPr="00CA61A6">
        <w:t xml:space="preserve">Resolución </w:t>
      </w:r>
      <w:r w:rsidR="0062564D" w:rsidRPr="00CA61A6">
        <w:rPr>
          <w:rStyle w:val="href"/>
        </w:rPr>
        <w:t>58</w:t>
      </w:r>
      <w:r w:rsidR="007F2FB3" w:rsidRPr="00CA61A6">
        <w:t xml:space="preserve"> – </w:t>
      </w:r>
      <w:r w:rsidR="0062564D" w:rsidRPr="00CA61A6">
        <w:t>Fomento de la creación de equipos nacionales de intervención en caso</w:t>
      </w:r>
      <w:r w:rsidR="004F42D3" w:rsidRPr="00CA61A6">
        <w:t xml:space="preserve"> </w:t>
      </w:r>
      <w:r w:rsidR="0062564D" w:rsidRPr="00CA61A6">
        <w:t>de incidente informático, especialmente para los países en desarrollo</w:t>
      </w:r>
      <w:bookmarkEnd w:id="516"/>
    </w:p>
    <w:p w:rsidR="00FC14F5" w:rsidRPr="00CA61A6" w:rsidRDefault="00FC14F5" w:rsidP="00FC14F5">
      <w:pPr>
        <w:pStyle w:val="Headingb"/>
        <w:keepLines/>
      </w:pPr>
      <w:r w:rsidRPr="00CA61A6">
        <w:t>Resolución 58</w:t>
      </w:r>
    </w:p>
    <w:p w:rsidR="0062564D" w:rsidRPr="00CA61A6" w:rsidRDefault="0062564D" w:rsidP="007B3478">
      <w:pPr>
        <w:pStyle w:val="Call"/>
      </w:pPr>
      <w:r w:rsidRPr="00CA61A6">
        <w:t>resuelve</w:t>
      </w:r>
    </w:p>
    <w:p w:rsidR="0062564D" w:rsidRPr="00CA61A6" w:rsidRDefault="0062564D" w:rsidP="007B3478">
      <w:r w:rsidRPr="00CA61A6">
        <w:t>dar un apoyo a la creación de EIII nacionales en aquellos Estados Miembros de la UIT donde aún no existan y se necesiten,</w:t>
      </w:r>
    </w:p>
    <w:p w:rsidR="0062564D" w:rsidRPr="00CA61A6" w:rsidRDefault="0062564D" w:rsidP="007B3478">
      <w:pPr>
        <w:pStyle w:val="Call"/>
      </w:pPr>
      <w:r w:rsidRPr="00CA61A6">
        <w:t>encarga al Director de la Oficina de Normalización de las Telecomunicaciones que, en colaboración con el Director de la Oficina de Desarrollo de las Telecomunicaciones</w:t>
      </w:r>
    </w:p>
    <w:p w:rsidR="0062564D" w:rsidRPr="00CA61A6" w:rsidRDefault="0062564D" w:rsidP="007B3478">
      <w:r w:rsidRPr="00CA61A6">
        <w:t>1</w:t>
      </w:r>
      <w:r w:rsidRPr="00CA61A6">
        <w:tab/>
        <w:t>defina las prácticas más apropiadas de los EIII;</w:t>
      </w:r>
    </w:p>
    <w:p w:rsidR="0062564D" w:rsidRPr="00CA61A6" w:rsidRDefault="0062564D" w:rsidP="007B3478">
      <w:r w:rsidRPr="00CA61A6">
        <w:t>2</w:t>
      </w:r>
      <w:r w:rsidRPr="00CA61A6">
        <w:tab/>
        <w:t>identifique dónde se necesitan los EIII;</w:t>
      </w:r>
    </w:p>
    <w:p w:rsidR="0062564D" w:rsidRPr="00CA61A6" w:rsidRDefault="0062564D" w:rsidP="007B3478">
      <w:r w:rsidRPr="00CA61A6">
        <w:t>3</w:t>
      </w:r>
      <w:r w:rsidRPr="00CA61A6">
        <w:tab/>
        <w:t>colabore con expertos y entidades internacionales para llevar a cabo el establecimiento de EIII nacionales;</w:t>
      </w:r>
    </w:p>
    <w:p w:rsidR="0062564D" w:rsidRPr="00CA61A6" w:rsidRDefault="0062564D" w:rsidP="007B3478">
      <w:r w:rsidRPr="00CA61A6">
        <w:t>4</w:t>
      </w:r>
      <w:r w:rsidRPr="00CA61A6">
        <w:tab/>
        <w:t>proporcione el apoyo que corresponda y dentro de los recursos presupuestarios existentes;</w:t>
      </w:r>
    </w:p>
    <w:p w:rsidR="0062564D" w:rsidRPr="00CA61A6" w:rsidRDefault="0062564D" w:rsidP="007B3478">
      <w:r w:rsidRPr="00CA61A6">
        <w:t>5</w:t>
      </w:r>
      <w:r w:rsidRPr="00CA61A6">
        <w:tab/>
        <w:t>facilite la cooperación entre los EIII nacionales, por ejemplo en materia de creación de capacidades y de intercambio de información, en un marco apropiado,</w:t>
      </w:r>
    </w:p>
    <w:p w:rsidR="0062564D" w:rsidRPr="00CA61A6" w:rsidRDefault="0062564D" w:rsidP="007B3478">
      <w:pPr>
        <w:pStyle w:val="Call"/>
      </w:pPr>
      <w:r w:rsidRPr="00CA61A6">
        <w:t xml:space="preserve">invita a los Estados Miembros </w:t>
      </w:r>
    </w:p>
    <w:p w:rsidR="0062564D" w:rsidRPr="00CA61A6" w:rsidRDefault="0062564D" w:rsidP="007B3478">
      <w:r w:rsidRPr="00CA61A6">
        <w:t>1</w:t>
      </w:r>
      <w:r w:rsidRPr="00CA61A6">
        <w:tab/>
        <w:t>a considerar la posibilidad de crear un EIII nacional con carácter de alta prioridad;</w:t>
      </w:r>
    </w:p>
    <w:p w:rsidR="0062564D" w:rsidRPr="00CA61A6" w:rsidRDefault="0062564D" w:rsidP="007B3478">
      <w:r w:rsidRPr="00CA61A6">
        <w:t>2</w:t>
      </w:r>
      <w:r w:rsidRPr="00CA61A6">
        <w:tab/>
        <w:t>a colaborar con otros Estados Miembros y Miembros de Sector,</w:t>
      </w:r>
    </w:p>
    <w:p w:rsidR="0062564D" w:rsidRPr="00CA61A6" w:rsidRDefault="0062564D" w:rsidP="007B3478">
      <w:pPr>
        <w:pStyle w:val="Call"/>
      </w:pPr>
      <w:r w:rsidRPr="00CA61A6">
        <w:t>invita a los Estados Miembros y a los Miembros de Sector</w:t>
      </w:r>
    </w:p>
    <w:p w:rsidR="0062564D" w:rsidRPr="00CA61A6" w:rsidRDefault="0062564D" w:rsidP="00624F67">
      <w:pPr>
        <w:spacing w:after="120"/>
      </w:pPr>
      <w:r w:rsidRPr="00CA61A6">
        <w:t>a colaborar estrechamente con el UIT-T y el UIT-D a este respecto.</w:t>
      </w:r>
    </w:p>
    <w:tbl>
      <w:tblPr>
        <w:tblW w:w="9365"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4125"/>
        <w:gridCol w:w="1549"/>
        <w:gridCol w:w="1340"/>
        <w:gridCol w:w="1365"/>
      </w:tblGrid>
      <w:tr w:rsidR="0062564D" w:rsidRPr="00CA61A6" w:rsidTr="00274061">
        <w:trPr>
          <w:trHeight w:val="647"/>
          <w:tblHeader/>
        </w:trPr>
        <w:tc>
          <w:tcPr>
            <w:tcW w:w="986" w:type="dxa"/>
            <w:tcBorders>
              <w:bottom w:val="double" w:sz="4" w:space="0" w:color="auto"/>
            </w:tcBorders>
            <w:vAlign w:val="center"/>
          </w:tcPr>
          <w:p w:rsidR="0062564D" w:rsidRPr="00CA61A6" w:rsidRDefault="002F5D02" w:rsidP="007B3478">
            <w:pPr>
              <w:pStyle w:val="Tablehead"/>
            </w:pPr>
            <w:r w:rsidRPr="00CA61A6">
              <w:t>Número</w:t>
            </w:r>
          </w:p>
        </w:tc>
        <w:tc>
          <w:tcPr>
            <w:tcW w:w="4125" w:type="dxa"/>
            <w:tcBorders>
              <w:bottom w:val="double" w:sz="4" w:space="0" w:color="auto"/>
            </w:tcBorders>
            <w:shd w:val="clear" w:color="auto" w:fill="auto"/>
            <w:vAlign w:val="center"/>
            <w:hideMark/>
          </w:tcPr>
          <w:p w:rsidR="0062564D" w:rsidRPr="00CA61A6" w:rsidRDefault="0062564D" w:rsidP="007B3478">
            <w:pPr>
              <w:pStyle w:val="Tablehead"/>
            </w:pPr>
            <w:r w:rsidRPr="00CA61A6">
              <w:t>Acción</w:t>
            </w:r>
          </w:p>
        </w:tc>
        <w:tc>
          <w:tcPr>
            <w:tcW w:w="1549" w:type="dxa"/>
            <w:tcBorders>
              <w:bottom w:val="double" w:sz="4" w:space="0" w:color="auto"/>
            </w:tcBorders>
            <w:shd w:val="clear" w:color="auto" w:fill="auto"/>
            <w:vAlign w:val="center"/>
            <w:hideMark/>
          </w:tcPr>
          <w:p w:rsidR="0062564D" w:rsidRPr="00CA61A6" w:rsidRDefault="0062564D" w:rsidP="007B3478">
            <w:pPr>
              <w:pStyle w:val="Tablehead"/>
            </w:pPr>
            <w:r w:rsidRPr="00CA61A6">
              <w:t>Fecha objetivo</w:t>
            </w:r>
          </w:p>
        </w:tc>
        <w:tc>
          <w:tcPr>
            <w:tcW w:w="1340" w:type="dxa"/>
            <w:tcBorders>
              <w:bottom w:val="double" w:sz="4" w:space="0" w:color="auto"/>
            </w:tcBorders>
            <w:vAlign w:val="center"/>
          </w:tcPr>
          <w:p w:rsidR="0062564D" w:rsidRPr="00CA61A6" w:rsidRDefault="0062564D" w:rsidP="007B3478">
            <w:pPr>
              <w:pStyle w:val="Tablehead"/>
            </w:pPr>
            <w:r w:rsidRPr="00CA61A6">
              <w:t>Objetivos periódicos cumplidos</w:t>
            </w:r>
          </w:p>
        </w:tc>
        <w:tc>
          <w:tcPr>
            <w:tcW w:w="1365" w:type="dxa"/>
            <w:tcBorders>
              <w:bottom w:val="double" w:sz="4" w:space="0" w:color="auto"/>
              <w:right w:val="single" w:sz="4" w:space="0" w:color="auto"/>
            </w:tcBorders>
            <w:vAlign w:val="center"/>
          </w:tcPr>
          <w:p w:rsidR="0062564D" w:rsidRPr="00CA61A6" w:rsidRDefault="0062564D" w:rsidP="007B3478">
            <w:pPr>
              <w:pStyle w:val="Tablehead"/>
            </w:pPr>
            <w:r w:rsidRPr="00CA61A6">
              <w:t>Completada</w:t>
            </w:r>
          </w:p>
        </w:tc>
      </w:tr>
      <w:tr w:rsidR="0062564D" w:rsidRPr="00CA61A6" w:rsidTr="00274061">
        <w:trPr>
          <w:trHeight w:val="620"/>
        </w:trPr>
        <w:tc>
          <w:tcPr>
            <w:tcW w:w="986" w:type="dxa"/>
            <w:tcBorders>
              <w:top w:val="double" w:sz="4" w:space="0" w:color="auto"/>
            </w:tcBorders>
            <w:vAlign w:val="center"/>
          </w:tcPr>
          <w:p w:rsidR="0062564D" w:rsidRPr="00CA61A6" w:rsidRDefault="00110CAD" w:rsidP="007B3478">
            <w:pPr>
              <w:pStyle w:val="Tabletext"/>
              <w:spacing w:before="120" w:after="0"/>
              <w:jc w:val="center"/>
              <w:rPr>
                <w:rFonts w:asciiTheme="majorBidi" w:hAnsiTheme="majorBidi" w:cstheme="majorBidi"/>
              </w:rPr>
            </w:pPr>
            <w:hyperlink w:anchor="Item58_01" w:history="1">
              <w:r w:rsidR="0062564D" w:rsidRPr="00CA61A6">
                <w:rPr>
                  <w:rStyle w:val="Hyperlink"/>
                  <w:rFonts w:asciiTheme="majorBidi" w:hAnsiTheme="majorBidi" w:cstheme="majorBidi"/>
                </w:rPr>
                <w:t>58-01</w:t>
              </w:r>
            </w:hyperlink>
          </w:p>
        </w:tc>
        <w:tc>
          <w:tcPr>
            <w:tcW w:w="4125" w:type="dxa"/>
            <w:tcBorders>
              <w:top w:val="double" w:sz="4" w:space="0" w:color="auto"/>
            </w:tcBorders>
            <w:shd w:val="clear" w:color="auto" w:fill="auto"/>
            <w:hideMark/>
          </w:tcPr>
          <w:p w:rsidR="0062564D" w:rsidRPr="00CA61A6" w:rsidRDefault="0062564D" w:rsidP="007B3478">
            <w:pPr>
              <w:pStyle w:val="Tabletext"/>
            </w:pPr>
            <w:r w:rsidRPr="00CA61A6">
              <w:t>El Director, en colaboración con el Director de la BDT y la CE 17, identificará las prácticas idóneas para la creación de EIII y determinará donde se necesitan los EIII</w:t>
            </w:r>
          </w:p>
        </w:tc>
        <w:tc>
          <w:tcPr>
            <w:tcW w:w="1549" w:type="dxa"/>
            <w:tcBorders>
              <w:top w:val="double" w:sz="4" w:space="0" w:color="auto"/>
            </w:tcBorders>
            <w:shd w:val="clear" w:color="auto" w:fill="auto"/>
            <w:vAlign w:val="center"/>
            <w:hideMark/>
          </w:tcPr>
          <w:p w:rsidR="0062564D" w:rsidRPr="00CA61A6" w:rsidRDefault="0062564D" w:rsidP="007B3478">
            <w:pPr>
              <w:pStyle w:val="Tabletext"/>
              <w:jc w:val="center"/>
            </w:pPr>
            <w:r w:rsidRPr="00CA61A6">
              <w:t>En curso</w:t>
            </w:r>
          </w:p>
        </w:tc>
        <w:tc>
          <w:tcPr>
            <w:tcW w:w="1340" w:type="dxa"/>
            <w:tcBorders>
              <w:top w:val="double" w:sz="4" w:space="0" w:color="auto"/>
            </w:tcBorders>
            <w:vAlign w:val="center"/>
          </w:tcPr>
          <w:p w:rsidR="0062564D" w:rsidRPr="00CA61A6" w:rsidRDefault="0062564D" w:rsidP="007B3478">
            <w:pPr>
              <w:pStyle w:val="Tabletext"/>
              <w:jc w:val="center"/>
            </w:pPr>
            <w:r w:rsidRPr="00CA61A6">
              <w:sym w:font="Wingdings" w:char="F0FC"/>
            </w:r>
          </w:p>
        </w:tc>
        <w:tc>
          <w:tcPr>
            <w:tcW w:w="1365" w:type="dxa"/>
            <w:tcBorders>
              <w:top w:val="double" w:sz="4" w:space="0" w:color="auto"/>
            </w:tcBorders>
            <w:shd w:val="clear" w:color="auto" w:fill="auto"/>
            <w:vAlign w:val="center"/>
          </w:tcPr>
          <w:p w:rsidR="0062564D" w:rsidRPr="00CA61A6" w:rsidRDefault="0062564D" w:rsidP="005D5538">
            <w:pPr>
              <w:pStyle w:val="Tabletext"/>
              <w:jc w:val="center"/>
            </w:pPr>
          </w:p>
        </w:tc>
      </w:tr>
      <w:tr w:rsidR="0062564D" w:rsidRPr="00CA61A6" w:rsidTr="00274061">
        <w:trPr>
          <w:trHeight w:val="710"/>
        </w:trPr>
        <w:tc>
          <w:tcPr>
            <w:tcW w:w="986" w:type="dxa"/>
            <w:vAlign w:val="center"/>
          </w:tcPr>
          <w:p w:rsidR="0062564D" w:rsidRPr="00CA61A6" w:rsidRDefault="00110CAD" w:rsidP="007B3478">
            <w:pPr>
              <w:pStyle w:val="Tabletext"/>
              <w:spacing w:before="120" w:after="0"/>
              <w:jc w:val="center"/>
              <w:rPr>
                <w:rFonts w:asciiTheme="majorBidi" w:hAnsiTheme="majorBidi" w:cstheme="majorBidi"/>
              </w:rPr>
            </w:pPr>
            <w:hyperlink w:anchor="Item58_01" w:history="1">
              <w:r w:rsidR="0062564D" w:rsidRPr="00CA61A6">
                <w:rPr>
                  <w:rStyle w:val="Hyperlink"/>
                  <w:rFonts w:asciiTheme="majorBidi" w:hAnsiTheme="majorBidi" w:cstheme="majorBidi"/>
                </w:rPr>
                <w:t>58-02</w:t>
              </w:r>
            </w:hyperlink>
          </w:p>
        </w:tc>
        <w:tc>
          <w:tcPr>
            <w:tcW w:w="4125" w:type="dxa"/>
            <w:shd w:val="clear" w:color="auto" w:fill="auto"/>
            <w:hideMark/>
          </w:tcPr>
          <w:p w:rsidR="0062564D" w:rsidRPr="00CA61A6" w:rsidRDefault="0062564D" w:rsidP="007B3478">
            <w:pPr>
              <w:pStyle w:val="Tabletext"/>
            </w:pPr>
            <w:r w:rsidRPr="00CA61A6">
              <w:t>El Director, en colaboración con el Director de la BDT, facilitará la creación de capacidad y el intercambio de información entre los EIII nacionales</w:t>
            </w:r>
          </w:p>
        </w:tc>
        <w:tc>
          <w:tcPr>
            <w:tcW w:w="1549" w:type="dxa"/>
            <w:shd w:val="clear" w:color="auto" w:fill="auto"/>
            <w:vAlign w:val="center"/>
            <w:hideMark/>
          </w:tcPr>
          <w:p w:rsidR="0062564D" w:rsidRPr="00CA61A6" w:rsidRDefault="0062564D" w:rsidP="007B3478">
            <w:pPr>
              <w:pStyle w:val="Tabletext"/>
              <w:jc w:val="center"/>
            </w:pPr>
            <w:r w:rsidRPr="00CA61A6">
              <w:t>En curso</w:t>
            </w:r>
          </w:p>
        </w:tc>
        <w:tc>
          <w:tcPr>
            <w:tcW w:w="1340" w:type="dxa"/>
            <w:vAlign w:val="center"/>
          </w:tcPr>
          <w:p w:rsidR="0062564D" w:rsidRPr="00CA61A6" w:rsidRDefault="0062564D" w:rsidP="007B3478">
            <w:pPr>
              <w:pStyle w:val="Tabletext"/>
              <w:jc w:val="center"/>
            </w:pPr>
            <w:r w:rsidRPr="00CA61A6">
              <w:sym w:font="Wingdings" w:char="F0FC"/>
            </w:r>
          </w:p>
        </w:tc>
        <w:tc>
          <w:tcPr>
            <w:tcW w:w="1365" w:type="dxa"/>
            <w:shd w:val="clear" w:color="auto" w:fill="auto"/>
            <w:vAlign w:val="center"/>
          </w:tcPr>
          <w:p w:rsidR="0062564D" w:rsidRPr="00CA61A6" w:rsidRDefault="0062564D" w:rsidP="005D5538">
            <w:pPr>
              <w:pStyle w:val="Tabletext"/>
              <w:jc w:val="center"/>
            </w:pPr>
          </w:p>
        </w:tc>
      </w:tr>
      <w:tr w:rsidR="0062564D" w:rsidRPr="00CA61A6" w:rsidTr="00274061">
        <w:trPr>
          <w:trHeight w:val="530"/>
        </w:trPr>
        <w:tc>
          <w:tcPr>
            <w:tcW w:w="986" w:type="dxa"/>
            <w:vAlign w:val="center"/>
          </w:tcPr>
          <w:p w:rsidR="0062564D" w:rsidRPr="00CA61A6" w:rsidRDefault="00110CAD" w:rsidP="007B3478">
            <w:pPr>
              <w:pStyle w:val="Tabletext"/>
              <w:spacing w:before="120" w:after="0"/>
              <w:jc w:val="center"/>
              <w:rPr>
                <w:rFonts w:asciiTheme="majorBidi" w:hAnsiTheme="majorBidi" w:cstheme="majorBidi"/>
              </w:rPr>
            </w:pPr>
            <w:hyperlink w:anchor="Item58_03" w:history="1">
              <w:r w:rsidR="0062564D" w:rsidRPr="00CA61A6">
                <w:rPr>
                  <w:rStyle w:val="Hyperlink"/>
                  <w:rFonts w:asciiTheme="majorBidi" w:hAnsiTheme="majorBidi" w:cstheme="majorBidi"/>
                </w:rPr>
                <w:t>58-03</w:t>
              </w:r>
            </w:hyperlink>
          </w:p>
        </w:tc>
        <w:tc>
          <w:tcPr>
            <w:tcW w:w="4125" w:type="dxa"/>
            <w:shd w:val="clear" w:color="auto" w:fill="auto"/>
            <w:hideMark/>
          </w:tcPr>
          <w:p w:rsidR="0062564D" w:rsidRPr="00CA61A6" w:rsidRDefault="00793391" w:rsidP="00D61782">
            <w:pPr>
              <w:pStyle w:val="Tabletext"/>
            </w:pPr>
            <w:r w:rsidRPr="00CA61A6">
              <w:t>La C</w:t>
            </w:r>
            <w:r w:rsidR="0062564D" w:rsidRPr="00CA61A6">
              <w:t>3/17 estudiará el problema de la creación de los EIII y la posibilidad de dar directrices conformes con X.1056 (Directrices para la gestión de incidentes de seguridad en organizaciones de telecomunicaci</w:t>
            </w:r>
            <w:r w:rsidR="005841EF">
              <w:t>ones), en colaboración con la C</w:t>
            </w:r>
            <w:r w:rsidR="0062564D" w:rsidRPr="00CA61A6">
              <w:t>4/17 y otras Cuestiones y Recomendaciones pertinentes (por ejemplo,</w:t>
            </w:r>
            <w:r w:rsidR="00D61782">
              <w:t xml:space="preserve"> la</w:t>
            </w:r>
            <w:r w:rsidR="0062564D" w:rsidRPr="00CA61A6">
              <w:t xml:space="preserve"> Rec</w:t>
            </w:r>
            <w:r w:rsidR="00D61782">
              <w:t>omendación</w:t>
            </w:r>
            <w:r w:rsidR="0062564D" w:rsidRPr="00CA61A6">
              <w:t xml:space="preserve"> UIT-T E.409)</w:t>
            </w:r>
          </w:p>
        </w:tc>
        <w:tc>
          <w:tcPr>
            <w:tcW w:w="1549" w:type="dxa"/>
            <w:shd w:val="clear" w:color="auto" w:fill="auto"/>
            <w:vAlign w:val="center"/>
            <w:hideMark/>
          </w:tcPr>
          <w:p w:rsidR="0062564D" w:rsidRPr="00CA61A6" w:rsidRDefault="0062564D" w:rsidP="007B3478">
            <w:pPr>
              <w:pStyle w:val="Tabletext"/>
              <w:jc w:val="center"/>
            </w:pPr>
            <w:r w:rsidRPr="00CA61A6">
              <w:t>En curso</w:t>
            </w:r>
          </w:p>
        </w:tc>
        <w:tc>
          <w:tcPr>
            <w:tcW w:w="1340" w:type="dxa"/>
            <w:vAlign w:val="center"/>
          </w:tcPr>
          <w:p w:rsidR="0062564D" w:rsidRPr="00CA61A6" w:rsidRDefault="0062564D" w:rsidP="007B3478">
            <w:pPr>
              <w:pStyle w:val="Tabletext"/>
              <w:jc w:val="center"/>
            </w:pPr>
            <w:r w:rsidRPr="00CA61A6">
              <w:sym w:font="Wingdings" w:char="F0FC"/>
            </w:r>
          </w:p>
        </w:tc>
        <w:tc>
          <w:tcPr>
            <w:tcW w:w="1365" w:type="dxa"/>
            <w:vAlign w:val="center"/>
          </w:tcPr>
          <w:p w:rsidR="0062564D" w:rsidRPr="00CA61A6" w:rsidRDefault="0062564D" w:rsidP="005D5538">
            <w:pPr>
              <w:pStyle w:val="Tabletext"/>
              <w:jc w:val="center"/>
            </w:pPr>
          </w:p>
        </w:tc>
      </w:tr>
      <w:tr w:rsidR="0062564D" w:rsidRPr="00CA61A6" w:rsidTr="00274061">
        <w:trPr>
          <w:trHeight w:val="530"/>
        </w:trPr>
        <w:tc>
          <w:tcPr>
            <w:tcW w:w="986" w:type="dxa"/>
            <w:vAlign w:val="center"/>
          </w:tcPr>
          <w:p w:rsidR="0062564D" w:rsidRPr="00CA61A6" w:rsidRDefault="00110CAD" w:rsidP="007B3478">
            <w:pPr>
              <w:pStyle w:val="Tabletext"/>
              <w:spacing w:before="120" w:after="0"/>
              <w:jc w:val="center"/>
              <w:rPr>
                <w:rFonts w:asciiTheme="majorBidi" w:hAnsiTheme="majorBidi" w:cstheme="majorBidi"/>
              </w:rPr>
            </w:pPr>
            <w:hyperlink w:anchor="Item58_04" w:history="1">
              <w:r w:rsidR="0062564D" w:rsidRPr="00CA61A6">
                <w:rPr>
                  <w:rStyle w:val="Hyperlink"/>
                  <w:rFonts w:asciiTheme="majorBidi" w:hAnsiTheme="majorBidi" w:cstheme="majorBidi"/>
                </w:rPr>
                <w:t>58-04</w:t>
              </w:r>
            </w:hyperlink>
          </w:p>
        </w:tc>
        <w:tc>
          <w:tcPr>
            <w:tcW w:w="4125" w:type="dxa"/>
            <w:shd w:val="clear" w:color="auto" w:fill="auto"/>
          </w:tcPr>
          <w:p w:rsidR="0062564D" w:rsidRPr="00CA61A6" w:rsidRDefault="00793391" w:rsidP="007B3478">
            <w:pPr>
              <w:pStyle w:val="Tabletext"/>
            </w:pPr>
            <w:r w:rsidRPr="00CA61A6">
              <w:t>La C</w:t>
            </w:r>
            <w:r w:rsidR="0062564D" w:rsidRPr="00CA61A6">
              <w:t xml:space="preserve">4/17 seguirá sus trabajos en su </w:t>
            </w:r>
            <w:r w:rsidR="00360257" w:rsidRPr="00CA61A6">
              <w:t xml:space="preserve">Grupo </w:t>
            </w:r>
            <w:r w:rsidR="0062564D" w:rsidRPr="00CA61A6">
              <w:t>por co</w:t>
            </w:r>
            <w:r w:rsidRPr="00CA61A6">
              <w:t>rrespondencia sobre este asunto</w:t>
            </w:r>
          </w:p>
        </w:tc>
        <w:tc>
          <w:tcPr>
            <w:tcW w:w="1549" w:type="dxa"/>
            <w:shd w:val="clear" w:color="auto" w:fill="auto"/>
            <w:vAlign w:val="center"/>
          </w:tcPr>
          <w:p w:rsidR="0062564D" w:rsidRPr="00CA61A6" w:rsidRDefault="0062564D" w:rsidP="007B3478">
            <w:pPr>
              <w:pStyle w:val="Tabletext"/>
              <w:jc w:val="center"/>
            </w:pPr>
            <w:r w:rsidRPr="00CA61A6">
              <w:t>En curso</w:t>
            </w:r>
          </w:p>
        </w:tc>
        <w:tc>
          <w:tcPr>
            <w:tcW w:w="1340" w:type="dxa"/>
            <w:vAlign w:val="center"/>
          </w:tcPr>
          <w:p w:rsidR="0062564D" w:rsidRPr="00CA61A6" w:rsidRDefault="0062564D" w:rsidP="007B3478">
            <w:pPr>
              <w:pStyle w:val="Tabletext"/>
              <w:jc w:val="center"/>
            </w:pPr>
            <w:r w:rsidRPr="00CA61A6">
              <w:sym w:font="Wingdings" w:char="F0FC"/>
            </w:r>
          </w:p>
        </w:tc>
        <w:tc>
          <w:tcPr>
            <w:tcW w:w="1365" w:type="dxa"/>
            <w:vAlign w:val="center"/>
          </w:tcPr>
          <w:p w:rsidR="0062564D" w:rsidRPr="00CA61A6" w:rsidRDefault="0062564D" w:rsidP="007B3478">
            <w:pPr>
              <w:pStyle w:val="Tabletext"/>
              <w:jc w:val="center"/>
            </w:pPr>
          </w:p>
        </w:tc>
      </w:tr>
    </w:tbl>
    <w:p w:rsidR="0062564D" w:rsidRPr="00CA61A6" w:rsidRDefault="001325F0" w:rsidP="00CD0D2F">
      <w:pPr>
        <w:pStyle w:val="Headingb"/>
        <w:keepLines/>
      </w:pPr>
      <w:bookmarkStart w:id="517" w:name="Item58_01"/>
      <w:r w:rsidRPr="00CA61A6">
        <w:lastRenderedPageBreak/>
        <w:t xml:space="preserve">Acciones </w:t>
      </w:r>
      <w:r w:rsidR="00FD4104">
        <w:t>58-01 y</w:t>
      </w:r>
      <w:r w:rsidR="0062564D" w:rsidRPr="00CA61A6">
        <w:t xml:space="preserve"> 58-02: CE</w:t>
      </w:r>
      <w:r w:rsidR="00CD0D2F" w:rsidRPr="00CA61A6">
        <w:t> </w:t>
      </w:r>
      <w:r w:rsidR="0062564D" w:rsidRPr="00CA61A6">
        <w:t>17</w:t>
      </w:r>
    </w:p>
    <w:p w:rsidR="0062564D" w:rsidRPr="00CA61A6" w:rsidRDefault="0062564D" w:rsidP="002B702A">
      <w:pPr>
        <w:rPr>
          <w:szCs w:val="24"/>
          <w:lang w:eastAsia="ja-JP"/>
        </w:rPr>
      </w:pPr>
      <w:bookmarkStart w:id="518" w:name="lt_pId1186"/>
      <w:bookmarkEnd w:id="517"/>
      <w:r w:rsidRPr="00CA61A6">
        <w:rPr>
          <w:szCs w:val="24"/>
          <w:lang w:eastAsia="ja-JP"/>
        </w:rPr>
        <w:t xml:space="preserve">La Cuestión 3/17 </w:t>
      </w:r>
      <w:r w:rsidR="00B26079" w:rsidRPr="00CA61A6">
        <w:rPr>
          <w:szCs w:val="24"/>
          <w:lang w:eastAsia="ja-JP"/>
        </w:rPr>
        <w:t>"</w:t>
      </w:r>
      <w:r w:rsidRPr="00CA61A6">
        <w:rPr>
          <w:szCs w:val="24"/>
          <w:lang w:eastAsia="ja-JP"/>
        </w:rPr>
        <w:t>Gestión de la seguridad de la información en las telecomunicaciones</w:t>
      </w:r>
      <w:r w:rsidR="00B26079" w:rsidRPr="00CA61A6">
        <w:rPr>
          <w:szCs w:val="24"/>
          <w:lang w:eastAsia="ja-JP"/>
        </w:rPr>
        <w:t>"</w:t>
      </w:r>
      <w:r w:rsidRPr="00CA61A6">
        <w:rPr>
          <w:szCs w:val="24"/>
          <w:lang w:eastAsia="ja-JP"/>
        </w:rPr>
        <w:t xml:space="preserve"> y la Cuestión 4/17 </w:t>
      </w:r>
      <w:r w:rsidR="00B26079" w:rsidRPr="00CA61A6">
        <w:rPr>
          <w:szCs w:val="24"/>
          <w:lang w:eastAsia="ja-JP"/>
        </w:rPr>
        <w:t>"</w:t>
      </w:r>
      <w:r w:rsidRPr="00CA61A6">
        <w:rPr>
          <w:szCs w:val="24"/>
          <w:lang w:eastAsia="ja-JP"/>
        </w:rPr>
        <w:t>Ciberseguridad</w:t>
      </w:r>
      <w:r w:rsidR="00B26079" w:rsidRPr="00CA61A6">
        <w:rPr>
          <w:szCs w:val="24"/>
          <w:lang w:eastAsia="ja-JP"/>
        </w:rPr>
        <w:t>"</w:t>
      </w:r>
      <w:r w:rsidRPr="00CA61A6">
        <w:rPr>
          <w:szCs w:val="24"/>
          <w:lang w:eastAsia="ja-JP"/>
        </w:rPr>
        <w:t xml:space="preserve"> </w:t>
      </w:r>
      <w:r w:rsidR="002B702A">
        <w:rPr>
          <w:szCs w:val="24"/>
          <w:lang w:eastAsia="ja-JP"/>
        </w:rPr>
        <w:t>prepararon</w:t>
      </w:r>
      <w:r w:rsidRPr="00CA61A6">
        <w:rPr>
          <w:szCs w:val="24"/>
          <w:lang w:eastAsia="ja-JP"/>
        </w:rPr>
        <w:t xml:space="preserve"> un </w:t>
      </w:r>
      <w:r w:rsidRPr="00CA61A6">
        <w:rPr>
          <w:i/>
          <w:iCs/>
          <w:szCs w:val="24"/>
          <w:lang w:eastAsia="ja-JP"/>
        </w:rPr>
        <w:t>directorio mundial sobre organizaciones de ciberseguridad, EIII inclusive</w:t>
      </w:r>
      <w:r w:rsidRPr="00CA61A6">
        <w:rPr>
          <w:szCs w:val="24"/>
          <w:lang w:eastAsia="ja-JP"/>
        </w:rPr>
        <w:t xml:space="preserve">, que actualmente aloja y mantiene la TSB en su sitio web: </w:t>
      </w:r>
      <w:hyperlink r:id="rId123" w:history="1">
        <w:r w:rsidRPr="00CA61A6">
          <w:rPr>
            <w:color w:val="0000FF"/>
            <w:szCs w:val="24"/>
            <w:u w:val="single"/>
            <w:lang w:eastAsia="ja-JP"/>
          </w:rPr>
          <w:t>http://www.itu.int/ITU-T/studygroups/com17/nfvo</w:t>
        </w:r>
      </w:hyperlink>
      <w:r w:rsidRPr="00CA61A6">
        <w:rPr>
          <w:szCs w:val="24"/>
          <w:lang w:eastAsia="ja-JP"/>
        </w:rPr>
        <w:t>.</w:t>
      </w:r>
      <w:bookmarkEnd w:id="518"/>
      <w:r w:rsidRPr="00CA61A6">
        <w:rPr>
          <w:szCs w:val="24"/>
          <w:lang w:eastAsia="ja-JP"/>
        </w:rPr>
        <w:t xml:space="preserve"> </w:t>
      </w:r>
      <w:bookmarkStart w:id="519" w:name="lt_pId1187"/>
      <w:r w:rsidRPr="00CA61A6">
        <w:rPr>
          <w:szCs w:val="24"/>
          <w:lang w:eastAsia="ja-JP"/>
        </w:rPr>
        <w:t>Este directorio fomenta la colaboración entre organizaciones.</w:t>
      </w:r>
      <w:bookmarkEnd w:id="519"/>
    </w:p>
    <w:p w:rsidR="0062564D" w:rsidRPr="00CA61A6" w:rsidRDefault="0062564D" w:rsidP="00EC6E8F">
      <w:pPr>
        <w:rPr>
          <w:szCs w:val="24"/>
          <w:lang w:eastAsia="ja-JP"/>
        </w:rPr>
      </w:pPr>
      <w:bookmarkStart w:id="520" w:name="lt_pId1188"/>
      <w:r w:rsidRPr="00CA61A6">
        <w:rPr>
          <w:szCs w:val="24"/>
          <w:lang w:eastAsia="ja-JP"/>
        </w:rPr>
        <w:t xml:space="preserve">La reunión mixta de la Cuestión 3/17 y la </w:t>
      </w:r>
      <w:r w:rsidR="007A03F5" w:rsidRPr="00CA61A6">
        <w:rPr>
          <w:szCs w:val="24"/>
          <w:lang w:eastAsia="ja-JP"/>
        </w:rPr>
        <w:t xml:space="preserve">Cuestión </w:t>
      </w:r>
      <w:r w:rsidRPr="00CA61A6">
        <w:rPr>
          <w:szCs w:val="24"/>
          <w:lang w:eastAsia="ja-JP"/>
        </w:rPr>
        <w:t>4/17 convin</w:t>
      </w:r>
      <w:r w:rsidR="00EC6E8F">
        <w:rPr>
          <w:szCs w:val="24"/>
          <w:lang w:eastAsia="ja-JP"/>
        </w:rPr>
        <w:t>o</w:t>
      </w:r>
      <w:r w:rsidRPr="00CA61A6">
        <w:rPr>
          <w:szCs w:val="24"/>
          <w:lang w:eastAsia="ja-JP"/>
        </w:rPr>
        <w:t xml:space="preserve"> en mejorar la colaboración entre estas dos Cuestiones y la Cuestión 22/1 del UIT-D, por ejemplo, com</w:t>
      </w:r>
      <w:r w:rsidR="00C92DC2">
        <w:rPr>
          <w:szCs w:val="24"/>
          <w:lang w:eastAsia="ja-JP"/>
        </w:rPr>
        <w:t>partir el directorio con el UIT</w:t>
      </w:r>
      <w:r w:rsidR="00C92DC2">
        <w:rPr>
          <w:szCs w:val="24"/>
          <w:lang w:eastAsia="ja-JP"/>
        </w:rPr>
        <w:noBreakHyphen/>
      </w:r>
      <w:r w:rsidRPr="00CA61A6">
        <w:rPr>
          <w:szCs w:val="24"/>
          <w:lang w:eastAsia="ja-JP"/>
        </w:rPr>
        <w:t>D y elaborar directrices en colaboración con las Cuestiones.</w:t>
      </w:r>
      <w:bookmarkEnd w:id="520"/>
    </w:p>
    <w:p w:rsidR="0062564D" w:rsidRPr="00CA61A6" w:rsidRDefault="0062564D" w:rsidP="007B3478">
      <w:pPr>
        <w:rPr>
          <w:szCs w:val="24"/>
          <w:lang w:eastAsia="ja-JP"/>
        </w:rPr>
      </w:pPr>
      <w:bookmarkStart w:id="521" w:name="lt_pId1189"/>
      <w:r w:rsidRPr="00CA61A6">
        <w:rPr>
          <w:szCs w:val="24"/>
          <w:lang w:eastAsia="ja-JP"/>
        </w:rPr>
        <w:t>El Foro FIRST (</w:t>
      </w:r>
      <w:r w:rsidRPr="00CA61A6">
        <w:rPr>
          <w:color w:val="000000"/>
        </w:rPr>
        <w:t>Foro de los equipos de intervención en caso de incidentes de seguridad</w:t>
      </w:r>
      <w:r w:rsidRPr="00CA61A6">
        <w:rPr>
          <w:szCs w:val="24"/>
          <w:lang w:eastAsia="ja-JP"/>
        </w:rPr>
        <w:t>), en el que están representados más de 300 EIII del mundo, participa activamente</w:t>
      </w:r>
      <w:r w:rsidR="004D634C" w:rsidRPr="00CA61A6">
        <w:rPr>
          <w:szCs w:val="24"/>
          <w:lang w:eastAsia="ja-JP"/>
        </w:rPr>
        <w:t xml:space="preserve"> en los trabajos de la Cuestión </w:t>
      </w:r>
      <w:r w:rsidRPr="00CA61A6">
        <w:rPr>
          <w:szCs w:val="24"/>
          <w:lang w:eastAsia="ja-JP"/>
        </w:rPr>
        <w:t>4/17.</w:t>
      </w:r>
      <w:bookmarkEnd w:id="521"/>
    </w:p>
    <w:p w:rsidR="0062564D" w:rsidRPr="00CA61A6" w:rsidRDefault="00F424F3" w:rsidP="00F424F3">
      <w:pPr>
        <w:pStyle w:val="Headingb"/>
        <w:keepLines/>
      </w:pPr>
      <w:bookmarkStart w:id="522" w:name="Item58_03"/>
      <w:r w:rsidRPr="00CA61A6">
        <w:t xml:space="preserve">Acción </w:t>
      </w:r>
      <w:r w:rsidR="0062564D" w:rsidRPr="00CA61A6">
        <w:t>58-03: CE</w:t>
      </w:r>
      <w:r w:rsidR="009707F8" w:rsidRPr="00CA61A6">
        <w:t> </w:t>
      </w:r>
      <w:r w:rsidR="0062564D" w:rsidRPr="00CA61A6">
        <w:t>17</w:t>
      </w:r>
    </w:p>
    <w:p w:rsidR="0062564D" w:rsidRPr="00CA61A6" w:rsidRDefault="0062564D" w:rsidP="00C40C30">
      <w:pPr>
        <w:rPr>
          <w:szCs w:val="24"/>
          <w:lang w:eastAsia="ja-JP"/>
        </w:rPr>
      </w:pPr>
      <w:bookmarkStart w:id="523" w:name="lt_pId1191"/>
      <w:bookmarkEnd w:id="522"/>
      <w:r w:rsidRPr="00CA61A6">
        <w:rPr>
          <w:szCs w:val="24"/>
          <w:lang w:eastAsia="ja-JP"/>
        </w:rPr>
        <w:t>La Cuestión 3/17 comenzó a trabajar en colaboración con la Cuestión 4/17 y la Cuestión 22/1 del UIT-D y FIRST para estudiar la creación de EIII y prever la elaboración de directrices con arreglo a la Rec</w:t>
      </w:r>
      <w:bookmarkEnd w:id="523"/>
      <w:r w:rsidR="00C40C30">
        <w:rPr>
          <w:szCs w:val="24"/>
          <w:lang w:eastAsia="ja-JP"/>
        </w:rPr>
        <w:t>omendación</w:t>
      </w:r>
      <w:r w:rsidRPr="00CA61A6">
        <w:rPr>
          <w:szCs w:val="24"/>
          <w:lang w:eastAsia="ja-JP"/>
        </w:rPr>
        <w:t xml:space="preserve"> </w:t>
      </w:r>
      <w:bookmarkStart w:id="524" w:name="lt_pId1192"/>
      <w:r w:rsidRPr="00CA61A6">
        <w:rPr>
          <w:szCs w:val="24"/>
          <w:lang w:eastAsia="ja-JP"/>
        </w:rPr>
        <w:t>UIT-T X.1056 a fin de proporcionar información técnica útil a los países en desarrollo.</w:t>
      </w:r>
      <w:bookmarkEnd w:id="524"/>
    </w:p>
    <w:p w:rsidR="0062564D" w:rsidRPr="00CA61A6" w:rsidRDefault="0062564D" w:rsidP="007B3478">
      <w:pPr>
        <w:rPr>
          <w:szCs w:val="24"/>
          <w:lang w:eastAsia="ja-JP"/>
        </w:rPr>
      </w:pPr>
      <w:bookmarkStart w:id="525" w:name="lt_pId1193"/>
      <w:r w:rsidRPr="00CA61A6">
        <w:rPr>
          <w:szCs w:val="24"/>
          <w:lang w:eastAsia="ja-JP"/>
        </w:rPr>
        <w:t xml:space="preserve">La Cuestión 2/17 </w:t>
      </w:r>
      <w:r w:rsidR="00B26079" w:rsidRPr="00CA61A6">
        <w:rPr>
          <w:szCs w:val="24"/>
          <w:lang w:eastAsia="ja-JP"/>
        </w:rPr>
        <w:t>"</w:t>
      </w:r>
      <w:r w:rsidR="00E9039C" w:rsidRPr="00CA61A6">
        <w:rPr>
          <w:color w:val="000000"/>
        </w:rPr>
        <w:t xml:space="preserve">Arquitectura </w:t>
      </w:r>
      <w:r w:rsidRPr="00CA61A6">
        <w:rPr>
          <w:color w:val="000000"/>
        </w:rPr>
        <w:t>y marco de la seguridad</w:t>
      </w:r>
      <w:r w:rsidR="00B26079" w:rsidRPr="00CA61A6">
        <w:rPr>
          <w:szCs w:val="24"/>
          <w:lang w:eastAsia="ja-JP"/>
        </w:rPr>
        <w:t>"</w:t>
      </w:r>
      <w:r w:rsidRPr="00CA61A6">
        <w:rPr>
          <w:szCs w:val="24"/>
          <w:lang w:eastAsia="ja-JP"/>
        </w:rPr>
        <w:t xml:space="preserve"> ha terminado de estudiar el X.Suppl.15, </w:t>
      </w:r>
      <w:r w:rsidR="00F41FB9">
        <w:rPr>
          <w:szCs w:val="24"/>
          <w:lang w:eastAsia="ja-JP"/>
        </w:rPr>
        <w:t xml:space="preserve">Suplemento sobre </w:t>
      </w:r>
      <w:r w:rsidRPr="00CA61A6">
        <w:rPr>
          <w:color w:val="000000"/>
        </w:rPr>
        <w:t>pautas para la creación de centros nacionales de seguridad de redes IP públicas para países en desarrollo</w:t>
      </w:r>
      <w:r w:rsidRPr="00CA61A6">
        <w:rPr>
          <w:szCs w:val="24"/>
          <w:lang w:eastAsia="ja-JP"/>
        </w:rPr>
        <w:t>.</w:t>
      </w:r>
      <w:bookmarkEnd w:id="525"/>
    </w:p>
    <w:p w:rsidR="0062564D" w:rsidRPr="00CA61A6" w:rsidRDefault="00420DAA" w:rsidP="009D5270">
      <w:pPr>
        <w:pStyle w:val="Headingb"/>
        <w:keepLines/>
      </w:pPr>
      <w:bookmarkStart w:id="526" w:name="Item58_04"/>
      <w:r w:rsidRPr="00CA61A6">
        <w:t xml:space="preserve">Acción </w:t>
      </w:r>
      <w:r w:rsidR="0062564D" w:rsidRPr="00CA61A6">
        <w:t>58-04: CE</w:t>
      </w:r>
      <w:r w:rsidR="009D5270" w:rsidRPr="00CA61A6">
        <w:t> </w:t>
      </w:r>
      <w:r w:rsidR="0062564D" w:rsidRPr="00CA61A6">
        <w:t>17</w:t>
      </w:r>
    </w:p>
    <w:p w:rsidR="0062564D" w:rsidRPr="00CA61A6" w:rsidRDefault="0062564D" w:rsidP="007B3478">
      <w:pPr>
        <w:rPr>
          <w:b/>
          <w:bCs/>
          <w:szCs w:val="24"/>
          <w:lang w:eastAsia="ja-JP"/>
        </w:rPr>
      </w:pPr>
      <w:bookmarkStart w:id="527" w:name="lt_pId1195"/>
      <w:bookmarkEnd w:id="526"/>
      <w:r w:rsidRPr="00CA61A6">
        <w:rPr>
          <w:szCs w:val="24"/>
          <w:lang w:eastAsia="ja-JP"/>
        </w:rPr>
        <w:t>La iniciativa CYBEX (</w:t>
      </w:r>
      <w:r w:rsidRPr="00CA61A6">
        <w:rPr>
          <w:color w:val="000000"/>
        </w:rPr>
        <w:t>intercambio de información sobre ciberseguridad</w:t>
      </w:r>
      <w:r w:rsidRPr="00CA61A6">
        <w:rPr>
          <w:szCs w:val="24"/>
          <w:lang w:eastAsia="ja-JP"/>
        </w:rPr>
        <w:t>) ofrece un conjunto de técnicas para facilitar el intercambio a escala mundial de información sobre EIII (véase X.1500).</w:t>
      </w:r>
      <w:bookmarkEnd w:id="527"/>
    </w:p>
    <w:p w:rsidR="00D54931" w:rsidRPr="00CA61A6" w:rsidRDefault="00110CAD" w:rsidP="00D54931">
      <w:hyperlink w:anchor="Top" w:history="1">
        <w:r w:rsidR="00D54931" w:rsidRPr="00CA61A6">
          <w:rPr>
            <w:rStyle w:val="Hyperlink"/>
          </w:rPr>
          <w:t>» Arriba</w:t>
        </w:r>
      </w:hyperlink>
    </w:p>
    <w:p w:rsidR="0062564D" w:rsidRPr="00CA61A6" w:rsidRDefault="00E3420A" w:rsidP="00911E0A">
      <w:pPr>
        <w:pStyle w:val="Heading1"/>
      </w:pPr>
      <w:bookmarkStart w:id="528" w:name="_28_Resolución_59"/>
      <w:bookmarkStart w:id="529" w:name="_Toc463335779"/>
      <w:bookmarkEnd w:id="528"/>
      <w:r w:rsidRPr="00CA61A6">
        <w:t>28</w:t>
      </w:r>
      <w:r w:rsidRPr="00CA61A6">
        <w:tab/>
      </w:r>
      <w:r w:rsidR="00B67C77" w:rsidRPr="00CA61A6">
        <w:t xml:space="preserve">Resolución </w:t>
      </w:r>
      <w:r w:rsidR="0062564D" w:rsidRPr="00CA61A6">
        <w:t xml:space="preserve">59 </w:t>
      </w:r>
      <w:r w:rsidR="00911E0A" w:rsidRPr="00CA61A6">
        <w:t xml:space="preserve">– </w:t>
      </w:r>
      <w:r w:rsidR="0062564D" w:rsidRPr="00CA61A6">
        <w:t>Mejorar la participación de los operadores de telecomunicaciones de los países en desarrollo</w:t>
      </w:r>
      <w:bookmarkEnd w:id="529"/>
    </w:p>
    <w:p w:rsidR="002D7935" w:rsidRPr="00CA61A6" w:rsidRDefault="002D7935" w:rsidP="002D7935">
      <w:pPr>
        <w:pStyle w:val="Headingb"/>
        <w:keepLines/>
      </w:pPr>
      <w:r w:rsidRPr="00CA61A6">
        <w:t>Resolución 5</w:t>
      </w:r>
      <w:r w:rsidR="00856536" w:rsidRPr="00CA61A6">
        <w:t>9</w:t>
      </w:r>
    </w:p>
    <w:p w:rsidR="0062564D" w:rsidRPr="00CA61A6" w:rsidRDefault="0062564D" w:rsidP="007B3478">
      <w:pPr>
        <w:pStyle w:val="Call"/>
      </w:pPr>
      <w:r w:rsidRPr="00CA61A6">
        <w:t xml:space="preserve">resuelve invitar al Director de la Oficina de Normalización de las Telecomunicaciones </w:t>
      </w:r>
    </w:p>
    <w:p w:rsidR="0062564D" w:rsidRPr="00CA61A6" w:rsidRDefault="0062564D" w:rsidP="007B3478">
      <w:r w:rsidRPr="00CA61A6">
        <w:t>1</w:t>
      </w:r>
      <w:r w:rsidRPr="00CA61A6">
        <w:tab/>
        <w:t>a que aliente a los Miembros de Sector de los países desarrollados a fomentar la participación en las actividades del UIT-T de sus filiales instaladas en países en desarrollo;</w:t>
      </w:r>
    </w:p>
    <w:p w:rsidR="0062564D" w:rsidRPr="00CA61A6" w:rsidRDefault="0062564D" w:rsidP="007B3478">
      <w:r w:rsidRPr="00CA61A6">
        <w:t>2</w:t>
      </w:r>
      <w:r w:rsidRPr="00CA61A6">
        <w:tab/>
        <w:t>a que desarrolle mecanismos que fomenten la participación efectiva de los operadores de telecomunicaciones de los países en desarrollo en las actividades de normalización;</w:t>
      </w:r>
    </w:p>
    <w:p w:rsidR="0062564D" w:rsidRPr="00CA61A6" w:rsidRDefault="0062564D" w:rsidP="007B3478">
      <w:r w:rsidRPr="00CA61A6">
        <w:t>3</w:t>
      </w:r>
      <w:r w:rsidRPr="00CA61A6">
        <w:tab/>
        <w:t>a que dé a conocer a los países en desarrollo los beneficios que reportan la adhesión al UIT-T en tanto que Miembro de Sector y/o Asociado y la participación en el mismo,</w:t>
      </w:r>
    </w:p>
    <w:p w:rsidR="0062564D" w:rsidRPr="00CA61A6" w:rsidRDefault="0062564D" w:rsidP="007B3478">
      <w:pPr>
        <w:pStyle w:val="Call"/>
      </w:pPr>
      <w:r w:rsidRPr="00CA61A6">
        <w:t>invita a los Estados Miembros</w:t>
      </w:r>
    </w:p>
    <w:p w:rsidR="0062564D" w:rsidRPr="00CA61A6" w:rsidRDefault="0062564D" w:rsidP="00FB45C9">
      <w:pPr>
        <w:spacing w:after="120"/>
      </w:pPr>
      <w:r w:rsidRPr="00CA61A6">
        <w:t>a instar a sus Miembros de Sector a que participen en las actividades del UIT-T.</w:t>
      </w:r>
    </w:p>
    <w:tbl>
      <w:tblPr>
        <w:tblW w:w="9635"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
        <w:gridCol w:w="4758"/>
        <w:gridCol w:w="1526"/>
        <w:gridCol w:w="1170"/>
        <w:gridCol w:w="1261"/>
      </w:tblGrid>
      <w:tr w:rsidR="0062564D" w:rsidRPr="00CA61A6" w:rsidTr="00594AD3">
        <w:trPr>
          <w:trHeight w:val="647"/>
          <w:tblHeader/>
        </w:trPr>
        <w:tc>
          <w:tcPr>
            <w:tcW w:w="920" w:type="dxa"/>
            <w:tcBorders>
              <w:bottom w:val="double" w:sz="4" w:space="0" w:color="auto"/>
            </w:tcBorders>
            <w:vAlign w:val="center"/>
          </w:tcPr>
          <w:p w:rsidR="0062564D" w:rsidRPr="00CA61A6" w:rsidRDefault="00FB45C9" w:rsidP="007B3478">
            <w:pPr>
              <w:pStyle w:val="Tablehead"/>
            </w:pPr>
            <w:r w:rsidRPr="00CA61A6">
              <w:lastRenderedPageBreak/>
              <w:t>Número</w:t>
            </w:r>
          </w:p>
        </w:tc>
        <w:tc>
          <w:tcPr>
            <w:tcW w:w="4758" w:type="dxa"/>
            <w:tcBorders>
              <w:bottom w:val="double" w:sz="4" w:space="0" w:color="auto"/>
            </w:tcBorders>
            <w:shd w:val="clear" w:color="auto" w:fill="auto"/>
            <w:vAlign w:val="center"/>
            <w:hideMark/>
          </w:tcPr>
          <w:p w:rsidR="0062564D" w:rsidRPr="00CA61A6" w:rsidRDefault="0062564D" w:rsidP="007B3478">
            <w:pPr>
              <w:pStyle w:val="Tablehead"/>
            </w:pPr>
            <w:r w:rsidRPr="00CA61A6">
              <w:t>Acción</w:t>
            </w:r>
          </w:p>
        </w:tc>
        <w:tc>
          <w:tcPr>
            <w:tcW w:w="1526" w:type="dxa"/>
            <w:tcBorders>
              <w:bottom w:val="double" w:sz="4" w:space="0" w:color="auto"/>
            </w:tcBorders>
            <w:shd w:val="clear" w:color="auto" w:fill="auto"/>
            <w:vAlign w:val="center"/>
            <w:hideMark/>
          </w:tcPr>
          <w:p w:rsidR="0062564D" w:rsidRPr="00CA61A6" w:rsidRDefault="0062564D" w:rsidP="007B3478">
            <w:pPr>
              <w:pStyle w:val="Tablehead"/>
            </w:pPr>
            <w:r w:rsidRPr="00CA61A6">
              <w:t>Fecha objetivo</w:t>
            </w:r>
          </w:p>
        </w:tc>
        <w:tc>
          <w:tcPr>
            <w:tcW w:w="1170" w:type="dxa"/>
            <w:tcBorders>
              <w:bottom w:val="double" w:sz="4" w:space="0" w:color="auto"/>
            </w:tcBorders>
            <w:vAlign w:val="center"/>
          </w:tcPr>
          <w:p w:rsidR="0062564D" w:rsidRPr="00CA61A6" w:rsidRDefault="0062564D" w:rsidP="007B3478">
            <w:pPr>
              <w:pStyle w:val="Tablehead"/>
            </w:pPr>
            <w:r w:rsidRPr="00CA61A6">
              <w:t>Objetivos periódicos cumplidos</w:t>
            </w:r>
          </w:p>
        </w:tc>
        <w:tc>
          <w:tcPr>
            <w:tcW w:w="1261" w:type="dxa"/>
            <w:tcBorders>
              <w:bottom w:val="double" w:sz="4" w:space="0" w:color="auto"/>
            </w:tcBorders>
            <w:vAlign w:val="center"/>
          </w:tcPr>
          <w:p w:rsidR="0062564D" w:rsidRPr="00CA61A6" w:rsidRDefault="0062564D" w:rsidP="007B3478">
            <w:pPr>
              <w:pStyle w:val="Tablehead"/>
            </w:pPr>
            <w:r w:rsidRPr="00CA61A6">
              <w:t>Completada</w:t>
            </w:r>
          </w:p>
        </w:tc>
      </w:tr>
      <w:tr w:rsidR="0062564D" w:rsidRPr="00CA61A6" w:rsidTr="00594AD3">
        <w:trPr>
          <w:trHeight w:val="620"/>
        </w:trPr>
        <w:tc>
          <w:tcPr>
            <w:tcW w:w="920" w:type="dxa"/>
            <w:tcBorders>
              <w:top w:val="double" w:sz="4" w:space="0" w:color="auto"/>
            </w:tcBorders>
            <w:vAlign w:val="center"/>
          </w:tcPr>
          <w:p w:rsidR="0062564D" w:rsidRPr="00CA61A6" w:rsidRDefault="00110CAD" w:rsidP="007B3478">
            <w:pPr>
              <w:pStyle w:val="Tabletext"/>
              <w:spacing w:before="120" w:after="0"/>
              <w:jc w:val="center"/>
              <w:rPr>
                <w:rFonts w:asciiTheme="majorBidi" w:hAnsiTheme="majorBidi" w:cstheme="majorBidi"/>
              </w:rPr>
            </w:pPr>
            <w:hyperlink w:anchor="Item59_01" w:history="1">
              <w:r w:rsidR="0062564D" w:rsidRPr="00CA61A6">
                <w:rPr>
                  <w:rStyle w:val="Hyperlink"/>
                  <w:rFonts w:asciiTheme="majorBidi" w:hAnsiTheme="majorBidi" w:cstheme="majorBidi"/>
                </w:rPr>
                <w:t>59-01</w:t>
              </w:r>
            </w:hyperlink>
          </w:p>
        </w:tc>
        <w:tc>
          <w:tcPr>
            <w:tcW w:w="4758" w:type="dxa"/>
            <w:tcBorders>
              <w:top w:val="double" w:sz="4" w:space="0" w:color="auto"/>
            </w:tcBorders>
            <w:shd w:val="clear" w:color="auto" w:fill="auto"/>
            <w:hideMark/>
          </w:tcPr>
          <w:p w:rsidR="0062564D" w:rsidRPr="00CA61A6" w:rsidRDefault="0062564D" w:rsidP="007B3478">
            <w:pPr>
              <w:pStyle w:val="Tabletext"/>
            </w:pPr>
            <w:r w:rsidRPr="00CA61A6">
              <w:t xml:space="preserve">La TSB sensibilizará a los países en desarrollo sobre las ventajas de </w:t>
            </w:r>
            <w:r w:rsidR="00430B57">
              <w:t>afiliarse como Miembro al UIT-T</w:t>
            </w:r>
          </w:p>
        </w:tc>
        <w:tc>
          <w:tcPr>
            <w:tcW w:w="1526" w:type="dxa"/>
            <w:tcBorders>
              <w:top w:val="double" w:sz="4" w:space="0" w:color="auto"/>
            </w:tcBorders>
            <w:shd w:val="clear" w:color="auto" w:fill="auto"/>
            <w:vAlign w:val="center"/>
            <w:hideMark/>
          </w:tcPr>
          <w:p w:rsidR="0062564D" w:rsidRPr="00CA61A6" w:rsidRDefault="0062564D" w:rsidP="007B3478">
            <w:pPr>
              <w:pStyle w:val="Tabletext"/>
              <w:jc w:val="center"/>
            </w:pPr>
            <w:r w:rsidRPr="00CA61A6">
              <w:t>En curso</w:t>
            </w:r>
          </w:p>
        </w:tc>
        <w:tc>
          <w:tcPr>
            <w:tcW w:w="1170" w:type="dxa"/>
            <w:tcBorders>
              <w:top w:val="double" w:sz="4" w:space="0" w:color="auto"/>
            </w:tcBorders>
            <w:vAlign w:val="center"/>
          </w:tcPr>
          <w:p w:rsidR="0062564D" w:rsidRPr="00CA61A6" w:rsidRDefault="0062564D" w:rsidP="007B3478">
            <w:pPr>
              <w:pStyle w:val="Tabletext"/>
              <w:jc w:val="center"/>
            </w:pPr>
            <w:r w:rsidRPr="00CA61A6">
              <w:sym w:font="Wingdings" w:char="F0FC"/>
            </w:r>
          </w:p>
        </w:tc>
        <w:tc>
          <w:tcPr>
            <w:tcW w:w="1261" w:type="dxa"/>
            <w:tcBorders>
              <w:top w:val="double" w:sz="4" w:space="0" w:color="auto"/>
            </w:tcBorders>
            <w:vAlign w:val="center"/>
          </w:tcPr>
          <w:p w:rsidR="0062564D" w:rsidRPr="00CA61A6" w:rsidRDefault="0062564D" w:rsidP="007B3478">
            <w:pPr>
              <w:pStyle w:val="Tabletext"/>
              <w:jc w:val="center"/>
            </w:pPr>
          </w:p>
        </w:tc>
      </w:tr>
      <w:tr w:rsidR="0062564D" w:rsidRPr="00CA61A6" w:rsidTr="00594AD3">
        <w:trPr>
          <w:trHeight w:val="710"/>
        </w:trPr>
        <w:tc>
          <w:tcPr>
            <w:tcW w:w="920" w:type="dxa"/>
            <w:vAlign w:val="center"/>
          </w:tcPr>
          <w:p w:rsidR="0062564D" w:rsidRPr="00CA61A6" w:rsidRDefault="00110CAD" w:rsidP="007B3478">
            <w:pPr>
              <w:pStyle w:val="Tabletext"/>
              <w:spacing w:before="120" w:after="0"/>
              <w:jc w:val="center"/>
              <w:rPr>
                <w:rFonts w:asciiTheme="majorBidi" w:hAnsiTheme="majorBidi" w:cstheme="majorBidi"/>
              </w:rPr>
            </w:pPr>
            <w:hyperlink w:anchor="Item59_02" w:history="1">
              <w:r w:rsidR="0062564D" w:rsidRPr="00CA61A6">
                <w:rPr>
                  <w:rStyle w:val="Hyperlink"/>
                  <w:rFonts w:asciiTheme="majorBidi" w:hAnsiTheme="majorBidi" w:cstheme="majorBidi"/>
                </w:rPr>
                <w:t>59-02</w:t>
              </w:r>
            </w:hyperlink>
          </w:p>
        </w:tc>
        <w:tc>
          <w:tcPr>
            <w:tcW w:w="4758" w:type="dxa"/>
            <w:shd w:val="clear" w:color="auto" w:fill="auto"/>
            <w:hideMark/>
          </w:tcPr>
          <w:p w:rsidR="0062564D" w:rsidRPr="00CA61A6" w:rsidRDefault="0062564D" w:rsidP="007B3478">
            <w:pPr>
              <w:pStyle w:val="Tabletext"/>
            </w:pPr>
            <w:r w:rsidRPr="00CA61A6">
              <w:t xml:space="preserve">El Director instará a los Miembros de Sector de los países en desarrollo a presentar contribuciones a las reuniones del Grupo CTO </w:t>
            </w:r>
          </w:p>
        </w:tc>
        <w:tc>
          <w:tcPr>
            <w:tcW w:w="1526" w:type="dxa"/>
            <w:shd w:val="clear" w:color="auto" w:fill="auto"/>
            <w:vAlign w:val="center"/>
            <w:hideMark/>
          </w:tcPr>
          <w:p w:rsidR="0062564D" w:rsidRPr="00CA61A6" w:rsidRDefault="0062564D" w:rsidP="007B3478">
            <w:pPr>
              <w:pStyle w:val="Tabletext"/>
              <w:jc w:val="center"/>
            </w:pPr>
            <w:r w:rsidRPr="00CA61A6">
              <w:t>En curso</w:t>
            </w:r>
          </w:p>
        </w:tc>
        <w:tc>
          <w:tcPr>
            <w:tcW w:w="1170" w:type="dxa"/>
            <w:vAlign w:val="center"/>
          </w:tcPr>
          <w:p w:rsidR="0062564D" w:rsidRPr="00CA61A6" w:rsidRDefault="0062564D" w:rsidP="007B3478">
            <w:pPr>
              <w:pStyle w:val="Tabletext"/>
              <w:jc w:val="center"/>
            </w:pPr>
            <w:r w:rsidRPr="00CA61A6">
              <w:sym w:font="Wingdings" w:char="F0FC"/>
            </w:r>
          </w:p>
        </w:tc>
        <w:tc>
          <w:tcPr>
            <w:tcW w:w="1261" w:type="dxa"/>
            <w:vAlign w:val="center"/>
          </w:tcPr>
          <w:p w:rsidR="0062564D" w:rsidRPr="00CA61A6" w:rsidRDefault="0062564D" w:rsidP="007B3478">
            <w:pPr>
              <w:pStyle w:val="Tabletext"/>
              <w:jc w:val="center"/>
            </w:pPr>
          </w:p>
        </w:tc>
      </w:tr>
      <w:tr w:rsidR="0062564D" w:rsidRPr="00CA61A6" w:rsidTr="00594AD3">
        <w:trPr>
          <w:trHeight w:val="530"/>
        </w:trPr>
        <w:tc>
          <w:tcPr>
            <w:tcW w:w="920" w:type="dxa"/>
            <w:vAlign w:val="center"/>
          </w:tcPr>
          <w:p w:rsidR="0062564D" w:rsidRPr="00CA61A6" w:rsidRDefault="00110CAD" w:rsidP="007B3478">
            <w:pPr>
              <w:pStyle w:val="Tabletext"/>
              <w:spacing w:before="120" w:after="0"/>
              <w:jc w:val="center"/>
              <w:rPr>
                <w:rFonts w:asciiTheme="majorBidi" w:hAnsiTheme="majorBidi" w:cstheme="majorBidi"/>
              </w:rPr>
            </w:pPr>
            <w:hyperlink w:anchor="Item59_03" w:history="1">
              <w:r w:rsidR="0062564D" w:rsidRPr="00CA61A6">
                <w:rPr>
                  <w:rStyle w:val="Hyperlink"/>
                  <w:rFonts w:asciiTheme="majorBidi" w:hAnsiTheme="majorBidi" w:cstheme="majorBidi"/>
                </w:rPr>
                <w:t>59-03</w:t>
              </w:r>
            </w:hyperlink>
          </w:p>
        </w:tc>
        <w:tc>
          <w:tcPr>
            <w:tcW w:w="4758" w:type="dxa"/>
            <w:shd w:val="clear" w:color="auto" w:fill="auto"/>
            <w:hideMark/>
          </w:tcPr>
          <w:p w:rsidR="0062564D" w:rsidRPr="00CA61A6" w:rsidRDefault="0062564D" w:rsidP="007B3478">
            <w:pPr>
              <w:pStyle w:val="Tabletext"/>
            </w:pPr>
            <w:r w:rsidRPr="00CA61A6">
              <w:t>El Director concederá becas a los operadores de red de los países en desarrollo</w:t>
            </w:r>
          </w:p>
        </w:tc>
        <w:tc>
          <w:tcPr>
            <w:tcW w:w="1526" w:type="dxa"/>
            <w:shd w:val="clear" w:color="auto" w:fill="auto"/>
            <w:vAlign w:val="center"/>
            <w:hideMark/>
          </w:tcPr>
          <w:p w:rsidR="0062564D" w:rsidRPr="00CA61A6" w:rsidRDefault="0062564D" w:rsidP="007B3478">
            <w:pPr>
              <w:pStyle w:val="Tabletext"/>
              <w:jc w:val="center"/>
            </w:pPr>
            <w:r w:rsidRPr="00CA61A6">
              <w:t>En curso</w:t>
            </w:r>
          </w:p>
        </w:tc>
        <w:tc>
          <w:tcPr>
            <w:tcW w:w="1170" w:type="dxa"/>
            <w:vAlign w:val="center"/>
          </w:tcPr>
          <w:p w:rsidR="0062564D" w:rsidRPr="00CA61A6" w:rsidRDefault="0062564D" w:rsidP="007B3478">
            <w:pPr>
              <w:pStyle w:val="Tabletext"/>
              <w:jc w:val="center"/>
            </w:pPr>
            <w:r w:rsidRPr="00CA61A6">
              <w:sym w:font="Wingdings" w:char="F0FC"/>
            </w:r>
          </w:p>
        </w:tc>
        <w:tc>
          <w:tcPr>
            <w:tcW w:w="1261" w:type="dxa"/>
            <w:vAlign w:val="center"/>
          </w:tcPr>
          <w:p w:rsidR="0062564D" w:rsidRPr="00CA61A6" w:rsidRDefault="0062564D" w:rsidP="007B3478">
            <w:pPr>
              <w:pStyle w:val="Tabletext"/>
              <w:jc w:val="center"/>
            </w:pPr>
          </w:p>
        </w:tc>
      </w:tr>
    </w:tbl>
    <w:p w:rsidR="0062564D" w:rsidRPr="00CA61A6" w:rsidRDefault="000C4B6E" w:rsidP="00C20C60">
      <w:pPr>
        <w:pStyle w:val="Headingb"/>
        <w:keepLines/>
      </w:pPr>
      <w:bookmarkStart w:id="530" w:name="Item59_01"/>
      <w:r w:rsidRPr="00CA61A6">
        <w:t xml:space="preserve">Acción </w:t>
      </w:r>
      <w:r w:rsidR="0062564D" w:rsidRPr="00CA61A6">
        <w:t>59-01: TSB</w:t>
      </w:r>
    </w:p>
    <w:p w:rsidR="0062564D" w:rsidRPr="00CA61A6" w:rsidRDefault="0062564D" w:rsidP="007B3478">
      <w:pPr>
        <w:keepNext/>
      </w:pPr>
      <w:bookmarkStart w:id="531" w:name="lt_pId1226"/>
      <w:bookmarkEnd w:id="530"/>
      <w:r w:rsidRPr="00CA61A6">
        <w:rPr>
          <w:szCs w:val="24"/>
          <w:lang w:eastAsia="ja-JP"/>
        </w:rPr>
        <w:t>Las ventajas de ser Miembro del UIT-T se presentan en las reuniones y talleres regionales de las Comisiones de Estudio que se celebran en países en desarrollo.</w:t>
      </w:r>
      <w:bookmarkEnd w:id="531"/>
    </w:p>
    <w:p w:rsidR="0062564D" w:rsidRPr="00CA61A6" w:rsidRDefault="000C4B6E" w:rsidP="00C20C60">
      <w:pPr>
        <w:pStyle w:val="Headingb"/>
        <w:keepLines/>
      </w:pPr>
      <w:bookmarkStart w:id="532" w:name="Item59_02"/>
      <w:r w:rsidRPr="00CA61A6">
        <w:t xml:space="preserve">Acción </w:t>
      </w:r>
      <w:r w:rsidR="0062564D" w:rsidRPr="00CA61A6">
        <w:t>59-02: TSB</w:t>
      </w:r>
    </w:p>
    <w:p w:rsidR="0062564D" w:rsidRPr="00CA61A6" w:rsidRDefault="0062564D" w:rsidP="007B3478">
      <w:pPr>
        <w:rPr>
          <w:szCs w:val="24"/>
          <w:lang w:eastAsia="ja-JP"/>
        </w:rPr>
      </w:pPr>
      <w:bookmarkStart w:id="533" w:name="lt_pId1228"/>
      <w:bookmarkEnd w:id="532"/>
      <w:r w:rsidRPr="00CA61A6">
        <w:rPr>
          <w:szCs w:val="24"/>
          <w:lang w:eastAsia="ja-JP"/>
        </w:rPr>
        <w:t>Se está promoviendo activamente la participación de Miembros de Sector de países en desarrollo en las reuniones de</w:t>
      </w:r>
      <w:r w:rsidR="00F56B77">
        <w:rPr>
          <w:szCs w:val="24"/>
          <w:lang w:eastAsia="ja-JP"/>
        </w:rPr>
        <w:t>l Grupo</w:t>
      </w:r>
      <w:r w:rsidRPr="00CA61A6">
        <w:rPr>
          <w:szCs w:val="24"/>
          <w:lang w:eastAsia="ja-JP"/>
        </w:rPr>
        <w:t xml:space="preserve"> CTO.</w:t>
      </w:r>
      <w:bookmarkEnd w:id="533"/>
    </w:p>
    <w:p w:rsidR="0062564D" w:rsidRPr="00CA61A6" w:rsidRDefault="000C4B6E" w:rsidP="00C20C60">
      <w:pPr>
        <w:pStyle w:val="Headingb"/>
        <w:keepLines/>
      </w:pPr>
      <w:bookmarkStart w:id="534" w:name="Item59_03"/>
      <w:r w:rsidRPr="00CA61A6">
        <w:t xml:space="preserve">Acción </w:t>
      </w:r>
      <w:r w:rsidR="0062564D" w:rsidRPr="00CA61A6">
        <w:t>59-03: TSB</w:t>
      </w:r>
    </w:p>
    <w:p w:rsidR="0062564D" w:rsidRPr="00CA61A6" w:rsidRDefault="0062564D" w:rsidP="00D2306F">
      <w:pPr>
        <w:rPr>
          <w:szCs w:val="24"/>
          <w:lang w:eastAsia="ja-JP"/>
        </w:rPr>
      </w:pPr>
      <w:bookmarkStart w:id="535" w:name="lt_pId1230"/>
      <w:bookmarkEnd w:id="534"/>
      <w:r w:rsidRPr="00CA61A6">
        <w:rPr>
          <w:szCs w:val="24"/>
          <w:lang w:eastAsia="ja-JP"/>
        </w:rPr>
        <w:t>Se ofrece becas para asistir a reuniones del UIT-T, comprendidas las de las Comisiones de Estudio y las reuniones, talleres y seminarios regionales de las Comisiones de Estudio.</w:t>
      </w:r>
      <w:bookmarkEnd w:id="535"/>
      <w:r w:rsidRPr="00CA61A6">
        <w:rPr>
          <w:szCs w:val="24"/>
          <w:lang w:eastAsia="ja-JP"/>
        </w:rPr>
        <w:t xml:space="preserve"> </w:t>
      </w:r>
      <w:bookmarkStart w:id="536" w:name="lt_pId1232"/>
      <w:r w:rsidRPr="00CA61A6">
        <w:rPr>
          <w:szCs w:val="24"/>
          <w:lang w:eastAsia="ja-JP"/>
        </w:rPr>
        <w:t>Los criterios para conceder becas son: el presupuesto disponible de la TSB, las contribuciones de los postulantes a la reunión, la distribución equitativa entre países y regiones, y el equilibrio de género. Se da prioridad a los candidatos de países menos adelantados.</w:t>
      </w:r>
      <w:bookmarkEnd w:id="536"/>
      <w:r w:rsidRPr="00CA61A6">
        <w:rPr>
          <w:szCs w:val="24"/>
          <w:lang w:eastAsia="ja-JP"/>
        </w:rPr>
        <w:t xml:space="preserve"> </w:t>
      </w:r>
      <w:bookmarkStart w:id="537" w:name="lt_pId1233"/>
      <w:r w:rsidRPr="00CA61A6">
        <w:rPr>
          <w:szCs w:val="24"/>
          <w:lang w:eastAsia="ja-JP"/>
        </w:rPr>
        <w:t>La política actual es atribuir sólo becas parciales.</w:t>
      </w:r>
      <w:bookmarkEnd w:id="537"/>
    </w:p>
    <w:p w:rsidR="0062564D" w:rsidRPr="00CA61A6" w:rsidRDefault="0062564D" w:rsidP="007B3478">
      <w:pPr>
        <w:rPr>
          <w:szCs w:val="24"/>
          <w:lang w:eastAsia="ja-JP"/>
        </w:rPr>
      </w:pPr>
      <w:bookmarkStart w:id="538" w:name="lt_pId1234"/>
      <w:r w:rsidRPr="00CA61A6">
        <w:rPr>
          <w:szCs w:val="24"/>
          <w:lang w:eastAsia="ja-JP"/>
        </w:rPr>
        <w:t xml:space="preserve">Todas las </w:t>
      </w:r>
      <w:r w:rsidR="00D2306F" w:rsidRPr="00CA61A6">
        <w:rPr>
          <w:szCs w:val="24"/>
          <w:lang w:eastAsia="ja-JP"/>
        </w:rPr>
        <w:t xml:space="preserve">Cartas Colectivas </w:t>
      </w:r>
      <w:r w:rsidRPr="00CA61A6">
        <w:rPr>
          <w:szCs w:val="24"/>
          <w:lang w:eastAsia="ja-JP"/>
        </w:rPr>
        <w:t>incluyen información sobre becas y el formulario de solicitud a tal efecto.</w:t>
      </w:r>
      <w:bookmarkEnd w:id="538"/>
      <w:r w:rsidRPr="00CA61A6">
        <w:rPr>
          <w:szCs w:val="24"/>
          <w:lang w:eastAsia="ja-JP"/>
        </w:rPr>
        <w:t xml:space="preserve"> </w:t>
      </w:r>
      <w:bookmarkStart w:id="539" w:name="lt_pId1235"/>
      <w:r w:rsidRPr="00CA61A6">
        <w:rPr>
          <w:szCs w:val="24"/>
          <w:lang w:eastAsia="ja-JP"/>
        </w:rPr>
        <w:t>La TSB ofrece becas en coordinación con la BDT.</w:t>
      </w:r>
      <w:bookmarkEnd w:id="539"/>
    </w:p>
    <w:p w:rsidR="00271DC2" w:rsidRPr="00CA61A6" w:rsidRDefault="00110CAD" w:rsidP="00271DC2">
      <w:hyperlink w:anchor="Top" w:history="1">
        <w:r w:rsidR="00271DC2" w:rsidRPr="00CA61A6">
          <w:rPr>
            <w:rStyle w:val="Hyperlink"/>
          </w:rPr>
          <w:t>» Arriba</w:t>
        </w:r>
      </w:hyperlink>
    </w:p>
    <w:p w:rsidR="0062564D" w:rsidRPr="00CA61A6" w:rsidRDefault="00C97884" w:rsidP="00F6294D">
      <w:pPr>
        <w:pStyle w:val="Heading1"/>
      </w:pPr>
      <w:bookmarkStart w:id="540" w:name="_29_Resolución_60"/>
      <w:bookmarkStart w:id="541" w:name="_Toc463335780"/>
      <w:bookmarkEnd w:id="540"/>
      <w:r w:rsidRPr="00CA61A6">
        <w:t>29</w:t>
      </w:r>
      <w:r w:rsidRPr="00CA61A6">
        <w:tab/>
      </w:r>
      <w:r w:rsidR="00F6294D" w:rsidRPr="00CA61A6">
        <w:t xml:space="preserve">Resolución </w:t>
      </w:r>
      <w:r w:rsidR="0062564D" w:rsidRPr="00CA61A6">
        <w:t>60</w:t>
      </w:r>
      <w:r w:rsidR="00F6294D" w:rsidRPr="00CA61A6">
        <w:t xml:space="preserve"> – </w:t>
      </w:r>
      <w:r w:rsidR="0062564D" w:rsidRPr="00CA61A6">
        <w:t>Respuesta a los desafíos que plantea la evolución del sistema de identificación/numeración y su convergencia con los sistemas/redes basados en IP</w:t>
      </w:r>
      <w:bookmarkEnd w:id="541"/>
    </w:p>
    <w:p w:rsidR="002239D6" w:rsidRPr="00CA61A6" w:rsidRDefault="002239D6" w:rsidP="002239D6">
      <w:pPr>
        <w:pStyle w:val="Headingb"/>
        <w:keepLines/>
      </w:pPr>
      <w:r w:rsidRPr="00CA61A6">
        <w:t>Resolución 60</w:t>
      </w:r>
    </w:p>
    <w:p w:rsidR="0062564D" w:rsidRPr="00CA61A6" w:rsidRDefault="0062564D" w:rsidP="007B3478">
      <w:pPr>
        <w:pStyle w:val="Call"/>
      </w:pPr>
      <w:r w:rsidRPr="00CA61A6">
        <w:t>resuelve encargar a la Comisión de Estudio 2 del UIT-T, en el marco del mandato del UIT</w:t>
      </w:r>
      <w:r w:rsidRPr="00CA61A6">
        <w:noBreakHyphen/>
        <w:t>T</w:t>
      </w:r>
    </w:p>
    <w:p w:rsidR="0062564D" w:rsidRPr="00CA61A6" w:rsidRDefault="0062564D" w:rsidP="007B3478">
      <w:r w:rsidRPr="00CA61A6">
        <w:t>1</w:t>
      </w:r>
      <w:r w:rsidRPr="00CA61A6">
        <w:tab/>
        <w:t>que continúe estudiando, en coordinación con las demás Comisiones de Estudio pertinentes, los requisitos necesarios para la estructura y el mantenimiento de los recursos de identificación/numeración de telecomunicaciones en relación con la implantación de las redes IP y la transición a las NGN y a las FN;</w:t>
      </w:r>
    </w:p>
    <w:p w:rsidR="0062564D" w:rsidRPr="00CA61A6" w:rsidRDefault="0062564D" w:rsidP="007B3478">
      <w:r w:rsidRPr="00CA61A6">
        <w:t>2</w:t>
      </w:r>
      <w:r w:rsidRPr="00CA61A6">
        <w:tab/>
        <w:t>que vele por el establecimiento de los requisitos administrativos necesarios para los sistemas de gestión de recursos de identificación/numeración en las NGN y las FN;</w:t>
      </w:r>
    </w:p>
    <w:p w:rsidR="0062564D" w:rsidRPr="00CA61A6" w:rsidRDefault="0062564D" w:rsidP="007B3478">
      <w:r w:rsidRPr="00CA61A6">
        <w:t>3</w:t>
      </w:r>
      <w:r w:rsidRPr="00CA61A6">
        <w:tab/>
        <w:t>que continúe elaborando directrices y un marco para la evolución del sistema de numeración de las telecomunicaciones internacionales y su convergencia con los sistemas IP, en coordinación con las correspondientes Comisiones de Estudio y Grupos Regionales asociados, de manera que pueda facilitarse una base para toda nueva aplicación,</w:t>
      </w:r>
    </w:p>
    <w:p w:rsidR="0062564D" w:rsidRPr="00CA61A6" w:rsidRDefault="0062564D" w:rsidP="007B3478">
      <w:pPr>
        <w:pStyle w:val="Call"/>
      </w:pPr>
      <w:r w:rsidRPr="00CA61A6">
        <w:lastRenderedPageBreak/>
        <w:t>encarga a las correspondientes Comisiones de Estudio, y en particular a la Comisión de Estudio 13 del UIT-T</w:t>
      </w:r>
    </w:p>
    <w:p w:rsidR="0062564D" w:rsidRPr="00CA61A6" w:rsidRDefault="0062564D" w:rsidP="007B3478">
      <w:r w:rsidRPr="00CA61A6">
        <w:t>que apoyen los trabajos de la Comisión de Estudio 2, con el fin de garantizar que dichas aplicaciones estén basadas en unas directrices y un marco apropiados para la evolución del sistema de numeración/identificación de las telecomunicaciones internacionales, y que colaboren en el estudio de su incidencia en el sistema de numeración/identificación,</w:t>
      </w:r>
    </w:p>
    <w:p w:rsidR="0062564D" w:rsidRPr="00CA61A6" w:rsidRDefault="0062564D" w:rsidP="007B3478">
      <w:pPr>
        <w:pStyle w:val="Call"/>
      </w:pPr>
      <w:r w:rsidRPr="00CA61A6">
        <w:t>encarga al Director de la Oficina de Normalización de las Telecomunicaciones</w:t>
      </w:r>
    </w:p>
    <w:p w:rsidR="0062564D" w:rsidRPr="00CA61A6" w:rsidRDefault="0062564D" w:rsidP="007B3478">
      <w:r w:rsidRPr="00CA61A6">
        <w:t>que tome las medidas apropiadas para facilitar los citados trabajos con respecto a la evolución del sistema de numeración/identificación o sus aplicaciones convergentes,</w:t>
      </w:r>
    </w:p>
    <w:p w:rsidR="0062564D" w:rsidRPr="00CA61A6" w:rsidRDefault="0062564D" w:rsidP="007B3478">
      <w:pPr>
        <w:pStyle w:val="Call"/>
      </w:pPr>
      <w:r w:rsidRPr="00CA61A6">
        <w:t>invita a los Estados Miembros y Miembros de Sector</w:t>
      </w:r>
    </w:p>
    <w:p w:rsidR="0062564D" w:rsidRPr="00CA61A6" w:rsidRDefault="0062564D" w:rsidP="007B3478">
      <w:r w:rsidRPr="00CA61A6">
        <w:t>1</w:t>
      </w:r>
      <w:r w:rsidRPr="00CA61A6">
        <w:tab/>
        <w:t>a contribuir a esas actividades, teniendo presentes sus intereses y experiencias nacionales;</w:t>
      </w:r>
    </w:p>
    <w:p w:rsidR="0062564D" w:rsidRPr="00CA61A6" w:rsidRDefault="0062564D" w:rsidP="004D716B">
      <w:pPr>
        <w:spacing w:after="120"/>
      </w:pPr>
      <w:r w:rsidRPr="00CA61A6">
        <w:t>2</w:t>
      </w:r>
      <w:r w:rsidRPr="00CA61A6">
        <w:tab/>
        <w:t>a participar en los Grupos Regionales que tratan el asunto, y a presentar sus contribuciones a los mismos, y a fomentar la participación de los países en desarrollo en dichas deliberaciones.</w:t>
      </w:r>
    </w:p>
    <w:tbl>
      <w:tblPr>
        <w:tblW w:w="9902" w:type="dxa"/>
        <w:tblInd w:w="-13" w:type="dxa"/>
        <w:tblLayout w:type="fixed"/>
        <w:tblLook w:val="04A0" w:firstRow="1" w:lastRow="0" w:firstColumn="1" w:lastColumn="0" w:noHBand="0" w:noVBand="1"/>
      </w:tblPr>
      <w:tblGrid>
        <w:gridCol w:w="1114"/>
        <w:gridCol w:w="4564"/>
        <w:gridCol w:w="1531"/>
        <w:gridCol w:w="1276"/>
        <w:gridCol w:w="1417"/>
      </w:tblGrid>
      <w:tr w:rsidR="0062564D" w:rsidRPr="00CA61A6" w:rsidTr="002C3A5A">
        <w:trPr>
          <w:trHeight w:val="647"/>
          <w:tblHeader/>
        </w:trPr>
        <w:tc>
          <w:tcPr>
            <w:tcW w:w="1114" w:type="dxa"/>
            <w:tcBorders>
              <w:top w:val="single" w:sz="4" w:space="0" w:color="auto"/>
              <w:left w:val="single" w:sz="4" w:space="0" w:color="auto"/>
              <w:bottom w:val="double" w:sz="4" w:space="0" w:color="auto"/>
              <w:right w:val="single" w:sz="4" w:space="0" w:color="auto"/>
            </w:tcBorders>
            <w:vAlign w:val="center"/>
          </w:tcPr>
          <w:p w:rsidR="0062564D" w:rsidRPr="00CA61A6" w:rsidRDefault="009D4B8D" w:rsidP="007B3478">
            <w:pPr>
              <w:pStyle w:val="Tablehead"/>
            </w:pPr>
            <w:r w:rsidRPr="00CA61A6">
              <w:t>Número</w:t>
            </w:r>
          </w:p>
        </w:tc>
        <w:tc>
          <w:tcPr>
            <w:tcW w:w="4564" w:type="dxa"/>
            <w:tcBorders>
              <w:top w:val="single" w:sz="4" w:space="0" w:color="auto"/>
              <w:left w:val="single" w:sz="4" w:space="0" w:color="auto"/>
              <w:bottom w:val="double" w:sz="4" w:space="0" w:color="auto"/>
              <w:right w:val="single" w:sz="4" w:space="0" w:color="auto"/>
            </w:tcBorders>
            <w:shd w:val="clear" w:color="auto" w:fill="auto"/>
            <w:vAlign w:val="center"/>
            <w:hideMark/>
          </w:tcPr>
          <w:p w:rsidR="0062564D" w:rsidRPr="00CA61A6" w:rsidRDefault="0062564D" w:rsidP="007B3478">
            <w:pPr>
              <w:pStyle w:val="Tablehead"/>
            </w:pPr>
            <w:r w:rsidRPr="00CA61A6">
              <w:t>Acción</w:t>
            </w:r>
          </w:p>
        </w:tc>
        <w:tc>
          <w:tcPr>
            <w:tcW w:w="1531" w:type="dxa"/>
            <w:tcBorders>
              <w:top w:val="single" w:sz="4" w:space="0" w:color="auto"/>
              <w:left w:val="nil"/>
              <w:bottom w:val="double" w:sz="4" w:space="0" w:color="auto"/>
              <w:right w:val="single" w:sz="4" w:space="0" w:color="auto"/>
            </w:tcBorders>
            <w:shd w:val="clear" w:color="auto" w:fill="auto"/>
            <w:vAlign w:val="center"/>
            <w:hideMark/>
          </w:tcPr>
          <w:p w:rsidR="0062564D" w:rsidRPr="00CA61A6" w:rsidRDefault="0062564D" w:rsidP="007B3478">
            <w:pPr>
              <w:pStyle w:val="Tablehead"/>
            </w:pPr>
            <w:r w:rsidRPr="00CA61A6">
              <w:t>Fecha objetivo</w:t>
            </w:r>
          </w:p>
        </w:tc>
        <w:tc>
          <w:tcPr>
            <w:tcW w:w="1276" w:type="dxa"/>
            <w:tcBorders>
              <w:top w:val="single" w:sz="4" w:space="0" w:color="auto"/>
              <w:left w:val="nil"/>
              <w:bottom w:val="double" w:sz="4" w:space="0" w:color="auto"/>
              <w:right w:val="single" w:sz="4" w:space="0" w:color="auto"/>
            </w:tcBorders>
            <w:vAlign w:val="center"/>
          </w:tcPr>
          <w:p w:rsidR="0062564D" w:rsidRPr="00CA61A6" w:rsidRDefault="0062564D" w:rsidP="007B3478">
            <w:pPr>
              <w:pStyle w:val="Tablehead"/>
            </w:pPr>
            <w:r w:rsidRPr="00CA61A6">
              <w:t>Objetivos periódicos cumplidos</w:t>
            </w:r>
          </w:p>
        </w:tc>
        <w:tc>
          <w:tcPr>
            <w:tcW w:w="1417" w:type="dxa"/>
            <w:tcBorders>
              <w:top w:val="single" w:sz="4" w:space="0" w:color="auto"/>
              <w:left w:val="single" w:sz="4" w:space="0" w:color="auto"/>
              <w:bottom w:val="double" w:sz="4" w:space="0" w:color="auto"/>
              <w:right w:val="single" w:sz="4" w:space="0" w:color="auto"/>
            </w:tcBorders>
            <w:vAlign w:val="center"/>
          </w:tcPr>
          <w:p w:rsidR="0062564D" w:rsidRPr="00CA61A6" w:rsidRDefault="0062564D" w:rsidP="007B3478">
            <w:pPr>
              <w:pStyle w:val="Tablehead"/>
            </w:pPr>
            <w:r w:rsidRPr="00CA61A6">
              <w:t>Completada</w:t>
            </w:r>
          </w:p>
        </w:tc>
      </w:tr>
      <w:tr w:rsidR="0062564D" w:rsidRPr="00CA61A6" w:rsidTr="002C3A5A">
        <w:trPr>
          <w:trHeight w:val="620"/>
        </w:trPr>
        <w:tc>
          <w:tcPr>
            <w:tcW w:w="1114" w:type="dxa"/>
            <w:tcBorders>
              <w:top w:val="double" w:sz="4" w:space="0" w:color="auto"/>
              <w:left w:val="single" w:sz="4" w:space="0" w:color="auto"/>
              <w:bottom w:val="single" w:sz="4" w:space="0" w:color="auto"/>
              <w:right w:val="single" w:sz="4" w:space="0" w:color="auto"/>
            </w:tcBorders>
            <w:vAlign w:val="center"/>
          </w:tcPr>
          <w:p w:rsidR="0062564D" w:rsidRPr="00CA61A6" w:rsidRDefault="00110CAD" w:rsidP="007B3478">
            <w:pPr>
              <w:pStyle w:val="Tabletext"/>
              <w:spacing w:before="120" w:after="0"/>
              <w:jc w:val="center"/>
              <w:rPr>
                <w:rFonts w:asciiTheme="majorBidi" w:hAnsiTheme="majorBidi" w:cstheme="majorBidi"/>
              </w:rPr>
            </w:pPr>
            <w:hyperlink w:anchor="Item60_01" w:history="1">
              <w:r w:rsidR="0062564D" w:rsidRPr="00CA61A6">
                <w:rPr>
                  <w:rStyle w:val="Hyperlink"/>
                  <w:rFonts w:asciiTheme="majorBidi" w:hAnsiTheme="majorBidi" w:cstheme="majorBidi"/>
                </w:rPr>
                <w:t>60-01</w:t>
              </w:r>
            </w:hyperlink>
          </w:p>
        </w:tc>
        <w:tc>
          <w:tcPr>
            <w:tcW w:w="4564" w:type="dxa"/>
            <w:tcBorders>
              <w:top w:val="double" w:sz="4" w:space="0" w:color="auto"/>
              <w:left w:val="single" w:sz="4" w:space="0" w:color="auto"/>
              <w:bottom w:val="single" w:sz="4" w:space="0" w:color="auto"/>
              <w:right w:val="single" w:sz="4" w:space="0" w:color="auto"/>
            </w:tcBorders>
            <w:shd w:val="clear" w:color="auto" w:fill="auto"/>
            <w:hideMark/>
          </w:tcPr>
          <w:p w:rsidR="0062564D" w:rsidRPr="00CA61A6" w:rsidRDefault="0062564D" w:rsidP="007B3478">
            <w:pPr>
              <w:pStyle w:val="Tabletext"/>
            </w:pPr>
            <w:r w:rsidRPr="00CA61A6">
              <w:t>La CE</w:t>
            </w:r>
            <w:r w:rsidR="008B5B32" w:rsidRPr="00CA61A6">
              <w:t> </w:t>
            </w:r>
            <w:r w:rsidRPr="00CA61A6">
              <w:t>2, con el apoyo especial de la CE</w:t>
            </w:r>
            <w:r w:rsidR="008B5B32" w:rsidRPr="00CA61A6">
              <w:t> </w:t>
            </w:r>
            <w:r w:rsidRPr="00CA61A6">
              <w:t xml:space="preserve">13, estudiará los requisitos necesarios y los sistemas de gestión de recursos en relación con los recursos de numeración/identificación de telecomunicaciones, en relación con el despliegue de redes IP </w:t>
            </w:r>
            <w:r w:rsidR="00610A1F">
              <w:t xml:space="preserve">y </w:t>
            </w:r>
            <w:r w:rsidRPr="00CA61A6">
              <w:t>la transición de NGN y FN, y la elaboración de directrices para la evolución del sistema internacional de numeración de telecomunicaciones y su convergencia con los sistemas IP</w:t>
            </w:r>
          </w:p>
        </w:tc>
        <w:tc>
          <w:tcPr>
            <w:tcW w:w="1531" w:type="dxa"/>
            <w:tcBorders>
              <w:top w:val="double" w:sz="4" w:space="0" w:color="auto"/>
              <w:left w:val="nil"/>
              <w:bottom w:val="single" w:sz="4" w:space="0" w:color="auto"/>
              <w:right w:val="single" w:sz="4" w:space="0" w:color="auto"/>
            </w:tcBorders>
            <w:shd w:val="clear" w:color="auto" w:fill="auto"/>
            <w:vAlign w:val="center"/>
            <w:hideMark/>
          </w:tcPr>
          <w:p w:rsidR="0062564D" w:rsidRPr="00CA61A6" w:rsidRDefault="0062564D" w:rsidP="007B3478">
            <w:pPr>
              <w:pStyle w:val="Tabletext"/>
              <w:jc w:val="center"/>
            </w:pPr>
            <w:r w:rsidRPr="00CA61A6">
              <w:t>En curso</w:t>
            </w:r>
          </w:p>
        </w:tc>
        <w:tc>
          <w:tcPr>
            <w:tcW w:w="1276" w:type="dxa"/>
            <w:tcBorders>
              <w:top w:val="double" w:sz="4" w:space="0" w:color="auto"/>
              <w:left w:val="nil"/>
              <w:bottom w:val="single" w:sz="4" w:space="0" w:color="auto"/>
              <w:right w:val="single" w:sz="4" w:space="0" w:color="auto"/>
            </w:tcBorders>
            <w:vAlign w:val="center"/>
          </w:tcPr>
          <w:p w:rsidR="0062564D" w:rsidRPr="00CA61A6" w:rsidRDefault="0062564D" w:rsidP="007B3478">
            <w:pPr>
              <w:pStyle w:val="Tabletext"/>
              <w:jc w:val="center"/>
            </w:pPr>
            <w:r w:rsidRPr="00CA61A6">
              <w:sym w:font="Wingdings" w:char="F0FC"/>
            </w:r>
          </w:p>
        </w:tc>
        <w:tc>
          <w:tcPr>
            <w:tcW w:w="1417" w:type="dxa"/>
            <w:tcBorders>
              <w:top w:val="double" w:sz="4" w:space="0" w:color="auto"/>
              <w:left w:val="single" w:sz="4" w:space="0" w:color="auto"/>
              <w:bottom w:val="single" w:sz="4" w:space="0" w:color="auto"/>
              <w:right w:val="single" w:sz="4" w:space="0" w:color="auto"/>
            </w:tcBorders>
            <w:vAlign w:val="center"/>
          </w:tcPr>
          <w:p w:rsidR="0062564D" w:rsidRPr="00CA61A6" w:rsidRDefault="0062564D" w:rsidP="007B3478">
            <w:pPr>
              <w:pStyle w:val="Tabletext"/>
              <w:jc w:val="center"/>
            </w:pPr>
          </w:p>
        </w:tc>
      </w:tr>
    </w:tbl>
    <w:p w:rsidR="0062564D" w:rsidRPr="00CA61A6" w:rsidRDefault="000C622C" w:rsidP="001F3510">
      <w:pPr>
        <w:pStyle w:val="Headingb"/>
        <w:keepLines/>
      </w:pPr>
      <w:bookmarkStart w:id="542" w:name="Item60_01"/>
      <w:r w:rsidRPr="00CA61A6">
        <w:t xml:space="preserve">Acción </w:t>
      </w:r>
      <w:r w:rsidR="0062564D" w:rsidRPr="00CA61A6">
        <w:t>60-01</w:t>
      </w:r>
      <w:r w:rsidR="00474EE8" w:rsidRPr="00CA61A6">
        <w:t>: CE </w:t>
      </w:r>
      <w:r w:rsidR="0062564D" w:rsidRPr="00CA61A6">
        <w:t>2</w:t>
      </w:r>
    </w:p>
    <w:p w:rsidR="0062564D" w:rsidRPr="00CA61A6" w:rsidRDefault="0062564D" w:rsidP="007B3478">
      <w:pPr>
        <w:rPr>
          <w:szCs w:val="24"/>
          <w:lang w:eastAsia="ja-JP"/>
        </w:rPr>
      </w:pPr>
      <w:bookmarkStart w:id="543" w:name="lt_pId1265"/>
      <w:bookmarkEnd w:id="542"/>
      <w:r w:rsidRPr="00CA61A6">
        <w:rPr>
          <w:szCs w:val="24"/>
          <w:lang w:eastAsia="ja-JP"/>
        </w:rPr>
        <w:t>La CE</w:t>
      </w:r>
      <w:r w:rsidR="008B5B32" w:rsidRPr="00CA61A6">
        <w:rPr>
          <w:szCs w:val="24"/>
          <w:lang w:eastAsia="ja-JP"/>
        </w:rPr>
        <w:t> </w:t>
      </w:r>
      <w:r w:rsidRPr="00CA61A6">
        <w:rPr>
          <w:szCs w:val="24"/>
          <w:lang w:eastAsia="ja-JP"/>
        </w:rPr>
        <w:t xml:space="preserve">2 redactó en el último periodo de estudios un proyecto de documento denominado </w:t>
      </w:r>
      <w:r w:rsidR="00B26079" w:rsidRPr="00CA61A6">
        <w:rPr>
          <w:szCs w:val="24"/>
          <w:lang w:eastAsia="ja-JP"/>
        </w:rPr>
        <w:t>"</w:t>
      </w:r>
      <w:r w:rsidRPr="00CA61A6">
        <w:rPr>
          <w:szCs w:val="24"/>
          <w:lang w:eastAsia="ja-JP"/>
        </w:rPr>
        <w:t>el futuro de la numeración</w:t>
      </w:r>
      <w:r w:rsidR="00B26079" w:rsidRPr="00CA61A6">
        <w:rPr>
          <w:szCs w:val="24"/>
          <w:lang w:eastAsia="ja-JP"/>
        </w:rPr>
        <w:t>"</w:t>
      </w:r>
      <w:r w:rsidRPr="00CA61A6">
        <w:rPr>
          <w:szCs w:val="24"/>
          <w:lang w:eastAsia="ja-JP"/>
        </w:rPr>
        <w:t xml:space="preserve"> que estudia y analiza los actuales planes de numeración, denominación, direccionamiento e identificación e identifica lagu</w:t>
      </w:r>
      <w:r w:rsidR="00BF4D61">
        <w:rPr>
          <w:szCs w:val="24"/>
          <w:lang w:eastAsia="ja-JP"/>
        </w:rPr>
        <w:t>n</w:t>
      </w:r>
      <w:r w:rsidRPr="00CA61A6">
        <w:rPr>
          <w:szCs w:val="24"/>
          <w:lang w:eastAsia="ja-JP"/>
        </w:rPr>
        <w:t>as, las necesidades de interfuncionamiento y los mecanismos entre estos planes.</w:t>
      </w:r>
      <w:bookmarkEnd w:id="543"/>
      <w:r w:rsidRPr="00CA61A6">
        <w:rPr>
          <w:szCs w:val="24"/>
          <w:lang w:eastAsia="ja-JP"/>
        </w:rPr>
        <w:t xml:space="preserve"> </w:t>
      </w:r>
      <w:bookmarkStart w:id="544" w:name="lt_pId1266"/>
      <w:r w:rsidRPr="00CA61A6">
        <w:rPr>
          <w:szCs w:val="24"/>
          <w:lang w:eastAsia="ja-JP"/>
        </w:rPr>
        <w:t>La última versión de este documento figura en el TD 156/WP1 (2009-2012).</w:t>
      </w:r>
      <w:bookmarkEnd w:id="544"/>
    </w:p>
    <w:p w:rsidR="0062564D" w:rsidRPr="00CA61A6" w:rsidRDefault="0062564D" w:rsidP="007B3478">
      <w:pPr>
        <w:rPr>
          <w:szCs w:val="24"/>
          <w:lang w:eastAsia="ja-JP"/>
        </w:rPr>
      </w:pPr>
      <w:bookmarkStart w:id="545" w:name="lt_pId1267"/>
      <w:r w:rsidRPr="00CA61A6">
        <w:rPr>
          <w:szCs w:val="24"/>
          <w:lang w:eastAsia="ja-JP"/>
        </w:rPr>
        <w:t>El tema del identificador de red del proveedor de servicios (SPN) se discutió en la reunión de la CE</w:t>
      </w:r>
      <w:r w:rsidR="008B5B32" w:rsidRPr="00CA61A6">
        <w:rPr>
          <w:szCs w:val="24"/>
          <w:lang w:eastAsia="ja-JP"/>
        </w:rPr>
        <w:t> </w:t>
      </w:r>
      <w:r w:rsidRPr="00CA61A6">
        <w:rPr>
          <w:szCs w:val="24"/>
          <w:lang w:eastAsia="ja-JP"/>
        </w:rPr>
        <w:t>2 del UIT-T (22-31 de enero de 2013) basado en el texto del proyecto de Recomendación para la gestión y asignación de SPN mundiales conten</w:t>
      </w:r>
      <w:r w:rsidR="00875FCB">
        <w:rPr>
          <w:szCs w:val="24"/>
          <w:lang w:eastAsia="ja-JP"/>
        </w:rPr>
        <w:t>idos en TD 73/WP1 (2009-2012) y </w:t>
      </w:r>
      <w:r w:rsidRPr="00CA61A6">
        <w:rPr>
          <w:szCs w:val="24"/>
          <w:lang w:eastAsia="ja-JP"/>
        </w:rPr>
        <w:t>TD 75Rev1/WP1 (2009-2012).</w:t>
      </w:r>
      <w:bookmarkEnd w:id="545"/>
    </w:p>
    <w:p w:rsidR="0062564D" w:rsidRPr="00CA61A6" w:rsidRDefault="0062564D" w:rsidP="00E10626">
      <w:pPr>
        <w:rPr>
          <w:szCs w:val="24"/>
          <w:lang w:eastAsia="ja-JP"/>
        </w:rPr>
      </w:pPr>
      <w:bookmarkStart w:id="546" w:name="lt_pId1268"/>
      <w:r w:rsidRPr="00CA61A6">
        <w:rPr>
          <w:szCs w:val="24"/>
          <w:lang w:eastAsia="ja-JP"/>
        </w:rPr>
        <w:t>En la reunión de la CE</w:t>
      </w:r>
      <w:r w:rsidR="008B5B32" w:rsidRPr="00CA61A6">
        <w:rPr>
          <w:szCs w:val="24"/>
          <w:lang w:eastAsia="ja-JP"/>
        </w:rPr>
        <w:t> </w:t>
      </w:r>
      <w:r w:rsidRPr="00CA61A6">
        <w:rPr>
          <w:szCs w:val="24"/>
          <w:lang w:eastAsia="ja-JP"/>
        </w:rPr>
        <w:t xml:space="preserve">2 (17-26 de septiembre de 2013) se examinó el texto revisado de PDTR de la ISO/CEI 29181-2, </w:t>
      </w:r>
      <w:r w:rsidR="002B45C9">
        <w:rPr>
          <w:szCs w:val="24"/>
          <w:lang w:eastAsia="ja-JP"/>
        </w:rPr>
        <w:t>"</w:t>
      </w:r>
      <w:r w:rsidRPr="002B45C9">
        <w:rPr>
          <w:szCs w:val="24"/>
          <w:lang w:eastAsia="ja-JP"/>
        </w:rPr>
        <w:t>Future Network: Problem Statement and Requirements – Part 2: Naming and Addressing</w:t>
      </w:r>
      <w:r w:rsidR="002B45C9">
        <w:rPr>
          <w:szCs w:val="24"/>
          <w:lang w:eastAsia="ja-JP"/>
        </w:rPr>
        <w:t>"</w:t>
      </w:r>
      <w:r w:rsidRPr="00CA61A6">
        <w:rPr>
          <w:szCs w:val="24"/>
          <w:lang w:eastAsia="ja-JP"/>
        </w:rPr>
        <w:t xml:space="preserve">, y se envió una respuesta al </w:t>
      </w:r>
      <w:r w:rsidR="00E10626">
        <w:rPr>
          <w:szCs w:val="24"/>
          <w:lang w:eastAsia="ja-JP"/>
        </w:rPr>
        <w:t xml:space="preserve">JTC 1/CE 6/GT 7 de la </w:t>
      </w:r>
      <w:r w:rsidRPr="00CA61A6">
        <w:rPr>
          <w:szCs w:val="24"/>
          <w:lang w:eastAsia="ja-JP"/>
        </w:rPr>
        <w:t>ISO/</w:t>
      </w:r>
      <w:r w:rsidR="00E10626">
        <w:rPr>
          <w:szCs w:val="24"/>
          <w:lang w:eastAsia="ja-JP"/>
        </w:rPr>
        <w:t>CEI</w:t>
      </w:r>
      <w:r w:rsidRPr="00CA61A6">
        <w:rPr>
          <w:szCs w:val="24"/>
          <w:lang w:eastAsia="ja-JP"/>
        </w:rPr>
        <w:t>.</w:t>
      </w:r>
      <w:bookmarkEnd w:id="546"/>
    </w:p>
    <w:p w:rsidR="0026297A" w:rsidRPr="00CA61A6" w:rsidRDefault="00110CAD" w:rsidP="0026297A">
      <w:hyperlink w:anchor="Top" w:history="1">
        <w:r w:rsidR="0026297A" w:rsidRPr="00CA61A6">
          <w:rPr>
            <w:rStyle w:val="Hyperlink"/>
          </w:rPr>
          <w:t>» Arriba</w:t>
        </w:r>
      </w:hyperlink>
    </w:p>
    <w:p w:rsidR="0062564D" w:rsidRPr="00CA61A6" w:rsidRDefault="00CF4797" w:rsidP="001C2277">
      <w:pPr>
        <w:pStyle w:val="Heading1"/>
      </w:pPr>
      <w:bookmarkStart w:id="547" w:name="_30_Resolución_61"/>
      <w:bookmarkStart w:id="548" w:name="_Toc463335781"/>
      <w:bookmarkEnd w:id="547"/>
      <w:r w:rsidRPr="00CA61A6">
        <w:lastRenderedPageBreak/>
        <w:t>30</w:t>
      </w:r>
      <w:r w:rsidRPr="00CA61A6">
        <w:tab/>
        <w:t xml:space="preserve">Resolución </w:t>
      </w:r>
      <w:r w:rsidR="001C2277" w:rsidRPr="00CA61A6">
        <w:t xml:space="preserve">61 – </w:t>
      </w:r>
      <w:r w:rsidR="0062564D" w:rsidRPr="00CA61A6">
        <w:t>Respuesta y lucha contra la apropiación y uso indebidos de recursos internacionales de numeración para las telecomunicaciones</w:t>
      </w:r>
      <w:bookmarkEnd w:id="548"/>
    </w:p>
    <w:p w:rsidR="006E0048" w:rsidRPr="00CA61A6" w:rsidRDefault="006E0048" w:rsidP="006E0048">
      <w:pPr>
        <w:pStyle w:val="Headingb"/>
        <w:keepLines/>
      </w:pPr>
      <w:r w:rsidRPr="00CA61A6">
        <w:t>Resolución 6</w:t>
      </w:r>
      <w:r w:rsidR="00C9675F" w:rsidRPr="00CA61A6">
        <w:t>1</w:t>
      </w:r>
    </w:p>
    <w:p w:rsidR="0062564D" w:rsidRPr="00CA61A6" w:rsidRDefault="0062564D" w:rsidP="007B3478">
      <w:pPr>
        <w:pStyle w:val="Call"/>
      </w:pPr>
      <w:r w:rsidRPr="00CA61A6">
        <w:t>resuelve invitar a los Estados Miembros</w:t>
      </w:r>
    </w:p>
    <w:p w:rsidR="0062564D" w:rsidRPr="00CA61A6" w:rsidRDefault="0062564D" w:rsidP="007B3478">
      <w:r w:rsidRPr="00CA61A6">
        <w:t>1</w:t>
      </w:r>
      <w:r w:rsidRPr="00CA61A6">
        <w:tab/>
        <w:t>a garantizar que los recursos de numeración E.164 sean utilizados exclusivamente por los asignatarios y con el único propósito para los que fueron asignados, y que no se utilizarán recursos no asignados;</w:t>
      </w:r>
    </w:p>
    <w:p w:rsidR="0062564D" w:rsidRPr="00CA61A6" w:rsidRDefault="0062564D" w:rsidP="007B3478">
      <w:r w:rsidRPr="00CA61A6">
        <w:t>2</w:t>
      </w:r>
      <w:r w:rsidRPr="00CA61A6">
        <w:tab/>
        <w:t>a procurar garantizar que las empresas de explotación autorizadas por los Estados Miembros revelen, de acuerdo con la legislación nacional, información relativa al encaminamiento a los organismos debidamente autorizados en caso de fraude;</w:t>
      </w:r>
    </w:p>
    <w:p w:rsidR="0062564D" w:rsidRPr="00CA61A6" w:rsidRDefault="0062564D" w:rsidP="007B3478">
      <w:r w:rsidRPr="00CA61A6">
        <w:t>3</w:t>
      </w:r>
      <w:r w:rsidRPr="00CA61A6">
        <w:tab/>
        <w:t>a alentar a las administraciones y a los reguladores nacionales a colaborar y compartir la información relativa a las actividades fraudulentas relacionadas con la apropiación y uso indebidos de recursos de numeración internacional y a que colaboren para responder y luchar contra dichas actividades;</w:t>
      </w:r>
    </w:p>
    <w:p w:rsidR="0062564D" w:rsidRPr="00CA61A6" w:rsidRDefault="0062564D" w:rsidP="007B3478">
      <w:r w:rsidRPr="00CA61A6">
        <w:t>4</w:t>
      </w:r>
      <w:r w:rsidRPr="00CA61A6">
        <w:tab/>
        <w:t>a alentar a todos los operadores internacionales de telecomunicaciones a que potencien el papel de la UIT y apliquen sus Recomendaciones, especialmente las de la Comisión de Estudio 2 del UIT</w:t>
      </w:r>
      <w:r w:rsidRPr="00CA61A6">
        <w:noBreakHyphen/>
        <w:t>T, con miras a crear un criterio nuevo y más eficaz para responder y luchar contra las actividades fraudulentas causadas por la apropiación y uso indebidos de números que podría contribuir a limitar los efectos negativos de esas actividades y el bloqueo de llamadas internacionales;</w:t>
      </w:r>
    </w:p>
    <w:p w:rsidR="0062564D" w:rsidRPr="00CA61A6" w:rsidRDefault="0062564D" w:rsidP="007B3478">
      <w:r w:rsidRPr="00CA61A6">
        <w:t>5</w:t>
      </w:r>
      <w:r w:rsidRPr="00CA61A6">
        <w:tab/>
        <w:t>a alentar a las administraciones y a los operadores internacionales de telecomunicaciones a que apliquen las Recomendaciones del UIT-T con miras a atenuar los efectos perjudiciales de la apropiación y uso indebidos de números, incluido el bloqueo de llamadas para ciertos países,</w:t>
      </w:r>
    </w:p>
    <w:p w:rsidR="0062564D" w:rsidRPr="00CA61A6" w:rsidRDefault="0062564D" w:rsidP="007B3478">
      <w:pPr>
        <w:pStyle w:val="Call"/>
      </w:pPr>
      <w:r w:rsidRPr="00CA61A6">
        <w:t>resuelve asimismo</w:t>
      </w:r>
    </w:p>
    <w:p w:rsidR="0062564D" w:rsidRPr="00CA61A6" w:rsidRDefault="0062564D" w:rsidP="007B3478">
      <w:r w:rsidRPr="00CA61A6">
        <w:t>1</w:t>
      </w:r>
      <w:r w:rsidRPr="00CA61A6">
        <w:tab/>
        <w:t>que las administraciones y las empresas de explotación autorizadas por los Estados Miembros adopten, en la medida de lo posible, todas las medidas razonables para facilitar la información necesaria para poder abordar los problemas relacionados con la apropiación y el uso indebidos de los recursos de numeración;</w:t>
      </w:r>
    </w:p>
    <w:p w:rsidR="0062564D" w:rsidRPr="00CA61A6" w:rsidRDefault="0062564D" w:rsidP="007B3478">
      <w:r w:rsidRPr="00CA61A6">
        <w:t>2</w:t>
      </w:r>
      <w:r w:rsidRPr="00CA61A6">
        <w:tab/>
        <w:t>que las administraciones y las empresas de explotación autorizadas por los Estados Miembros tengan en cuenta y examinen, en la medida de lo posible, la "Propuesta de directrices para la lucha de los reguladores y de las administraciones y empresas de explotación autorizadas por los Estados Miembros contra la apropiación indebida de números", que figura como apéndice a la presente Resolución;</w:t>
      </w:r>
    </w:p>
    <w:p w:rsidR="0062564D" w:rsidRPr="00CA61A6" w:rsidRDefault="0062564D" w:rsidP="007B3478">
      <w:r w:rsidRPr="00CA61A6">
        <w:t>3</w:t>
      </w:r>
      <w:r w:rsidRPr="00CA61A6">
        <w:tab/>
        <w:t>que los Estados Miembros y reguladores nacionales pueden tomar nota de los casos de actividades relacionadas con la utilización indebida de recursos de numeración internacional, de conformidad con la Recomendación UIT-T E.164, a través de los recursos pertinentes del UIT-T (por ejemplo, el Boletín de Explotación del UIT-T);</w:t>
      </w:r>
    </w:p>
    <w:p w:rsidR="0062564D" w:rsidRPr="00CA61A6" w:rsidRDefault="0062564D" w:rsidP="007B3478">
      <w:r w:rsidRPr="00CA61A6">
        <w:t>4</w:t>
      </w:r>
      <w:r w:rsidRPr="00CA61A6">
        <w:tab/>
        <w:t>solicitar a la Comisión de Estudio 2 que examine todos los aspectos y modalidades de la apropiación y uso indebidos de los recursos de numeración, en particular de indicativos de país internacionales, con miras a introducir modificaciones en la Recomendación UIT-T E.156 y sus Suplementos y directrices, para promover la respuesta y la lucha contra estas actividades;</w:t>
      </w:r>
    </w:p>
    <w:p w:rsidR="0062564D" w:rsidRPr="00CA61A6" w:rsidRDefault="0062564D" w:rsidP="007B3478">
      <w:r w:rsidRPr="00CA61A6">
        <w:lastRenderedPageBreak/>
        <w:t>5</w:t>
      </w:r>
      <w:r w:rsidRPr="00CA61A6">
        <w:tab/>
        <w:t>solicitar a la Comisión de Estudio 3 del UIT</w:t>
      </w:r>
      <w:r w:rsidRPr="00CA61A6">
        <w:noBreakHyphen/>
        <w:t>T que defina, en colaboración con la Comisión de Estudio 2, las actividades inadecuadas, incluidas las que provocan una pérdida de ingresos, relativas a la apropiación y uso indebidos de los recursos de numeración internacional especificados en las Recomendaciones pertinentes del UIT-T, y que siga examinando esos asuntos;</w:t>
      </w:r>
    </w:p>
    <w:p w:rsidR="0062564D" w:rsidRPr="00CA61A6" w:rsidRDefault="0062564D" w:rsidP="002C0069">
      <w:pPr>
        <w:spacing w:after="120"/>
      </w:pPr>
      <w:r w:rsidRPr="00CA61A6">
        <w:t>6</w:t>
      </w:r>
      <w:r w:rsidRPr="00CA61A6">
        <w:tab/>
        <w:t>solicitar a la Comisión de Estudio 3 que considere las consecuencias económicas resultantes de la apropiación y uso indebidos de los recursos de numeración, incluido el bloqueo de llamadas.</w:t>
      </w:r>
    </w:p>
    <w:tbl>
      <w:tblPr>
        <w:tblW w:w="9583"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4551"/>
        <w:gridCol w:w="1466"/>
        <w:gridCol w:w="1215"/>
        <w:gridCol w:w="1365"/>
      </w:tblGrid>
      <w:tr w:rsidR="0062564D" w:rsidRPr="00CA61A6" w:rsidTr="00AB645B">
        <w:trPr>
          <w:trHeight w:val="647"/>
          <w:tblHeader/>
        </w:trPr>
        <w:tc>
          <w:tcPr>
            <w:tcW w:w="986" w:type="dxa"/>
            <w:tcBorders>
              <w:bottom w:val="double" w:sz="4" w:space="0" w:color="auto"/>
            </w:tcBorders>
            <w:vAlign w:val="center"/>
          </w:tcPr>
          <w:p w:rsidR="0062564D" w:rsidRPr="00CA61A6" w:rsidRDefault="006F33EF" w:rsidP="007B3478">
            <w:pPr>
              <w:pStyle w:val="Tablehead"/>
            </w:pPr>
            <w:r w:rsidRPr="00CA61A6">
              <w:t>Número</w:t>
            </w:r>
          </w:p>
        </w:tc>
        <w:tc>
          <w:tcPr>
            <w:tcW w:w="4551" w:type="dxa"/>
            <w:tcBorders>
              <w:bottom w:val="double" w:sz="4" w:space="0" w:color="auto"/>
            </w:tcBorders>
            <w:shd w:val="clear" w:color="auto" w:fill="auto"/>
            <w:vAlign w:val="center"/>
            <w:hideMark/>
          </w:tcPr>
          <w:p w:rsidR="0062564D" w:rsidRPr="00CA61A6" w:rsidRDefault="0062564D" w:rsidP="007B3478">
            <w:pPr>
              <w:pStyle w:val="Tablehead"/>
            </w:pPr>
            <w:r w:rsidRPr="00CA61A6">
              <w:t>Acción</w:t>
            </w:r>
          </w:p>
        </w:tc>
        <w:tc>
          <w:tcPr>
            <w:tcW w:w="1466" w:type="dxa"/>
            <w:tcBorders>
              <w:bottom w:val="double" w:sz="4" w:space="0" w:color="auto"/>
            </w:tcBorders>
            <w:shd w:val="clear" w:color="auto" w:fill="auto"/>
            <w:vAlign w:val="center"/>
            <w:hideMark/>
          </w:tcPr>
          <w:p w:rsidR="0062564D" w:rsidRPr="00CA61A6" w:rsidRDefault="0062564D" w:rsidP="007B3478">
            <w:pPr>
              <w:pStyle w:val="Tablehead"/>
            </w:pPr>
            <w:r w:rsidRPr="00CA61A6">
              <w:t>Fecha objetivo</w:t>
            </w:r>
          </w:p>
        </w:tc>
        <w:tc>
          <w:tcPr>
            <w:tcW w:w="1215" w:type="dxa"/>
            <w:tcBorders>
              <w:bottom w:val="double" w:sz="4" w:space="0" w:color="auto"/>
            </w:tcBorders>
            <w:vAlign w:val="center"/>
          </w:tcPr>
          <w:p w:rsidR="0062564D" w:rsidRPr="00CA61A6" w:rsidRDefault="0062564D" w:rsidP="007B3478">
            <w:pPr>
              <w:pStyle w:val="Tablehead"/>
            </w:pPr>
            <w:r w:rsidRPr="00CA61A6">
              <w:t>Objetivos periódicos cumplidos</w:t>
            </w:r>
          </w:p>
        </w:tc>
        <w:tc>
          <w:tcPr>
            <w:tcW w:w="1365" w:type="dxa"/>
            <w:tcBorders>
              <w:bottom w:val="double" w:sz="4" w:space="0" w:color="auto"/>
            </w:tcBorders>
            <w:vAlign w:val="center"/>
          </w:tcPr>
          <w:p w:rsidR="0062564D" w:rsidRPr="00CA61A6" w:rsidRDefault="0062564D" w:rsidP="007B3478">
            <w:pPr>
              <w:pStyle w:val="Tablehead"/>
            </w:pPr>
            <w:r w:rsidRPr="00CA61A6">
              <w:t>Completada</w:t>
            </w:r>
          </w:p>
        </w:tc>
      </w:tr>
      <w:tr w:rsidR="0062564D" w:rsidRPr="00CA61A6" w:rsidTr="00AB645B">
        <w:trPr>
          <w:trHeight w:val="620"/>
        </w:trPr>
        <w:tc>
          <w:tcPr>
            <w:tcW w:w="986" w:type="dxa"/>
            <w:tcBorders>
              <w:top w:val="double" w:sz="4" w:space="0" w:color="auto"/>
            </w:tcBorders>
            <w:vAlign w:val="center"/>
          </w:tcPr>
          <w:p w:rsidR="0062564D" w:rsidRPr="00CA61A6" w:rsidRDefault="00110CAD" w:rsidP="007B3478">
            <w:pPr>
              <w:pStyle w:val="Tabletext"/>
              <w:spacing w:before="120" w:after="0"/>
              <w:jc w:val="center"/>
              <w:rPr>
                <w:rFonts w:asciiTheme="majorBidi" w:hAnsiTheme="majorBidi" w:cstheme="majorBidi"/>
              </w:rPr>
            </w:pPr>
            <w:hyperlink w:anchor="Item61_01" w:history="1">
              <w:r w:rsidR="0062564D" w:rsidRPr="00CA61A6">
                <w:rPr>
                  <w:rStyle w:val="Hyperlink"/>
                  <w:rFonts w:asciiTheme="majorBidi" w:hAnsiTheme="majorBidi" w:cstheme="majorBidi"/>
                </w:rPr>
                <w:t>61-01</w:t>
              </w:r>
            </w:hyperlink>
          </w:p>
        </w:tc>
        <w:tc>
          <w:tcPr>
            <w:tcW w:w="4551" w:type="dxa"/>
            <w:tcBorders>
              <w:top w:val="double" w:sz="4" w:space="0" w:color="auto"/>
            </w:tcBorders>
            <w:shd w:val="clear" w:color="auto" w:fill="auto"/>
            <w:hideMark/>
          </w:tcPr>
          <w:p w:rsidR="0062564D" w:rsidRPr="00CA61A6" w:rsidRDefault="008B5B32" w:rsidP="00416B6B">
            <w:pPr>
              <w:pStyle w:val="Tabletext"/>
            </w:pPr>
            <w:r w:rsidRPr="00CA61A6">
              <w:t>La CE </w:t>
            </w:r>
            <w:r w:rsidR="0062564D" w:rsidRPr="00CA61A6">
              <w:t xml:space="preserve">2 estudiará todos los aspectos y formas de apropiación indebida de los </w:t>
            </w:r>
            <w:r w:rsidR="00416B6B">
              <w:t>recursos de numeración, en parti</w:t>
            </w:r>
            <w:r w:rsidR="0062564D" w:rsidRPr="00CA61A6">
              <w:t>cula</w:t>
            </w:r>
            <w:r w:rsidR="00416B6B">
              <w:t>r</w:t>
            </w:r>
            <w:r w:rsidR="0062564D" w:rsidRPr="00CA61A6">
              <w:t xml:space="preserve"> los indicativos internacionales de país a fin de enmendar la Recomendación UIT-T E.156 y sus Suplementos y directrices</w:t>
            </w:r>
          </w:p>
        </w:tc>
        <w:tc>
          <w:tcPr>
            <w:tcW w:w="1466" w:type="dxa"/>
            <w:tcBorders>
              <w:top w:val="double" w:sz="4" w:space="0" w:color="auto"/>
            </w:tcBorders>
            <w:shd w:val="clear" w:color="auto" w:fill="auto"/>
            <w:vAlign w:val="center"/>
            <w:hideMark/>
          </w:tcPr>
          <w:p w:rsidR="0062564D" w:rsidRPr="00CA61A6" w:rsidRDefault="0062564D" w:rsidP="007B3478">
            <w:pPr>
              <w:pStyle w:val="Tabletext"/>
              <w:jc w:val="center"/>
            </w:pPr>
            <w:r w:rsidRPr="00CA61A6">
              <w:t>En curso</w:t>
            </w:r>
          </w:p>
        </w:tc>
        <w:tc>
          <w:tcPr>
            <w:tcW w:w="1215" w:type="dxa"/>
            <w:tcBorders>
              <w:top w:val="double" w:sz="4" w:space="0" w:color="auto"/>
            </w:tcBorders>
            <w:vAlign w:val="center"/>
          </w:tcPr>
          <w:p w:rsidR="0062564D" w:rsidRPr="00CA61A6" w:rsidRDefault="0062564D" w:rsidP="007B3478">
            <w:pPr>
              <w:pStyle w:val="Tabletext"/>
              <w:jc w:val="center"/>
            </w:pPr>
            <w:r w:rsidRPr="00CA61A6">
              <w:sym w:font="Wingdings" w:char="F0FC"/>
            </w:r>
          </w:p>
        </w:tc>
        <w:tc>
          <w:tcPr>
            <w:tcW w:w="1365" w:type="dxa"/>
            <w:tcBorders>
              <w:top w:val="double" w:sz="4" w:space="0" w:color="auto"/>
            </w:tcBorders>
            <w:vAlign w:val="center"/>
          </w:tcPr>
          <w:p w:rsidR="0062564D" w:rsidRPr="00CA61A6" w:rsidRDefault="0062564D" w:rsidP="00AB645B">
            <w:pPr>
              <w:pStyle w:val="Tabletext"/>
              <w:jc w:val="center"/>
            </w:pPr>
          </w:p>
        </w:tc>
      </w:tr>
      <w:tr w:rsidR="0062564D" w:rsidRPr="00CA61A6" w:rsidTr="00AB645B">
        <w:trPr>
          <w:trHeight w:val="620"/>
        </w:trPr>
        <w:tc>
          <w:tcPr>
            <w:tcW w:w="986" w:type="dxa"/>
            <w:tcBorders>
              <w:top w:val="single" w:sz="4" w:space="0" w:color="auto"/>
            </w:tcBorders>
            <w:vAlign w:val="center"/>
          </w:tcPr>
          <w:p w:rsidR="0062564D" w:rsidRPr="00CA61A6" w:rsidRDefault="00110CAD" w:rsidP="007B3478">
            <w:pPr>
              <w:pStyle w:val="Tabletext"/>
              <w:spacing w:before="120" w:after="0"/>
              <w:jc w:val="center"/>
            </w:pPr>
            <w:hyperlink w:anchor="Item61_02" w:history="1">
              <w:r w:rsidR="0062564D" w:rsidRPr="00CA61A6">
                <w:rPr>
                  <w:rStyle w:val="Hyperlink"/>
                  <w:rFonts w:asciiTheme="majorBidi" w:hAnsiTheme="majorBidi" w:cstheme="majorBidi"/>
                </w:rPr>
                <w:t>61-02</w:t>
              </w:r>
            </w:hyperlink>
          </w:p>
        </w:tc>
        <w:tc>
          <w:tcPr>
            <w:tcW w:w="4551" w:type="dxa"/>
            <w:tcBorders>
              <w:top w:val="single" w:sz="4" w:space="0" w:color="auto"/>
            </w:tcBorders>
            <w:shd w:val="clear" w:color="auto" w:fill="auto"/>
          </w:tcPr>
          <w:p w:rsidR="0062564D" w:rsidRPr="00CA61A6" w:rsidRDefault="0062564D" w:rsidP="007B3478">
            <w:pPr>
              <w:pStyle w:val="Tabletext"/>
            </w:pPr>
            <w:bookmarkStart w:id="549" w:name="lt_pId1306"/>
            <w:r w:rsidRPr="00CA61A6">
              <w:t>La CE</w:t>
            </w:r>
            <w:r w:rsidR="008B5B32" w:rsidRPr="00CA61A6">
              <w:t> </w:t>
            </w:r>
            <w:r w:rsidRPr="00CA61A6">
              <w:t xml:space="preserve">3 elaborará definiciones de actividades indebidas relacionadas con la apropiación y utilización indebidas de recursos internacionales de numeración especificados en las Recomendaciones </w:t>
            </w:r>
            <w:r w:rsidR="003551F0">
              <w:t xml:space="preserve">del </w:t>
            </w:r>
            <w:r w:rsidRPr="00CA61A6">
              <w:t>UIT-T</w:t>
            </w:r>
            <w:bookmarkEnd w:id="549"/>
          </w:p>
        </w:tc>
        <w:tc>
          <w:tcPr>
            <w:tcW w:w="1466" w:type="dxa"/>
            <w:tcBorders>
              <w:top w:val="single" w:sz="4" w:space="0" w:color="auto"/>
            </w:tcBorders>
            <w:shd w:val="clear" w:color="auto" w:fill="auto"/>
            <w:vAlign w:val="center"/>
          </w:tcPr>
          <w:p w:rsidR="0062564D" w:rsidRPr="00CA61A6" w:rsidRDefault="0062564D" w:rsidP="007B3478">
            <w:pPr>
              <w:pStyle w:val="Tabletext"/>
              <w:jc w:val="center"/>
            </w:pPr>
            <w:r w:rsidRPr="00CA61A6">
              <w:t>En curso</w:t>
            </w:r>
          </w:p>
        </w:tc>
        <w:tc>
          <w:tcPr>
            <w:tcW w:w="1215" w:type="dxa"/>
            <w:tcBorders>
              <w:top w:val="single" w:sz="4" w:space="0" w:color="auto"/>
            </w:tcBorders>
            <w:vAlign w:val="center"/>
          </w:tcPr>
          <w:p w:rsidR="0062564D" w:rsidRPr="00CA61A6" w:rsidRDefault="0062564D" w:rsidP="007B3478">
            <w:pPr>
              <w:pStyle w:val="Tabletext"/>
              <w:jc w:val="center"/>
            </w:pPr>
            <w:r w:rsidRPr="00CA61A6">
              <w:sym w:font="Wingdings" w:char="F0FC"/>
            </w:r>
          </w:p>
        </w:tc>
        <w:tc>
          <w:tcPr>
            <w:tcW w:w="1365" w:type="dxa"/>
            <w:tcBorders>
              <w:top w:val="single" w:sz="4" w:space="0" w:color="auto"/>
            </w:tcBorders>
            <w:vAlign w:val="center"/>
          </w:tcPr>
          <w:p w:rsidR="0062564D" w:rsidRPr="00CA61A6" w:rsidRDefault="0062564D" w:rsidP="00AB645B">
            <w:pPr>
              <w:pStyle w:val="Tabletext"/>
              <w:jc w:val="center"/>
            </w:pPr>
          </w:p>
        </w:tc>
      </w:tr>
      <w:tr w:rsidR="0062564D" w:rsidRPr="00CA61A6" w:rsidTr="00AB645B">
        <w:trPr>
          <w:trHeight w:val="618"/>
        </w:trPr>
        <w:tc>
          <w:tcPr>
            <w:tcW w:w="986" w:type="dxa"/>
            <w:vAlign w:val="center"/>
          </w:tcPr>
          <w:p w:rsidR="0062564D" w:rsidRPr="00CA61A6" w:rsidRDefault="00110CAD" w:rsidP="007B3478">
            <w:pPr>
              <w:pStyle w:val="Tabletext"/>
              <w:spacing w:before="120" w:after="0"/>
              <w:jc w:val="center"/>
              <w:rPr>
                <w:rFonts w:asciiTheme="majorBidi" w:hAnsiTheme="majorBidi" w:cstheme="majorBidi"/>
              </w:rPr>
            </w:pPr>
            <w:hyperlink w:anchor="Item61_03" w:history="1">
              <w:r w:rsidR="0062564D" w:rsidRPr="006E4C9F">
                <w:rPr>
                  <w:rStyle w:val="Hyperlink"/>
                  <w:rFonts w:asciiTheme="majorBidi" w:hAnsiTheme="majorBidi" w:cstheme="majorBidi"/>
                </w:rPr>
                <w:t>61-0</w:t>
              </w:r>
              <w:r w:rsidR="0062564D" w:rsidRPr="006E4C9F">
                <w:rPr>
                  <w:rStyle w:val="Hyperlink"/>
                </w:rPr>
                <w:t>3</w:t>
              </w:r>
            </w:hyperlink>
          </w:p>
        </w:tc>
        <w:tc>
          <w:tcPr>
            <w:tcW w:w="4551" w:type="dxa"/>
            <w:shd w:val="clear" w:color="auto" w:fill="auto"/>
            <w:hideMark/>
          </w:tcPr>
          <w:p w:rsidR="0062564D" w:rsidRPr="00CA61A6" w:rsidRDefault="008B5B32" w:rsidP="007B3478">
            <w:pPr>
              <w:pStyle w:val="Tabletext"/>
            </w:pPr>
            <w:r w:rsidRPr="00CA61A6">
              <w:t>La CE </w:t>
            </w:r>
            <w:r w:rsidR="0062564D" w:rsidRPr="00CA61A6">
              <w:t xml:space="preserve">3 estudiará la repercusión económica </w:t>
            </w:r>
            <w:r w:rsidR="000067F6">
              <w:t xml:space="preserve">de </w:t>
            </w:r>
            <w:r w:rsidR="0062564D" w:rsidRPr="00CA61A6">
              <w:t>la apropiación y la utilización indebidas de recursos de numeración, comprendido el bloqueo de llamadas</w:t>
            </w:r>
          </w:p>
        </w:tc>
        <w:tc>
          <w:tcPr>
            <w:tcW w:w="1466" w:type="dxa"/>
            <w:shd w:val="clear" w:color="auto" w:fill="auto"/>
            <w:vAlign w:val="center"/>
            <w:hideMark/>
          </w:tcPr>
          <w:p w:rsidR="0062564D" w:rsidRPr="00CA61A6" w:rsidRDefault="0062564D" w:rsidP="007B3478">
            <w:pPr>
              <w:pStyle w:val="Tabletext"/>
              <w:jc w:val="center"/>
            </w:pPr>
            <w:r w:rsidRPr="00CA61A6">
              <w:t>En curso</w:t>
            </w:r>
          </w:p>
        </w:tc>
        <w:tc>
          <w:tcPr>
            <w:tcW w:w="1215" w:type="dxa"/>
            <w:vAlign w:val="center"/>
          </w:tcPr>
          <w:p w:rsidR="0062564D" w:rsidRPr="00CA61A6" w:rsidRDefault="0062564D" w:rsidP="007B3478">
            <w:pPr>
              <w:pStyle w:val="Tabletext"/>
              <w:jc w:val="center"/>
            </w:pPr>
            <w:r w:rsidRPr="00CA61A6">
              <w:sym w:font="Wingdings" w:char="F0FC"/>
            </w:r>
          </w:p>
        </w:tc>
        <w:tc>
          <w:tcPr>
            <w:tcW w:w="1365" w:type="dxa"/>
            <w:vAlign w:val="center"/>
          </w:tcPr>
          <w:p w:rsidR="0062564D" w:rsidRPr="00CA61A6" w:rsidRDefault="0062564D" w:rsidP="007B3478">
            <w:pPr>
              <w:pStyle w:val="Tabletext"/>
              <w:jc w:val="center"/>
            </w:pPr>
          </w:p>
        </w:tc>
      </w:tr>
    </w:tbl>
    <w:p w:rsidR="0062564D" w:rsidRPr="00CA61A6" w:rsidRDefault="00E54F5B" w:rsidP="007E5FE1">
      <w:pPr>
        <w:pStyle w:val="Headingb"/>
        <w:keepLines/>
      </w:pPr>
      <w:bookmarkStart w:id="550" w:name="Item61_01"/>
      <w:r w:rsidRPr="00CA61A6">
        <w:t xml:space="preserve">Acción </w:t>
      </w:r>
      <w:r w:rsidR="0062564D" w:rsidRPr="00CA61A6">
        <w:t>61-01: CE</w:t>
      </w:r>
      <w:r w:rsidRPr="00CA61A6">
        <w:t> </w:t>
      </w:r>
      <w:r w:rsidR="0062564D" w:rsidRPr="00CA61A6">
        <w:t>2</w:t>
      </w:r>
    </w:p>
    <w:p w:rsidR="0062564D" w:rsidRPr="00CA61A6" w:rsidRDefault="0062564D" w:rsidP="00C63587">
      <w:pPr>
        <w:rPr>
          <w:szCs w:val="24"/>
          <w:lang w:eastAsia="ja-JP"/>
        </w:rPr>
      </w:pPr>
      <w:bookmarkStart w:id="551" w:name="lt_pId1314"/>
      <w:bookmarkEnd w:id="550"/>
      <w:r w:rsidRPr="00CA61A6">
        <w:rPr>
          <w:szCs w:val="24"/>
          <w:lang w:eastAsia="ja-JP"/>
        </w:rPr>
        <w:t>El resumen de respuestas a la Circular 296 (2009-2012) sobre la lucha contra</w:t>
      </w:r>
      <w:r w:rsidR="00C63587">
        <w:rPr>
          <w:szCs w:val="24"/>
          <w:lang w:eastAsia="ja-JP"/>
        </w:rPr>
        <w:t xml:space="preserve"> la </w:t>
      </w:r>
      <w:r w:rsidRPr="00CA61A6">
        <w:rPr>
          <w:szCs w:val="24"/>
          <w:lang w:eastAsia="ja-JP"/>
        </w:rPr>
        <w:t>utilización indebida se examinó en la reunión de la Comisión de Estudio 2 del UIT-T (22-31 de enero de 2013).</w:t>
      </w:r>
      <w:bookmarkEnd w:id="551"/>
      <w:r w:rsidRPr="00CA61A6">
        <w:rPr>
          <w:szCs w:val="24"/>
          <w:lang w:eastAsia="ja-JP"/>
        </w:rPr>
        <w:t xml:space="preserve"> </w:t>
      </w:r>
      <w:bookmarkStart w:id="552" w:name="lt_pId1315"/>
      <w:r w:rsidRPr="00CA61A6">
        <w:rPr>
          <w:szCs w:val="24"/>
          <w:lang w:eastAsia="ja-JP"/>
        </w:rPr>
        <w:t>Se indicó que la Resolución 61 de la AMNT aporta nueva información sobre la utilización indebida.</w:t>
      </w:r>
      <w:bookmarkEnd w:id="552"/>
      <w:r w:rsidRPr="00CA61A6">
        <w:rPr>
          <w:szCs w:val="24"/>
          <w:lang w:eastAsia="ja-JP"/>
        </w:rPr>
        <w:t xml:space="preserve"> </w:t>
      </w:r>
      <w:bookmarkStart w:id="553" w:name="lt_pId1316"/>
      <w:r w:rsidRPr="00CA61A6">
        <w:rPr>
          <w:szCs w:val="24"/>
          <w:lang w:eastAsia="ja-JP"/>
        </w:rPr>
        <w:t>Dada la magnitud del problema, la reunión concluyó que el procedimiento definido en la E.156 podría mejorar o complementar los otros procedimientos para impedir dicha práctica.</w:t>
      </w:r>
      <w:bookmarkStart w:id="554" w:name="lt_pId1317"/>
      <w:bookmarkEnd w:id="553"/>
      <w:r w:rsidR="000F3950" w:rsidRPr="00CA61A6">
        <w:rPr>
          <w:szCs w:val="24"/>
          <w:lang w:eastAsia="ja-JP"/>
        </w:rPr>
        <w:t xml:space="preserve"> </w:t>
      </w:r>
      <w:r w:rsidRPr="00CA61A6">
        <w:rPr>
          <w:szCs w:val="24"/>
          <w:lang w:eastAsia="ja-JP"/>
        </w:rPr>
        <w:t>Se convino en los futuros trabajos sobre este aspecto.</w:t>
      </w:r>
      <w:bookmarkEnd w:id="554"/>
    </w:p>
    <w:p w:rsidR="0062564D" w:rsidRPr="00CA61A6" w:rsidRDefault="0062564D" w:rsidP="007B3478">
      <w:pPr>
        <w:rPr>
          <w:szCs w:val="24"/>
          <w:lang w:eastAsia="ja-JP"/>
        </w:rPr>
      </w:pPr>
      <w:bookmarkStart w:id="555" w:name="lt_pId1318"/>
      <w:r w:rsidRPr="00CA61A6">
        <w:rPr>
          <w:szCs w:val="24"/>
          <w:lang w:eastAsia="ja-JP"/>
        </w:rPr>
        <w:t>Se acordó enviar, en principio, una circular sobre la utilización y apropiación indebida de números a la reunión de la CE</w:t>
      </w:r>
      <w:r w:rsidR="00CB4CEF" w:rsidRPr="00CA61A6">
        <w:rPr>
          <w:szCs w:val="24"/>
          <w:lang w:eastAsia="ja-JP"/>
        </w:rPr>
        <w:t> </w:t>
      </w:r>
      <w:r w:rsidRPr="00CA61A6">
        <w:rPr>
          <w:szCs w:val="24"/>
          <w:lang w:eastAsia="ja-JP"/>
        </w:rPr>
        <w:t>2 (17-26 de septiembre de 2013).</w:t>
      </w:r>
      <w:bookmarkEnd w:id="555"/>
    </w:p>
    <w:p w:rsidR="0062564D" w:rsidRPr="00CA61A6" w:rsidRDefault="0062564D" w:rsidP="007B3478">
      <w:pPr>
        <w:rPr>
          <w:szCs w:val="24"/>
          <w:lang w:eastAsia="ja-JP"/>
        </w:rPr>
      </w:pPr>
      <w:bookmarkStart w:id="556" w:name="lt_pId1323"/>
      <w:r w:rsidRPr="00CA61A6">
        <w:t>La Recomendación UIT-T E.156 "</w:t>
      </w:r>
      <w:hyperlink r:id="rId124" w:history="1">
        <w:r w:rsidRPr="00CA61A6">
          <w:rPr>
            <w:rStyle w:val="Hyperlink"/>
          </w:rPr>
          <w:t>Directrices para la actuación del UIT-T cuando se le notifique una utilización indebida de recursos de numeración E.164</w:t>
        </w:r>
      </w:hyperlink>
      <w:r w:rsidRPr="00CA61A6">
        <w:t>" está actualmente en revisión para incluir nuevos casos de uso indebido e investigar formas más eficaces de lucha contra el uso indebido. En la reunión de la Comisión de Estudio 2 de junio de 2014 se señaló que para abordar este asunto de una forma más eficaz es deseable una mayor colaboración</w:t>
      </w:r>
      <w:r w:rsidRPr="00CA61A6">
        <w:rPr>
          <w:rStyle w:val="Hyperlink"/>
        </w:rPr>
        <w:t xml:space="preserve"> </w:t>
      </w:r>
      <w:r w:rsidRPr="00CA61A6">
        <w:t xml:space="preserve">entre los Estados Miembros. Está en marcha una investigación sobre cómo facilitar la comunicación entre Estados Miembros, por ejemplo, mediante la designación de uno o varios puntos de contacto. En la reunión de la Comisión de Estudio 2 de marzo de 2015 se debatió sobre diversas formas de facilitar información sobre la utilización indebida de recursos de numeración definidos en la actual Recomendación UIT-T E.156, y se propusieron modificaciones a dicha Recomendación. </w:t>
      </w:r>
      <w:r w:rsidRPr="00CA61A6">
        <w:rPr>
          <w:szCs w:val="24"/>
          <w:lang w:eastAsia="ja-JP"/>
        </w:rPr>
        <w:t>Aunque se convino en la reunión ad hoc sobre cuestiones relativas a los países en desarrollo (en la reunión de la CE</w:t>
      </w:r>
      <w:r w:rsidR="008B5B32" w:rsidRPr="00CA61A6">
        <w:rPr>
          <w:szCs w:val="24"/>
          <w:lang w:eastAsia="ja-JP"/>
        </w:rPr>
        <w:t> </w:t>
      </w:r>
      <w:r w:rsidRPr="00CA61A6">
        <w:rPr>
          <w:szCs w:val="24"/>
          <w:lang w:eastAsia="ja-JP"/>
        </w:rPr>
        <w:t>2 de enero de 2016) que la nueva versión de la E.156 parece terminar con todas las formas de combatir la utilización indebida de recursos de numeración nacionales que sigue siendo un problema grave para algunos países en desarrollo, en particular cuando dicha utilización indebida se aborde mediante comunicaciones bilaterales entre países.</w:t>
      </w:r>
      <w:bookmarkEnd w:id="556"/>
    </w:p>
    <w:p w:rsidR="0062564D" w:rsidRPr="00CA61A6" w:rsidRDefault="00A10AAF" w:rsidP="009A2742">
      <w:pPr>
        <w:pStyle w:val="Headingb"/>
        <w:keepLines/>
      </w:pPr>
      <w:bookmarkStart w:id="557" w:name="Item61_02"/>
      <w:r w:rsidRPr="00CA61A6">
        <w:lastRenderedPageBreak/>
        <w:t xml:space="preserve">Acción </w:t>
      </w:r>
      <w:r w:rsidR="0062564D" w:rsidRPr="00CA61A6">
        <w:t>61-02: CE</w:t>
      </w:r>
      <w:r w:rsidR="002079D1" w:rsidRPr="00CA61A6">
        <w:t> </w:t>
      </w:r>
      <w:r w:rsidR="0062564D" w:rsidRPr="00CA61A6">
        <w:t>3</w:t>
      </w:r>
    </w:p>
    <w:p w:rsidR="0062564D" w:rsidRPr="00CA61A6" w:rsidRDefault="0062564D" w:rsidP="007B3478">
      <w:pPr>
        <w:rPr>
          <w:szCs w:val="24"/>
          <w:lang w:eastAsia="ja-JP"/>
        </w:rPr>
      </w:pPr>
      <w:bookmarkStart w:id="558" w:name="lt_pId1325"/>
      <w:bookmarkEnd w:id="557"/>
      <w:r w:rsidRPr="00CA61A6">
        <w:rPr>
          <w:szCs w:val="24"/>
          <w:lang w:eastAsia="ja-JP"/>
        </w:rPr>
        <w:t xml:space="preserve">En la reunión de mayo de 2013 de la Comisión de Estudio 3 se creó un </w:t>
      </w:r>
      <w:r w:rsidR="00F26040" w:rsidRPr="00CA61A6">
        <w:rPr>
          <w:szCs w:val="24"/>
          <w:lang w:eastAsia="ja-JP"/>
        </w:rPr>
        <w:t xml:space="preserve">Grupo </w:t>
      </w:r>
      <w:r w:rsidRPr="00CA61A6">
        <w:rPr>
          <w:szCs w:val="24"/>
          <w:lang w:eastAsia="ja-JP"/>
        </w:rPr>
        <w:t xml:space="preserve">por correspondencia encargado de estudiar </w:t>
      </w:r>
      <w:r w:rsidRPr="00CA61A6">
        <w:rPr>
          <w:color w:val="000000"/>
        </w:rPr>
        <w:t>las repercusiones económicas de las llamadas por intermediario, la concentración inadecuada, las llamadas por mayorista, las llamadas sin identificación y otros procedimientos alternativos de llamada, así como la no identificación y falsificación del origen, y sus trabajos siguen en curso</w:t>
      </w:r>
      <w:bookmarkEnd w:id="558"/>
      <w:r w:rsidRPr="00CA61A6">
        <w:rPr>
          <w:szCs w:val="24"/>
          <w:lang w:eastAsia="ja-JP"/>
        </w:rPr>
        <w:t xml:space="preserve">. </w:t>
      </w:r>
    </w:p>
    <w:p w:rsidR="0062564D" w:rsidRPr="00CA61A6" w:rsidRDefault="00A10AAF" w:rsidP="009A2742">
      <w:pPr>
        <w:pStyle w:val="Headingb"/>
        <w:keepLines/>
      </w:pPr>
      <w:bookmarkStart w:id="559" w:name="Item61_03"/>
      <w:r w:rsidRPr="00CA61A6">
        <w:t xml:space="preserve">Acción </w:t>
      </w:r>
      <w:r w:rsidR="0062564D" w:rsidRPr="00CA61A6">
        <w:t>61-03: CE</w:t>
      </w:r>
      <w:r w:rsidR="002079D1" w:rsidRPr="00CA61A6">
        <w:t> </w:t>
      </w:r>
      <w:r w:rsidR="0062564D" w:rsidRPr="00CA61A6">
        <w:t>3</w:t>
      </w:r>
    </w:p>
    <w:p w:rsidR="0062564D" w:rsidRPr="00CA61A6" w:rsidRDefault="0062564D" w:rsidP="007B3478">
      <w:pPr>
        <w:rPr>
          <w:szCs w:val="24"/>
          <w:lang w:eastAsia="ja-JP"/>
        </w:rPr>
      </w:pPr>
      <w:bookmarkStart w:id="560" w:name="lt_pId1328"/>
      <w:bookmarkEnd w:id="559"/>
      <w:r w:rsidRPr="00CA61A6">
        <w:rPr>
          <w:szCs w:val="24"/>
          <w:lang w:eastAsia="ja-JP"/>
        </w:rPr>
        <w:t>Los trabajos en las regiones sobre la definición, entre otras cosas, de la concentración indebida siguen en curso.</w:t>
      </w:r>
      <w:bookmarkEnd w:id="560"/>
      <w:r w:rsidRPr="00CA61A6">
        <w:rPr>
          <w:szCs w:val="24"/>
          <w:lang w:eastAsia="ja-JP"/>
        </w:rPr>
        <w:t xml:space="preserve"> </w:t>
      </w:r>
      <w:bookmarkStart w:id="561" w:name="lt_pId1329"/>
      <w:r w:rsidRPr="00CA61A6">
        <w:rPr>
          <w:szCs w:val="24"/>
          <w:lang w:eastAsia="ja-JP"/>
        </w:rPr>
        <w:t xml:space="preserve">En la reunión de mayo de 2013 de la Comisión de Estudio 3 se creó un </w:t>
      </w:r>
      <w:r w:rsidR="00FE2C37" w:rsidRPr="00CA61A6">
        <w:rPr>
          <w:szCs w:val="24"/>
          <w:lang w:eastAsia="ja-JP"/>
        </w:rPr>
        <w:t xml:space="preserve">Grupo </w:t>
      </w:r>
      <w:r w:rsidRPr="00CA61A6">
        <w:rPr>
          <w:szCs w:val="24"/>
          <w:lang w:eastAsia="ja-JP"/>
        </w:rPr>
        <w:t xml:space="preserve">por correspondencia encargado de estudiar </w:t>
      </w:r>
      <w:r w:rsidRPr="00CA61A6">
        <w:rPr>
          <w:color w:val="000000"/>
        </w:rPr>
        <w:t>las repercusiones económicas de las llamadas por intermediario, la concentración inadecuada, las llamadas por mayorista, las llamadas sin identificación y otros procedimientos alternativos de llamada, así como la no identificación y falsificación del origen</w:t>
      </w:r>
      <w:r w:rsidRPr="00CA61A6">
        <w:rPr>
          <w:szCs w:val="24"/>
          <w:lang w:eastAsia="ja-JP"/>
        </w:rPr>
        <w:t>.</w:t>
      </w:r>
      <w:bookmarkEnd w:id="561"/>
      <w:r w:rsidRPr="00CA61A6">
        <w:rPr>
          <w:szCs w:val="24"/>
          <w:lang w:eastAsia="ja-JP"/>
        </w:rPr>
        <w:t xml:space="preserve"> </w:t>
      </w:r>
      <w:bookmarkStart w:id="562" w:name="lt_pId1330"/>
      <w:r w:rsidRPr="00CA61A6">
        <w:rPr>
          <w:szCs w:val="24"/>
          <w:lang w:eastAsia="ja-JP"/>
        </w:rPr>
        <w:t>Se han recibido en las regiones contribuciones sobre este tema</w:t>
      </w:r>
      <w:bookmarkEnd w:id="562"/>
      <w:r w:rsidRPr="00CA61A6">
        <w:rPr>
          <w:szCs w:val="24"/>
          <w:lang w:eastAsia="ja-JP"/>
        </w:rPr>
        <w:t>.</w:t>
      </w:r>
    </w:p>
    <w:p w:rsidR="00E656F7" w:rsidRPr="00CA61A6" w:rsidRDefault="00110CAD" w:rsidP="00E656F7">
      <w:hyperlink w:anchor="Top" w:history="1">
        <w:r w:rsidR="00E656F7" w:rsidRPr="00CA61A6">
          <w:rPr>
            <w:rStyle w:val="Hyperlink"/>
          </w:rPr>
          <w:t>» Arriba</w:t>
        </w:r>
      </w:hyperlink>
    </w:p>
    <w:p w:rsidR="0062564D" w:rsidRPr="00CA61A6" w:rsidRDefault="00AB1116" w:rsidP="00E0636B">
      <w:pPr>
        <w:pStyle w:val="Heading1"/>
      </w:pPr>
      <w:bookmarkStart w:id="563" w:name="_31_Resolución_62"/>
      <w:bookmarkStart w:id="564" w:name="_Toc463335782"/>
      <w:bookmarkEnd w:id="563"/>
      <w:r w:rsidRPr="00CA61A6">
        <w:t>31</w:t>
      </w:r>
      <w:r w:rsidRPr="00CA61A6">
        <w:tab/>
      </w:r>
      <w:r w:rsidR="00E0636B" w:rsidRPr="00CA61A6">
        <w:t xml:space="preserve">Resolución </w:t>
      </w:r>
      <w:r w:rsidR="0062564D" w:rsidRPr="00CA61A6">
        <w:t>62</w:t>
      </w:r>
      <w:r w:rsidR="00E0636B" w:rsidRPr="00CA61A6">
        <w:t xml:space="preserve"> – </w:t>
      </w:r>
      <w:r w:rsidR="0062564D" w:rsidRPr="00CA61A6">
        <w:t>Solución de controversias</w:t>
      </w:r>
      <w:bookmarkEnd w:id="564"/>
    </w:p>
    <w:p w:rsidR="004A0DF4" w:rsidRPr="00CA61A6" w:rsidRDefault="004A0DF4" w:rsidP="004A0DF4">
      <w:pPr>
        <w:pStyle w:val="Headingb"/>
        <w:keepLines/>
      </w:pPr>
      <w:r w:rsidRPr="00CA61A6">
        <w:t>Resolución 6</w:t>
      </w:r>
      <w:r w:rsidR="00BB280C" w:rsidRPr="00CA61A6">
        <w:t>2</w:t>
      </w:r>
    </w:p>
    <w:p w:rsidR="0062564D" w:rsidRPr="00CA61A6" w:rsidRDefault="0062564D" w:rsidP="007B3478">
      <w:pPr>
        <w:pStyle w:val="Call"/>
      </w:pPr>
      <w:r w:rsidRPr="00CA61A6">
        <w:t>resuelve encargar a la Comisión de Estudio 3 del UIT-T</w:t>
      </w:r>
    </w:p>
    <w:p w:rsidR="0062564D" w:rsidRPr="00CA61A6" w:rsidRDefault="0062564D" w:rsidP="007B3478">
      <w:r w:rsidRPr="00CA61A6">
        <w:t>1</w:t>
      </w:r>
      <w:r w:rsidRPr="00CA61A6">
        <w:tab/>
        <w:t>que acelere su labor en el ámbito de la conectividad internacional, con miras a facilitar la aplicación de las Resoluciones pertinentes;</w:t>
      </w:r>
    </w:p>
    <w:p w:rsidR="0062564D" w:rsidRPr="00CA61A6" w:rsidRDefault="0062564D" w:rsidP="007B3478">
      <w:r w:rsidRPr="00CA61A6">
        <w:t>2</w:t>
      </w:r>
      <w:r w:rsidRPr="00CA61A6">
        <w:tab/>
        <w:t>que recopile datos sobre la aplicación de las Resoluciones pertinentes y de las Recomendaciones de la serie UIT</w:t>
      </w:r>
      <w:r w:rsidRPr="00CA61A6">
        <w:noBreakHyphen/>
        <w:t>T D, y sobre los efectos prácticos de dicha aplicación,</w:t>
      </w:r>
    </w:p>
    <w:p w:rsidR="0062564D" w:rsidRPr="00CA61A6" w:rsidRDefault="0062564D" w:rsidP="007B3478">
      <w:pPr>
        <w:pStyle w:val="Call"/>
      </w:pPr>
      <w:r w:rsidRPr="00CA61A6">
        <w:t>invita a los Estados Miembros</w:t>
      </w:r>
    </w:p>
    <w:p w:rsidR="0062564D" w:rsidRPr="00CA61A6" w:rsidRDefault="0062564D" w:rsidP="007B3478">
      <w:r w:rsidRPr="00CA61A6">
        <w:t>1</w:t>
      </w:r>
      <w:r w:rsidRPr="00CA61A6">
        <w:tab/>
        <w:t>a alentar individualmente a las partes en una negociación o un acuerdo sobre asuntos relativos a la conectividad internacional a incluir una cláusula de solución de controversias en dichos acuerdos;</w:t>
      </w:r>
    </w:p>
    <w:p w:rsidR="0062564D" w:rsidRPr="00CA61A6" w:rsidRDefault="0062564D" w:rsidP="007B3478">
      <w:r w:rsidRPr="00CA61A6">
        <w:t>2</w:t>
      </w:r>
      <w:r w:rsidRPr="00CA61A6">
        <w:tab/>
        <w:t>a alentar a todos los organismos de explotación domiciliados en sus territorios a aplicar las correspondientes Recomendaciones del Sector de Normalización de las Telecomunicaciones de la UIT (UIT</w:t>
      </w:r>
      <w:r w:rsidRPr="00CA61A6">
        <w:noBreakHyphen/>
        <w:t>T);</w:t>
      </w:r>
    </w:p>
    <w:p w:rsidR="0062564D" w:rsidRPr="00CA61A6" w:rsidRDefault="0062564D" w:rsidP="007B3478">
      <w:r w:rsidRPr="00CA61A6">
        <w:t>3</w:t>
      </w:r>
      <w:r w:rsidRPr="00CA61A6">
        <w:tab/>
        <w:t>a contribuir a los trabajos ulteriores del UIT-T en las esferas mencionadas en la presente Resolución,</w:t>
      </w:r>
    </w:p>
    <w:p w:rsidR="0062564D" w:rsidRPr="00CA61A6" w:rsidRDefault="0062564D" w:rsidP="007B3478">
      <w:pPr>
        <w:pStyle w:val="Call"/>
      </w:pPr>
      <w:r w:rsidRPr="00CA61A6">
        <w:t>encarga al Director de la Oficina de Normalización de las Telecomunicaciones</w:t>
      </w:r>
    </w:p>
    <w:p w:rsidR="0062564D" w:rsidRPr="00CA61A6" w:rsidRDefault="0062564D" w:rsidP="007B3478">
      <w:r w:rsidRPr="00CA61A6">
        <w:t>1</w:t>
      </w:r>
      <w:r w:rsidRPr="00CA61A6">
        <w:tab/>
        <w:t>que presente al Consejo de la UIT un Informe anual sobre la aplicación de la presente Resolución;</w:t>
      </w:r>
    </w:p>
    <w:p w:rsidR="0062564D" w:rsidRDefault="0062564D" w:rsidP="005F55DB">
      <w:pPr>
        <w:spacing w:after="120"/>
      </w:pPr>
      <w:r w:rsidRPr="00CA61A6">
        <w:t>2</w:t>
      </w:r>
      <w:r w:rsidRPr="00CA61A6">
        <w:tab/>
        <w:t>que proporcione todo el apoyo necesario a la Comisión de Estudio 3 para promover su labor en este ámbito, con sujeción al presupuesto disponible.</w:t>
      </w:r>
    </w:p>
    <w:p w:rsidR="00BE1A40" w:rsidRPr="00CA61A6" w:rsidRDefault="00BE1A40" w:rsidP="005F55DB">
      <w:pPr>
        <w:spacing w:after="120"/>
      </w:pPr>
    </w:p>
    <w:tbl>
      <w:tblPr>
        <w:tblW w:w="9763"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
        <w:gridCol w:w="4749"/>
        <w:gridCol w:w="1481"/>
        <w:gridCol w:w="1343"/>
        <w:gridCol w:w="1261"/>
      </w:tblGrid>
      <w:tr w:rsidR="0062564D" w:rsidRPr="00CA61A6" w:rsidTr="00AB645B">
        <w:trPr>
          <w:trHeight w:val="647"/>
          <w:tblHeader/>
        </w:trPr>
        <w:tc>
          <w:tcPr>
            <w:tcW w:w="929" w:type="dxa"/>
            <w:tcBorders>
              <w:bottom w:val="double" w:sz="4" w:space="0" w:color="auto"/>
            </w:tcBorders>
            <w:vAlign w:val="center"/>
          </w:tcPr>
          <w:p w:rsidR="0062564D" w:rsidRPr="00CA61A6" w:rsidRDefault="00DA4839" w:rsidP="007B3478">
            <w:pPr>
              <w:pStyle w:val="Tablehead"/>
            </w:pPr>
            <w:r w:rsidRPr="00CA61A6">
              <w:lastRenderedPageBreak/>
              <w:t>Número</w:t>
            </w:r>
          </w:p>
        </w:tc>
        <w:tc>
          <w:tcPr>
            <w:tcW w:w="4749" w:type="dxa"/>
            <w:tcBorders>
              <w:bottom w:val="double" w:sz="4" w:space="0" w:color="auto"/>
            </w:tcBorders>
            <w:shd w:val="clear" w:color="auto" w:fill="auto"/>
            <w:vAlign w:val="center"/>
            <w:hideMark/>
          </w:tcPr>
          <w:p w:rsidR="0062564D" w:rsidRPr="00CA61A6" w:rsidRDefault="0062564D" w:rsidP="007B3478">
            <w:pPr>
              <w:pStyle w:val="Tablehead"/>
            </w:pPr>
            <w:r w:rsidRPr="00CA61A6">
              <w:t>Acción</w:t>
            </w:r>
          </w:p>
        </w:tc>
        <w:tc>
          <w:tcPr>
            <w:tcW w:w="1481" w:type="dxa"/>
            <w:tcBorders>
              <w:bottom w:val="double" w:sz="4" w:space="0" w:color="auto"/>
            </w:tcBorders>
            <w:shd w:val="clear" w:color="auto" w:fill="auto"/>
            <w:vAlign w:val="center"/>
            <w:hideMark/>
          </w:tcPr>
          <w:p w:rsidR="0062564D" w:rsidRPr="00CA61A6" w:rsidRDefault="0062564D" w:rsidP="007B3478">
            <w:pPr>
              <w:pStyle w:val="Tablehead"/>
            </w:pPr>
            <w:r w:rsidRPr="00CA61A6">
              <w:t>Fecha objetivo</w:t>
            </w:r>
          </w:p>
        </w:tc>
        <w:tc>
          <w:tcPr>
            <w:tcW w:w="1343" w:type="dxa"/>
            <w:tcBorders>
              <w:bottom w:val="double" w:sz="4" w:space="0" w:color="auto"/>
            </w:tcBorders>
            <w:vAlign w:val="center"/>
          </w:tcPr>
          <w:p w:rsidR="0062564D" w:rsidRPr="00CA61A6" w:rsidRDefault="0062564D" w:rsidP="007B3478">
            <w:pPr>
              <w:pStyle w:val="Tablehead"/>
            </w:pPr>
            <w:r w:rsidRPr="00CA61A6">
              <w:t>Objetivos periódicos cumplidos</w:t>
            </w:r>
          </w:p>
        </w:tc>
        <w:tc>
          <w:tcPr>
            <w:tcW w:w="1261" w:type="dxa"/>
            <w:tcBorders>
              <w:bottom w:val="double" w:sz="4" w:space="0" w:color="auto"/>
            </w:tcBorders>
            <w:vAlign w:val="center"/>
          </w:tcPr>
          <w:p w:rsidR="0062564D" w:rsidRPr="00CA61A6" w:rsidRDefault="0062564D" w:rsidP="007B3478">
            <w:pPr>
              <w:pStyle w:val="Tablehead"/>
            </w:pPr>
            <w:r w:rsidRPr="00CA61A6">
              <w:t>Completada</w:t>
            </w:r>
          </w:p>
        </w:tc>
      </w:tr>
      <w:tr w:rsidR="0062564D" w:rsidRPr="00CA61A6" w:rsidTr="00AB645B">
        <w:trPr>
          <w:trHeight w:val="620"/>
        </w:trPr>
        <w:tc>
          <w:tcPr>
            <w:tcW w:w="929" w:type="dxa"/>
            <w:tcBorders>
              <w:top w:val="double" w:sz="4" w:space="0" w:color="auto"/>
            </w:tcBorders>
            <w:vAlign w:val="center"/>
          </w:tcPr>
          <w:p w:rsidR="0062564D" w:rsidRPr="00CA61A6" w:rsidRDefault="00110CAD" w:rsidP="007B3478">
            <w:pPr>
              <w:pStyle w:val="Tabletext"/>
              <w:spacing w:before="120" w:after="0"/>
              <w:jc w:val="center"/>
              <w:rPr>
                <w:rFonts w:asciiTheme="majorBidi" w:hAnsiTheme="majorBidi" w:cstheme="majorBidi"/>
              </w:rPr>
            </w:pPr>
            <w:hyperlink w:anchor="Item62_01" w:history="1">
              <w:r w:rsidR="0062564D" w:rsidRPr="00CA61A6">
                <w:rPr>
                  <w:rStyle w:val="Hyperlink"/>
                  <w:rFonts w:asciiTheme="majorBidi" w:hAnsiTheme="majorBidi" w:cstheme="majorBidi"/>
                </w:rPr>
                <w:t>62-01</w:t>
              </w:r>
            </w:hyperlink>
          </w:p>
        </w:tc>
        <w:tc>
          <w:tcPr>
            <w:tcW w:w="4749" w:type="dxa"/>
            <w:tcBorders>
              <w:top w:val="double" w:sz="4" w:space="0" w:color="auto"/>
            </w:tcBorders>
            <w:shd w:val="clear" w:color="auto" w:fill="auto"/>
            <w:vAlign w:val="center"/>
            <w:hideMark/>
          </w:tcPr>
          <w:p w:rsidR="0062564D" w:rsidRPr="00CA61A6" w:rsidRDefault="0062564D" w:rsidP="007B3478">
            <w:pPr>
              <w:pStyle w:val="Tabletext"/>
            </w:pPr>
            <w:r w:rsidRPr="00CA61A6">
              <w:t>La CE 3 recopilará datos sobre la aplicación y los efectos prácticos de la aplicación de las Resoluciones y Recomendaci</w:t>
            </w:r>
            <w:r w:rsidR="005A4DC6">
              <w:t>ones de la serie E pertinentes</w:t>
            </w:r>
          </w:p>
        </w:tc>
        <w:tc>
          <w:tcPr>
            <w:tcW w:w="1481" w:type="dxa"/>
            <w:tcBorders>
              <w:top w:val="double" w:sz="4" w:space="0" w:color="auto"/>
            </w:tcBorders>
            <w:shd w:val="clear" w:color="auto" w:fill="auto"/>
            <w:vAlign w:val="center"/>
            <w:hideMark/>
          </w:tcPr>
          <w:p w:rsidR="0062564D" w:rsidRPr="00CA61A6" w:rsidRDefault="0062564D" w:rsidP="007B3478">
            <w:pPr>
              <w:pStyle w:val="Tabletext"/>
              <w:jc w:val="center"/>
            </w:pPr>
            <w:r w:rsidRPr="00CA61A6">
              <w:t>En curso</w:t>
            </w:r>
          </w:p>
        </w:tc>
        <w:tc>
          <w:tcPr>
            <w:tcW w:w="1343" w:type="dxa"/>
            <w:tcBorders>
              <w:top w:val="double" w:sz="4" w:space="0" w:color="auto"/>
            </w:tcBorders>
            <w:vAlign w:val="center"/>
          </w:tcPr>
          <w:p w:rsidR="0062564D" w:rsidRPr="00CA61A6" w:rsidRDefault="0062564D" w:rsidP="007B3478">
            <w:pPr>
              <w:pStyle w:val="Tabletext"/>
              <w:jc w:val="center"/>
            </w:pPr>
            <w:r w:rsidRPr="00CA61A6">
              <w:sym w:font="Wingdings" w:char="F0FC"/>
            </w:r>
          </w:p>
        </w:tc>
        <w:tc>
          <w:tcPr>
            <w:tcW w:w="1261" w:type="dxa"/>
            <w:tcBorders>
              <w:top w:val="double" w:sz="4" w:space="0" w:color="auto"/>
            </w:tcBorders>
            <w:vAlign w:val="center"/>
          </w:tcPr>
          <w:p w:rsidR="0062564D" w:rsidRPr="00CA61A6" w:rsidRDefault="0062564D" w:rsidP="007B3478">
            <w:pPr>
              <w:pStyle w:val="Tabletext"/>
              <w:jc w:val="center"/>
            </w:pPr>
          </w:p>
        </w:tc>
      </w:tr>
      <w:tr w:rsidR="0062564D" w:rsidRPr="00CA61A6" w:rsidTr="00AB645B">
        <w:trPr>
          <w:trHeight w:val="533"/>
        </w:trPr>
        <w:tc>
          <w:tcPr>
            <w:tcW w:w="929" w:type="dxa"/>
            <w:vAlign w:val="center"/>
          </w:tcPr>
          <w:p w:rsidR="0062564D" w:rsidRPr="00CA61A6" w:rsidRDefault="00110CAD" w:rsidP="007B3478">
            <w:pPr>
              <w:pStyle w:val="Tabletext"/>
              <w:spacing w:before="120" w:after="0"/>
              <w:jc w:val="center"/>
              <w:rPr>
                <w:rFonts w:asciiTheme="majorBidi" w:hAnsiTheme="majorBidi" w:cstheme="majorBidi"/>
              </w:rPr>
            </w:pPr>
            <w:hyperlink w:anchor="Item62_02" w:history="1">
              <w:r w:rsidR="0062564D" w:rsidRPr="00CA61A6">
                <w:rPr>
                  <w:rStyle w:val="Hyperlink"/>
                  <w:rFonts w:asciiTheme="majorBidi" w:hAnsiTheme="majorBidi" w:cstheme="majorBidi"/>
                </w:rPr>
                <w:t>62-02</w:t>
              </w:r>
            </w:hyperlink>
          </w:p>
        </w:tc>
        <w:tc>
          <w:tcPr>
            <w:tcW w:w="4749" w:type="dxa"/>
            <w:shd w:val="clear" w:color="auto" w:fill="auto"/>
            <w:vAlign w:val="center"/>
            <w:hideMark/>
          </w:tcPr>
          <w:p w:rsidR="0062564D" w:rsidRPr="00CA61A6" w:rsidRDefault="0062564D" w:rsidP="007B3478">
            <w:pPr>
              <w:pStyle w:val="Tabletext"/>
            </w:pPr>
            <w:r w:rsidRPr="00CA61A6">
              <w:t>La CE 3 decidirá en su segunda reunión de 2013 si se necesita otro cuestionario</w:t>
            </w:r>
          </w:p>
        </w:tc>
        <w:tc>
          <w:tcPr>
            <w:tcW w:w="1481" w:type="dxa"/>
            <w:shd w:val="clear" w:color="auto" w:fill="auto"/>
            <w:vAlign w:val="center"/>
            <w:hideMark/>
          </w:tcPr>
          <w:p w:rsidR="0062564D" w:rsidRPr="00CA61A6" w:rsidRDefault="0062564D" w:rsidP="007B3478">
            <w:pPr>
              <w:pStyle w:val="Tabletext"/>
              <w:jc w:val="center"/>
            </w:pPr>
            <w:r w:rsidRPr="00CA61A6">
              <w:t>En curso</w:t>
            </w:r>
          </w:p>
        </w:tc>
        <w:tc>
          <w:tcPr>
            <w:tcW w:w="1343" w:type="dxa"/>
            <w:vAlign w:val="center"/>
          </w:tcPr>
          <w:p w:rsidR="0062564D" w:rsidRPr="00CA61A6" w:rsidRDefault="00343C54" w:rsidP="007B3478">
            <w:pPr>
              <w:pStyle w:val="Tabletext"/>
              <w:jc w:val="center"/>
            </w:pPr>
            <w:r w:rsidRPr="00CA61A6">
              <w:sym w:font="Wingdings" w:char="F0FC"/>
            </w:r>
          </w:p>
        </w:tc>
        <w:tc>
          <w:tcPr>
            <w:tcW w:w="1261" w:type="dxa"/>
            <w:vAlign w:val="center"/>
          </w:tcPr>
          <w:p w:rsidR="0062564D" w:rsidRPr="00CA61A6" w:rsidRDefault="0062564D" w:rsidP="007B3478">
            <w:pPr>
              <w:pStyle w:val="Tabletext"/>
              <w:jc w:val="center"/>
            </w:pPr>
          </w:p>
        </w:tc>
      </w:tr>
      <w:tr w:rsidR="0062564D" w:rsidRPr="00CA61A6" w:rsidTr="00AB645B">
        <w:trPr>
          <w:trHeight w:val="530"/>
        </w:trPr>
        <w:tc>
          <w:tcPr>
            <w:tcW w:w="929" w:type="dxa"/>
            <w:vAlign w:val="center"/>
          </w:tcPr>
          <w:p w:rsidR="0062564D" w:rsidRPr="00CA61A6" w:rsidRDefault="00110CAD" w:rsidP="007B3478">
            <w:pPr>
              <w:pStyle w:val="Tabletext"/>
              <w:spacing w:before="120" w:after="0"/>
              <w:jc w:val="center"/>
              <w:rPr>
                <w:rFonts w:asciiTheme="majorBidi" w:hAnsiTheme="majorBidi" w:cstheme="majorBidi"/>
              </w:rPr>
            </w:pPr>
            <w:hyperlink w:anchor="Item62_03" w:history="1">
              <w:r w:rsidR="0062564D" w:rsidRPr="00CA61A6">
                <w:rPr>
                  <w:rStyle w:val="Hyperlink"/>
                  <w:rFonts w:asciiTheme="majorBidi" w:hAnsiTheme="majorBidi" w:cstheme="majorBidi"/>
                </w:rPr>
                <w:t>62-03</w:t>
              </w:r>
            </w:hyperlink>
          </w:p>
        </w:tc>
        <w:tc>
          <w:tcPr>
            <w:tcW w:w="4749" w:type="dxa"/>
            <w:shd w:val="clear" w:color="auto" w:fill="auto"/>
            <w:vAlign w:val="center"/>
            <w:hideMark/>
          </w:tcPr>
          <w:p w:rsidR="0062564D" w:rsidRPr="00CA61A6" w:rsidRDefault="0062564D" w:rsidP="007B3478">
            <w:pPr>
              <w:pStyle w:val="Tabletext"/>
            </w:pPr>
            <w:r w:rsidRPr="00CA61A6">
              <w:t>El Director preparará un informe anual para el Consejo</w:t>
            </w:r>
          </w:p>
        </w:tc>
        <w:tc>
          <w:tcPr>
            <w:tcW w:w="1481" w:type="dxa"/>
            <w:shd w:val="clear" w:color="auto" w:fill="auto"/>
            <w:vAlign w:val="center"/>
            <w:hideMark/>
          </w:tcPr>
          <w:p w:rsidR="0062564D" w:rsidRPr="00CA61A6" w:rsidRDefault="0062564D" w:rsidP="007B3478">
            <w:pPr>
              <w:pStyle w:val="Tabletext"/>
              <w:ind w:left="-57" w:right="-57"/>
              <w:jc w:val="center"/>
            </w:pPr>
            <w:r w:rsidRPr="00CA61A6">
              <w:t>En curso, 3 meses antes del Consejo</w:t>
            </w:r>
          </w:p>
        </w:tc>
        <w:tc>
          <w:tcPr>
            <w:tcW w:w="1343" w:type="dxa"/>
            <w:vAlign w:val="center"/>
          </w:tcPr>
          <w:p w:rsidR="0062564D" w:rsidRPr="00CA61A6" w:rsidRDefault="0062564D" w:rsidP="007B3478">
            <w:pPr>
              <w:pStyle w:val="Tabletext"/>
              <w:jc w:val="center"/>
            </w:pPr>
            <w:r w:rsidRPr="00CA61A6">
              <w:sym w:font="Wingdings" w:char="F0FC"/>
            </w:r>
          </w:p>
        </w:tc>
        <w:tc>
          <w:tcPr>
            <w:tcW w:w="1261" w:type="dxa"/>
            <w:vAlign w:val="center"/>
          </w:tcPr>
          <w:p w:rsidR="0062564D" w:rsidRPr="00CA61A6" w:rsidRDefault="0062564D" w:rsidP="007B3478">
            <w:pPr>
              <w:pStyle w:val="Tabletext"/>
              <w:jc w:val="center"/>
            </w:pPr>
          </w:p>
        </w:tc>
      </w:tr>
    </w:tbl>
    <w:p w:rsidR="0062564D" w:rsidRPr="00CA61A6" w:rsidRDefault="00F17AC6" w:rsidP="00800B02">
      <w:pPr>
        <w:pStyle w:val="Headingb"/>
        <w:keepLines/>
      </w:pPr>
      <w:bookmarkStart w:id="565" w:name="Item62_01"/>
      <w:r w:rsidRPr="00CA61A6">
        <w:t xml:space="preserve">Acción </w:t>
      </w:r>
      <w:r w:rsidR="0062564D" w:rsidRPr="00CA61A6">
        <w:t>62-01: CE</w:t>
      </w:r>
      <w:r w:rsidR="002F410A" w:rsidRPr="00CA61A6">
        <w:t> </w:t>
      </w:r>
      <w:r w:rsidR="0062564D" w:rsidRPr="00CA61A6">
        <w:t>3</w:t>
      </w:r>
    </w:p>
    <w:p w:rsidR="0062564D" w:rsidRPr="00CA61A6" w:rsidRDefault="0062564D" w:rsidP="007B3478">
      <w:pPr>
        <w:rPr>
          <w:szCs w:val="24"/>
          <w:lang w:eastAsia="ja-JP"/>
        </w:rPr>
      </w:pPr>
      <w:bookmarkStart w:id="566" w:name="lt_pId1369"/>
      <w:bookmarkEnd w:id="565"/>
      <w:r w:rsidRPr="00CA61A6">
        <w:rPr>
          <w:szCs w:val="24"/>
          <w:lang w:eastAsia="ja-JP"/>
        </w:rPr>
        <w:t>El Relator sobre resolución de controversias está avanza</w:t>
      </w:r>
      <w:r w:rsidR="00CA61DA">
        <w:rPr>
          <w:szCs w:val="24"/>
          <w:lang w:eastAsia="ja-JP"/>
        </w:rPr>
        <w:t>n</w:t>
      </w:r>
      <w:r w:rsidRPr="00CA61A6">
        <w:rPr>
          <w:szCs w:val="24"/>
          <w:lang w:eastAsia="ja-JP"/>
        </w:rPr>
        <w:t>do los trabajos y se han atribuido al Grupo de Trabajo 2/3.</w:t>
      </w:r>
      <w:bookmarkEnd w:id="566"/>
    </w:p>
    <w:p w:rsidR="0062564D" w:rsidRPr="00CA61A6" w:rsidRDefault="00F17AC6" w:rsidP="00800B02">
      <w:pPr>
        <w:pStyle w:val="Headingb"/>
        <w:keepLines/>
      </w:pPr>
      <w:bookmarkStart w:id="567" w:name="Item62_02"/>
      <w:r w:rsidRPr="00CA61A6">
        <w:t xml:space="preserve">Acción </w:t>
      </w:r>
      <w:r w:rsidR="0062564D" w:rsidRPr="00CA61A6">
        <w:t>62-02: CE</w:t>
      </w:r>
      <w:r w:rsidR="002F410A" w:rsidRPr="00CA61A6">
        <w:t> </w:t>
      </w:r>
      <w:r w:rsidR="0062564D" w:rsidRPr="00CA61A6">
        <w:t>3</w:t>
      </w:r>
    </w:p>
    <w:p w:rsidR="0062564D" w:rsidRPr="00CA61A6" w:rsidRDefault="0062564D" w:rsidP="007B3478">
      <w:pPr>
        <w:rPr>
          <w:szCs w:val="24"/>
          <w:lang w:eastAsia="ja-JP"/>
        </w:rPr>
      </w:pPr>
      <w:bookmarkStart w:id="568" w:name="lt_pId1371"/>
      <w:bookmarkEnd w:id="567"/>
      <w:r w:rsidRPr="00CA61A6">
        <w:rPr>
          <w:szCs w:val="24"/>
          <w:lang w:eastAsia="ja-JP"/>
        </w:rPr>
        <w:t>El Relator sobre resolución de controversias está avanzando el estudio de Recomendaciones de la serie D relativas a la resolución de controversias.</w:t>
      </w:r>
      <w:bookmarkEnd w:id="568"/>
      <w:r w:rsidRPr="00CA61A6">
        <w:rPr>
          <w:szCs w:val="24"/>
          <w:lang w:eastAsia="ja-JP"/>
        </w:rPr>
        <w:t xml:space="preserve"> </w:t>
      </w:r>
      <w:bookmarkStart w:id="569" w:name="lt_pId1372"/>
      <w:r w:rsidRPr="00CA61A6">
        <w:rPr>
          <w:szCs w:val="24"/>
          <w:lang w:eastAsia="ja-JP"/>
        </w:rPr>
        <w:t>En marzo de 2016 se distribuyó una circular (Circular 207) con un cuestionario sobre la resolución de controversias en materia de tasación y facturación.</w:t>
      </w:r>
      <w:bookmarkEnd w:id="569"/>
    </w:p>
    <w:p w:rsidR="0062564D" w:rsidRPr="00CA61A6" w:rsidRDefault="00F17AC6" w:rsidP="00800B02">
      <w:pPr>
        <w:pStyle w:val="Headingb"/>
        <w:keepLines/>
      </w:pPr>
      <w:bookmarkStart w:id="570" w:name="Item62_03"/>
      <w:r w:rsidRPr="00CA61A6">
        <w:t xml:space="preserve">Acción </w:t>
      </w:r>
      <w:r w:rsidR="0062564D" w:rsidRPr="00CA61A6">
        <w:t>62-03: TSB</w:t>
      </w:r>
    </w:p>
    <w:p w:rsidR="0062564D" w:rsidRPr="00CA61A6" w:rsidRDefault="0062564D" w:rsidP="007B3478">
      <w:pPr>
        <w:rPr>
          <w:szCs w:val="24"/>
          <w:lang w:eastAsia="ja-JP"/>
        </w:rPr>
      </w:pPr>
      <w:bookmarkStart w:id="571" w:name="lt_pId1374"/>
      <w:bookmarkEnd w:id="570"/>
      <w:r w:rsidRPr="00CA61A6">
        <w:rPr>
          <w:szCs w:val="24"/>
          <w:lang w:eastAsia="ja-JP"/>
        </w:rPr>
        <w:t xml:space="preserve">En el </w:t>
      </w:r>
      <w:r w:rsidR="004F68E2" w:rsidRPr="00CA61A6">
        <w:rPr>
          <w:szCs w:val="24"/>
          <w:lang w:eastAsia="ja-JP"/>
        </w:rPr>
        <w:t xml:space="preserve">Informe </w:t>
      </w:r>
      <w:r w:rsidRPr="00CA61A6">
        <w:rPr>
          <w:szCs w:val="24"/>
          <w:lang w:eastAsia="ja-JP"/>
        </w:rPr>
        <w:t>de actividades de la UIT al Consejo de 2013 (</w:t>
      </w:r>
      <w:hyperlink r:id="rId125" w:history="1">
        <w:r w:rsidRPr="00CA61A6">
          <w:rPr>
            <w:rFonts w:asciiTheme="majorBidi" w:hAnsiTheme="majorBidi" w:cstheme="majorBidi"/>
            <w:color w:val="0000FF"/>
            <w:u w:val="single"/>
            <w:lang w:eastAsia="ja-JP"/>
          </w:rPr>
          <w:t>C13/35</w:t>
        </w:r>
      </w:hyperlink>
      <w:r w:rsidRPr="00CA61A6">
        <w:rPr>
          <w:szCs w:val="24"/>
          <w:lang w:eastAsia="ja-JP"/>
        </w:rPr>
        <w:t>), el Director de la TSB informó que</w:t>
      </w:r>
      <w:r w:rsidR="00352FD0">
        <w:rPr>
          <w:szCs w:val="24"/>
          <w:lang w:eastAsia="ja-JP"/>
        </w:rPr>
        <w:t>,</w:t>
      </w:r>
      <w:r w:rsidRPr="00CA61A6">
        <w:rPr>
          <w:szCs w:val="24"/>
          <w:lang w:eastAsia="ja-JP"/>
        </w:rPr>
        <w:t xml:space="preserve"> en su reunión de septiembre de 2012</w:t>
      </w:r>
      <w:r w:rsidR="00352FD0">
        <w:rPr>
          <w:szCs w:val="24"/>
          <w:lang w:eastAsia="ja-JP"/>
        </w:rPr>
        <w:t>,</w:t>
      </w:r>
      <w:r w:rsidRPr="00CA61A6">
        <w:rPr>
          <w:szCs w:val="24"/>
          <w:lang w:eastAsia="ja-JP"/>
        </w:rPr>
        <w:t xml:space="preserve"> la CE</w:t>
      </w:r>
      <w:r w:rsidR="008B5B32" w:rsidRPr="00CA61A6">
        <w:rPr>
          <w:szCs w:val="24"/>
          <w:lang w:eastAsia="ja-JP"/>
        </w:rPr>
        <w:t> </w:t>
      </w:r>
      <w:r w:rsidRPr="00CA61A6">
        <w:rPr>
          <w:szCs w:val="24"/>
          <w:lang w:eastAsia="ja-JP"/>
        </w:rPr>
        <w:t xml:space="preserve">3 del UIT-T </w:t>
      </w:r>
      <w:r w:rsidRPr="00CA61A6">
        <w:rPr>
          <w:color w:val="000000"/>
        </w:rPr>
        <w:t xml:space="preserve">acordó avanzar cuatro contribuciones del Global Settlements Carrier Group (GSC) como </w:t>
      </w:r>
      <w:r w:rsidR="00352FD0" w:rsidRPr="00CA61A6">
        <w:rPr>
          <w:color w:val="000000"/>
        </w:rPr>
        <w:t>Suplementos</w:t>
      </w:r>
      <w:r w:rsidRPr="00CA61A6">
        <w:rPr>
          <w:color w:val="000000"/>
        </w:rPr>
        <w:t xml:space="preserve">: </w:t>
      </w:r>
      <w:r w:rsidR="0016145D" w:rsidRPr="00CA61A6">
        <w:rPr>
          <w:color w:val="000000"/>
        </w:rPr>
        <w:t xml:space="preserve">Directrices </w:t>
      </w:r>
      <w:r w:rsidR="00CB63B3">
        <w:rPr>
          <w:color w:val="000000"/>
        </w:rPr>
        <w:t>para la gestión de créditos;</w:t>
      </w:r>
      <w:r w:rsidRPr="00CA61A6">
        <w:rPr>
          <w:color w:val="000000"/>
        </w:rPr>
        <w:t xml:space="preserve"> </w:t>
      </w:r>
      <w:r w:rsidR="0016145D" w:rsidRPr="00CA61A6">
        <w:rPr>
          <w:color w:val="000000"/>
        </w:rPr>
        <w:t xml:space="preserve">Directrices </w:t>
      </w:r>
      <w:r w:rsidRPr="00CA61A6">
        <w:rPr>
          <w:color w:val="000000"/>
        </w:rPr>
        <w:t>para la gesti</w:t>
      </w:r>
      <w:r w:rsidR="00E005C6">
        <w:rPr>
          <w:color w:val="000000"/>
        </w:rPr>
        <w:t>ón de ventas diarias pendientes;</w:t>
      </w:r>
      <w:r w:rsidRPr="00CA61A6">
        <w:rPr>
          <w:color w:val="000000"/>
        </w:rPr>
        <w:t xml:space="preserve"> </w:t>
      </w:r>
      <w:r w:rsidR="0016145D" w:rsidRPr="00CA61A6">
        <w:rPr>
          <w:color w:val="000000"/>
        </w:rPr>
        <w:t xml:space="preserve">Directrices </w:t>
      </w:r>
      <w:r w:rsidRPr="00CA61A6">
        <w:rPr>
          <w:color w:val="000000"/>
        </w:rPr>
        <w:t>para el pago previo</w:t>
      </w:r>
      <w:r w:rsidR="00987693">
        <w:rPr>
          <w:color w:val="000000"/>
        </w:rPr>
        <w:t>;</w:t>
      </w:r>
      <w:r w:rsidR="002E14E8">
        <w:rPr>
          <w:color w:val="000000"/>
        </w:rPr>
        <w:t xml:space="preserve"> y </w:t>
      </w:r>
      <w:r w:rsidR="0016145D" w:rsidRPr="00CA61A6">
        <w:rPr>
          <w:color w:val="000000"/>
        </w:rPr>
        <w:t xml:space="preserve">Directrices </w:t>
      </w:r>
      <w:r w:rsidRPr="00CA61A6">
        <w:rPr>
          <w:color w:val="000000"/>
        </w:rPr>
        <w:t>para la mitigación del</w:t>
      </w:r>
      <w:r w:rsidR="00784997">
        <w:rPr>
          <w:color w:val="000000"/>
        </w:rPr>
        <w:t xml:space="preserve"> fraude</w:t>
      </w:r>
      <w:r w:rsidRPr="00CA61A6">
        <w:rPr>
          <w:szCs w:val="24"/>
          <w:lang w:eastAsia="ja-JP"/>
        </w:rPr>
        <w:t>.</w:t>
      </w:r>
      <w:bookmarkEnd w:id="571"/>
    </w:p>
    <w:p w:rsidR="0062564D" w:rsidRPr="00CA61A6" w:rsidRDefault="0062564D" w:rsidP="007B3478">
      <w:pPr>
        <w:rPr>
          <w:szCs w:val="24"/>
          <w:lang w:eastAsia="ja-JP"/>
        </w:rPr>
      </w:pPr>
      <w:bookmarkStart w:id="572" w:name="lt_pId1375"/>
      <w:r w:rsidRPr="00CA61A6">
        <w:rPr>
          <w:szCs w:val="24"/>
          <w:lang w:eastAsia="ja-JP"/>
        </w:rPr>
        <w:t xml:space="preserve">Estos </w:t>
      </w:r>
      <w:r w:rsidR="00DC3342" w:rsidRPr="00CA61A6">
        <w:rPr>
          <w:szCs w:val="24"/>
          <w:lang w:eastAsia="ja-JP"/>
        </w:rPr>
        <w:t xml:space="preserve">Suplementos </w:t>
      </w:r>
      <w:r w:rsidRPr="00CA61A6">
        <w:rPr>
          <w:szCs w:val="24"/>
          <w:lang w:eastAsia="ja-JP"/>
        </w:rPr>
        <w:t>fueron aprobados en la reunión de 2013 de la CE</w:t>
      </w:r>
      <w:r w:rsidR="00277B6E" w:rsidRPr="00CA61A6">
        <w:rPr>
          <w:szCs w:val="24"/>
          <w:lang w:eastAsia="ja-JP"/>
        </w:rPr>
        <w:t> </w:t>
      </w:r>
      <w:r w:rsidRPr="00CA61A6">
        <w:rPr>
          <w:szCs w:val="24"/>
          <w:lang w:eastAsia="ja-JP"/>
        </w:rPr>
        <w:t>3 del UIT-T.</w:t>
      </w:r>
      <w:bookmarkEnd w:id="572"/>
    </w:p>
    <w:p w:rsidR="00877A3A" w:rsidRPr="00CA61A6" w:rsidRDefault="00110CAD" w:rsidP="00877A3A">
      <w:hyperlink w:anchor="Top" w:history="1">
        <w:r w:rsidR="00877A3A" w:rsidRPr="00CA61A6">
          <w:rPr>
            <w:rStyle w:val="Hyperlink"/>
          </w:rPr>
          <w:t>» Arriba</w:t>
        </w:r>
      </w:hyperlink>
    </w:p>
    <w:p w:rsidR="0062564D" w:rsidRPr="00CA61A6" w:rsidRDefault="00630F4F" w:rsidP="00570742">
      <w:pPr>
        <w:pStyle w:val="Heading1"/>
      </w:pPr>
      <w:bookmarkStart w:id="573" w:name="_32_Resolución_64"/>
      <w:bookmarkStart w:id="574" w:name="_Toc463335783"/>
      <w:bookmarkEnd w:id="573"/>
      <w:r w:rsidRPr="00CA61A6">
        <w:t>32</w:t>
      </w:r>
      <w:r w:rsidRPr="00CA61A6">
        <w:tab/>
      </w:r>
      <w:r w:rsidR="00570742" w:rsidRPr="00CA61A6">
        <w:t>Resolución 6</w:t>
      </w:r>
      <w:r w:rsidR="00DC4933" w:rsidRPr="00CA61A6">
        <w:t>4</w:t>
      </w:r>
      <w:r w:rsidR="00570742" w:rsidRPr="00CA61A6">
        <w:t xml:space="preserve"> – </w:t>
      </w:r>
      <w:r w:rsidR="0062564D" w:rsidRPr="00CA61A6">
        <w:t>Asignación de direcciones IP y medidas encaminadas a facilitar la transición a IPv6 y su implantación</w:t>
      </w:r>
      <w:bookmarkEnd w:id="574"/>
    </w:p>
    <w:p w:rsidR="003F2968" w:rsidRPr="00CA61A6" w:rsidRDefault="003F2968" w:rsidP="003F2968">
      <w:pPr>
        <w:pStyle w:val="Headingb"/>
        <w:keepLines/>
      </w:pPr>
      <w:r w:rsidRPr="00CA61A6">
        <w:t>Resolución 6</w:t>
      </w:r>
      <w:r w:rsidR="00DC4933" w:rsidRPr="00CA61A6">
        <w:t>4</w:t>
      </w:r>
    </w:p>
    <w:p w:rsidR="0062564D" w:rsidRPr="00CA61A6" w:rsidRDefault="0062564D" w:rsidP="007B3478">
      <w:pPr>
        <w:pStyle w:val="Call"/>
      </w:pPr>
      <w:r w:rsidRPr="00CA61A6">
        <w:t>resuelve</w:t>
      </w:r>
    </w:p>
    <w:p w:rsidR="0062564D" w:rsidRPr="00CA61A6" w:rsidRDefault="0062564D" w:rsidP="007B3478">
      <w:r w:rsidRPr="00CA61A6">
        <w:t>1</w:t>
      </w:r>
      <w:r w:rsidRPr="00CA61A6">
        <w:tab/>
        <w:t>encargar a las Comisiones de Estudio 2 y 3 del UIT-T que sigan examinando, cada una con arreglo a su mandato, la atribución y los aspectos económicos de las direcciones IP y que, para velar por los intereses de los países en desarrollo, supervisen y examinen la asignación de direcciones IPv4 que estén aún disponibles, se hayan devuelto o no se utilicen;</w:t>
      </w:r>
    </w:p>
    <w:p w:rsidR="0062564D" w:rsidRPr="00CA61A6" w:rsidRDefault="0062564D" w:rsidP="007B3478">
      <w:r w:rsidRPr="00CA61A6">
        <w:t>2</w:t>
      </w:r>
      <w:r w:rsidRPr="00CA61A6">
        <w:tab/>
        <w:t>encargar a las Comisiones de Estudio 2 y 3 que examinen, cada una con arreglo a su mandato, la atribución y el registro de direcciones IPv6 para miembros interesados y, en particular, para países en desarrollo;</w:t>
      </w:r>
    </w:p>
    <w:p w:rsidR="0062564D" w:rsidRPr="00CA61A6" w:rsidRDefault="0062564D" w:rsidP="007B3478">
      <w:r w:rsidRPr="00CA61A6">
        <w:t>3</w:t>
      </w:r>
      <w:r w:rsidRPr="00CA61A6">
        <w:tab/>
        <w:t>intensificar el intercambio, con todas las partes interesadas, de experiencias e información sobre la adopción de IPv6, a fin de crear oportunidades de colaboración y garantizar que existe el intercambio de información que ha de permitir enriquecer las iniciativas de la UIT en pro de la implantación y la transición hacia IPv6,</w:t>
      </w:r>
    </w:p>
    <w:p w:rsidR="0062564D" w:rsidRPr="00CA61A6" w:rsidRDefault="0062564D" w:rsidP="007B3478">
      <w:pPr>
        <w:pStyle w:val="Call"/>
      </w:pPr>
      <w:r w:rsidRPr="00CA61A6">
        <w:lastRenderedPageBreak/>
        <w:t>encarga al Director de la Oficina de Normalización de las Telecomunicaciones que, en estrecha colaboración con el Director de la Oficina de Desarrollo de las Telecomunicaciones</w:t>
      </w:r>
    </w:p>
    <w:p w:rsidR="0062564D" w:rsidRPr="00CA61A6" w:rsidRDefault="0062564D" w:rsidP="007B3478">
      <w:r w:rsidRPr="00CA61A6">
        <w:t>1</w:t>
      </w:r>
      <w:r w:rsidRPr="00CA61A6">
        <w:tab/>
        <w:t xml:space="preserve">prosiga las actividades en curso entre la Oficina de Normalización de las Telecomunicaciones de la UIT (TSB) y la BDT, teniendo en cuenta la implicación de los asociados que deseen participar y aportar sus conocimientos técnicos especializados para ayudar a los países en desarrollo en la implantación y la migración a IPv6, y responder a sus necesidades regionales, tal como éstas han sido identificadas por la BDT, en particular, mediante los programas de fomento de la capacidad a través de los Programas 2 y 4 de la BDT; </w:t>
      </w:r>
    </w:p>
    <w:p w:rsidR="0062564D" w:rsidRPr="00CA61A6" w:rsidRDefault="0062564D" w:rsidP="007B3478">
      <w:r w:rsidRPr="00CA61A6">
        <w:t>2</w:t>
      </w:r>
      <w:r w:rsidRPr="00CA61A6">
        <w:tab/>
        <w:t>mantenga al día el sitio web en el que se facilita información sobre las actividades relacionadas con IPv6 que se llevan a cabo en todo el mundo para dar a conocer y poner de manifiesto la importancia que reviste la implantación de IPv6 para todos los Miembros de la UIT y las entidades interesadas, y con información sobre los eventos de formación que emprenden la UIT y distintas organizaciones pertinentes (por ejemplo, los registros regionales de Internet (RIR), los grupos de operadores de red y la Internet Society (ISOC));</w:t>
      </w:r>
    </w:p>
    <w:p w:rsidR="0062564D" w:rsidRPr="00CA61A6" w:rsidRDefault="0062564D" w:rsidP="007B3478">
      <w:r w:rsidRPr="00CA61A6">
        <w:t>3</w:t>
      </w:r>
      <w:r w:rsidRPr="00CA61A6">
        <w:tab/>
        <w:t>promueva la sensibilización respecto de la importancia de la implantación de IPv6, propicie actividades de formación conjuntas, implicando a los expertos apropiados de las entidades pertinentes, facilite información, en particular planes y directrices, y colabore en la creación de laboratorios con bancos de pruebas para IPv6 en los países en desarrollo en colaboración con las organizaciones conexas apropiadas,</w:t>
      </w:r>
    </w:p>
    <w:p w:rsidR="0062564D" w:rsidRPr="00CA61A6" w:rsidRDefault="0062564D" w:rsidP="007B3478">
      <w:pPr>
        <w:pStyle w:val="Call"/>
      </w:pPr>
      <w:r w:rsidRPr="00CA61A6">
        <w:t>encarga además al Director de la Oficina de Normalización de las Telecomunicaciones</w:t>
      </w:r>
    </w:p>
    <w:p w:rsidR="0062564D" w:rsidRPr="00CA61A6" w:rsidRDefault="0062564D" w:rsidP="007B3478">
      <w:r w:rsidRPr="00CA61A6">
        <w:t>que tome las medidas adecuadas para facilitar las actividades de las Comisiones de Estudio 2 y 3 del UIT</w:t>
      </w:r>
      <w:r w:rsidRPr="00CA61A6">
        <w:noBreakHyphen/>
        <w:t xml:space="preserve">T en el ámbito de las direcciones IP e informe anualmente al Consejo de la UIT y a la Asamblea Mundial de Normalización de las Telecomunicaciones de 2016 sobre los avances en las medidas adoptadas con respecto a los </w:t>
      </w:r>
      <w:r w:rsidRPr="00CA61A6">
        <w:rPr>
          <w:i/>
          <w:iCs/>
        </w:rPr>
        <w:t>resuelve</w:t>
      </w:r>
      <w:r w:rsidRPr="00CA61A6">
        <w:t xml:space="preserve"> anteriores,</w:t>
      </w:r>
    </w:p>
    <w:p w:rsidR="0062564D" w:rsidRPr="00CA61A6" w:rsidRDefault="0062564D" w:rsidP="007B3478">
      <w:pPr>
        <w:pStyle w:val="Call"/>
      </w:pPr>
      <w:r w:rsidRPr="00CA61A6">
        <w:t>invita a los Estados Miembros y Miembros de Sector</w:t>
      </w:r>
    </w:p>
    <w:p w:rsidR="0062564D" w:rsidRPr="00CA61A6" w:rsidRDefault="0062564D" w:rsidP="007B3478">
      <w:r w:rsidRPr="00CA61A6">
        <w:t>1</w:t>
      </w:r>
      <w:r w:rsidRPr="00CA61A6">
        <w:tab/>
        <w:t xml:space="preserve">a que, mediante el conocimiento adquirido en la puesta en práctica del </w:t>
      </w:r>
      <w:r w:rsidRPr="00CA61A6">
        <w:rPr>
          <w:i/>
          <w:iCs/>
        </w:rPr>
        <w:t>resuelve</w:t>
      </w:r>
      <w:r w:rsidRPr="00CA61A6">
        <w:t xml:space="preserve"> 3, promuevan iniciativas específicas en el ámbito nacional que fomenten la interacción con organismos gubernamentales, privados, académicos y la sociedad civil para el intercambio de información necesario a efectos de la implantación de IPv6 en sus respectivos países;</w:t>
      </w:r>
    </w:p>
    <w:p w:rsidR="0062564D" w:rsidRPr="00CA61A6" w:rsidRDefault="0062564D" w:rsidP="007B3478">
      <w:r w:rsidRPr="00CA61A6">
        <w:t>2</w:t>
      </w:r>
      <w:r w:rsidRPr="00CA61A6">
        <w:tab/>
        <w:t>a que garanticen que los equipos de comunicaciones e informáticos recientemente instalados cuenten con capacidad de IPv6, según convenga, tomando en consideración un periodo de transición necesario para pasar de IPv4 al IPv6,</w:t>
      </w:r>
    </w:p>
    <w:p w:rsidR="0062564D" w:rsidRPr="00CA61A6" w:rsidRDefault="0062564D" w:rsidP="007B3478">
      <w:pPr>
        <w:pStyle w:val="Call"/>
      </w:pPr>
      <w:r w:rsidRPr="00CA61A6">
        <w:t>invita a los Estados Miembros</w:t>
      </w:r>
    </w:p>
    <w:p w:rsidR="0062564D" w:rsidRDefault="0062564D" w:rsidP="00504825">
      <w:pPr>
        <w:spacing w:after="120"/>
      </w:pPr>
      <w:r w:rsidRPr="00CA61A6">
        <w:t>a elaborar políticas nacionales para fomentar la actualización tecnológica de los sistemas, a fin de asegurar que los servicios públicos ofrecidos a través del protocolo IP, la infraestructura de comunicaciones y las aplicaciones correspondientes de los Estados Miembros sean compatibles con IPv6.</w:t>
      </w:r>
    </w:p>
    <w:p w:rsidR="00A30D1D" w:rsidRDefault="00A30D1D" w:rsidP="00504825">
      <w:pPr>
        <w:spacing w:after="120"/>
      </w:pPr>
    </w:p>
    <w:p w:rsidR="00A30D1D" w:rsidRPr="00CA61A6" w:rsidRDefault="00A30D1D" w:rsidP="00504825">
      <w:pPr>
        <w:spacing w:after="120"/>
      </w:pPr>
    </w:p>
    <w:tbl>
      <w:tblPr>
        <w:tblW w:w="9832"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4692"/>
        <w:gridCol w:w="1607"/>
        <w:gridCol w:w="1182"/>
        <w:gridCol w:w="1365"/>
      </w:tblGrid>
      <w:tr w:rsidR="0062564D" w:rsidRPr="00CA61A6" w:rsidTr="00455015">
        <w:trPr>
          <w:trHeight w:val="647"/>
          <w:tblHeader/>
        </w:trPr>
        <w:tc>
          <w:tcPr>
            <w:tcW w:w="986" w:type="dxa"/>
            <w:tcBorders>
              <w:bottom w:val="double" w:sz="4" w:space="0" w:color="auto"/>
            </w:tcBorders>
            <w:vAlign w:val="center"/>
          </w:tcPr>
          <w:p w:rsidR="0062564D" w:rsidRPr="00CA61A6" w:rsidRDefault="00185ECC" w:rsidP="007B3478">
            <w:pPr>
              <w:pStyle w:val="Tablehead"/>
            </w:pPr>
            <w:r w:rsidRPr="00CA61A6">
              <w:lastRenderedPageBreak/>
              <w:t>Número</w:t>
            </w:r>
          </w:p>
        </w:tc>
        <w:tc>
          <w:tcPr>
            <w:tcW w:w="4692" w:type="dxa"/>
            <w:tcBorders>
              <w:bottom w:val="double" w:sz="4" w:space="0" w:color="auto"/>
            </w:tcBorders>
            <w:shd w:val="clear" w:color="auto" w:fill="auto"/>
            <w:vAlign w:val="center"/>
            <w:hideMark/>
          </w:tcPr>
          <w:p w:rsidR="0062564D" w:rsidRPr="00CA61A6" w:rsidRDefault="0062564D" w:rsidP="007B3478">
            <w:pPr>
              <w:pStyle w:val="Tablehead"/>
            </w:pPr>
            <w:r w:rsidRPr="00CA61A6">
              <w:t>Acción</w:t>
            </w:r>
          </w:p>
        </w:tc>
        <w:tc>
          <w:tcPr>
            <w:tcW w:w="1607" w:type="dxa"/>
            <w:tcBorders>
              <w:bottom w:val="double" w:sz="4" w:space="0" w:color="auto"/>
            </w:tcBorders>
            <w:shd w:val="clear" w:color="auto" w:fill="auto"/>
            <w:vAlign w:val="center"/>
            <w:hideMark/>
          </w:tcPr>
          <w:p w:rsidR="0062564D" w:rsidRPr="00CA61A6" w:rsidRDefault="0062564D" w:rsidP="007B3478">
            <w:pPr>
              <w:pStyle w:val="Tablehead"/>
            </w:pPr>
            <w:r w:rsidRPr="00CA61A6">
              <w:t>Fecha objetivo</w:t>
            </w:r>
          </w:p>
        </w:tc>
        <w:tc>
          <w:tcPr>
            <w:tcW w:w="1182" w:type="dxa"/>
            <w:tcBorders>
              <w:bottom w:val="double" w:sz="4" w:space="0" w:color="auto"/>
            </w:tcBorders>
            <w:vAlign w:val="center"/>
          </w:tcPr>
          <w:p w:rsidR="0062564D" w:rsidRPr="00CA61A6" w:rsidRDefault="0062564D" w:rsidP="007B3478">
            <w:pPr>
              <w:pStyle w:val="Tablehead"/>
            </w:pPr>
            <w:r w:rsidRPr="00CA61A6">
              <w:t>Objetivos periódicos cumplidos</w:t>
            </w:r>
          </w:p>
        </w:tc>
        <w:tc>
          <w:tcPr>
            <w:tcW w:w="1365" w:type="dxa"/>
            <w:tcBorders>
              <w:bottom w:val="double" w:sz="4" w:space="0" w:color="auto"/>
            </w:tcBorders>
            <w:vAlign w:val="center"/>
          </w:tcPr>
          <w:p w:rsidR="0062564D" w:rsidRPr="00CA61A6" w:rsidRDefault="0062564D" w:rsidP="007B3478">
            <w:pPr>
              <w:pStyle w:val="Tablehead"/>
            </w:pPr>
            <w:r w:rsidRPr="00CA61A6">
              <w:t>Completada</w:t>
            </w:r>
          </w:p>
        </w:tc>
      </w:tr>
      <w:tr w:rsidR="0062564D" w:rsidRPr="00CA61A6" w:rsidTr="00455015">
        <w:trPr>
          <w:trHeight w:val="620"/>
        </w:trPr>
        <w:tc>
          <w:tcPr>
            <w:tcW w:w="986" w:type="dxa"/>
            <w:tcBorders>
              <w:top w:val="double" w:sz="4" w:space="0" w:color="auto"/>
            </w:tcBorders>
            <w:vAlign w:val="center"/>
          </w:tcPr>
          <w:p w:rsidR="0062564D" w:rsidRPr="00CA61A6" w:rsidRDefault="00110CAD" w:rsidP="007B3478">
            <w:pPr>
              <w:pStyle w:val="Tabletext"/>
              <w:spacing w:before="120" w:after="0"/>
              <w:jc w:val="center"/>
              <w:rPr>
                <w:rFonts w:asciiTheme="majorBidi" w:hAnsiTheme="majorBidi" w:cstheme="majorBidi"/>
              </w:rPr>
            </w:pPr>
            <w:hyperlink w:anchor="Item64_01" w:history="1">
              <w:r w:rsidR="0062564D" w:rsidRPr="00CA61A6">
                <w:rPr>
                  <w:color w:val="0000FF"/>
                  <w:u w:val="single"/>
                </w:rPr>
                <w:t>64-01</w:t>
              </w:r>
            </w:hyperlink>
          </w:p>
        </w:tc>
        <w:tc>
          <w:tcPr>
            <w:tcW w:w="4692" w:type="dxa"/>
            <w:tcBorders>
              <w:top w:val="double" w:sz="4" w:space="0" w:color="auto"/>
            </w:tcBorders>
            <w:shd w:val="clear" w:color="auto" w:fill="auto"/>
            <w:vAlign w:val="center"/>
          </w:tcPr>
          <w:p w:rsidR="0062564D" w:rsidRPr="00CA61A6" w:rsidRDefault="0062564D" w:rsidP="007B3478">
            <w:pPr>
              <w:pStyle w:val="Tabletext"/>
              <w:spacing w:before="120" w:after="0"/>
              <w:rPr>
                <w:rFonts w:asciiTheme="majorBidi" w:hAnsiTheme="majorBidi" w:cstheme="majorBidi"/>
              </w:rPr>
            </w:pPr>
            <w:r w:rsidRPr="00CA61A6">
              <w:rPr>
                <w:rFonts w:asciiTheme="majorBidi" w:hAnsiTheme="majorBidi" w:cstheme="majorBidi"/>
              </w:rPr>
              <w:t>La CE 17 estudiará los aspectos de segur</w:t>
            </w:r>
            <w:r w:rsidR="00A4122E" w:rsidRPr="00CA61A6">
              <w:rPr>
                <w:rFonts w:asciiTheme="majorBidi" w:hAnsiTheme="majorBidi" w:cstheme="majorBidi"/>
              </w:rPr>
              <w:t>idad de la implantación de IPv6</w:t>
            </w:r>
          </w:p>
        </w:tc>
        <w:tc>
          <w:tcPr>
            <w:tcW w:w="1607" w:type="dxa"/>
            <w:tcBorders>
              <w:top w:val="double" w:sz="4" w:space="0" w:color="auto"/>
            </w:tcBorders>
            <w:shd w:val="clear" w:color="auto" w:fill="auto"/>
            <w:vAlign w:val="center"/>
          </w:tcPr>
          <w:p w:rsidR="0062564D" w:rsidRPr="00CA61A6" w:rsidRDefault="0062564D" w:rsidP="009216C0">
            <w:pPr>
              <w:pStyle w:val="Tabletext"/>
              <w:jc w:val="center"/>
            </w:pPr>
            <w:r w:rsidRPr="00CA61A6">
              <w:t>En curso</w:t>
            </w:r>
          </w:p>
        </w:tc>
        <w:tc>
          <w:tcPr>
            <w:tcW w:w="1182" w:type="dxa"/>
            <w:tcBorders>
              <w:top w:val="double" w:sz="4" w:space="0" w:color="auto"/>
            </w:tcBorders>
            <w:vAlign w:val="center"/>
          </w:tcPr>
          <w:p w:rsidR="0062564D" w:rsidRPr="00CA61A6" w:rsidRDefault="00C02430" w:rsidP="007B3478">
            <w:pPr>
              <w:pStyle w:val="Tabletext"/>
              <w:spacing w:before="120" w:after="0"/>
              <w:jc w:val="center"/>
              <w:rPr>
                <w:rFonts w:asciiTheme="majorBidi" w:hAnsiTheme="majorBidi" w:cstheme="majorBidi"/>
              </w:rPr>
            </w:pPr>
            <w:r w:rsidRPr="00CA61A6">
              <w:sym w:font="Wingdings" w:char="F0FC"/>
            </w:r>
          </w:p>
        </w:tc>
        <w:tc>
          <w:tcPr>
            <w:tcW w:w="1365" w:type="dxa"/>
            <w:tcBorders>
              <w:top w:val="double" w:sz="4" w:space="0" w:color="auto"/>
            </w:tcBorders>
            <w:vAlign w:val="center"/>
          </w:tcPr>
          <w:p w:rsidR="0062564D" w:rsidRPr="00CA61A6" w:rsidRDefault="0062564D" w:rsidP="007B3478">
            <w:pPr>
              <w:pStyle w:val="Tabletext"/>
              <w:spacing w:before="120" w:after="0"/>
              <w:jc w:val="center"/>
              <w:rPr>
                <w:rFonts w:asciiTheme="majorBidi" w:hAnsiTheme="majorBidi" w:cstheme="majorBidi"/>
              </w:rPr>
            </w:pPr>
          </w:p>
        </w:tc>
      </w:tr>
      <w:tr w:rsidR="0062564D" w:rsidRPr="00CA61A6" w:rsidTr="00455015">
        <w:trPr>
          <w:trHeight w:val="620"/>
        </w:trPr>
        <w:tc>
          <w:tcPr>
            <w:tcW w:w="986" w:type="dxa"/>
            <w:tcBorders>
              <w:top w:val="single" w:sz="4" w:space="0" w:color="auto"/>
            </w:tcBorders>
            <w:vAlign w:val="center"/>
          </w:tcPr>
          <w:p w:rsidR="0062564D" w:rsidRPr="00CA61A6" w:rsidRDefault="00110CAD" w:rsidP="007B3478">
            <w:pPr>
              <w:pStyle w:val="Tabletext"/>
              <w:spacing w:before="120" w:after="0"/>
              <w:jc w:val="center"/>
              <w:rPr>
                <w:rFonts w:asciiTheme="majorBidi" w:hAnsiTheme="majorBidi" w:cstheme="majorBidi"/>
              </w:rPr>
            </w:pPr>
            <w:hyperlink w:anchor="Item64_02" w:history="1">
              <w:r w:rsidR="0062564D" w:rsidRPr="00CA61A6">
                <w:rPr>
                  <w:rStyle w:val="Hyperlink"/>
                  <w:rFonts w:asciiTheme="majorBidi" w:hAnsiTheme="majorBidi" w:cstheme="majorBidi"/>
                </w:rPr>
                <w:t>64-0</w:t>
              </w:r>
            </w:hyperlink>
            <w:r w:rsidR="0062564D" w:rsidRPr="00CA61A6">
              <w:rPr>
                <w:rStyle w:val="Hyperlink"/>
                <w:rFonts w:asciiTheme="majorBidi" w:hAnsiTheme="majorBidi" w:cstheme="majorBidi"/>
              </w:rPr>
              <w:t>2</w:t>
            </w:r>
          </w:p>
        </w:tc>
        <w:tc>
          <w:tcPr>
            <w:tcW w:w="4692" w:type="dxa"/>
            <w:tcBorders>
              <w:top w:val="single" w:sz="4" w:space="0" w:color="auto"/>
            </w:tcBorders>
            <w:shd w:val="clear" w:color="auto" w:fill="auto"/>
            <w:vAlign w:val="center"/>
            <w:hideMark/>
          </w:tcPr>
          <w:p w:rsidR="0062564D" w:rsidRPr="00CA61A6" w:rsidRDefault="0062564D" w:rsidP="007B3478">
            <w:pPr>
              <w:pStyle w:val="Tabletext"/>
              <w:spacing w:before="120" w:after="0"/>
              <w:rPr>
                <w:rFonts w:asciiTheme="majorBidi" w:hAnsiTheme="majorBidi" w:cstheme="majorBidi"/>
              </w:rPr>
            </w:pPr>
            <w:r w:rsidRPr="00CA61A6">
              <w:rPr>
                <w:rFonts w:asciiTheme="majorBidi" w:hAnsiTheme="majorBidi" w:cstheme="majorBidi"/>
              </w:rPr>
              <w:t xml:space="preserve">La CE 2 (y la CE 3) estudiarán la atribución y los aspectos económicos de las direcciones IP </w:t>
            </w:r>
            <w:r w:rsidRPr="00CA61A6">
              <w:t xml:space="preserve">y supervisarán y evaluarán la atribución IPv4 para los </w:t>
            </w:r>
            <w:r w:rsidR="00110CAD" w:rsidRPr="00CA61A6">
              <w:t xml:space="preserve">miembros </w:t>
            </w:r>
            <w:r w:rsidRPr="00CA61A6">
              <w:t>interesados, especialmente los países en desarrollo</w:t>
            </w:r>
          </w:p>
        </w:tc>
        <w:tc>
          <w:tcPr>
            <w:tcW w:w="1607" w:type="dxa"/>
            <w:tcBorders>
              <w:top w:val="single" w:sz="4" w:space="0" w:color="auto"/>
            </w:tcBorders>
            <w:shd w:val="clear" w:color="auto" w:fill="auto"/>
            <w:vAlign w:val="center"/>
            <w:hideMark/>
          </w:tcPr>
          <w:p w:rsidR="0062564D" w:rsidRPr="00CA61A6" w:rsidRDefault="0062564D" w:rsidP="009216C0">
            <w:pPr>
              <w:pStyle w:val="Tabletext"/>
              <w:jc w:val="center"/>
            </w:pPr>
            <w:r w:rsidRPr="00CA61A6">
              <w:t>En curso</w:t>
            </w:r>
          </w:p>
        </w:tc>
        <w:tc>
          <w:tcPr>
            <w:tcW w:w="1182" w:type="dxa"/>
            <w:tcBorders>
              <w:top w:val="single" w:sz="4" w:space="0" w:color="auto"/>
            </w:tcBorders>
            <w:vAlign w:val="center"/>
          </w:tcPr>
          <w:p w:rsidR="0062564D" w:rsidRPr="00CA61A6" w:rsidRDefault="00C02430" w:rsidP="007B3478">
            <w:pPr>
              <w:pStyle w:val="Tabletext"/>
              <w:spacing w:before="120" w:after="0"/>
              <w:jc w:val="center"/>
              <w:rPr>
                <w:rFonts w:asciiTheme="majorBidi" w:hAnsiTheme="majorBidi" w:cstheme="majorBidi"/>
              </w:rPr>
            </w:pPr>
            <w:r w:rsidRPr="00CA61A6">
              <w:sym w:font="Wingdings" w:char="F0FC"/>
            </w:r>
          </w:p>
        </w:tc>
        <w:tc>
          <w:tcPr>
            <w:tcW w:w="1365" w:type="dxa"/>
            <w:tcBorders>
              <w:top w:val="single" w:sz="4" w:space="0" w:color="auto"/>
            </w:tcBorders>
            <w:vAlign w:val="center"/>
          </w:tcPr>
          <w:p w:rsidR="0062564D" w:rsidRPr="00CA61A6" w:rsidRDefault="0062564D" w:rsidP="007B3478">
            <w:pPr>
              <w:pStyle w:val="Tabletext"/>
              <w:spacing w:before="120" w:after="0"/>
              <w:jc w:val="center"/>
              <w:rPr>
                <w:rFonts w:asciiTheme="majorBidi" w:hAnsiTheme="majorBidi" w:cstheme="majorBidi"/>
              </w:rPr>
            </w:pPr>
          </w:p>
        </w:tc>
      </w:tr>
      <w:tr w:rsidR="0062564D" w:rsidRPr="00CA61A6" w:rsidTr="00455015">
        <w:trPr>
          <w:trHeight w:val="710"/>
        </w:trPr>
        <w:tc>
          <w:tcPr>
            <w:tcW w:w="986" w:type="dxa"/>
            <w:vAlign w:val="center"/>
          </w:tcPr>
          <w:p w:rsidR="0062564D" w:rsidRPr="00CA61A6" w:rsidRDefault="00110CAD" w:rsidP="007B3478">
            <w:pPr>
              <w:pStyle w:val="Tabletext"/>
              <w:spacing w:before="120" w:after="0"/>
              <w:jc w:val="center"/>
              <w:rPr>
                <w:rFonts w:asciiTheme="majorBidi" w:hAnsiTheme="majorBidi" w:cstheme="majorBidi"/>
              </w:rPr>
            </w:pPr>
            <w:hyperlink w:anchor="Item64_03" w:history="1">
              <w:r w:rsidR="0062564D" w:rsidRPr="00CA61A6">
                <w:rPr>
                  <w:rStyle w:val="Hyperlink"/>
                  <w:rFonts w:asciiTheme="majorBidi" w:hAnsiTheme="majorBidi" w:cstheme="majorBidi"/>
                </w:rPr>
                <w:t>64-0</w:t>
              </w:r>
            </w:hyperlink>
            <w:r w:rsidR="0062564D" w:rsidRPr="00CA61A6">
              <w:rPr>
                <w:rStyle w:val="Hyperlink"/>
                <w:rFonts w:asciiTheme="majorBidi" w:hAnsiTheme="majorBidi" w:cstheme="majorBidi"/>
              </w:rPr>
              <w:t>3</w:t>
            </w:r>
          </w:p>
        </w:tc>
        <w:tc>
          <w:tcPr>
            <w:tcW w:w="4692" w:type="dxa"/>
            <w:shd w:val="clear" w:color="auto" w:fill="auto"/>
            <w:vAlign w:val="center"/>
            <w:hideMark/>
          </w:tcPr>
          <w:p w:rsidR="0062564D" w:rsidRPr="00CA61A6" w:rsidRDefault="003B5643" w:rsidP="003B5643">
            <w:pPr>
              <w:pStyle w:val="Tabletext"/>
            </w:pPr>
            <w:r w:rsidRPr="00CA61A6">
              <w:rPr>
                <w:rFonts w:asciiTheme="majorBidi" w:hAnsiTheme="majorBidi" w:cstheme="majorBidi"/>
              </w:rPr>
              <w:t xml:space="preserve">La CE </w:t>
            </w:r>
            <w:r>
              <w:rPr>
                <w:rFonts w:asciiTheme="majorBidi" w:hAnsiTheme="majorBidi" w:cstheme="majorBidi"/>
              </w:rPr>
              <w:t>3</w:t>
            </w:r>
            <w:r w:rsidRPr="00CA61A6">
              <w:rPr>
                <w:rFonts w:asciiTheme="majorBidi" w:hAnsiTheme="majorBidi" w:cstheme="majorBidi"/>
              </w:rPr>
              <w:t xml:space="preserve"> (y la CE </w:t>
            </w:r>
            <w:r>
              <w:rPr>
                <w:rFonts w:asciiTheme="majorBidi" w:hAnsiTheme="majorBidi" w:cstheme="majorBidi"/>
              </w:rPr>
              <w:t>2</w:t>
            </w:r>
            <w:r w:rsidRPr="00CA61A6">
              <w:rPr>
                <w:rFonts w:asciiTheme="majorBidi" w:hAnsiTheme="majorBidi" w:cstheme="majorBidi"/>
              </w:rPr>
              <w:t xml:space="preserve">) </w:t>
            </w:r>
            <w:r w:rsidR="0062564D" w:rsidRPr="00CA61A6">
              <w:t>estudiarán la atribución y los aspectos económicos de las direcciones IP y supervisarán y evaluará</w:t>
            </w:r>
            <w:r w:rsidR="00D72D32">
              <w:t>n</w:t>
            </w:r>
            <w:r w:rsidR="0062564D" w:rsidRPr="00CA61A6">
              <w:t xml:space="preserve"> la atribución IPv4 para países en desarrollo</w:t>
            </w:r>
          </w:p>
        </w:tc>
        <w:tc>
          <w:tcPr>
            <w:tcW w:w="1607" w:type="dxa"/>
            <w:shd w:val="clear" w:color="auto" w:fill="auto"/>
            <w:vAlign w:val="center"/>
            <w:hideMark/>
          </w:tcPr>
          <w:p w:rsidR="0062564D" w:rsidRPr="00CA61A6" w:rsidRDefault="0062564D" w:rsidP="007B3478">
            <w:pPr>
              <w:pStyle w:val="Tabletext"/>
              <w:jc w:val="center"/>
            </w:pPr>
            <w:r w:rsidRPr="00CA61A6">
              <w:t>En curso</w:t>
            </w:r>
          </w:p>
        </w:tc>
        <w:tc>
          <w:tcPr>
            <w:tcW w:w="1182" w:type="dxa"/>
            <w:vAlign w:val="center"/>
          </w:tcPr>
          <w:p w:rsidR="0062564D" w:rsidRPr="00CA61A6" w:rsidRDefault="00C02430" w:rsidP="007B3478">
            <w:pPr>
              <w:pStyle w:val="Tabletext"/>
              <w:jc w:val="center"/>
            </w:pPr>
            <w:r w:rsidRPr="00CA61A6">
              <w:sym w:font="Wingdings" w:char="F0FC"/>
            </w:r>
          </w:p>
        </w:tc>
        <w:tc>
          <w:tcPr>
            <w:tcW w:w="1365" w:type="dxa"/>
            <w:vAlign w:val="center"/>
          </w:tcPr>
          <w:p w:rsidR="0062564D" w:rsidRPr="00301A3F" w:rsidRDefault="0062564D" w:rsidP="00301A3F">
            <w:pPr>
              <w:pStyle w:val="Tabletext"/>
              <w:spacing w:before="120" w:after="0"/>
              <w:jc w:val="center"/>
              <w:rPr>
                <w:rFonts w:asciiTheme="majorBidi" w:hAnsiTheme="majorBidi" w:cstheme="majorBidi"/>
              </w:rPr>
            </w:pPr>
          </w:p>
        </w:tc>
      </w:tr>
      <w:tr w:rsidR="0062564D" w:rsidRPr="00CA61A6" w:rsidTr="00455015">
        <w:trPr>
          <w:trHeight w:val="710"/>
        </w:trPr>
        <w:tc>
          <w:tcPr>
            <w:tcW w:w="986" w:type="dxa"/>
            <w:vAlign w:val="center"/>
          </w:tcPr>
          <w:p w:rsidR="0062564D" w:rsidRPr="00CA61A6" w:rsidRDefault="00110CAD" w:rsidP="007B3478">
            <w:pPr>
              <w:pStyle w:val="Tabletext"/>
              <w:spacing w:before="120" w:after="0"/>
              <w:jc w:val="center"/>
            </w:pPr>
            <w:hyperlink w:anchor="Item64_04" w:history="1">
              <w:r w:rsidR="0062564D" w:rsidRPr="00CA61A6">
                <w:rPr>
                  <w:color w:val="0000FF"/>
                  <w:u w:val="single"/>
                </w:rPr>
                <w:t>64-04</w:t>
              </w:r>
            </w:hyperlink>
          </w:p>
        </w:tc>
        <w:tc>
          <w:tcPr>
            <w:tcW w:w="4692" w:type="dxa"/>
            <w:shd w:val="clear" w:color="auto" w:fill="auto"/>
            <w:vAlign w:val="center"/>
          </w:tcPr>
          <w:p w:rsidR="0062564D" w:rsidRPr="00CA61A6" w:rsidRDefault="00116B34" w:rsidP="007B3478">
            <w:pPr>
              <w:pStyle w:val="Tabletext"/>
            </w:pPr>
            <w:r w:rsidRPr="00CA61A6">
              <w:rPr>
                <w:rFonts w:asciiTheme="majorBidi" w:hAnsiTheme="majorBidi" w:cstheme="majorBidi"/>
              </w:rPr>
              <w:t xml:space="preserve">La CE 2 (y la CE 3) estudiarán </w:t>
            </w:r>
            <w:r w:rsidR="0062564D" w:rsidRPr="00CA61A6">
              <w:t xml:space="preserve">la atribución y el registro de direcciones IPv6 para </w:t>
            </w:r>
            <w:r w:rsidR="0002243B" w:rsidRPr="00CA61A6">
              <w:t xml:space="preserve">los </w:t>
            </w:r>
            <w:r w:rsidR="00110CAD" w:rsidRPr="00CA61A6">
              <w:t xml:space="preserve">miembros </w:t>
            </w:r>
            <w:r w:rsidR="0062564D" w:rsidRPr="00CA61A6">
              <w:t>interesados</w:t>
            </w:r>
            <w:r w:rsidR="0002243B" w:rsidRPr="00CA61A6">
              <w:t>, especialmente los países en desarrollo</w:t>
            </w:r>
          </w:p>
        </w:tc>
        <w:tc>
          <w:tcPr>
            <w:tcW w:w="1607" w:type="dxa"/>
            <w:shd w:val="clear" w:color="auto" w:fill="auto"/>
            <w:vAlign w:val="center"/>
          </w:tcPr>
          <w:p w:rsidR="0062564D" w:rsidRPr="00CA61A6" w:rsidRDefault="0062564D" w:rsidP="007B3478">
            <w:pPr>
              <w:pStyle w:val="Tabletext"/>
              <w:jc w:val="center"/>
            </w:pPr>
            <w:r w:rsidRPr="00CA61A6">
              <w:t>En curso</w:t>
            </w:r>
          </w:p>
        </w:tc>
        <w:tc>
          <w:tcPr>
            <w:tcW w:w="1182" w:type="dxa"/>
            <w:vAlign w:val="center"/>
          </w:tcPr>
          <w:p w:rsidR="0062564D" w:rsidRPr="00CA61A6" w:rsidRDefault="00C02430" w:rsidP="007B3478">
            <w:pPr>
              <w:pStyle w:val="Tabletext"/>
              <w:jc w:val="center"/>
            </w:pPr>
            <w:r w:rsidRPr="00CA61A6">
              <w:sym w:font="Wingdings" w:char="F0FC"/>
            </w:r>
          </w:p>
        </w:tc>
        <w:tc>
          <w:tcPr>
            <w:tcW w:w="1365" w:type="dxa"/>
            <w:vAlign w:val="center"/>
          </w:tcPr>
          <w:p w:rsidR="0062564D" w:rsidRPr="00301A3F" w:rsidRDefault="0062564D" w:rsidP="00301A3F">
            <w:pPr>
              <w:pStyle w:val="Tabletext"/>
              <w:spacing w:before="120" w:after="0"/>
              <w:jc w:val="center"/>
              <w:rPr>
                <w:rFonts w:asciiTheme="majorBidi" w:hAnsiTheme="majorBidi" w:cstheme="majorBidi"/>
              </w:rPr>
            </w:pPr>
          </w:p>
        </w:tc>
      </w:tr>
      <w:tr w:rsidR="0062564D" w:rsidRPr="00CA61A6" w:rsidTr="00455015">
        <w:trPr>
          <w:trHeight w:val="710"/>
        </w:trPr>
        <w:tc>
          <w:tcPr>
            <w:tcW w:w="986" w:type="dxa"/>
            <w:vAlign w:val="center"/>
          </w:tcPr>
          <w:p w:rsidR="0062564D" w:rsidRPr="00CA61A6" w:rsidRDefault="00110CAD" w:rsidP="007B3478">
            <w:pPr>
              <w:pStyle w:val="Tabletext"/>
              <w:spacing w:before="120" w:after="0"/>
              <w:jc w:val="center"/>
            </w:pPr>
            <w:hyperlink w:anchor="Item64_05" w:history="1">
              <w:r w:rsidR="0062564D" w:rsidRPr="00CA61A6">
                <w:rPr>
                  <w:color w:val="0000FF"/>
                  <w:u w:val="single"/>
                </w:rPr>
                <w:t>64-05</w:t>
              </w:r>
            </w:hyperlink>
          </w:p>
        </w:tc>
        <w:tc>
          <w:tcPr>
            <w:tcW w:w="4692" w:type="dxa"/>
            <w:shd w:val="clear" w:color="auto" w:fill="auto"/>
            <w:vAlign w:val="center"/>
          </w:tcPr>
          <w:p w:rsidR="0062564D" w:rsidRPr="00CA61A6" w:rsidRDefault="00E939CC" w:rsidP="007B3478">
            <w:pPr>
              <w:pStyle w:val="Tabletext"/>
            </w:pPr>
            <w:r w:rsidRPr="00CA61A6">
              <w:rPr>
                <w:rFonts w:asciiTheme="majorBidi" w:hAnsiTheme="majorBidi" w:cstheme="majorBidi"/>
              </w:rPr>
              <w:t xml:space="preserve">La CE 2 (y la CE 3) estudiarán </w:t>
            </w:r>
            <w:r w:rsidRPr="00CA61A6">
              <w:t xml:space="preserve">la atribución y el registro de direcciones IPv6 para los </w:t>
            </w:r>
            <w:r w:rsidR="00110CAD" w:rsidRPr="00CA61A6">
              <w:t xml:space="preserve">miembros </w:t>
            </w:r>
            <w:r w:rsidRPr="00CA61A6">
              <w:t>interesados, especialmente los países en desarrollo</w:t>
            </w:r>
          </w:p>
        </w:tc>
        <w:tc>
          <w:tcPr>
            <w:tcW w:w="1607" w:type="dxa"/>
            <w:shd w:val="clear" w:color="auto" w:fill="auto"/>
            <w:vAlign w:val="center"/>
          </w:tcPr>
          <w:p w:rsidR="0062564D" w:rsidRPr="00CA61A6" w:rsidRDefault="0062564D" w:rsidP="007B3478">
            <w:pPr>
              <w:pStyle w:val="Tabletext"/>
              <w:jc w:val="center"/>
            </w:pPr>
            <w:r w:rsidRPr="00CA61A6">
              <w:t>En curso</w:t>
            </w:r>
          </w:p>
        </w:tc>
        <w:tc>
          <w:tcPr>
            <w:tcW w:w="1182" w:type="dxa"/>
            <w:vAlign w:val="center"/>
          </w:tcPr>
          <w:p w:rsidR="0062564D" w:rsidRPr="00CA61A6" w:rsidRDefault="00C02430" w:rsidP="007B3478">
            <w:pPr>
              <w:pStyle w:val="Tabletext"/>
              <w:jc w:val="center"/>
            </w:pPr>
            <w:r w:rsidRPr="00CA61A6">
              <w:sym w:font="Wingdings" w:char="F0FC"/>
            </w:r>
          </w:p>
        </w:tc>
        <w:tc>
          <w:tcPr>
            <w:tcW w:w="1365" w:type="dxa"/>
            <w:vAlign w:val="center"/>
          </w:tcPr>
          <w:p w:rsidR="0062564D" w:rsidRPr="00301A3F" w:rsidRDefault="0062564D" w:rsidP="00301A3F">
            <w:pPr>
              <w:pStyle w:val="Tabletext"/>
              <w:spacing w:before="120" w:after="0"/>
              <w:jc w:val="center"/>
              <w:rPr>
                <w:rFonts w:asciiTheme="majorBidi" w:hAnsiTheme="majorBidi" w:cstheme="majorBidi"/>
              </w:rPr>
            </w:pPr>
          </w:p>
        </w:tc>
      </w:tr>
      <w:tr w:rsidR="0062564D" w:rsidRPr="00CA61A6" w:rsidTr="00455015">
        <w:trPr>
          <w:trHeight w:val="530"/>
        </w:trPr>
        <w:tc>
          <w:tcPr>
            <w:tcW w:w="986" w:type="dxa"/>
            <w:vAlign w:val="center"/>
          </w:tcPr>
          <w:p w:rsidR="0062564D" w:rsidRPr="00CA61A6" w:rsidRDefault="00110CAD" w:rsidP="007B3478">
            <w:pPr>
              <w:pStyle w:val="Tabletext"/>
              <w:spacing w:before="120" w:after="0"/>
              <w:jc w:val="center"/>
              <w:rPr>
                <w:rFonts w:asciiTheme="majorBidi" w:hAnsiTheme="majorBidi" w:cstheme="majorBidi"/>
              </w:rPr>
            </w:pPr>
            <w:hyperlink w:anchor="Item64_06" w:history="1">
              <w:r w:rsidR="0062564D" w:rsidRPr="00CA61A6">
                <w:rPr>
                  <w:rStyle w:val="Hyperlink"/>
                  <w:rFonts w:asciiTheme="majorBidi" w:hAnsiTheme="majorBidi" w:cstheme="majorBidi"/>
                </w:rPr>
                <w:t>64-0</w:t>
              </w:r>
            </w:hyperlink>
            <w:r w:rsidR="0062564D" w:rsidRPr="00CA61A6">
              <w:rPr>
                <w:rStyle w:val="Hyperlink"/>
                <w:rFonts w:asciiTheme="majorBidi" w:hAnsiTheme="majorBidi" w:cstheme="majorBidi"/>
              </w:rPr>
              <w:t>6</w:t>
            </w:r>
          </w:p>
        </w:tc>
        <w:tc>
          <w:tcPr>
            <w:tcW w:w="4692" w:type="dxa"/>
            <w:shd w:val="clear" w:color="auto" w:fill="auto"/>
            <w:vAlign w:val="center"/>
            <w:hideMark/>
          </w:tcPr>
          <w:p w:rsidR="0062564D" w:rsidRPr="00CA61A6" w:rsidRDefault="0062564D" w:rsidP="00625C85">
            <w:pPr>
              <w:pStyle w:val="Tabletext"/>
            </w:pPr>
            <w:r w:rsidRPr="00CA61A6">
              <w:t xml:space="preserve">El Director, en colaboración con el Director de la BDT, </w:t>
            </w:r>
            <w:r w:rsidR="00625C85">
              <w:t>continuará</w:t>
            </w:r>
            <w:r w:rsidRPr="00CA61A6">
              <w:t xml:space="preserve"> </w:t>
            </w:r>
            <w:r w:rsidR="00625C85">
              <w:t>con el</w:t>
            </w:r>
            <w:r w:rsidRPr="00CA61A6">
              <w:t xml:space="preserve"> proyecto de asistencia a los países en desarrollo </w:t>
            </w:r>
            <w:r w:rsidR="00362E31">
              <w:rPr>
                <w:szCs w:val="24"/>
                <w:lang w:eastAsia="ja-JP"/>
              </w:rPr>
              <w:t>para</w:t>
            </w:r>
            <w:r w:rsidR="00B40388" w:rsidRPr="00CA61A6">
              <w:rPr>
                <w:szCs w:val="24"/>
                <w:lang w:eastAsia="ja-JP"/>
              </w:rPr>
              <w:t xml:space="preserve"> la migración y </w:t>
            </w:r>
            <w:r w:rsidR="00414E18">
              <w:rPr>
                <w:szCs w:val="24"/>
                <w:lang w:eastAsia="ja-JP"/>
              </w:rPr>
              <w:t xml:space="preserve">el </w:t>
            </w:r>
            <w:r w:rsidR="00B40388" w:rsidRPr="00CA61A6">
              <w:rPr>
                <w:szCs w:val="24"/>
                <w:lang w:eastAsia="ja-JP"/>
              </w:rPr>
              <w:t>despliegue de IPv6</w:t>
            </w:r>
          </w:p>
        </w:tc>
        <w:tc>
          <w:tcPr>
            <w:tcW w:w="1607" w:type="dxa"/>
            <w:shd w:val="clear" w:color="auto" w:fill="auto"/>
            <w:vAlign w:val="center"/>
            <w:hideMark/>
          </w:tcPr>
          <w:p w:rsidR="0062564D" w:rsidRPr="00CA61A6" w:rsidRDefault="0062564D" w:rsidP="007B3478">
            <w:pPr>
              <w:pStyle w:val="Tabletext"/>
              <w:jc w:val="center"/>
            </w:pPr>
            <w:r w:rsidRPr="00CA61A6">
              <w:t>En curso</w:t>
            </w:r>
          </w:p>
        </w:tc>
        <w:tc>
          <w:tcPr>
            <w:tcW w:w="1182" w:type="dxa"/>
            <w:vAlign w:val="center"/>
          </w:tcPr>
          <w:p w:rsidR="0062564D" w:rsidRPr="00CA61A6" w:rsidRDefault="0062564D" w:rsidP="007B3478">
            <w:pPr>
              <w:pStyle w:val="Tabletext"/>
              <w:jc w:val="center"/>
            </w:pPr>
            <w:r w:rsidRPr="00CA61A6">
              <w:sym w:font="Wingdings" w:char="F0FC"/>
            </w:r>
          </w:p>
        </w:tc>
        <w:tc>
          <w:tcPr>
            <w:tcW w:w="1365" w:type="dxa"/>
            <w:vAlign w:val="center"/>
          </w:tcPr>
          <w:p w:rsidR="0062564D" w:rsidRPr="00301A3F" w:rsidRDefault="0062564D" w:rsidP="00301A3F">
            <w:pPr>
              <w:pStyle w:val="Tabletext"/>
              <w:spacing w:before="120" w:after="0"/>
              <w:jc w:val="center"/>
              <w:rPr>
                <w:rFonts w:asciiTheme="majorBidi" w:hAnsiTheme="majorBidi" w:cstheme="majorBidi"/>
              </w:rPr>
            </w:pPr>
          </w:p>
        </w:tc>
      </w:tr>
      <w:tr w:rsidR="0062564D" w:rsidRPr="00CA61A6" w:rsidTr="00455015">
        <w:trPr>
          <w:trHeight w:val="530"/>
        </w:trPr>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rsidR="0062564D" w:rsidRPr="00CA61A6" w:rsidRDefault="00110CAD" w:rsidP="007B3478">
            <w:pPr>
              <w:pStyle w:val="Tabletext"/>
              <w:spacing w:before="120" w:after="0"/>
              <w:jc w:val="center"/>
            </w:pPr>
            <w:hyperlink w:anchor="Item64_07" w:history="1">
              <w:r w:rsidR="0062564D" w:rsidRPr="00CA61A6">
                <w:rPr>
                  <w:rStyle w:val="Hyperlink"/>
                </w:rPr>
                <w:t>64-07</w:t>
              </w:r>
            </w:hyperlink>
          </w:p>
        </w:tc>
        <w:tc>
          <w:tcPr>
            <w:tcW w:w="46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2564D" w:rsidRPr="00CA61A6" w:rsidRDefault="0062564D" w:rsidP="00E34B63">
            <w:pPr>
              <w:pStyle w:val="Tabletext"/>
            </w:pPr>
            <w:bookmarkStart w:id="575" w:name="lt_pId1432"/>
            <w:r w:rsidRPr="00CA61A6">
              <w:t>El Director, en colaboración con el Director de la BDT, mantendrá actualizado el sitio web del portal IPv6 que contiene información sobre las actividades mundiales relacionadas con IPv6 y con eventos de formación de la UIT y otros organismos pertinentes</w:t>
            </w:r>
            <w:bookmarkEnd w:id="575"/>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2564D" w:rsidRPr="00CA61A6" w:rsidRDefault="0062564D" w:rsidP="009216C0">
            <w:pPr>
              <w:pStyle w:val="Tabletext"/>
              <w:jc w:val="center"/>
            </w:pPr>
            <w:r w:rsidRPr="00CA61A6">
              <w:t>En curso</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62564D" w:rsidRPr="00CA61A6" w:rsidRDefault="00C02430" w:rsidP="00C02430">
            <w:pPr>
              <w:pStyle w:val="Tabletext"/>
              <w:jc w:val="center"/>
            </w:pPr>
            <w:r w:rsidRPr="00CA61A6">
              <w:sym w:font="Wingdings" w:char="F0FC"/>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62564D" w:rsidRPr="00301A3F" w:rsidRDefault="0062564D" w:rsidP="00301A3F">
            <w:pPr>
              <w:pStyle w:val="Tabletext"/>
              <w:spacing w:before="120" w:after="0"/>
              <w:jc w:val="center"/>
              <w:rPr>
                <w:rFonts w:asciiTheme="majorBidi" w:hAnsiTheme="majorBidi" w:cstheme="majorBidi"/>
              </w:rPr>
            </w:pPr>
          </w:p>
        </w:tc>
      </w:tr>
      <w:tr w:rsidR="0062564D" w:rsidRPr="00CA61A6" w:rsidTr="00455015">
        <w:trPr>
          <w:trHeight w:val="530"/>
        </w:trPr>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rsidR="0062564D" w:rsidRPr="00CA61A6" w:rsidRDefault="00110CAD" w:rsidP="007B3478">
            <w:pPr>
              <w:pStyle w:val="Tabletext"/>
              <w:spacing w:before="120" w:after="0"/>
              <w:jc w:val="center"/>
            </w:pPr>
            <w:hyperlink w:anchor="Item64_08" w:history="1">
              <w:r w:rsidR="0062564D" w:rsidRPr="00CA61A6">
                <w:rPr>
                  <w:rStyle w:val="Hyperlink"/>
                </w:rPr>
                <w:t>64-08</w:t>
              </w:r>
            </w:hyperlink>
          </w:p>
        </w:tc>
        <w:tc>
          <w:tcPr>
            <w:tcW w:w="46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2564D" w:rsidRPr="00CA61A6" w:rsidRDefault="0062564D" w:rsidP="007B3478">
            <w:pPr>
              <w:pStyle w:val="Tabletext"/>
            </w:pPr>
            <w:bookmarkStart w:id="576" w:name="lt_pId1436"/>
            <w:r w:rsidRPr="00CA61A6">
              <w:t>El Director, en colaboración con el Director de la BDT, facilitará información, incluidas hojas de ruta y directrices, para prestar asistencia en la creación de laboratorios de prueba de IPv6 en países en desarrollo, en colaboración con otros organismos pertinentes</w:t>
            </w:r>
            <w:bookmarkEnd w:id="576"/>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2564D" w:rsidRPr="00CA61A6" w:rsidRDefault="0062564D" w:rsidP="009216C0">
            <w:pPr>
              <w:pStyle w:val="Tabletext"/>
              <w:jc w:val="center"/>
            </w:pPr>
            <w:r w:rsidRPr="00CA61A6">
              <w:t>En curso</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62564D" w:rsidRPr="00CA61A6" w:rsidRDefault="00C02430" w:rsidP="00C02430">
            <w:pPr>
              <w:pStyle w:val="Tabletext"/>
              <w:jc w:val="center"/>
            </w:pPr>
            <w:r w:rsidRPr="00CA61A6">
              <w:sym w:font="Wingdings" w:char="F0FC"/>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62564D" w:rsidRPr="00301A3F" w:rsidRDefault="0062564D" w:rsidP="00301A3F">
            <w:pPr>
              <w:pStyle w:val="Tabletext"/>
              <w:spacing w:before="120" w:after="0"/>
              <w:jc w:val="center"/>
              <w:rPr>
                <w:rFonts w:asciiTheme="majorBidi" w:hAnsiTheme="majorBidi" w:cstheme="majorBidi"/>
              </w:rPr>
            </w:pPr>
          </w:p>
        </w:tc>
      </w:tr>
      <w:tr w:rsidR="0062564D" w:rsidRPr="00CA61A6" w:rsidTr="00455015">
        <w:trPr>
          <w:trHeight w:val="530"/>
        </w:trPr>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rsidR="0062564D" w:rsidRPr="00CA61A6" w:rsidRDefault="00110CAD" w:rsidP="007B3478">
            <w:pPr>
              <w:pStyle w:val="Tabletext"/>
              <w:spacing w:before="120" w:after="0"/>
              <w:jc w:val="center"/>
            </w:pPr>
            <w:hyperlink w:anchor="Item64_09" w:history="1">
              <w:r w:rsidR="0062564D" w:rsidRPr="00CA61A6">
                <w:rPr>
                  <w:rStyle w:val="Hyperlink"/>
                </w:rPr>
                <w:t>64-09</w:t>
              </w:r>
            </w:hyperlink>
          </w:p>
        </w:tc>
        <w:tc>
          <w:tcPr>
            <w:tcW w:w="46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2564D" w:rsidRPr="00CA61A6" w:rsidRDefault="0062564D" w:rsidP="007B3478">
            <w:pPr>
              <w:pStyle w:val="Tabletext"/>
            </w:pPr>
            <w:bookmarkStart w:id="577" w:name="lt_pId1440"/>
            <w:r w:rsidRPr="00CA61A6">
              <w:t>El Director informará anualmente al Consejo y a la AMNT</w:t>
            </w:r>
            <w:r w:rsidR="00DB6DC6" w:rsidRPr="00CA61A6">
              <w:noBreakHyphen/>
            </w:r>
            <w:r w:rsidRPr="00CA61A6">
              <w:t>16</w:t>
            </w:r>
            <w:bookmarkEnd w:id="577"/>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2564D" w:rsidRPr="00CA61A6" w:rsidRDefault="0062564D" w:rsidP="009216C0">
            <w:pPr>
              <w:pStyle w:val="Tabletext"/>
              <w:jc w:val="center"/>
            </w:pPr>
            <w:r w:rsidRPr="00CA61A6">
              <w:t>En curso</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62564D" w:rsidRPr="00CA61A6" w:rsidRDefault="00C02430" w:rsidP="00C02430">
            <w:pPr>
              <w:pStyle w:val="Tabletext"/>
              <w:jc w:val="center"/>
            </w:pPr>
            <w:r w:rsidRPr="00CA61A6">
              <w:sym w:font="Wingdings" w:char="F0FC"/>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62564D" w:rsidRPr="00301A3F" w:rsidRDefault="0062564D" w:rsidP="00301A3F">
            <w:pPr>
              <w:pStyle w:val="Tabletext"/>
              <w:spacing w:before="120" w:after="0"/>
              <w:jc w:val="center"/>
              <w:rPr>
                <w:rFonts w:asciiTheme="majorBidi" w:hAnsiTheme="majorBidi" w:cstheme="majorBidi"/>
              </w:rPr>
            </w:pPr>
          </w:p>
        </w:tc>
      </w:tr>
    </w:tbl>
    <w:p w:rsidR="0062564D" w:rsidRPr="00CA61A6" w:rsidRDefault="00A62957" w:rsidP="00D771FA">
      <w:pPr>
        <w:pStyle w:val="Headingb"/>
        <w:keepLines/>
      </w:pPr>
      <w:bookmarkStart w:id="578" w:name="Item64_01"/>
      <w:r w:rsidRPr="00CA61A6">
        <w:t xml:space="preserve">Acción </w:t>
      </w:r>
      <w:r w:rsidR="0062564D" w:rsidRPr="00CA61A6">
        <w:t>64-01: CE</w:t>
      </w:r>
      <w:r w:rsidR="008C4AB8" w:rsidRPr="00CA61A6">
        <w:t> </w:t>
      </w:r>
      <w:r w:rsidR="0062564D" w:rsidRPr="00CA61A6">
        <w:t>17</w:t>
      </w:r>
    </w:p>
    <w:p w:rsidR="0062564D" w:rsidRPr="00CA61A6" w:rsidRDefault="0062564D" w:rsidP="004C5373">
      <w:bookmarkStart w:id="579" w:name="lt_pId1444"/>
      <w:bookmarkEnd w:id="578"/>
      <w:r w:rsidRPr="00CA61A6">
        <w:rPr>
          <w:szCs w:val="24"/>
          <w:lang w:eastAsia="ja-JP"/>
        </w:rPr>
        <w:t>Los estudios sobre aspectos relativos a seguridad del despliegue de IPv6 fueron realizados por un grupo de expertos de la CE</w:t>
      </w:r>
      <w:r w:rsidR="008B5B32" w:rsidRPr="00CA61A6">
        <w:rPr>
          <w:szCs w:val="24"/>
          <w:lang w:eastAsia="ja-JP"/>
        </w:rPr>
        <w:t> </w:t>
      </w:r>
      <w:r w:rsidRPr="00CA61A6">
        <w:rPr>
          <w:szCs w:val="24"/>
          <w:lang w:eastAsia="ja-JP"/>
        </w:rPr>
        <w:t>17, en estrecha colaboración con el IETF y otras organizaciones de normalización.</w:t>
      </w:r>
      <w:bookmarkEnd w:id="579"/>
      <w:r w:rsidRPr="00CA61A6">
        <w:rPr>
          <w:szCs w:val="24"/>
          <w:lang w:eastAsia="ja-JP"/>
        </w:rPr>
        <w:t xml:space="preserve"> </w:t>
      </w:r>
      <w:bookmarkStart w:id="580" w:name="lt_pId1445"/>
      <w:r w:rsidRPr="00CA61A6">
        <w:rPr>
          <w:szCs w:val="24"/>
          <w:lang w:eastAsia="ja-JP"/>
        </w:rPr>
        <w:t>La CE</w:t>
      </w:r>
      <w:r w:rsidR="008B5B32" w:rsidRPr="00CA61A6">
        <w:rPr>
          <w:szCs w:val="24"/>
          <w:lang w:eastAsia="ja-JP"/>
        </w:rPr>
        <w:t> </w:t>
      </w:r>
      <w:r w:rsidRPr="00CA61A6">
        <w:rPr>
          <w:lang w:eastAsia="ja-JP"/>
        </w:rPr>
        <w:t>17 aprobó la Rec</w:t>
      </w:r>
      <w:bookmarkEnd w:id="580"/>
      <w:r w:rsidR="004C5373">
        <w:rPr>
          <w:lang w:eastAsia="ja-JP"/>
        </w:rPr>
        <w:t>omendación</w:t>
      </w:r>
      <w:r w:rsidRPr="00CA61A6">
        <w:rPr>
          <w:lang w:eastAsia="ja-JP"/>
        </w:rPr>
        <w:t xml:space="preserve"> UIT-T X.1037, </w:t>
      </w:r>
      <w:r w:rsidR="00B26079" w:rsidRPr="00CA61A6">
        <w:rPr>
          <w:lang w:eastAsia="ja-JP"/>
        </w:rPr>
        <w:t>"</w:t>
      </w:r>
      <w:r w:rsidRPr="00782A98">
        <w:rPr>
          <w:lang w:eastAsia="ja-JP"/>
        </w:rPr>
        <w:t>Pautas de seguridad técnica para la implantación de IPv6</w:t>
      </w:r>
      <w:r w:rsidRPr="00CA61A6">
        <w:rPr>
          <w:lang w:eastAsia="ja-JP"/>
        </w:rPr>
        <w:t>"</w:t>
      </w:r>
      <w:r w:rsidRPr="00CA61A6">
        <w:rPr>
          <w:i/>
          <w:iCs/>
          <w:lang w:eastAsia="ja-JP"/>
        </w:rPr>
        <w:t xml:space="preserve"> </w:t>
      </w:r>
      <w:r w:rsidRPr="00C50CC4">
        <w:rPr>
          <w:lang w:eastAsia="ja-JP"/>
        </w:rPr>
        <w:t>y</w:t>
      </w:r>
      <w:r w:rsidR="008D11D1">
        <w:rPr>
          <w:lang w:eastAsia="ja-JP"/>
        </w:rPr>
        <w:t xml:space="preserve"> el Suplemento</w:t>
      </w:r>
      <w:r w:rsidRPr="00CA61A6">
        <w:rPr>
          <w:i/>
          <w:iCs/>
          <w:lang w:eastAsia="ja-JP"/>
        </w:rPr>
        <w:t xml:space="preserve"> </w:t>
      </w:r>
      <w:r w:rsidR="008D11D1" w:rsidRPr="008D11D1">
        <w:rPr>
          <w:lang w:eastAsia="ja-JP"/>
        </w:rPr>
        <w:t>X.Suppl.23</w:t>
      </w:r>
      <w:r w:rsidR="0053460B">
        <w:rPr>
          <w:lang w:eastAsia="ja-JP"/>
        </w:rPr>
        <w:t xml:space="preserve">, </w:t>
      </w:r>
      <w:r w:rsidRPr="00CA61A6">
        <w:rPr>
          <w:lang w:eastAsia="ja-JP"/>
        </w:rPr>
        <w:t>"</w:t>
      </w:r>
      <w:r w:rsidRPr="00BB2AA8">
        <w:rPr>
          <w:lang w:eastAsia="ja-JP"/>
        </w:rPr>
        <w:t>Pautas sobre gestión de la seguridad para la implantación de un entorno IPv6 en las organizaciones de telecomunicaciones</w:t>
      </w:r>
      <w:r w:rsidR="00B26079" w:rsidRPr="00CA61A6">
        <w:rPr>
          <w:lang w:eastAsia="ja-JP"/>
        </w:rPr>
        <w:t>"</w:t>
      </w:r>
      <w:r w:rsidRPr="00CA61A6">
        <w:rPr>
          <w:lang w:eastAsia="ja-JP"/>
        </w:rPr>
        <w:t>.</w:t>
      </w:r>
    </w:p>
    <w:p w:rsidR="0062564D" w:rsidRPr="00CA61A6" w:rsidRDefault="00F01E00" w:rsidP="002A4629">
      <w:pPr>
        <w:pStyle w:val="Headingb"/>
        <w:keepLines/>
      </w:pPr>
      <w:bookmarkStart w:id="581" w:name="Item64_02"/>
      <w:r w:rsidRPr="00CA61A6">
        <w:t xml:space="preserve">Acción </w:t>
      </w:r>
      <w:r w:rsidR="0062564D" w:rsidRPr="00CA61A6">
        <w:t>64-02: CE</w:t>
      </w:r>
      <w:r w:rsidR="002A4629" w:rsidRPr="00CA61A6">
        <w:t> </w:t>
      </w:r>
      <w:r w:rsidR="0062564D" w:rsidRPr="00CA61A6">
        <w:t>2 (y CE</w:t>
      </w:r>
      <w:r w:rsidR="002A4629" w:rsidRPr="00CA61A6">
        <w:t> </w:t>
      </w:r>
      <w:r w:rsidR="0062564D" w:rsidRPr="00CA61A6">
        <w:t>3)</w:t>
      </w:r>
    </w:p>
    <w:p w:rsidR="0062564D" w:rsidRPr="00CA61A6" w:rsidRDefault="0062564D" w:rsidP="00A42352">
      <w:pPr>
        <w:rPr>
          <w:szCs w:val="24"/>
          <w:lang w:eastAsia="ja-JP"/>
        </w:rPr>
      </w:pPr>
      <w:bookmarkStart w:id="582" w:name="lt_pId1448"/>
      <w:bookmarkEnd w:id="581"/>
      <w:r w:rsidRPr="00CA61A6">
        <w:rPr>
          <w:szCs w:val="24"/>
          <w:lang w:eastAsia="ja-JP"/>
        </w:rPr>
        <w:t xml:space="preserve">Se creó el Grupo ad hoc (AHG) de la Comisión de Estudio 2 sobre la Resolución 64 de la AMNT y su Grupo por </w:t>
      </w:r>
      <w:r w:rsidR="008F2300" w:rsidRPr="00CA61A6">
        <w:rPr>
          <w:szCs w:val="24"/>
          <w:lang w:eastAsia="ja-JP"/>
        </w:rPr>
        <w:t xml:space="preserve">correspondencia </w:t>
      </w:r>
      <w:r w:rsidRPr="00CA61A6">
        <w:rPr>
          <w:szCs w:val="24"/>
          <w:lang w:eastAsia="ja-JP"/>
        </w:rPr>
        <w:t>asociado en la reunión de la CE</w:t>
      </w:r>
      <w:r w:rsidR="00E87CF0" w:rsidRPr="00CA61A6">
        <w:rPr>
          <w:szCs w:val="24"/>
          <w:lang w:eastAsia="ja-JP"/>
        </w:rPr>
        <w:t> </w:t>
      </w:r>
      <w:r w:rsidRPr="00CA61A6">
        <w:rPr>
          <w:szCs w:val="24"/>
          <w:lang w:eastAsia="ja-JP"/>
        </w:rPr>
        <w:t>2 del UIT-T (22-31 de enero de 2013) con el fin de proponer la metodología y los temas de estudio necesario</w:t>
      </w:r>
      <w:r w:rsidR="00945AA7">
        <w:rPr>
          <w:szCs w:val="24"/>
          <w:lang w:eastAsia="ja-JP"/>
        </w:rPr>
        <w:t>s</w:t>
      </w:r>
      <w:r w:rsidRPr="00CA61A6">
        <w:rPr>
          <w:szCs w:val="24"/>
          <w:lang w:eastAsia="ja-JP"/>
        </w:rPr>
        <w:t xml:space="preserve"> para aplicar partes de esa Resolución pertinente para la Comisión de Estudio 2.</w:t>
      </w:r>
      <w:bookmarkEnd w:id="582"/>
      <w:r w:rsidRPr="00CA61A6">
        <w:rPr>
          <w:szCs w:val="24"/>
          <w:lang w:eastAsia="ja-JP"/>
        </w:rPr>
        <w:t xml:space="preserve"> </w:t>
      </w:r>
      <w:bookmarkStart w:id="583" w:name="lt_pId1449"/>
      <w:r w:rsidRPr="00CA61A6">
        <w:rPr>
          <w:szCs w:val="24"/>
          <w:lang w:eastAsia="ja-JP"/>
        </w:rPr>
        <w:t>El Grupo AHG se reunió durante la reunión de la CE</w:t>
      </w:r>
      <w:r w:rsidR="008B5B32" w:rsidRPr="00CA61A6">
        <w:rPr>
          <w:szCs w:val="24"/>
          <w:lang w:eastAsia="ja-JP"/>
        </w:rPr>
        <w:t> </w:t>
      </w:r>
      <w:r w:rsidRPr="00CA61A6">
        <w:rPr>
          <w:szCs w:val="24"/>
          <w:lang w:eastAsia="ja-JP"/>
        </w:rPr>
        <w:t>2 del UIT</w:t>
      </w:r>
      <w:r w:rsidR="00A42352">
        <w:rPr>
          <w:szCs w:val="24"/>
          <w:lang w:eastAsia="ja-JP"/>
        </w:rPr>
        <w:noBreakHyphen/>
      </w:r>
      <w:r w:rsidRPr="00CA61A6">
        <w:rPr>
          <w:szCs w:val="24"/>
          <w:lang w:eastAsia="ja-JP"/>
        </w:rPr>
        <w:t>T celebrada en septiembre de 2013, pero no se reunió durante la reunión de la CE</w:t>
      </w:r>
      <w:r w:rsidR="008B5B32" w:rsidRPr="00CA61A6">
        <w:rPr>
          <w:szCs w:val="24"/>
          <w:lang w:eastAsia="ja-JP"/>
        </w:rPr>
        <w:t> </w:t>
      </w:r>
      <w:r w:rsidR="00DC60DD">
        <w:rPr>
          <w:szCs w:val="24"/>
          <w:lang w:eastAsia="ja-JP"/>
        </w:rPr>
        <w:t>2 (28 de mayo-</w:t>
      </w:r>
      <w:r w:rsidRPr="00CA61A6">
        <w:rPr>
          <w:szCs w:val="24"/>
          <w:lang w:eastAsia="ja-JP"/>
        </w:rPr>
        <w:t>6 de junio de 2014), porque no se había recibido contribuciones.</w:t>
      </w:r>
      <w:bookmarkEnd w:id="583"/>
      <w:r w:rsidRPr="00CA61A6">
        <w:rPr>
          <w:szCs w:val="24"/>
          <w:lang w:eastAsia="ja-JP"/>
        </w:rPr>
        <w:t xml:space="preserve"> </w:t>
      </w:r>
      <w:bookmarkStart w:id="584" w:name="lt_pId1450"/>
      <w:r w:rsidRPr="00CA61A6">
        <w:rPr>
          <w:szCs w:val="24"/>
          <w:lang w:eastAsia="ja-JP"/>
        </w:rPr>
        <w:t>El Copresidente en funciones de la CE</w:t>
      </w:r>
      <w:r w:rsidR="008B5B32" w:rsidRPr="00CA61A6">
        <w:rPr>
          <w:szCs w:val="24"/>
          <w:lang w:eastAsia="ja-JP"/>
        </w:rPr>
        <w:t> </w:t>
      </w:r>
      <w:r w:rsidRPr="00CA61A6">
        <w:rPr>
          <w:szCs w:val="24"/>
          <w:lang w:eastAsia="ja-JP"/>
        </w:rPr>
        <w:t xml:space="preserve">2 pidió que se presentaran contribuciones para la próxima reunión del Grupo </w:t>
      </w:r>
      <w:r w:rsidR="004B7D4F" w:rsidRPr="00CA61A6">
        <w:rPr>
          <w:szCs w:val="24"/>
          <w:lang w:eastAsia="ja-JP"/>
        </w:rPr>
        <w:t xml:space="preserve">ad </w:t>
      </w:r>
      <w:r w:rsidRPr="00CA61A6">
        <w:rPr>
          <w:szCs w:val="24"/>
          <w:lang w:eastAsia="ja-JP"/>
        </w:rPr>
        <w:t>hoc e instó a trabajar por correspondencia.</w:t>
      </w:r>
      <w:bookmarkEnd w:id="584"/>
    </w:p>
    <w:p w:rsidR="0062564D" w:rsidRPr="00CA61A6" w:rsidRDefault="0062564D" w:rsidP="007B3478">
      <w:pPr>
        <w:rPr>
          <w:szCs w:val="24"/>
          <w:lang w:eastAsia="ja-JP"/>
        </w:rPr>
      </w:pPr>
      <w:bookmarkStart w:id="585" w:name="lt_pId1451"/>
      <w:r w:rsidRPr="00CA61A6">
        <w:rPr>
          <w:szCs w:val="24"/>
          <w:lang w:eastAsia="ja-JP"/>
        </w:rPr>
        <w:lastRenderedPageBreak/>
        <w:t>El Grupo por correspondencia asociado no ha recibido contribuciones.</w:t>
      </w:r>
      <w:bookmarkEnd w:id="585"/>
      <w:r w:rsidRPr="00CA61A6">
        <w:rPr>
          <w:szCs w:val="24"/>
          <w:lang w:eastAsia="ja-JP"/>
        </w:rPr>
        <w:t xml:space="preserve"> </w:t>
      </w:r>
      <w:bookmarkStart w:id="586" w:name="lt_pId1452"/>
      <w:r w:rsidRPr="00CA61A6">
        <w:rPr>
          <w:szCs w:val="24"/>
          <w:lang w:eastAsia="ja-JP"/>
        </w:rPr>
        <w:t>En la reunión de la CE</w:t>
      </w:r>
      <w:r w:rsidR="008B5B32" w:rsidRPr="00CA61A6">
        <w:rPr>
          <w:szCs w:val="24"/>
          <w:lang w:eastAsia="ja-JP"/>
        </w:rPr>
        <w:t> </w:t>
      </w:r>
      <w:r w:rsidRPr="00CA61A6">
        <w:rPr>
          <w:szCs w:val="24"/>
          <w:lang w:eastAsia="ja-JP"/>
        </w:rPr>
        <w:t>2 de enero de 2016, se examinaron temas relacionados con AHG bajo la copresidencia del Relator de la Cuestión 1/2 y el Presidente de la CE</w:t>
      </w:r>
      <w:r w:rsidR="008B5B32" w:rsidRPr="00CA61A6">
        <w:rPr>
          <w:szCs w:val="24"/>
          <w:lang w:eastAsia="ja-JP"/>
        </w:rPr>
        <w:t> </w:t>
      </w:r>
      <w:r w:rsidRPr="00CA61A6">
        <w:rPr>
          <w:szCs w:val="24"/>
          <w:lang w:eastAsia="ja-JP"/>
        </w:rPr>
        <w:t>2.</w:t>
      </w:r>
      <w:bookmarkEnd w:id="586"/>
      <w:r w:rsidRPr="00CA61A6">
        <w:rPr>
          <w:szCs w:val="24"/>
          <w:lang w:eastAsia="ja-JP"/>
        </w:rPr>
        <w:t xml:space="preserve"> </w:t>
      </w:r>
      <w:bookmarkStart w:id="587" w:name="lt_pId1453"/>
      <w:r w:rsidRPr="00CA61A6">
        <w:rPr>
          <w:szCs w:val="24"/>
          <w:lang w:eastAsia="ja-JP"/>
        </w:rPr>
        <w:t xml:space="preserve">El </w:t>
      </w:r>
      <w:r w:rsidR="001A1B99" w:rsidRPr="00CA61A6">
        <w:rPr>
          <w:szCs w:val="24"/>
          <w:lang w:eastAsia="ja-JP"/>
        </w:rPr>
        <w:t xml:space="preserve">Documento </w:t>
      </w:r>
      <w:r w:rsidRPr="00CA61A6">
        <w:rPr>
          <w:szCs w:val="24"/>
          <w:lang w:eastAsia="ja-JP"/>
        </w:rPr>
        <w:t xml:space="preserve">informativo </w:t>
      </w:r>
      <w:hyperlink r:id="rId126" w:history="1">
        <w:r w:rsidRPr="00CA61A6">
          <w:rPr>
            <w:color w:val="0000FF"/>
            <w:szCs w:val="24"/>
            <w:u w:val="single"/>
            <w:lang w:eastAsia="ja-JP"/>
          </w:rPr>
          <w:t>TD 758 (GEN/2)</w:t>
        </w:r>
      </w:hyperlink>
      <w:r w:rsidRPr="00CA61A6">
        <w:rPr>
          <w:szCs w:val="24"/>
          <w:lang w:eastAsia="ja-JP"/>
        </w:rPr>
        <w:t xml:space="preserve"> originado por el Presidente de la CE</w:t>
      </w:r>
      <w:r w:rsidR="008B5B32" w:rsidRPr="00CA61A6">
        <w:rPr>
          <w:szCs w:val="24"/>
          <w:lang w:eastAsia="ja-JP"/>
        </w:rPr>
        <w:t> </w:t>
      </w:r>
      <w:r w:rsidRPr="00CA61A6">
        <w:rPr>
          <w:szCs w:val="24"/>
          <w:lang w:eastAsia="ja-JP"/>
        </w:rPr>
        <w:t xml:space="preserve">2, </w:t>
      </w:r>
      <w:r w:rsidR="00B26079" w:rsidRPr="00CA61A6">
        <w:rPr>
          <w:szCs w:val="24"/>
          <w:lang w:eastAsia="ja-JP"/>
        </w:rPr>
        <w:t>"</w:t>
      </w:r>
      <w:r w:rsidRPr="00FB7B09">
        <w:rPr>
          <w:szCs w:val="24"/>
          <w:lang w:eastAsia="ja-JP"/>
        </w:rPr>
        <w:t>Information document on APNIC methodology to assess IPv4 Resources Exhaustion &amp; Transfers</w:t>
      </w:r>
      <w:r w:rsidR="00B26079" w:rsidRPr="00CA61A6">
        <w:rPr>
          <w:szCs w:val="24"/>
          <w:lang w:eastAsia="ja-JP"/>
        </w:rPr>
        <w:t>"</w:t>
      </w:r>
      <w:r w:rsidRPr="00CA61A6">
        <w:rPr>
          <w:szCs w:val="24"/>
          <w:lang w:eastAsia="ja-JP"/>
        </w:rPr>
        <w:t xml:space="preserve"> y el </w:t>
      </w:r>
      <w:r w:rsidR="004B2B30" w:rsidRPr="00CA61A6">
        <w:rPr>
          <w:szCs w:val="24"/>
          <w:lang w:eastAsia="ja-JP"/>
        </w:rPr>
        <w:t xml:space="preserve">Documento </w:t>
      </w:r>
      <w:hyperlink r:id="rId127" w:history="1">
        <w:r w:rsidRPr="00CA61A6">
          <w:rPr>
            <w:color w:val="0000FF"/>
            <w:szCs w:val="24"/>
            <w:u w:val="single"/>
            <w:lang w:eastAsia="ja-JP"/>
          </w:rPr>
          <w:t>TD 674 (GEN/2)</w:t>
        </w:r>
      </w:hyperlink>
      <w:r w:rsidRPr="00CA61A6">
        <w:rPr>
          <w:szCs w:val="24"/>
          <w:lang w:eastAsia="ja-JP"/>
        </w:rPr>
        <w:t>, un</w:t>
      </w:r>
      <w:r w:rsidR="0034385D">
        <w:rPr>
          <w:szCs w:val="24"/>
          <w:lang w:eastAsia="ja-JP"/>
        </w:rPr>
        <w:t>a</w:t>
      </w:r>
      <w:r w:rsidRPr="00CA61A6">
        <w:rPr>
          <w:szCs w:val="24"/>
          <w:lang w:eastAsia="ja-JP"/>
        </w:rPr>
        <w:t xml:space="preserve"> </w:t>
      </w:r>
      <w:r w:rsidR="00DE38CA" w:rsidRPr="00CA61A6">
        <w:rPr>
          <w:szCs w:val="24"/>
          <w:lang w:eastAsia="ja-JP"/>
        </w:rPr>
        <w:t xml:space="preserve">Declaración </w:t>
      </w:r>
      <w:r w:rsidRPr="00CA61A6">
        <w:rPr>
          <w:szCs w:val="24"/>
          <w:lang w:eastAsia="ja-JP"/>
        </w:rPr>
        <w:t xml:space="preserve">de </w:t>
      </w:r>
      <w:r w:rsidR="00DE38CA" w:rsidRPr="00CA61A6">
        <w:rPr>
          <w:szCs w:val="24"/>
          <w:lang w:eastAsia="ja-JP"/>
        </w:rPr>
        <w:t xml:space="preserve">Coordinación </w:t>
      </w:r>
      <w:r w:rsidRPr="00CA61A6">
        <w:rPr>
          <w:szCs w:val="24"/>
          <w:lang w:eastAsia="ja-JP"/>
        </w:rPr>
        <w:t>de la CE</w:t>
      </w:r>
      <w:r w:rsidR="008B5B32" w:rsidRPr="00CA61A6">
        <w:rPr>
          <w:szCs w:val="24"/>
          <w:lang w:eastAsia="ja-JP"/>
        </w:rPr>
        <w:t> </w:t>
      </w:r>
      <w:r w:rsidRPr="00CA61A6">
        <w:rPr>
          <w:szCs w:val="24"/>
          <w:lang w:eastAsia="ja-JP"/>
        </w:rPr>
        <w:t xml:space="preserve">20 sobre </w:t>
      </w:r>
      <w:r w:rsidR="00B26079" w:rsidRPr="00CA61A6">
        <w:rPr>
          <w:szCs w:val="24"/>
          <w:lang w:eastAsia="ja-JP"/>
        </w:rPr>
        <w:t>"</w:t>
      </w:r>
      <w:r w:rsidRPr="00FB7B09">
        <w:rPr>
          <w:szCs w:val="24"/>
          <w:lang w:eastAsia="ja-JP"/>
        </w:rPr>
        <w:t>ARIN IPv4 address pool depletion and IPv6 transition</w:t>
      </w:r>
      <w:r w:rsidR="00B26079" w:rsidRPr="00CA61A6">
        <w:rPr>
          <w:szCs w:val="24"/>
          <w:lang w:eastAsia="ja-JP"/>
        </w:rPr>
        <w:t>"</w:t>
      </w:r>
      <w:r w:rsidRPr="00CA61A6">
        <w:rPr>
          <w:szCs w:val="24"/>
          <w:lang w:eastAsia="ja-JP"/>
        </w:rPr>
        <w:t xml:space="preserve"> se pusieron a la atención de la reunión.</w:t>
      </w:r>
      <w:bookmarkEnd w:id="587"/>
      <w:r w:rsidRPr="00CA61A6">
        <w:rPr>
          <w:szCs w:val="24"/>
          <w:lang w:eastAsia="ja-JP"/>
        </w:rPr>
        <w:t xml:space="preserve"> </w:t>
      </w:r>
      <w:bookmarkStart w:id="588" w:name="lt_pId1454"/>
      <w:r w:rsidRPr="00CA61A6">
        <w:rPr>
          <w:szCs w:val="24"/>
          <w:lang w:eastAsia="ja-JP"/>
        </w:rPr>
        <w:t>El Presidente de la CE</w:t>
      </w:r>
      <w:r w:rsidR="008B5B32" w:rsidRPr="00CA61A6">
        <w:rPr>
          <w:szCs w:val="24"/>
          <w:lang w:eastAsia="ja-JP"/>
        </w:rPr>
        <w:t> </w:t>
      </w:r>
      <w:r w:rsidRPr="00CA61A6">
        <w:rPr>
          <w:szCs w:val="24"/>
          <w:lang w:eastAsia="ja-JP"/>
        </w:rPr>
        <w:t xml:space="preserve">2 pidió que se presentaran contribuciones para la próxima reunión del Grupo </w:t>
      </w:r>
      <w:r w:rsidR="005376DE" w:rsidRPr="00CA61A6">
        <w:rPr>
          <w:szCs w:val="24"/>
          <w:lang w:eastAsia="ja-JP"/>
        </w:rPr>
        <w:t xml:space="preserve">ad </w:t>
      </w:r>
      <w:r w:rsidRPr="00CA61A6">
        <w:rPr>
          <w:szCs w:val="24"/>
          <w:lang w:eastAsia="ja-JP"/>
        </w:rPr>
        <w:t>hoc e instó a trabajar por correspondencia.</w:t>
      </w:r>
      <w:bookmarkEnd w:id="588"/>
    </w:p>
    <w:p w:rsidR="0062564D" w:rsidRPr="00CA61A6" w:rsidRDefault="0062564D" w:rsidP="0009590F">
      <w:pPr>
        <w:rPr>
          <w:color w:val="000000"/>
          <w:szCs w:val="24"/>
          <w:lang w:eastAsia="ja-JP"/>
        </w:rPr>
      </w:pPr>
      <w:bookmarkStart w:id="589" w:name="lt_pId1455"/>
      <w:r w:rsidRPr="00CA61A6">
        <w:rPr>
          <w:szCs w:val="24"/>
          <w:lang w:eastAsia="ja-JP"/>
        </w:rPr>
        <w:t>En su reunión de mayo de 2013 la CE</w:t>
      </w:r>
      <w:r w:rsidR="008B5B32" w:rsidRPr="00CA61A6">
        <w:rPr>
          <w:szCs w:val="24"/>
          <w:lang w:eastAsia="ja-JP"/>
        </w:rPr>
        <w:t> </w:t>
      </w:r>
      <w:r w:rsidRPr="00CA61A6">
        <w:rPr>
          <w:szCs w:val="24"/>
          <w:lang w:eastAsia="ja-JP"/>
        </w:rPr>
        <w:t xml:space="preserve">3 propuso un Grupo </w:t>
      </w:r>
      <w:r w:rsidR="00EB4AEF">
        <w:rPr>
          <w:szCs w:val="24"/>
          <w:lang w:eastAsia="ja-JP"/>
        </w:rPr>
        <w:t xml:space="preserve">Mixto </w:t>
      </w:r>
      <w:r w:rsidRPr="00CA61A6">
        <w:rPr>
          <w:szCs w:val="24"/>
          <w:lang w:eastAsia="ja-JP"/>
        </w:rPr>
        <w:t>de Relator de la CE</w:t>
      </w:r>
      <w:r w:rsidR="008B5B32" w:rsidRPr="00CA61A6">
        <w:rPr>
          <w:szCs w:val="24"/>
          <w:lang w:eastAsia="ja-JP"/>
        </w:rPr>
        <w:t> </w:t>
      </w:r>
      <w:r w:rsidRPr="00CA61A6">
        <w:rPr>
          <w:szCs w:val="24"/>
          <w:lang w:eastAsia="ja-JP"/>
        </w:rPr>
        <w:t>3 y la CE</w:t>
      </w:r>
      <w:r w:rsidR="008B5B32" w:rsidRPr="00CA61A6">
        <w:rPr>
          <w:szCs w:val="24"/>
          <w:lang w:eastAsia="ja-JP"/>
        </w:rPr>
        <w:t> </w:t>
      </w:r>
      <w:r w:rsidR="00BE47DD">
        <w:rPr>
          <w:szCs w:val="24"/>
          <w:lang w:eastAsia="ja-JP"/>
        </w:rPr>
        <w:t>2 del UIT</w:t>
      </w:r>
      <w:r w:rsidR="00BE47DD">
        <w:rPr>
          <w:szCs w:val="24"/>
          <w:lang w:eastAsia="ja-JP"/>
        </w:rPr>
        <w:noBreakHyphen/>
      </w:r>
      <w:r w:rsidRPr="00CA61A6">
        <w:rPr>
          <w:szCs w:val="24"/>
          <w:lang w:eastAsia="ja-JP"/>
        </w:rPr>
        <w:t>T para estudiar la atribución y los aspectos económicos del despliegue de direcciones IP.</w:t>
      </w:r>
      <w:bookmarkEnd w:id="589"/>
      <w:r w:rsidRPr="00CA61A6">
        <w:rPr>
          <w:szCs w:val="24"/>
          <w:lang w:eastAsia="ja-JP"/>
        </w:rPr>
        <w:t xml:space="preserve"> </w:t>
      </w:r>
      <w:bookmarkStart w:id="590" w:name="lt_pId1456"/>
      <w:r w:rsidRPr="00CA61A6">
        <w:rPr>
          <w:szCs w:val="24"/>
          <w:lang w:eastAsia="ja-JP"/>
        </w:rPr>
        <w:t xml:space="preserve">El mandato de este Grupo </w:t>
      </w:r>
      <w:r w:rsidR="0009590F">
        <w:rPr>
          <w:szCs w:val="24"/>
          <w:lang w:eastAsia="ja-JP"/>
        </w:rPr>
        <w:t xml:space="preserve">Mixto </w:t>
      </w:r>
      <w:r w:rsidRPr="00CA61A6">
        <w:rPr>
          <w:szCs w:val="24"/>
          <w:lang w:eastAsia="ja-JP"/>
        </w:rPr>
        <w:t>de Relator fue creado por la CE</w:t>
      </w:r>
      <w:r w:rsidR="008B5B32" w:rsidRPr="00CA61A6">
        <w:rPr>
          <w:szCs w:val="24"/>
          <w:lang w:eastAsia="ja-JP"/>
        </w:rPr>
        <w:t> </w:t>
      </w:r>
      <w:r w:rsidRPr="00CA61A6">
        <w:rPr>
          <w:szCs w:val="24"/>
          <w:lang w:eastAsia="ja-JP"/>
        </w:rPr>
        <w:t>3 e intercambiado entre la CE</w:t>
      </w:r>
      <w:r w:rsidR="008B5B32" w:rsidRPr="00CA61A6">
        <w:rPr>
          <w:szCs w:val="24"/>
          <w:lang w:eastAsia="ja-JP"/>
        </w:rPr>
        <w:t> </w:t>
      </w:r>
      <w:r w:rsidRPr="00CA61A6">
        <w:rPr>
          <w:szCs w:val="24"/>
          <w:lang w:eastAsia="ja-JP"/>
        </w:rPr>
        <w:t xml:space="preserve">3 y </w:t>
      </w:r>
      <w:r w:rsidR="00BE47DD">
        <w:rPr>
          <w:szCs w:val="24"/>
          <w:lang w:eastAsia="ja-JP"/>
        </w:rPr>
        <w:t>la </w:t>
      </w:r>
      <w:r w:rsidRPr="00CA61A6">
        <w:rPr>
          <w:szCs w:val="24"/>
          <w:lang w:eastAsia="ja-JP"/>
        </w:rPr>
        <w:t>CE</w:t>
      </w:r>
      <w:r w:rsidR="008B5B32" w:rsidRPr="00CA61A6">
        <w:rPr>
          <w:szCs w:val="24"/>
          <w:lang w:eastAsia="ja-JP"/>
        </w:rPr>
        <w:t> </w:t>
      </w:r>
      <w:r w:rsidRPr="00CA61A6">
        <w:rPr>
          <w:szCs w:val="24"/>
          <w:lang w:eastAsia="ja-JP"/>
        </w:rPr>
        <w:t>2.</w:t>
      </w:r>
      <w:bookmarkEnd w:id="590"/>
      <w:r w:rsidRPr="00CA61A6">
        <w:rPr>
          <w:szCs w:val="24"/>
          <w:lang w:eastAsia="ja-JP"/>
        </w:rPr>
        <w:t xml:space="preserve"> </w:t>
      </w:r>
      <w:bookmarkStart w:id="591" w:name="lt_pId1457"/>
      <w:r w:rsidRPr="00CA61A6">
        <w:rPr>
          <w:szCs w:val="24"/>
          <w:lang w:eastAsia="ja-JP"/>
        </w:rPr>
        <w:t>En su reunión de</w:t>
      </w:r>
      <w:r w:rsidR="00BF61E7">
        <w:rPr>
          <w:szCs w:val="24"/>
          <w:lang w:eastAsia="ja-JP"/>
        </w:rPr>
        <w:t>l</w:t>
      </w:r>
      <w:r w:rsidRPr="00CA61A6">
        <w:rPr>
          <w:szCs w:val="24"/>
          <w:lang w:eastAsia="ja-JP"/>
        </w:rPr>
        <w:t xml:space="preserve"> </w:t>
      </w:r>
      <w:r w:rsidR="00BF61E7">
        <w:rPr>
          <w:color w:val="000000"/>
          <w:szCs w:val="24"/>
          <w:lang w:eastAsia="ja-JP"/>
        </w:rPr>
        <w:t xml:space="preserve">18 al </w:t>
      </w:r>
      <w:r w:rsidRPr="00CA61A6">
        <w:rPr>
          <w:color w:val="000000"/>
          <w:szCs w:val="24"/>
          <w:lang w:eastAsia="ja-JP"/>
        </w:rPr>
        <w:t>27 de marzo de 2015, la CE</w:t>
      </w:r>
      <w:r w:rsidR="008B5B32" w:rsidRPr="00CA61A6">
        <w:rPr>
          <w:color w:val="000000"/>
          <w:szCs w:val="24"/>
          <w:lang w:eastAsia="ja-JP"/>
        </w:rPr>
        <w:t> </w:t>
      </w:r>
      <w:r w:rsidRPr="00CA61A6">
        <w:rPr>
          <w:szCs w:val="24"/>
          <w:lang w:eastAsia="ja-JP"/>
        </w:rPr>
        <w:t>2 aceptó cambios del mandato propuesto por la CE</w:t>
      </w:r>
      <w:r w:rsidR="008B5B32" w:rsidRPr="00CA61A6">
        <w:rPr>
          <w:szCs w:val="24"/>
          <w:lang w:eastAsia="ja-JP"/>
        </w:rPr>
        <w:t> </w:t>
      </w:r>
      <w:r w:rsidRPr="00CA61A6">
        <w:rPr>
          <w:szCs w:val="24"/>
          <w:lang w:eastAsia="ja-JP"/>
        </w:rPr>
        <w:t>3.</w:t>
      </w:r>
      <w:bookmarkEnd w:id="591"/>
      <w:r w:rsidRPr="00CA61A6">
        <w:rPr>
          <w:szCs w:val="24"/>
          <w:lang w:eastAsia="ja-JP"/>
        </w:rPr>
        <w:t xml:space="preserve"> </w:t>
      </w:r>
      <w:bookmarkStart w:id="592" w:name="lt_pId1458"/>
      <w:r w:rsidRPr="00CA61A6">
        <w:rPr>
          <w:szCs w:val="24"/>
          <w:lang w:eastAsia="ja-JP"/>
        </w:rPr>
        <w:t>En la reunión de la CE</w:t>
      </w:r>
      <w:r w:rsidR="008B5B32" w:rsidRPr="00CA61A6">
        <w:rPr>
          <w:szCs w:val="24"/>
          <w:lang w:eastAsia="ja-JP"/>
        </w:rPr>
        <w:t> </w:t>
      </w:r>
      <w:r w:rsidRPr="00CA61A6">
        <w:rPr>
          <w:szCs w:val="24"/>
          <w:lang w:eastAsia="ja-JP"/>
        </w:rPr>
        <w:t xml:space="preserve">2 también se creó un </w:t>
      </w:r>
      <w:r w:rsidR="002125A4" w:rsidRPr="00CA61A6">
        <w:rPr>
          <w:szCs w:val="24"/>
          <w:lang w:eastAsia="ja-JP"/>
        </w:rPr>
        <w:t xml:space="preserve">Grupo </w:t>
      </w:r>
      <w:r w:rsidRPr="00CA61A6">
        <w:rPr>
          <w:szCs w:val="24"/>
          <w:lang w:eastAsia="ja-JP"/>
        </w:rPr>
        <w:t xml:space="preserve">por correspondencia </w:t>
      </w:r>
      <w:r w:rsidRPr="00CA61A6">
        <w:rPr>
          <w:color w:val="000000"/>
          <w:szCs w:val="24"/>
          <w:lang w:eastAsia="ja-JP"/>
        </w:rPr>
        <w:t xml:space="preserve">para este </w:t>
      </w:r>
      <w:r w:rsidR="00D570E1" w:rsidRPr="00CA61A6">
        <w:rPr>
          <w:szCs w:val="24"/>
          <w:lang w:eastAsia="ja-JP"/>
        </w:rPr>
        <w:t xml:space="preserve">Grupo </w:t>
      </w:r>
      <w:r w:rsidR="0009590F">
        <w:rPr>
          <w:szCs w:val="24"/>
          <w:lang w:eastAsia="ja-JP"/>
        </w:rPr>
        <w:t xml:space="preserve">Mixto </w:t>
      </w:r>
      <w:r w:rsidR="00D570E1" w:rsidRPr="00CA61A6">
        <w:rPr>
          <w:szCs w:val="24"/>
          <w:lang w:eastAsia="ja-JP"/>
        </w:rPr>
        <w:t xml:space="preserve">de Relator </w:t>
      </w:r>
      <w:r w:rsidRPr="00CA61A6">
        <w:rPr>
          <w:color w:val="000000"/>
          <w:szCs w:val="24"/>
          <w:lang w:eastAsia="ja-JP"/>
        </w:rPr>
        <w:t>(</w:t>
      </w:r>
      <w:hyperlink r:id="rId128" w:history="1">
        <w:r w:rsidR="00750E7C" w:rsidRPr="00CA61A6">
          <w:rPr>
            <w:rStyle w:val="Hyperlink"/>
            <w:szCs w:val="24"/>
            <w:lang w:eastAsia="ja-JP"/>
          </w:rPr>
          <w:t>jrg</w:t>
        </w:r>
        <w:r w:rsidR="00750E7C" w:rsidRPr="00CA61A6">
          <w:rPr>
            <w:rStyle w:val="Hyperlink"/>
            <w:szCs w:val="24"/>
            <w:lang w:eastAsia="ja-JP"/>
          </w:rPr>
          <w:noBreakHyphen/>
          <w:t>AE-IPaddress@lists.itu.int</w:t>
        </w:r>
      </w:hyperlink>
      <w:r w:rsidRPr="00CA61A6">
        <w:rPr>
          <w:color w:val="000000"/>
          <w:szCs w:val="24"/>
          <w:lang w:eastAsia="ja-JP"/>
        </w:rPr>
        <w:t>).</w:t>
      </w:r>
      <w:bookmarkEnd w:id="592"/>
    </w:p>
    <w:p w:rsidR="0062564D" w:rsidRPr="00CA61A6" w:rsidRDefault="0062564D" w:rsidP="007B3478">
      <w:pPr>
        <w:rPr>
          <w:szCs w:val="24"/>
          <w:lang w:eastAsia="ja-JP"/>
        </w:rPr>
      </w:pPr>
      <w:bookmarkStart w:id="593" w:name="lt_pId1459"/>
      <w:r w:rsidRPr="00CA61A6">
        <w:rPr>
          <w:color w:val="000000"/>
          <w:szCs w:val="24"/>
          <w:lang w:eastAsia="ja-JP"/>
        </w:rPr>
        <w:t xml:space="preserve">Véase también </w:t>
      </w:r>
      <w:hyperlink w:anchor="Item29_02" w:history="1">
        <w:r w:rsidR="00477142" w:rsidRPr="0042789E">
          <w:rPr>
            <w:lang w:eastAsia="ja-JP"/>
          </w:rPr>
          <w:t xml:space="preserve">la </w:t>
        </w:r>
        <w:r w:rsidR="00477142" w:rsidRPr="00B36F8A">
          <w:rPr>
            <w:rStyle w:val="Hyperlink"/>
            <w:szCs w:val="24"/>
            <w:lang w:eastAsia="ja-JP"/>
          </w:rPr>
          <w:t xml:space="preserve">Acción </w:t>
        </w:r>
        <w:r w:rsidRPr="00B36F8A">
          <w:rPr>
            <w:rStyle w:val="Hyperlink"/>
            <w:szCs w:val="24"/>
            <w:lang w:eastAsia="ja-JP"/>
          </w:rPr>
          <w:t>29-02</w:t>
        </w:r>
        <w:bookmarkEnd w:id="593"/>
      </w:hyperlink>
      <w:r w:rsidR="00750E7C" w:rsidRPr="00CA61A6">
        <w:t>.</w:t>
      </w:r>
    </w:p>
    <w:p w:rsidR="0062564D" w:rsidRPr="00CA61A6" w:rsidRDefault="00D056B9" w:rsidP="00985D75">
      <w:pPr>
        <w:pStyle w:val="Headingb"/>
        <w:keepLines/>
      </w:pPr>
      <w:bookmarkStart w:id="594" w:name="Item64_03"/>
      <w:r w:rsidRPr="00CA61A6">
        <w:t xml:space="preserve">Acción </w:t>
      </w:r>
      <w:r w:rsidR="0062564D" w:rsidRPr="00CA61A6">
        <w:t>64-03: CE</w:t>
      </w:r>
      <w:r w:rsidR="0026170D" w:rsidRPr="00CA61A6">
        <w:t> </w:t>
      </w:r>
      <w:r w:rsidR="009972C3">
        <w:t xml:space="preserve">3 (y </w:t>
      </w:r>
      <w:r w:rsidR="0062564D" w:rsidRPr="00CA61A6">
        <w:t>CE</w:t>
      </w:r>
      <w:r w:rsidR="0026170D" w:rsidRPr="00CA61A6">
        <w:t> </w:t>
      </w:r>
      <w:r w:rsidR="0062564D" w:rsidRPr="00CA61A6">
        <w:t>2)</w:t>
      </w:r>
    </w:p>
    <w:p w:rsidR="0062564D" w:rsidRPr="00CA61A6" w:rsidRDefault="0062564D" w:rsidP="007B3478">
      <w:pPr>
        <w:rPr>
          <w:szCs w:val="24"/>
          <w:lang w:eastAsia="ja-JP"/>
        </w:rPr>
      </w:pPr>
      <w:bookmarkStart w:id="595" w:name="lt_pId1461"/>
      <w:bookmarkEnd w:id="594"/>
      <w:r w:rsidRPr="00CA61A6">
        <w:rPr>
          <w:szCs w:val="24"/>
          <w:lang w:eastAsia="ja-JP"/>
        </w:rPr>
        <w:t xml:space="preserve">En su reunión de mayo de 2014, la Comisión de Estudio 3 decidió avanzar sus trabajos mediante un cuestionario para recabar la opinión de los </w:t>
      </w:r>
      <w:r w:rsidR="00110CAD" w:rsidRPr="00CA61A6">
        <w:rPr>
          <w:szCs w:val="24"/>
          <w:lang w:eastAsia="ja-JP"/>
        </w:rPr>
        <w:t xml:space="preserve">miembros </w:t>
      </w:r>
      <w:r w:rsidRPr="00CA61A6">
        <w:rPr>
          <w:szCs w:val="24"/>
          <w:lang w:eastAsia="ja-JP"/>
        </w:rPr>
        <w:t>sobre estos temas.</w:t>
      </w:r>
      <w:bookmarkEnd w:id="595"/>
    </w:p>
    <w:p w:rsidR="0062564D" w:rsidRPr="00CA61A6" w:rsidRDefault="0062564D" w:rsidP="007B3478">
      <w:pPr>
        <w:rPr>
          <w:szCs w:val="24"/>
          <w:lang w:eastAsia="ja-JP"/>
        </w:rPr>
      </w:pPr>
      <w:bookmarkStart w:id="596" w:name="lt_pId1462"/>
      <w:r w:rsidRPr="00CA61A6">
        <w:rPr>
          <w:szCs w:val="24"/>
          <w:lang w:eastAsia="ja-JP"/>
        </w:rPr>
        <w:t xml:space="preserve">En 2015, </w:t>
      </w:r>
      <w:r w:rsidR="005D03DE" w:rsidRPr="00CA61A6">
        <w:rPr>
          <w:szCs w:val="24"/>
          <w:lang w:eastAsia="ja-JP"/>
        </w:rPr>
        <w:t xml:space="preserve">la </w:t>
      </w:r>
      <w:r w:rsidRPr="00CA61A6">
        <w:rPr>
          <w:szCs w:val="24"/>
          <w:lang w:eastAsia="ja-JP"/>
        </w:rPr>
        <w:t xml:space="preserve">Comisión de Estudio 3 y el GANT aprobaron una nueva Cuestión 6/3 relativa a la </w:t>
      </w:r>
      <w:r w:rsidR="00511320">
        <w:rPr>
          <w:szCs w:val="24"/>
          <w:lang w:eastAsia="ja-JP"/>
        </w:rPr>
        <w:t>"</w:t>
      </w:r>
      <w:r w:rsidR="0011104D" w:rsidRPr="00CA61A6">
        <w:rPr>
          <w:szCs w:val="24"/>
          <w:lang w:eastAsia="ja-JP"/>
        </w:rPr>
        <w:t xml:space="preserve">Conectividad </w:t>
      </w:r>
      <w:r w:rsidRPr="00CA61A6">
        <w:rPr>
          <w:szCs w:val="24"/>
          <w:lang w:eastAsia="ja-JP"/>
        </w:rPr>
        <w:t>Internet internacional, en particular sobre aspectos relacionados con los acuerdos de reciprocidad IP, los puntos de intercambio de tráfico regionales, el coste de la prestación de servicios y el impacto de la transición de IPv4 a IPv6</w:t>
      </w:r>
      <w:r w:rsidR="00B26079" w:rsidRPr="00CA61A6">
        <w:rPr>
          <w:szCs w:val="24"/>
          <w:lang w:eastAsia="ja-JP"/>
        </w:rPr>
        <w:t>"</w:t>
      </w:r>
      <w:r w:rsidRPr="00CA61A6">
        <w:rPr>
          <w:szCs w:val="24"/>
          <w:lang w:eastAsia="ja-JP"/>
        </w:rPr>
        <w:t>.</w:t>
      </w:r>
      <w:bookmarkEnd w:id="596"/>
    </w:p>
    <w:p w:rsidR="0062564D" w:rsidRPr="00CA61A6" w:rsidRDefault="006430C4" w:rsidP="006430C4">
      <w:pPr>
        <w:pStyle w:val="Headingb"/>
        <w:keepLines/>
      </w:pPr>
      <w:bookmarkStart w:id="597" w:name="Item64_04"/>
      <w:r w:rsidRPr="00CA61A6">
        <w:t xml:space="preserve">Acción </w:t>
      </w:r>
      <w:r w:rsidR="0062564D" w:rsidRPr="00CA61A6">
        <w:t xml:space="preserve">64-04: </w:t>
      </w:r>
      <w:r w:rsidR="004D7F7D" w:rsidRPr="00CA61A6">
        <w:t>CE 2</w:t>
      </w:r>
    </w:p>
    <w:p w:rsidR="0062564D" w:rsidRPr="00CA61A6" w:rsidRDefault="0062564D" w:rsidP="00F7160B">
      <w:pPr>
        <w:rPr>
          <w:szCs w:val="24"/>
          <w:lang w:eastAsia="ja-JP"/>
        </w:rPr>
      </w:pPr>
      <w:bookmarkStart w:id="598" w:name="lt_pId1464"/>
      <w:bookmarkEnd w:id="597"/>
      <w:r w:rsidRPr="00CA61A6">
        <w:rPr>
          <w:szCs w:val="24"/>
          <w:lang w:eastAsia="ja-JP"/>
        </w:rPr>
        <w:t>Véase</w:t>
      </w:r>
      <w:r w:rsidR="00B62881">
        <w:rPr>
          <w:szCs w:val="24"/>
          <w:lang w:eastAsia="ja-JP"/>
        </w:rPr>
        <w:t xml:space="preserve"> la </w:t>
      </w:r>
      <w:hyperlink w:anchor="Item64_02" w:history="1">
        <w:r w:rsidR="00B62881" w:rsidRPr="0098226C">
          <w:rPr>
            <w:rStyle w:val="Hyperlink"/>
            <w:szCs w:val="24"/>
            <w:lang w:eastAsia="ja-JP"/>
          </w:rPr>
          <w:t>Acción</w:t>
        </w:r>
        <w:r w:rsidRPr="0098226C">
          <w:rPr>
            <w:rStyle w:val="Hyperlink"/>
            <w:szCs w:val="24"/>
            <w:lang w:eastAsia="ja-JP"/>
          </w:rPr>
          <w:t xml:space="preserve"> 64-02</w:t>
        </w:r>
      </w:hyperlink>
      <w:r w:rsidRPr="00CA61A6">
        <w:rPr>
          <w:szCs w:val="24"/>
          <w:lang w:eastAsia="ja-JP"/>
        </w:rPr>
        <w:t xml:space="preserve"> </w:t>
      </w:r>
      <w:r w:rsidR="00F7160B">
        <w:rPr>
          <w:szCs w:val="24"/>
          <w:lang w:eastAsia="ja-JP"/>
        </w:rPr>
        <w:t>anterior</w:t>
      </w:r>
      <w:r w:rsidRPr="00CA61A6">
        <w:rPr>
          <w:szCs w:val="24"/>
          <w:lang w:eastAsia="ja-JP"/>
        </w:rPr>
        <w:t>.</w:t>
      </w:r>
      <w:bookmarkEnd w:id="598"/>
    </w:p>
    <w:p w:rsidR="0062564D" w:rsidRPr="00CA61A6" w:rsidRDefault="006430C4" w:rsidP="006430C4">
      <w:pPr>
        <w:pStyle w:val="Headingb"/>
        <w:keepLines/>
      </w:pPr>
      <w:bookmarkStart w:id="599" w:name="Item64_05"/>
      <w:r w:rsidRPr="00CA61A6">
        <w:t xml:space="preserve">Acción </w:t>
      </w:r>
      <w:r w:rsidR="0062564D" w:rsidRPr="00CA61A6">
        <w:t xml:space="preserve">64-05: </w:t>
      </w:r>
      <w:r w:rsidR="004D7F7D" w:rsidRPr="00CA61A6">
        <w:t>CE 3</w:t>
      </w:r>
    </w:p>
    <w:p w:rsidR="0062564D" w:rsidRPr="00CA61A6" w:rsidRDefault="0062564D" w:rsidP="00F7160B">
      <w:pPr>
        <w:rPr>
          <w:szCs w:val="24"/>
          <w:lang w:eastAsia="ja-JP"/>
        </w:rPr>
      </w:pPr>
      <w:bookmarkStart w:id="600" w:name="lt_pId1466"/>
      <w:bookmarkEnd w:id="599"/>
      <w:r w:rsidRPr="00CA61A6">
        <w:rPr>
          <w:szCs w:val="24"/>
          <w:lang w:eastAsia="ja-JP"/>
        </w:rPr>
        <w:t>Véase</w:t>
      </w:r>
      <w:r w:rsidR="00B62881" w:rsidRPr="00B62881">
        <w:rPr>
          <w:szCs w:val="24"/>
          <w:lang w:eastAsia="ja-JP"/>
        </w:rPr>
        <w:t xml:space="preserve"> </w:t>
      </w:r>
      <w:r w:rsidR="00B62881">
        <w:rPr>
          <w:szCs w:val="24"/>
          <w:lang w:eastAsia="ja-JP"/>
        </w:rPr>
        <w:t xml:space="preserve">la </w:t>
      </w:r>
      <w:hyperlink w:anchor="Item64_03" w:history="1">
        <w:r w:rsidR="00B62881" w:rsidRPr="0098226C">
          <w:rPr>
            <w:rStyle w:val="Hyperlink"/>
            <w:szCs w:val="24"/>
            <w:lang w:eastAsia="ja-JP"/>
          </w:rPr>
          <w:t>Acción</w:t>
        </w:r>
        <w:r w:rsidRPr="0098226C">
          <w:rPr>
            <w:rStyle w:val="Hyperlink"/>
            <w:szCs w:val="24"/>
            <w:lang w:eastAsia="ja-JP"/>
          </w:rPr>
          <w:t xml:space="preserve"> 64-03</w:t>
        </w:r>
      </w:hyperlink>
      <w:r w:rsidRPr="00CA61A6">
        <w:rPr>
          <w:szCs w:val="24"/>
          <w:lang w:eastAsia="ja-JP"/>
        </w:rPr>
        <w:t xml:space="preserve"> </w:t>
      </w:r>
      <w:r w:rsidR="00F7160B">
        <w:rPr>
          <w:szCs w:val="24"/>
          <w:lang w:eastAsia="ja-JP"/>
        </w:rPr>
        <w:t>anterior</w:t>
      </w:r>
      <w:r w:rsidRPr="00CA61A6">
        <w:rPr>
          <w:szCs w:val="24"/>
          <w:lang w:eastAsia="ja-JP"/>
        </w:rPr>
        <w:t>.</w:t>
      </w:r>
      <w:bookmarkEnd w:id="600"/>
    </w:p>
    <w:p w:rsidR="0062564D" w:rsidRPr="00CA61A6" w:rsidRDefault="006430C4" w:rsidP="006430C4">
      <w:pPr>
        <w:pStyle w:val="Headingb"/>
        <w:keepLines/>
      </w:pPr>
      <w:bookmarkStart w:id="601" w:name="Item64_06"/>
      <w:r w:rsidRPr="00CA61A6">
        <w:t xml:space="preserve">Acción </w:t>
      </w:r>
      <w:r w:rsidR="0062564D" w:rsidRPr="00CA61A6">
        <w:t>64-06: TSB</w:t>
      </w:r>
    </w:p>
    <w:p w:rsidR="0062564D" w:rsidRPr="00CA61A6" w:rsidRDefault="0062564D" w:rsidP="007B3478">
      <w:pPr>
        <w:rPr>
          <w:szCs w:val="24"/>
          <w:lang w:eastAsia="ja-JP"/>
        </w:rPr>
      </w:pPr>
      <w:bookmarkStart w:id="602" w:name="lt_pId1468"/>
      <w:bookmarkEnd w:id="601"/>
      <w:r w:rsidRPr="00CA61A6">
        <w:rPr>
          <w:szCs w:val="24"/>
          <w:lang w:eastAsia="ja-JP"/>
        </w:rPr>
        <w:t>Nota: El proyecto de la UIT para ayudar a los países en desarrollo a la migración y despliegue de IPv6 está dirigido por el UIT-D.</w:t>
      </w:r>
      <w:bookmarkEnd w:id="602"/>
    </w:p>
    <w:p w:rsidR="0062564D" w:rsidRPr="00CA61A6" w:rsidRDefault="006430C4" w:rsidP="006430C4">
      <w:pPr>
        <w:pStyle w:val="Headingb"/>
        <w:keepLines/>
      </w:pPr>
      <w:bookmarkStart w:id="603" w:name="Item64_07"/>
      <w:r w:rsidRPr="00CA61A6">
        <w:t xml:space="preserve">Acción </w:t>
      </w:r>
      <w:r w:rsidR="0062564D" w:rsidRPr="00CA61A6">
        <w:t>64-07: TSB</w:t>
      </w:r>
    </w:p>
    <w:p w:rsidR="0062564D" w:rsidRPr="00CA61A6" w:rsidRDefault="0062564D" w:rsidP="007B3478">
      <w:pPr>
        <w:rPr>
          <w:szCs w:val="24"/>
          <w:lang w:eastAsia="ja-JP"/>
        </w:rPr>
      </w:pPr>
      <w:bookmarkStart w:id="604" w:name="lt_pId1470"/>
      <w:bookmarkEnd w:id="603"/>
      <w:r w:rsidRPr="00CA61A6">
        <w:rPr>
          <w:szCs w:val="24"/>
          <w:lang w:eastAsia="ja-JP"/>
        </w:rPr>
        <w:t>La TSB se encargó del mantenimiento del portal sobre IPv6 del UIT-T.</w:t>
      </w:r>
      <w:bookmarkEnd w:id="604"/>
    </w:p>
    <w:p w:rsidR="0062564D" w:rsidRPr="00CA61A6" w:rsidRDefault="006430C4" w:rsidP="006430C4">
      <w:pPr>
        <w:pStyle w:val="Headingb"/>
        <w:keepLines/>
      </w:pPr>
      <w:bookmarkStart w:id="605" w:name="Item64_08"/>
      <w:r w:rsidRPr="00CA61A6">
        <w:t xml:space="preserve">Acción </w:t>
      </w:r>
      <w:r w:rsidR="00094CC6">
        <w:t>64-08: TSB</w:t>
      </w:r>
    </w:p>
    <w:p w:rsidR="0062564D" w:rsidRPr="00CA61A6" w:rsidRDefault="0062564D" w:rsidP="007B3478">
      <w:pPr>
        <w:rPr>
          <w:szCs w:val="24"/>
          <w:lang w:eastAsia="ja-JP"/>
        </w:rPr>
      </w:pPr>
      <w:bookmarkStart w:id="606" w:name="lt_pId1472"/>
      <w:bookmarkEnd w:id="605"/>
      <w:r w:rsidRPr="00CA61A6">
        <w:rPr>
          <w:szCs w:val="24"/>
          <w:lang w:eastAsia="ja-JP"/>
        </w:rPr>
        <w:t xml:space="preserve">En febrero de 2012 los </w:t>
      </w:r>
      <w:r w:rsidR="00110CAD" w:rsidRPr="00CA61A6">
        <w:rPr>
          <w:szCs w:val="24"/>
          <w:lang w:eastAsia="ja-JP"/>
        </w:rPr>
        <w:t xml:space="preserve">miembros </w:t>
      </w:r>
      <w:r w:rsidRPr="00CA61A6">
        <w:rPr>
          <w:szCs w:val="24"/>
          <w:lang w:eastAsia="ja-JP"/>
        </w:rPr>
        <w:t xml:space="preserve">de la UIT iniciaron el proyecto de la UIT relativo a </w:t>
      </w:r>
      <w:r w:rsidR="00CD524B">
        <w:rPr>
          <w:szCs w:val="24"/>
          <w:lang w:eastAsia="ja-JP"/>
        </w:rPr>
        <w:t>"</w:t>
      </w:r>
      <w:r w:rsidRPr="00CD524B">
        <w:rPr>
          <w:szCs w:val="24"/>
          <w:lang w:eastAsia="ja-JP"/>
        </w:rPr>
        <w:t>Pruebas Mundiales de TVIP por IPv6</w:t>
      </w:r>
      <w:r w:rsidR="00CD524B">
        <w:rPr>
          <w:szCs w:val="24"/>
          <w:lang w:eastAsia="ja-JP"/>
        </w:rPr>
        <w:t>"</w:t>
      </w:r>
      <w:r w:rsidRPr="00CD524B">
        <w:rPr>
          <w:szCs w:val="24"/>
          <w:lang w:eastAsia="ja-JP"/>
        </w:rPr>
        <w:t xml:space="preserve"> </w:t>
      </w:r>
      <w:r w:rsidRPr="00CA61A6">
        <w:rPr>
          <w:szCs w:val="24"/>
          <w:lang w:eastAsia="ja-JP"/>
        </w:rPr>
        <w:t>(</w:t>
      </w:r>
      <w:hyperlink r:id="rId129" w:history="1">
        <w:r w:rsidRPr="00CA61A6">
          <w:rPr>
            <w:color w:val="0000FF"/>
            <w:szCs w:val="24"/>
            <w:u w:val="single"/>
            <w:lang w:eastAsia="ja-JP"/>
          </w:rPr>
          <w:t>I3GT</w:t>
        </w:r>
      </w:hyperlink>
      <w:r w:rsidRPr="00CA61A6">
        <w:rPr>
          <w:szCs w:val="24"/>
          <w:lang w:eastAsia="ja-JP"/>
        </w:rPr>
        <w:t>) con el apoyo de la Secretaría de la UIT, mediante el cual se conectaron 10 sitios del mundo utilizando el protocolo IPv6 antes del 16 de mayo de 2014</w:t>
      </w:r>
      <w:bookmarkStart w:id="607" w:name="lt_pId1473"/>
      <w:bookmarkEnd w:id="606"/>
      <w:r w:rsidRPr="00CA61A6">
        <w:t xml:space="preserve"> </w:t>
      </w:r>
      <w:r w:rsidRPr="00CA61A6">
        <w:rPr>
          <w:szCs w:val="24"/>
          <w:lang w:eastAsia="ja-JP"/>
        </w:rPr>
        <w:t>con el fin de poner a prueba la interoperativi</w:t>
      </w:r>
      <w:r w:rsidR="00805C95">
        <w:rPr>
          <w:szCs w:val="24"/>
          <w:lang w:eastAsia="ja-JP"/>
        </w:rPr>
        <w:t>dad de equipos/servicios de TVIP</w:t>
      </w:r>
      <w:r w:rsidRPr="00CA61A6">
        <w:rPr>
          <w:szCs w:val="24"/>
          <w:lang w:eastAsia="ja-JP"/>
        </w:rPr>
        <w:t>, así como de otras tecnologías basadas en IPv6 y, además, promover la implantación de IPv6 en los países en desarrollo. Desde mayo de 2015 se están llevando a cabo los preparativos necesarios para que la Facultad de Ciencia y Tecnología de la Universidad de Ruanda (Institución Académica Miembro de la UIT) participe en los trabajos relativos al proyecto I3GT</w:t>
      </w:r>
      <w:bookmarkEnd w:id="607"/>
      <w:r w:rsidRPr="00CA61A6">
        <w:rPr>
          <w:szCs w:val="24"/>
          <w:lang w:eastAsia="ja-JP"/>
        </w:rPr>
        <w:t>.</w:t>
      </w:r>
    </w:p>
    <w:p w:rsidR="0062564D" w:rsidRPr="00CA61A6" w:rsidRDefault="009E5C4B" w:rsidP="00D07B0A">
      <w:pPr>
        <w:pStyle w:val="Headingb"/>
        <w:keepLines/>
      </w:pPr>
      <w:bookmarkStart w:id="608" w:name="Item64_09"/>
      <w:r w:rsidRPr="00CA61A6">
        <w:lastRenderedPageBreak/>
        <w:t xml:space="preserve">Acción </w:t>
      </w:r>
      <w:r w:rsidR="0062564D" w:rsidRPr="00CA61A6">
        <w:t>64-09: TSB</w:t>
      </w:r>
    </w:p>
    <w:bookmarkEnd w:id="608"/>
    <w:p w:rsidR="0062564D" w:rsidRPr="00CA61A6" w:rsidRDefault="0062564D" w:rsidP="007B3478">
      <w:pPr>
        <w:rPr>
          <w:szCs w:val="24"/>
          <w:lang w:eastAsia="ja-JP"/>
        </w:rPr>
      </w:pPr>
      <w:r w:rsidRPr="00CA61A6">
        <w:rPr>
          <w:szCs w:val="24"/>
          <w:lang w:eastAsia="ja-JP"/>
        </w:rPr>
        <w:t xml:space="preserve">El Director de la TSB informa anualmente al Consejo sobre las actividades realizadas en materia de IPv6 en el documento </w:t>
      </w:r>
      <w:r w:rsidR="00B26079" w:rsidRPr="00CA61A6">
        <w:rPr>
          <w:szCs w:val="24"/>
          <w:lang w:eastAsia="ja-JP"/>
        </w:rPr>
        <w:t>"</w:t>
      </w:r>
      <w:r w:rsidRPr="00CA61A6">
        <w:rPr>
          <w:szCs w:val="24"/>
          <w:lang w:eastAsia="ja-JP"/>
        </w:rPr>
        <w:t>Actividades de la UIT relacionadas con In</w:t>
      </w:r>
      <w:r w:rsidR="00BC5EBA">
        <w:rPr>
          <w:szCs w:val="24"/>
          <w:lang w:eastAsia="ja-JP"/>
        </w:rPr>
        <w:t>ternet: Resoluciones 101, 102 y </w:t>
      </w:r>
      <w:r w:rsidRPr="00CA61A6">
        <w:rPr>
          <w:szCs w:val="24"/>
          <w:lang w:eastAsia="ja-JP"/>
        </w:rPr>
        <w:t>133</w:t>
      </w:r>
      <w:r w:rsidR="00B26079" w:rsidRPr="00CA61A6">
        <w:rPr>
          <w:szCs w:val="24"/>
          <w:lang w:eastAsia="ja-JP"/>
        </w:rPr>
        <w:t>"</w:t>
      </w:r>
      <w:r w:rsidRPr="00CA61A6">
        <w:rPr>
          <w:szCs w:val="24"/>
          <w:lang w:eastAsia="ja-JP"/>
        </w:rPr>
        <w:t>.</w:t>
      </w:r>
    </w:p>
    <w:p w:rsidR="00F94D8A" w:rsidRPr="00CA61A6" w:rsidRDefault="00110CAD" w:rsidP="00F94D8A">
      <w:hyperlink w:anchor="Top" w:history="1">
        <w:r w:rsidR="00F94D8A" w:rsidRPr="00CA61A6">
          <w:rPr>
            <w:rStyle w:val="Hyperlink"/>
          </w:rPr>
          <w:t>» Arriba</w:t>
        </w:r>
      </w:hyperlink>
    </w:p>
    <w:p w:rsidR="00450BDD" w:rsidRPr="00CA61A6" w:rsidRDefault="00D65A4F" w:rsidP="0073298B">
      <w:pPr>
        <w:pStyle w:val="Heading1"/>
      </w:pPr>
      <w:bookmarkStart w:id="609" w:name="_33_Resolución_65"/>
      <w:bookmarkStart w:id="610" w:name="_Toc463335784"/>
      <w:bookmarkEnd w:id="609"/>
      <w:r w:rsidRPr="00CA61A6">
        <w:t>33</w:t>
      </w:r>
      <w:r w:rsidRPr="00CA61A6">
        <w:tab/>
      </w:r>
      <w:r w:rsidR="0073298B" w:rsidRPr="00CA61A6">
        <w:t xml:space="preserve">Resolución </w:t>
      </w:r>
      <w:r w:rsidR="00450BDD" w:rsidRPr="00CA61A6">
        <w:t>65</w:t>
      </w:r>
      <w:r w:rsidR="0073298B" w:rsidRPr="00CA61A6">
        <w:t xml:space="preserve"> – </w:t>
      </w:r>
      <w:r w:rsidR="00450BDD" w:rsidRPr="00CA61A6">
        <w:t>Comunicación del número de la parte llamante, identificación de la línea llamante e identificación del origen</w:t>
      </w:r>
      <w:bookmarkEnd w:id="610"/>
    </w:p>
    <w:p w:rsidR="00DC069E" w:rsidRPr="00CA61A6" w:rsidRDefault="00DC069E" w:rsidP="00DC069E">
      <w:pPr>
        <w:pStyle w:val="Headingb"/>
        <w:keepLines/>
      </w:pPr>
      <w:r w:rsidRPr="00CA61A6">
        <w:t>Resolución 6</w:t>
      </w:r>
      <w:r w:rsidR="006C4D01" w:rsidRPr="00CA61A6">
        <w:t>5</w:t>
      </w:r>
    </w:p>
    <w:p w:rsidR="00450BDD" w:rsidRPr="00CA61A6" w:rsidRDefault="00450BDD" w:rsidP="007B3478">
      <w:pPr>
        <w:pStyle w:val="Call"/>
      </w:pPr>
      <w:r w:rsidRPr="00CA61A6">
        <w:t>resuelve</w:t>
      </w:r>
    </w:p>
    <w:p w:rsidR="00450BDD" w:rsidRPr="00CA61A6" w:rsidRDefault="00450BDD" w:rsidP="007B3478">
      <w:r w:rsidRPr="00CA61A6">
        <w:t>1</w:t>
      </w:r>
      <w:r w:rsidRPr="00CA61A6">
        <w:tab/>
        <w:t>que se facilitará la CPND, la CLI y la OI sobre la base de las Recomendaciones pertinentes del UIT-T en la medida en que sea técnicamente posible;</w:t>
      </w:r>
    </w:p>
    <w:p w:rsidR="00450BDD" w:rsidRPr="00CA61A6" w:rsidRDefault="00450BDD" w:rsidP="007B3478">
      <w:r w:rsidRPr="00CA61A6">
        <w:t>2</w:t>
      </w:r>
      <w:r w:rsidRPr="00CA61A6">
        <w:tab/>
        <w:t>que los números de partes llamantes (CPN) comunicados irán, como mínimo, en la medida en que sea técnicamente posible, precedidos de los indicativos de país de modo que un país de destino pueda identificar el país en el que tienen su origen las llamadas antes de que se transmitan de un país de origen a un país de destino;</w:t>
      </w:r>
    </w:p>
    <w:p w:rsidR="00450BDD" w:rsidRPr="00CA61A6" w:rsidRDefault="00450BDD" w:rsidP="007B3478">
      <w:r w:rsidRPr="00CA61A6">
        <w:t>3</w:t>
      </w:r>
      <w:r w:rsidRPr="00CA61A6">
        <w:tab/>
        <w:t>que el CPN y la CLI comunicados incluirán, además del indicativo de país en el caso de ser comunicado, el indicativo nacional de destino o información suficiente para permitir la debida facturación y contabilización de cada llamada;</w:t>
      </w:r>
    </w:p>
    <w:p w:rsidR="00450BDD" w:rsidRPr="00CA61A6" w:rsidRDefault="00450BDD" w:rsidP="007B3478">
      <w:r w:rsidRPr="00CA61A6">
        <w:t>4</w:t>
      </w:r>
      <w:r w:rsidRPr="00CA61A6">
        <w:tab/>
        <w:t>que el CPN, la CLI y la información de OI se transmitirán de manera transparente por las redes de tránsito (incluidos los nodos centralizados),</w:t>
      </w:r>
    </w:p>
    <w:p w:rsidR="00450BDD" w:rsidRPr="00CA61A6" w:rsidRDefault="00450BDD" w:rsidP="007B3478">
      <w:pPr>
        <w:pStyle w:val="Call"/>
      </w:pPr>
      <w:r w:rsidRPr="00CA61A6">
        <w:t>encarga</w:t>
      </w:r>
    </w:p>
    <w:p w:rsidR="00450BDD" w:rsidRPr="00CA61A6" w:rsidRDefault="00450BDD" w:rsidP="007B3478">
      <w:r w:rsidRPr="00CA61A6">
        <w:t>1</w:t>
      </w:r>
      <w:r w:rsidRPr="00CA61A6">
        <w:tab/>
        <w:t>a las Comisiones de Estudio 2 del UIT-T, a la Comisión de Estudio 3 del UIT-T y, llegado el caso, a la Comisión de Estudio 17 del UIT</w:t>
      </w:r>
      <w:r w:rsidRPr="00CA61A6">
        <w:noBreakHyphen/>
        <w:t>T, que sigan estudiando las cuestiones incipientes de la CPND, la CLI y la OI;</w:t>
      </w:r>
    </w:p>
    <w:p w:rsidR="00450BDD" w:rsidRPr="00CA61A6" w:rsidRDefault="00450BDD" w:rsidP="007B3478">
      <w:r w:rsidRPr="00CA61A6">
        <w:t>2</w:t>
      </w:r>
      <w:r w:rsidRPr="00CA61A6">
        <w:tab/>
        <w:t xml:space="preserve">a las Comisiones de Estudio implicadas que aceleren las labores relativas a las Recomendaciones que facilitarían detalles y orientaciones adicionales para la aplicación de la presente Resolución; </w:t>
      </w:r>
    </w:p>
    <w:p w:rsidR="00450BDD" w:rsidRPr="00CA61A6" w:rsidRDefault="00450BDD" w:rsidP="007B3478">
      <w:pPr>
        <w:keepLines/>
      </w:pPr>
      <w:r w:rsidRPr="00CA61A6">
        <w:t>3</w:t>
      </w:r>
      <w:r w:rsidRPr="00CA61A6">
        <w:tab/>
        <w:t>al Director de la TSB que informe de los avances logrados por las Comisiones de Estudio en la aplicación de la presente Resolución, cuya finalidad es aumentar la seguridad y reducir al mínimo el fraude y, según lo dispuesto en el Artículo 42 de la Constitución, los perjuicios técnicos,</w:t>
      </w:r>
    </w:p>
    <w:p w:rsidR="00450BDD" w:rsidRPr="00CA61A6" w:rsidRDefault="00450BDD" w:rsidP="007B3478">
      <w:pPr>
        <w:pStyle w:val="Call"/>
      </w:pPr>
      <w:r w:rsidRPr="00CA61A6">
        <w:rPr>
          <w:iCs/>
        </w:rPr>
        <w:t>invita a los Estados Miembros</w:t>
      </w:r>
    </w:p>
    <w:p w:rsidR="00450BDD" w:rsidRDefault="00450BDD" w:rsidP="00961AEE">
      <w:pPr>
        <w:spacing w:after="120"/>
      </w:pPr>
      <w:r w:rsidRPr="00CA61A6">
        <w:t>a contribuir a estos trabajos y a cooperar en la aplicación de la presente Resolución.</w:t>
      </w:r>
    </w:p>
    <w:p w:rsidR="0010270F" w:rsidRDefault="0010270F" w:rsidP="00961AEE">
      <w:pPr>
        <w:spacing w:after="120"/>
      </w:pPr>
    </w:p>
    <w:p w:rsidR="0010270F" w:rsidRPr="00CA61A6" w:rsidRDefault="0010270F" w:rsidP="00961AEE">
      <w:pPr>
        <w:spacing w:after="120"/>
      </w:pPr>
    </w:p>
    <w:tbl>
      <w:tblPr>
        <w:tblW w:w="9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4891"/>
        <w:gridCol w:w="1558"/>
        <w:gridCol w:w="1149"/>
        <w:gridCol w:w="1318"/>
      </w:tblGrid>
      <w:tr w:rsidR="00450BDD" w:rsidRPr="00CA61A6" w:rsidTr="00FA4DAF">
        <w:trPr>
          <w:cantSplit/>
          <w:tblHeader/>
          <w:jc w:val="center"/>
        </w:trPr>
        <w:tc>
          <w:tcPr>
            <w:tcW w:w="916" w:type="dxa"/>
            <w:tcBorders>
              <w:bottom w:val="double" w:sz="4" w:space="0" w:color="auto"/>
            </w:tcBorders>
            <w:shd w:val="clear" w:color="auto" w:fill="auto"/>
            <w:vAlign w:val="center"/>
          </w:tcPr>
          <w:p w:rsidR="00450BDD" w:rsidRPr="00CA61A6" w:rsidRDefault="00450BDD" w:rsidP="00773553">
            <w:pPr>
              <w:pStyle w:val="Tablehead"/>
            </w:pPr>
            <w:r w:rsidRPr="00CA61A6">
              <w:lastRenderedPageBreak/>
              <w:t>Número</w:t>
            </w:r>
          </w:p>
        </w:tc>
        <w:tc>
          <w:tcPr>
            <w:tcW w:w="4891" w:type="dxa"/>
            <w:tcBorders>
              <w:bottom w:val="double" w:sz="4" w:space="0" w:color="auto"/>
            </w:tcBorders>
            <w:shd w:val="clear" w:color="auto" w:fill="auto"/>
            <w:vAlign w:val="center"/>
            <w:hideMark/>
          </w:tcPr>
          <w:p w:rsidR="00450BDD" w:rsidRPr="00CA61A6" w:rsidRDefault="00450BDD" w:rsidP="00773553">
            <w:pPr>
              <w:pStyle w:val="Tablehead"/>
            </w:pPr>
            <w:r w:rsidRPr="00CA61A6">
              <w:t>Acción</w:t>
            </w:r>
          </w:p>
        </w:tc>
        <w:tc>
          <w:tcPr>
            <w:tcW w:w="1558" w:type="dxa"/>
            <w:tcBorders>
              <w:bottom w:val="double" w:sz="4" w:space="0" w:color="auto"/>
            </w:tcBorders>
            <w:shd w:val="clear" w:color="auto" w:fill="auto"/>
            <w:vAlign w:val="center"/>
            <w:hideMark/>
          </w:tcPr>
          <w:p w:rsidR="00450BDD" w:rsidRPr="00CA61A6" w:rsidRDefault="00450BDD" w:rsidP="00773553">
            <w:pPr>
              <w:pStyle w:val="Tablehead"/>
            </w:pPr>
            <w:r w:rsidRPr="00CA61A6">
              <w:t>Fecha objetivo</w:t>
            </w:r>
          </w:p>
        </w:tc>
        <w:tc>
          <w:tcPr>
            <w:tcW w:w="1149" w:type="dxa"/>
            <w:tcBorders>
              <w:bottom w:val="double" w:sz="4" w:space="0" w:color="auto"/>
            </w:tcBorders>
            <w:shd w:val="clear" w:color="auto" w:fill="auto"/>
          </w:tcPr>
          <w:p w:rsidR="00450BDD" w:rsidRPr="00CA61A6" w:rsidRDefault="00450BDD" w:rsidP="00773553">
            <w:pPr>
              <w:pStyle w:val="Tablehead"/>
            </w:pPr>
            <w:r w:rsidRPr="00CA61A6">
              <w:t>Objetivos periódicos cumplidos</w:t>
            </w:r>
          </w:p>
        </w:tc>
        <w:tc>
          <w:tcPr>
            <w:tcW w:w="1318" w:type="dxa"/>
            <w:tcBorders>
              <w:bottom w:val="double" w:sz="4" w:space="0" w:color="auto"/>
            </w:tcBorders>
            <w:shd w:val="clear" w:color="auto" w:fill="auto"/>
            <w:vAlign w:val="center"/>
          </w:tcPr>
          <w:p w:rsidR="00450BDD" w:rsidRPr="00CA61A6" w:rsidRDefault="00450BDD" w:rsidP="00773553">
            <w:pPr>
              <w:pStyle w:val="Tablehead"/>
            </w:pPr>
            <w:r w:rsidRPr="00CA61A6">
              <w:t>Completada</w:t>
            </w:r>
          </w:p>
        </w:tc>
      </w:tr>
      <w:tr w:rsidR="00450BDD" w:rsidRPr="00CA61A6" w:rsidTr="00FA4DAF">
        <w:trPr>
          <w:cantSplit/>
          <w:jc w:val="center"/>
        </w:trPr>
        <w:tc>
          <w:tcPr>
            <w:tcW w:w="916" w:type="dxa"/>
            <w:tcBorders>
              <w:top w:val="double" w:sz="4" w:space="0" w:color="auto"/>
            </w:tcBorders>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65_01" w:history="1">
              <w:r w:rsidR="00450BDD" w:rsidRPr="00CA61A6">
                <w:rPr>
                  <w:color w:val="0000FF"/>
                  <w:sz w:val="20"/>
                  <w:u w:val="single"/>
                </w:rPr>
                <w:t>65-01</w:t>
              </w:r>
            </w:hyperlink>
          </w:p>
        </w:tc>
        <w:tc>
          <w:tcPr>
            <w:tcW w:w="4891" w:type="dxa"/>
            <w:tcBorders>
              <w:top w:val="double" w:sz="4" w:space="0" w:color="auto"/>
            </w:tcBorders>
            <w:shd w:val="clear" w:color="auto" w:fill="auto"/>
            <w:hideMark/>
          </w:tcPr>
          <w:p w:rsidR="00450BDD" w:rsidRPr="00CA61A6" w:rsidRDefault="00343F12" w:rsidP="00343F12">
            <w:pPr>
              <w:pStyle w:val="Tabletext"/>
            </w:pPr>
            <w:r>
              <w:t>La</w:t>
            </w:r>
            <w:r w:rsidR="00450BDD" w:rsidRPr="00CA61A6">
              <w:t xml:space="preserve"> Comisión de Estudio 2 del UIT-T, la Comisión de Estudio 3 del UIT-T y la Comisión de Estudio 17 del UIT</w:t>
            </w:r>
            <w:r w:rsidR="00F36866">
              <w:noBreakHyphen/>
            </w:r>
            <w:r w:rsidR="00450BDD" w:rsidRPr="00CA61A6">
              <w:t>T</w:t>
            </w:r>
            <w:r>
              <w:t xml:space="preserve"> seguirán</w:t>
            </w:r>
            <w:r w:rsidR="00450BDD" w:rsidRPr="00CA61A6">
              <w:t xml:space="preserve"> estudiando las cuestiones incipientes de la CPND, la CLI y la OI</w:t>
            </w:r>
          </w:p>
        </w:tc>
        <w:tc>
          <w:tcPr>
            <w:tcW w:w="1558" w:type="dxa"/>
            <w:tcBorders>
              <w:top w:val="double" w:sz="4" w:space="0" w:color="auto"/>
            </w:tcBorders>
            <w:shd w:val="clear" w:color="auto" w:fill="auto"/>
            <w:vAlign w:val="center"/>
          </w:tcPr>
          <w:p w:rsidR="00450BDD" w:rsidRPr="00CA61A6" w:rsidRDefault="00450BDD" w:rsidP="00323F9A">
            <w:pPr>
              <w:pStyle w:val="Tabletext"/>
              <w:jc w:val="center"/>
            </w:pPr>
            <w:r w:rsidRPr="00CA61A6">
              <w:t>En curso</w:t>
            </w:r>
          </w:p>
        </w:tc>
        <w:tc>
          <w:tcPr>
            <w:tcW w:w="1149" w:type="dxa"/>
            <w:tcBorders>
              <w:top w:val="double" w:sz="4" w:space="0" w:color="auto"/>
            </w:tcBorders>
            <w:shd w:val="clear" w:color="auto" w:fill="auto"/>
            <w:vAlign w:val="center"/>
          </w:tcPr>
          <w:p w:rsidR="00450BDD" w:rsidRPr="00CA61A6" w:rsidRDefault="00EA4610" w:rsidP="00323F9A">
            <w:pPr>
              <w:pStyle w:val="Tabletext"/>
              <w:jc w:val="center"/>
            </w:pPr>
            <w:r w:rsidRPr="00CA61A6">
              <w:sym w:font="Wingdings" w:char="F0FC"/>
            </w:r>
          </w:p>
        </w:tc>
        <w:tc>
          <w:tcPr>
            <w:tcW w:w="1318" w:type="dxa"/>
            <w:tcBorders>
              <w:top w:val="double" w:sz="4" w:space="0" w:color="auto"/>
            </w:tcBorders>
            <w:shd w:val="clear" w:color="auto" w:fill="auto"/>
            <w:vAlign w:val="center"/>
          </w:tcPr>
          <w:p w:rsidR="00450BDD" w:rsidRPr="00CA61A6" w:rsidRDefault="00450BDD" w:rsidP="00323F9A">
            <w:pPr>
              <w:pStyle w:val="Tabletext"/>
              <w:jc w:val="center"/>
            </w:pPr>
          </w:p>
        </w:tc>
      </w:tr>
      <w:tr w:rsidR="00450BDD" w:rsidRPr="00CA61A6" w:rsidTr="00FA4DAF">
        <w:trPr>
          <w:cantSplit/>
          <w:jc w:val="center"/>
        </w:trPr>
        <w:tc>
          <w:tcPr>
            <w:tcW w:w="916" w:type="dxa"/>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65_02" w:history="1">
              <w:r w:rsidR="00450BDD" w:rsidRPr="00CA61A6">
                <w:rPr>
                  <w:color w:val="0000FF"/>
                  <w:sz w:val="20"/>
                  <w:u w:val="single"/>
                </w:rPr>
                <w:t>65-02</w:t>
              </w:r>
            </w:hyperlink>
          </w:p>
        </w:tc>
        <w:tc>
          <w:tcPr>
            <w:tcW w:w="4891" w:type="dxa"/>
            <w:shd w:val="clear" w:color="auto" w:fill="auto"/>
          </w:tcPr>
          <w:p w:rsidR="00450BDD" w:rsidRPr="00CA61A6" w:rsidRDefault="00343F12" w:rsidP="00343F12">
            <w:pPr>
              <w:pStyle w:val="Tabletext"/>
            </w:pPr>
            <w:r>
              <w:t>L</w:t>
            </w:r>
            <w:r w:rsidR="00450BDD" w:rsidRPr="00CA61A6">
              <w:t>as Comisiones de Estudio implicadas aceler</w:t>
            </w:r>
            <w:r>
              <w:t>arán</w:t>
            </w:r>
            <w:r w:rsidR="00450BDD" w:rsidRPr="00CA61A6">
              <w:t xml:space="preserve"> las labores relativas a las Recomendaciones que facilitarían detalles y orientaciones adicionales para la aplicación de la presente Resolución</w:t>
            </w:r>
          </w:p>
        </w:tc>
        <w:tc>
          <w:tcPr>
            <w:tcW w:w="1558" w:type="dxa"/>
            <w:shd w:val="clear" w:color="auto" w:fill="auto"/>
            <w:vAlign w:val="center"/>
          </w:tcPr>
          <w:p w:rsidR="00450BDD" w:rsidRPr="00CA61A6" w:rsidRDefault="00450BDD" w:rsidP="00323F9A">
            <w:pPr>
              <w:pStyle w:val="Tabletext"/>
              <w:jc w:val="center"/>
            </w:pPr>
            <w:r w:rsidRPr="00CA61A6">
              <w:t>En curso</w:t>
            </w:r>
          </w:p>
        </w:tc>
        <w:tc>
          <w:tcPr>
            <w:tcW w:w="1149" w:type="dxa"/>
            <w:shd w:val="clear" w:color="auto" w:fill="auto"/>
            <w:vAlign w:val="center"/>
          </w:tcPr>
          <w:p w:rsidR="00450BDD" w:rsidRPr="00CA61A6" w:rsidRDefault="00EA4610" w:rsidP="00323F9A">
            <w:pPr>
              <w:pStyle w:val="Tabletext"/>
              <w:jc w:val="center"/>
            </w:pPr>
            <w:r w:rsidRPr="00CA61A6">
              <w:sym w:font="Wingdings" w:char="F0FC"/>
            </w:r>
          </w:p>
        </w:tc>
        <w:tc>
          <w:tcPr>
            <w:tcW w:w="1318" w:type="dxa"/>
            <w:shd w:val="clear" w:color="auto" w:fill="auto"/>
            <w:vAlign w:val="center"/>
          </w:tcPr>
          <w:p w:rsidR="00450BDD" w:rsidRPr="00CA61A6" w:rsidRDefault="00450BDD" w:rsidP="00323F9A">
            <w:pPr>
              <w:pStyle w:val="Tabletext"/>
              <w:jc w:val="center"/>
            </w:pPr>
          </w:p>
        </w:tc>
      </w:tr>
      <w:tr w:rsidR="00450BDD" w:rsidRPr="00CA61A6" w:rsidTr="00FA4DAF">
        <w:trPr>
          <w:cantSplit/>
          <w:jc w:val="center"/>
        </w:trPr>
        <w:tc>
          <w:tcPr>
            <w:tcW w:w="916" w:type="dxa"/>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65_03" w:history="1">
              <w:r w:rsidR="00450BDD" w:rsidRPr="00CA61A6">
                <w:rPr>
                  <w:color w:val="0000FF"/>
                  <w:sz w:val="20"/>
                  <w:u w:val="single"/>
                </w:rPr>
                <w:t>65-03</w:t>
              </w:r>
            </w:hyperlink>
          </w:p>
        </w:tc>
        <w:tc>
          <w:tcPr>
            <w:tcW w:w="4891" w:type="dxa"/>
            <w:shd w:val="clear" w:color="auto" w:fill="auto"/>
            <w:hideMark/>
          </w:tcPr>
          <w:p w:rsidR="00450BDD" w:rsidRPr="00CA61A6" w:rsidRDefault="00343F12" w:rsidP="00343F12">
            <w:pPr>
              <w:pStyle w:val="Tabletext"/>
            </w:pPr>
            <w:r>
              <w:t>E</w:t>
            </w:r>
            <w:r w:rsidR="0028723E" w:rsidRPr="00CA61A6">
              <w:t xml:space="preserve">l </w:t>
            </w:r>
            <w:r w:rsidR="00450BDD" w:rsidRPr="00CA61A6">
              <w:t xml:space="preserve">Director de la TSB </w:t>
            </w:r>
            <w:r>
              <w:t>informará</w:t>
            </w:r>
            <w:r w:rsidR="00450BDD" w:rsidRPr="00CA61A6">
              <w:t xml:space="preserve"> [a la AMNT-16] de los avances logrados por las Comisiones de Estudio en la aplicación de la presente Resolución</w:t>
            </w:r>
          </w:p>
        </w:tc>
        <w:tc>
          <w:tcPr>
            <w:tcW w:w="1558" w:type="dxa"/>
            <w:shd w:val="clear" w:color="auto" w:fill="auto"/>
            <w:vAlign w:val="center"/>
          </w:tcPr>
          <w:p w:rsidR="00450BDD" w:rsidRPr="00CA61A6" w:rsidRDefault="00450BDD" w:rsidP="00323F9A">
            <w:pPr>
              <w:pStyle w:val="Tabletext"/>
              <w:jc w:val="center"/>
            </w:pPr>
            <w:r w:rsidRPr="00CA61A6">
              <w:t>En curso</w:t>
            </w:r>
          </w:p>
        </w:tc>
        <w:tc>
          <w:tcPr>
            <w:tcW w:w="1149" w:type="dxa"/>
            <w:shd w:val="clear" w:color="auto" w:fill="auto"/>
            <w:vAlign w:val="center"/>
          </w:tcPr>
          <w:p w:rsidR="00450BDD" w:rsidRPr="00CA61A6" w:rsidRDefault="00450BDD" w:rsidP="00323F9A">
            <w:pPr>
              <w:pStyle w:val="Tabletext"/>
              <w:jc w:val="center"/>
            </w:pPr>
          </w:p>
        </w:tc>
        <w:tc>
          <w:tcPr>
            <w:tcW w:w="1318" w:type="dxa"/>
            <w:shd w:val="clear" w:color="auto" w:fill="auto"/>
            <w:vAlign w:val="center"/>
          </w:tcPr>
          <w:p w:rsidR="00450BDD" w:rsidRPr="00CA61A6" w:rsidRDefault="00EA4610" w:rsidP="00323F9A">
            <w:pPr>
              <w:pStyle w:val="Tabletext"/>
              <w:jc w:val="center"/>
            </w:pPr>
            <w:r w:rsidRPr="00CA61A6">
              <w:sym w:font="Wingdings" w:char="F0FC"/>
            </w:r>
          </w:p>
        </w:tc>
      </w:tr>
    </w:tbl>
    <w:p w:rsidR="00450BDD" w:rsidRPr="00343F12" w:rsidRDefault="00F40376" w:rsidP="00FE5819">
      <w:pPr>
        <w:pStyle w:val="Headingb"/>
        <w:keepLines/>
        <w:rPr>
          <w:lang w:val="fr-CH"/>
        </w:rPr>
      </w:pPr>
      <w:bookmarkStart w:id="611" w:name="Item65_01"/>
      <w:r w:rsidRPr="00343F12">
        <w:rPr>
          <w:lang w:val="fr-CH"/>
        </w:rPr>
        <w:t xml:space="preserve">Acción </w:t>
      </w:r>
      <w:r w:rsidR="00450BDD" w:rsidRPr="00343F12">
        <w:rPr>
          <w:lang w:val="fr-CH"/>
        </w:rPr>
        <w:t>65-01: CE</w:t>
      </w:r>
      <w:r w:rsidR="00D9250F" w:rsidRPr="00343F12">
        <w:rPr>
          <w:lang w:val="fr-CH"/>
        </w:rPr>
        <w:t> </w:t>
      </w:r>
      <w:r w:rsidR="00450BDD" w:rsidRPr="00343F12">
        <w:rPr>
          <w:lang w:val="fr-CH"/>
        </w:rPr>
        <w:t>2, CE</w:t>
      </w:r>
      <w:r w:rsidR="00D9250F" w:rsidRPr="00343F12">
        <w:rPr>
          <w:lang w:val="fr-CH"/>
        </w:rPr>
        <w:t> </w:t>
      </w:r>
      <w:r w:rsidR="00450BDD" w:rsidRPr="00343F12">
        <w:rPr>
          <w:lang w:val="fr-CH"/>
        </w:rPr>
        <w:t>3 y CE</w:t>
      </w:r>
      <w:r w:rsidR="00D9250F" w:rsidRPr="00343F12">
        <w:rPr>
          <w:lang w:val="fr-CH"/>
        </w:rPr>
        <w:t> </w:t>
      </w:r>
      <w:r w:rsidR="00450BDD" w:rsidRPr="00343F12">
        <w:rPr>
          <w:lang w:val="fr-CH"/>
        </w:rPr>
        <w:t>17</w:t>
      </w:r>
    </w:p>
    <w:bookmarkEnd w:id="611"/>
    <w:p w:rsidR="00450BDD" w:rsidRPr="00CA61A6" w:rsidRDefault="00450BDD" w:rsidP="00731560">
      <w:pPr>
        <w:rPr>
          <w:rFonts w:eastAsia="SimSun"/>
          <w:lang w:eastAsia="ja-JP"/>
        </w:rPr>
      </w:pPr>
      <w:r w:rsidRPr="00CA61A6">
        <w:rPr>
          <w:rFonts w:eastAsia="SimSun"/>
          <w:lang w:eastAsia="ja-JP"/>
        </w:rPr>
        <w:t>Los Presidentes de la CE</w:t>
      </w:r>
      <w:r w:rsidR="00A76053" w:rsidRPr="00CA61A6">
        <w:rPr>
          <w:rFonts w:eastAsia="SimSun"/>
          <w:lang w:eastAsia="ja-JP"/>
        </w:rPr>
        <w:t> </w:t>
      </w:r>
      <w:r w:rsidRPr="00CA61A6">
        <w:rPr>
          <w:rFonts w:eastAsia="SimSun"/>
          <w:lang w:eastAsia="ja-JP"/>
        </w:rPr>
        <w:t>2 y la CE</w:t>
      </w:r>
      <w:r w:rsidR="00A76053" w:rsidRPr="00CA61A6">
        <w:rPr>
          <w:rFonts w:eastAsia="SimSun"/>
          <w:lang w:eastAsia="ja-JP"/>
        </w:rPr>
        <w:t> </w:t>
      </w:r>
      <w:r w:rsidRPr="00CA61A6">
        <w:rPr>
          <w:rFonts w:eastAsia="SimSun"/>
          <w:lang w:eastAsia="ja-JP"/>
        </w:rPr>
        <w:t>3 mantuvieron una conferencia telefónica con la TSB sobre este asunto el 30 de abril de 201</w:t>
      </w:r>
      <w:r w:rsidR="00731560">
        <w:rPr>
          <w:rFonts w:eastAsia="SimSun"/>
          <w:lang w:eastAsia="ja-JP"/>
        </w:rPr>
        <w:t>3</w:t>
      </w:r>
      <w:r w:rsidRPr="00CA61A6">
        <w:rPr>
          <w:rFonts w:eastAsia="SimSun"/>
          <w:lang w:eastAsia="ja-JP"/>
        </w:rPr>
        <w:t>. Se acordó que los Presidentes de la CE</w:t>
      </w:r>
      <w:r w:rsidR="00AE6D82" w:rsidRPr="00CA61A6">
        <w:rPr>
          <w:rFonts w:eastAsia="SimSun"/>
          <w:lang w:eastAsia="ja-JP"/>
        </w:rPr>
        <w:t> </w:t>
      </w:r>
      <w:r w:rsidRPr="00CA61A6">
        <w:rPr>
          <w:rFonts w:eastAsia="SimSun"/>
          <w:lang w:eastAsia="ja-JP"/>
        </w:rPr>
        <w:t>2 y la CE</w:t>
      </w:r>
      <w:r w:rsidR="00AE6D82" w:rsidRPr="00CA61A6">
        <w:rPr>
          <w:rFonts w:eastAsia="SimSun"/>
          <w:lang w:eastAsia="ja-JP"/>
        </w:rPr>
        <w:t> </w:t>
      </w:r>
      <w:r w:rsidRPr="00CA61A6">
        <w:rPr>
          <w:rFonts w:eastAsia="SimSun"/>
          <w:lang w:eastAsia="ja-JP"/>
        </w:rPr>
        <w:t xml:space="preserve">3 publicarían un TD titulado </w:t>
      </w:r>
      <w:r w:rsidR="00D0618D">
        <w:rPr>
          <w:rFonts w:eastAsia="SimSun"/>
          <w:lang w:eastAsia="ja-JP"/>
        </w:rPr>
        <w:t>"</w:t>
      </w:r>
      <w:r w:rsidRPr="00CA61A6">
        <w:rPr>
          <w:rFonts w:eastAsia="SimSun"/>
          <w:lang w:eastAsia="ja-JP"/>
        </w:rPr>
        <w:t>Ámbitos para la cooperación entre la CE</w:t>
      </w:r>
      <w:r w:rsidR="00AE6D82" w:rsidRPr="00CA61A6">
        <w:rPr>
          <w:rFonts w:eastAsia="SimSun"/>
          <w:lang w:eastAsia="ja-JP"/>
        </w:rPr>
        <w:t> </w:t>
      </w:r>
      <w:r w:rsidRPr="00CA61A6">
        <w:rPr>
          <w:rFonts w:eastAsia="SimSun"/>
          <w:lang w:eastAsia="ja-JP"/>
        </w:rPr>
        <w:t>2 y la CE</w:t>
      </w:r>
      <w:r w:rsidR="00AE6D82" w:rsidRPr="00CA61A6">
        <w:rPr>
          <w:rFonts w:eastAsia="SimSun"/>
          <w:lang w:eastAsia="ja-JP"/>
        </w:rPr>
        <w:t> </w:t>
      </w:r>
      <w:r w:rsidRPr="00CA61A6">
        <w:rPr>
          <w:rFonts w:eastAsia="SimSun"/>
          <w:lang w:eastAsia="ja-JP"/>
        </w:rPr>
        <w:t>3 a tenor de las Resoluciones de la AMNT-12</w:t>
      </w:r>
      <w:r w:rsidR="00D0618D">
        <w:rPr>
          <w:rFonts w:eastAsia="SimSun"/>
          <w:lang w:eastAsia="ja-JP"/>
        </w:rPr>
        <w:t>"</w:t>
      </w:r>
      <w:r w:rsidRPr="00CA61A6">
        <w:rPr>
          <w:rFonts w:eastAsia="SimSun"/>
          <w:lang w:eastAsia="ja-JP"/>
        </w:rPr>
        <w:t>. Se propusieron ámbitos para la cooperación, debidamente desglosados, así como modalidades para la cooperación entre la CE</w:t>
      </w:r>
      <w:r w:rsidR="00AE6D82" w:rsidRPr="00CA61A6">
        <w:rPr>
          <w:rFonts w:eastAsia="SimSun"/>
          <w:lang w:eastAsia="ja-JP"/>
        </w:rPr>
        <w:t> </w:t>
      </w:r>
      <w:r w:rsidRPr="00CA61A6">
        <w:rPr>
          <w:rFonts w:eastAsia="SimSun"/>
          <w:lang w:eastAsia="ja-JP"/>
        </w:rPr>
        <w:t>2 y la CE</w:t>
      </w:r>
      <w:r w:rsidR="00AE6D82" w:rsidRPr="00CA61A6">
        <w:rPr>
          <w:rFonts w:eastAsia="SimSun"/>
          <w:lang w:eastAsia="ja-JP"/>
        </w:rPr>
        <w:t> </w:t>
      </w:r>
      <w:r w:rsidRPr="00CA61A6">
        <w:rPr>
          <w:rFonts w:eastAsia="SimSun"/>
          <w:lang w:eastAsia="ja-JP"/>
        </w:rPr>
        <w:t>3 de conformidad con las Resoluci</w:t>
      </w:r>
      <w:r w:rsidR="00C625FD">
        <w:rPr>
          <w:rFonts w:eastAsia="SimSun"/>
          <w:lang w:eastAsia="ja-JP"/>
        </w:rPr>
        <w:t>ones 29, 61, 64 y 65 de la AMNT</w:t>
      </w:r>
      <w:r w:rsidR="00C625FD">
        <w:rPr>
          <w:rFonts w:eastAsia="SimSun"/>
          <w:lang w:eastAsia="ja-JP"/>
        </w:rPr>
        <w:noBreakHyphen/>
      </w:r>
      <w:r w:rsidRPr="00CA61A6">
        <w:rPr>
          <w:rFonts w:eastAsia="SimSun"/>
          <w:lang w:eastAsia="ja-JP"/>
        </w:rPr>
        <w:t>12.</w:t>
      </w:r>
    </w:p>
    <w:p w:rsidR="00450BDD" w:rsidRPr="00CA61A6" w:rsidRDefault="00450BDD" w:rsidP="00691647">
      <w:pPr>
        <w:rPr>
          <w:rFonts w:eastAsia="SimSun"/>
          <w:lang w:eastAsia="ja-JP"/>
        </w:rPr>
      </w:pPr>
      <w:r w:rsidRPr="00CA61A6">
        <w:rPr>
          <w:rFonts w:eastAsia="SimSun"/>
          <w:lang w:eastAsia="ja-JP"/>
        </w:rPr>
        <w:t>La reunión de la CE</w:t>
      </w:r>
      <w:r w:rsidR="00B434CF" w:rsidRPr="00CA61A6">
        <w:rPr>
          <w:rFonts w:eastAsia="SimSun"/>
          <w:lang w:eastAsia="ja-JP"/>
        </w:rPr>
        <w:t> </w:t>
      </w:r>
      <w:r w:rsidRPr="00CA61A6">
        <w:rPr>
          <w:rFonts w:eastAsia="SimSun"/>
          <w:lang w:eastAsia="ja-JP"/>
        </w:rPr>
        <w:t>2 (17-26 de septiembre de 2013) recibió una contribución de KDDI en la que se proponía empezar a estudiar las normas de asignación del ID de llamante a los servicios vocales prestados por proveedores de aplicación a fin de evitar los problemas causados por la suplantación del I</w:t>
      </w:r>
      <w:r w:rsidR="00691647">
        <w:rPr>
          <w:rFonts w:eastAsia="SimSun"/>
          <w:lang w:eastAsia="ja-JP"/>
        </w:rPr>
        <w:t>D</w:t>
      </w:r>
      <w:r w:rsidRPr="00CA61A6">
        <w:rPr>
          <w:rFonts w:eastAsia="SimSun"/>
          <w:lang w:eastAsia="ja-JP"/>
        </w:rPr>
        <w:t xml:space="preserve"> de llamante. En esa misma reunión la CE</w:t>
      </w:r>
      <w:r w:rsidR="008B5B32" w:rsidRPr="00CA61A6">
        <w:rPr>
          <w:rFonts w:eastAsia="SimSun"/>
          <w:lang w:eastAsia="ja-JP"/>
        </w:rPr>
        <w:t> </w:t>
      </w:r>
      <w:r w:rsidRPr="00CA61A6">
        <w:rPr>
          <w:rFonts w:eastAsia="SimSun"/>
          <w:lang w:eastAsia="ja-JP"/>
        </w:rPr>
        <w:t>2 tomó nota de la creación del Grupo de Trabajo STIR (Secure Telephony Identity Revisited) del IETF.</w:t>
      </w:r>
    </w:p>
    <w:p w:rsidR="00450BDD" w:rsidRPr="00CA61A6" w:rsidRDefault="00450BDD" w:rsidP="007B3478">
      <w:pPr>
        <w:rPr>
          <w:rFonts w:eastAsia="SimSun"/>
          <w:szCs w:val="24"/>
          <w:lang w:eastAsia="ja-JP"/>
        </w:rPr>
      </w:pPr>
      <w:r w:rsidRPr="00CA61A6">
        <w:rPr>
          <w:rFonts w:eastAsia="SimSun"/>
          <w:szCs w:val="24"/>
          <w:lang w:eastAsia="ja-JP"/>
        </w:rPr>
        <w:t xml:space="preserve">Coincidiendo con la </w:t>
      </w:r>
      <w:r w:rsidR="004C59F6" w:rsidRPr="00CA61A6">
        <w:rPr>
          <w:rFonts w:eastAsia="SimSun"/>
          <w:szCs w:val="24"/>
          <w:lang w:eastAsia="ja-JP"/>
        </w:rPr>
        <w:t>reunión de la CE</w:t>
      </w:r>
      <w:r w:rsidR="008B5B32" w:rsidRPr="00CA61A6">
        <w:rPr>
          <w:rFonts w:eastAsia="SimSun"/>
          <w:szCs w:val="24"/>
          <w:lang w:eastAsia="ja-JP"/>
        </w:rPr>
        <w:t> </w:t>
      </w:r>
      <w:r w:rsidR="004C59F6" w:rsidRPr="00CA61A6">
        <w:rPr>
          <w:rFonts w:eastAsia="SimSun"/>
          <w:szCs w:val="24"/>
          <w:lang w:eastAsia="ja-JP"/>
        </w:rPr>
        <w:t>2 (28 de mayo-</w:t>
      </w:r>
      <w:r w:rsidRPr="00CA61A6">
        <w:rPr>
          <w:rFonts w:eastAsia="SimSun"/>
          <w:szCs w:val="24"/>
          <w:lang w:eastAsia="ja-JP"/>
        </w:rPr>
        <w:t xml:space="preserve">6 de junio de 2014) se celebró, el 2 de junio de 2014, un </w:t>
      </w:r>
      <w:r w:rsidR="00A518A6" w:rsidRPr="00CA61A6">
        <w:rPr>
          <w:rFonts w:eastAsia="SimSun"/>
          <w:szCs w:val="24"/>
          <w:lang w:eastAsia="ja-JP"/>
        </w:rPr>
        <w:t xml:space="preserve">taller </w:t>
      </w:r>
      <w:r w:rsidRPr="00CA61A6">
        <w:rPr>
          <w:rFonts w:eastAsia="SimSun"/>
          <w:szCs w:val="24"/>
          <w:lang w:eastAsia="ja-JP"/>
        </w:rPr>
        <w:t>de la UIT sobre "Suplantación de la identificación de la parte llamante". El Presidente de la CE</w:t>
      </w:r>
      <w:r w:rsidR="008B5B32" w:rsidRPr="00CA61A6">
        <w:rPr>
          <w:rFonts w:eastAsia="SimSun"/>
          <w:szCs w:val="24"/>
          <w:lang w:eastAsia="ja-JP"/>
        </w:rPr>
        <w:t> </w:t>
      </w:r>
      <w:r w:rsidRPr="00CA61A6">
        <w:rPr>
          <w:rFonts w:eastAsia="SimSun"/>
          <w:szCs w:val="24"/>
          <w:lang w:eastAsia="ja-JP"/>
        </w:rPr>
        <w:t xml:space="preserve">2 animó a los participantes a estudiar las intervenciones realizadas en el </w:t>
      </w:r>
      <w:r w:rsidR="00A518A6" w:rsidRPr="00CA61A6">
        <w:rPr>
          <w:rFonts w:eastAsia="SimSun"/>
          <w:szCs w:val="24"/>
          <w:lang w:eastAsia="ja-JP"/>
        </w:rPr>
        <w:t xml:space="preserve">taller </w:t>
      </w:r>
      <w:r w:rsidRPr="00CA61A6">
        <w:rPr>
          <w:rFonts w:eastAsia="SimSun"/>
          <w:szCs w:val="24"/>
          <w:lang w:eastAsia="ja-JP"/>
        </w:rPr>
        <w:t>y a presentar contribuciones al respecto a las siguientes reuniones de la CE</w:t>
      </w:r>
      <w:r w:rsidR="00066F1A" w:rsidRPr="00CA61A6">
        <w:rPr>
          <w:rFonts w:eastAsia="SimSun"/>
          <w:szCs w:val="24"/>
          <w:lang w:eastAsia="ja-JP"/>
        </w:rPr>
        <w:t> </w:t>
      </w:r>
      <w:r w:rsidRPr="00CA61A6">
        <w:rPr>
          <w:rFonts w:eastAsia="SimSun"/>
          <w:szCs w:val="24"/>
          <w:lang w:eastAsia="ja-JP"/>
        </w:rPr>
        <w:t>2.</w:t>
      </w:r>
    </w:p>
    <w:p w:rsidR="00450BDD" w:rsidRPr="00CA61A6" w:rsidRDefault="00450BDD" w:rsidP="007B3478">
      <w:pPr>
        <w:rPr>
          <w:rFonts w:eastAsia="SimSun"/>
          <w:szCs w:val="24"/>
          <w:lang w:eastAsia="ja-JP"/>
        </w:rPr>
      </w:pPr>
      <w:r w:rsidRPr="00CA61A6">
        <w:rPr>
          <w:rFonts w:eastAsia="SimSun"/>
          <w:szCs w:val="24"/>
          <w:lang w:eastAsia="ja-JP"/>
        </w:rPr>
        <w:t>Durante la reunión de la CE</w:t>
      </w:r>
      <w:r w:rsidR="008B5B32" w:rsidRPr="00CA61A6">
        <w:rPr>
          <w:rFonts w:eastAsia="SimSun"/>
          <w:szCs w:val="24"/>
          <w:lang w:eastAsia="ja-JP"/>
        </w:rPr>
        <w:t> </w:t>
      </w:r>
      <w:r w:rsidRPr="00CA61A6">
        <w:rPr>
          <w:rFonts w:eastAsia="SimSun"/>
          <w:szCs w:val="24"/>
          <w:lang w:eastAsia="ja-JP"/>
        </w:rPr>
        <w:t>2 celebrada del 18 al 27 de marzo de 2015, la Comisión Federal de Comercio de Estados Unidos hizo una presentación (</w:t>
      </w:r>
      <w:hyperlink r:id="rId130" w:history="1">
        <w:r w:rsidRPr="00CA61A6">
          <w:rPr>
            <w:rFonts w:eastAsia="SimSun"/>
            <w:color w:val="0000FF"/>
            <w:szCs w:val="24"/>
            <w:u w:val="single"/>
            <w:lang w:eastAsia="ja-JP"/>
          </w:rPr>
          <w:t>TD</w:t>
        </w:r>
        <w:r w:rsidR="009B0743">
          <w:rPr>
            <w:rFonts w:eastAsia="SimSun"/>
            <w:color w:val="0000FF"/>
            <w:szCs w:val="24"/>
            <w:u w:val="single"/>
            <w:lang w:eastAsia="ja-JP"/>
          </w:rPr>
          <w:t> </w:t>
        </w:r>
        <w:r w:rsidRPr="00CA61A6">
          <w:rPr>
            <w:rFonts w:eastAsia="SimSun"/>
            <w:color w:val="0000FF"/>
            <w:szCs w:val="24"/>
            <w:u w:val="single"/>
            <w:lang w:eastAsia="ja-JP"/>
          </w:rPr>
          <w:t>619/GEN2</w:t>
        </w:r>
      </w:hyperlink>
      <w:r w:rsidRPr="00CA61A6">
        <w:rPr>
          <w:rFonts w:eastAsia="SimSun"/>
          <w:szCs w:val="24"/>
          <w:lang w:eastAsia="ja-JP"/>
        </w:rPr>
        <w:t>) sobre suplantación de números.</w:t>
      </w:r>
    </w:p>
    <w:p w:rsidR="00450BDD" w:rsidRPr="00CA61A6" w:rsidRDefault="00450BDD" w:rsidP="007B3478">
      <w:pPr>
        <w:rPr>
          <w:rFonts w:eastAsia="SimSun"/>
          <w:szCs w:val="24"/>
          <w:lang w:eastAsia="ja-JP"/>
        </w:rPr>
      </w:pPr>
      <w:r w:rsidRPr="00CA61A6">
        <w:rPr>
          <w:rFonts w:eastAsia="SimSun"/>
          <w:szCs w:val="24"/>
          <w:lang w:eastAsia="ja-JP"/>
        </w:rPr>
        <w:t>La CPND, la CLI y la OI entran dentro del ámbito de trabajo del Grupo Mixto de Relator sobre procedimientos de llamada alternativos de la CE</w:t>
      </w:r>
      <w:r w:rsidR="008B5B32" w:rsidRPr="00CA61A6">
        <w:rPr>
          <w:rFonts w:eastAsia="SimSun"/>
          <w:szCs w:val="24"/>
          <w:lang w:eastAsia="ja-JP"/>
        </w:rPr>
        <w:t> </w:t>
      </w:r>
      <w:r w:rsidRPr="00CA61A6">
        <w:rPr>
          <w:rFonts w:eastAsia="SimSun"/>
          <w:szCs w:val="24"/>
          <w:lang w:eastAsia="ja-JP"/>
        </w:rPr>
        <w:t>2 y la CE</w:t>
      </w:r>
      <w:r w:rsidR="008B5B32" w:rsidRPr="00CA61A6">
        <w:rPr>
          <w:rFonts w:eastAsia="SimSun"/>
          <w:szCs w:val="24"/>
          <w:lang w:eastAsia="ja-JP"/>
        </w:rPr>
        <w:t> </w:t>
      </w:r>
      <w:r w:rsidRPr="00CA61A6">
        <w:rPr>
          <w:rFonts w:eastAsia="SimSun"/>
          <w:szCs w:val="24"/>
          <w:lang w:eastAsia="ja-JP"/>
        </w:rPr>
        <w:t>3. Para facilitar el avance de los trabajos, las Comisiones se intercambiaron</w:t>
      </w:r>
      <w:r w:rsidR="00CB00E0">
        <w:rPr>
          <w:rFonts w:eastAsia="SimSun"/>
          <w:szCs w:val="24"/>
          <w:lang w:eastAsia="ja-JP"/>
        </w:rPr>
        <w:t xml:space="preserve"> el mandato revisado del Grupo.</w:t>
      </w:r>
    </w:p>
    <w:p w:rsidR="00450BDD" w:rsidRPr="00CA61A6" w:rsidRDefault="00F1385D" w:rsidP="00F27EA5">
      <w:pPr>
        <w:pStyle w:val="Headingb"/>
        <w:keepLines/>
      </w:pPr>
      <w:bookmarkStart w:id="612" w:name="Item65_02"/>
      <w:r w:rsidRPr="00CA61A6">
        <w:t xml:space="preserve">Acción </w:t>
      </w:r>
      <w:r w:rsidR="00450BDD" w:rsidRPr="00CA61A6">
        <w:t xml:space="preserve">65-02: </w:t>
      </w:r>
      <w:r w:rsidR="00F27EA5">
        <w:t>CE</w:t>
      </w:r>
    </w:p>
    <w:bookmarkEnd w:id="612"/>
    <w:p w:rsidR="00450BDD" w:rsidRPr="00CA61A6" w:rsidRDefault="00450BDD" w:rsidP="006808E0">
      <w:pPr>
        <w:rPr>
          <w:rFonts w:eastAsia="SimSun"/>
          <w:szCs w:val="24"/>
          <w:lang w:eastAsia="ja-JP"/>
        </w:rPr>
      </w:pPr>
      <w:r w:rsidRPr="00CA61A6">
        <w:rPr>
          <w:rFonts w:eastAsia="SimSun"/>
          <w:szCs w:val="24"/>
          <w:lang w:eastAsia="ja-JP"/>
        </w:rPr>
        <w:t>Se recibió una contribución de Ghana para la reunión de la CE</w:t>
      </w:r>
      <w:r w:rsidR="008B5B32" w:rsidRPr="00CA61A6">
        <w:rPr>
          <w:rFonts w:eastAsia="SimSun"/>
          <w:szCs w:val="24"/>
          <w:lang w:eastAsia="ja-JP"/>
        </w:rPr>
        <w:t> </w:t>
      </w:r>
      <w:r w:rsidRPr="00CA61A6">
        <w:rPr>
          <w:rFonts w:eastAsia="SimSun"/>
          <w:szCs w:val="24"/>
          <w:lang w:eastAsia="ja-JP"/>
        </w:rPr>
        <w:t>2 (17-26 de septiembre de 2013) en la que se propon</w:t>
      </w:r>
      <w:r w:rsidR="000F0A59">
        <w:rPr>
          <w:rFonts w:eastAsia="SimSun"/>
          <w:szCs w:val="24"/>
          <w:lang w:eastAsia="ja-JP"/>
        </w:rPr>
        <w:t>ía revisar la Recomendación UIT</w:t>
      </w:r>
      <w:r w:rsidR="000F0A59">
        <w:rPr>
          <w:rFonts w:eastAsia="SimSun"/>
          <w:szCs w:val="24"/>
          <w:lang w:eastAsia="ja-JP"/>
        </w:rPr>
        <w:noBreakHyphen/>
        <w:t>T </w:t>
      </w:r>
      <w:r w:rsidRPr="00CA61A6">
        <w:rPr>
          <w:rFonts w:eastAsia="SimSun"/>
          <w:szCs w:val="24"/>
          <w:lang w:eastAsia="ja-JP"/>
        </w:rPr>
        <w:t>E.157 de acuerdo con la Resolución 65 actualizada por la AMNT</w:t>
      </w:r>
      <w:r w:rsidR="006808E0">
        <w:rPr>
          <w:rFonts w:eastAsia="SimSun"/>
          <w:szCs w:val="24"/>
          <w:lang w:eastAsia="ja-JP"/>
        </w:rPr>
        <w:noBreakHyphen/>
      </w:r>
      <w:r w:rsidRPr="00CA61A6">
        <w:rPr>
          <w:rFonts w:eastAsia="SimSun"/>
          <w:szCs w:val="24"/>
          <w:lang w:eastAsia="ja-JP"/>
        </w:rPr>
        <w:t xml:space="preserve">12 y el Artículo 3.6 del Reglamento de las Telecomunicaciones Internacionales (RTI). Además, se reanudaron los trabajos del Grupo por correspondencia sobre entrega del número de la parte llamante, identificación de línea llamante e identificación de origen a fin de aclarar la cuestión y definir por escrito el problema (por ejemplo, en una lista de usos problemáticos), incluida la terminología y la identificación de las </w:t>
      </w:r>
      <w:r w:rsidR="00236DA1">
        <w:rPr>
          <w:rFonts w:eastAsia="SimSun"/>
          <w:szCs w:val="24"/>
          <w:lang w:eastAsia="ja-JP"/>
        </w:rPr>
        <w:t xml:space="preserve">posibles consecuencias para </w:t>
      </w:r>
      <w:r w:rsidR="000D0412">
        <w:rPr>
          <w:rFonts w:eastAsia="SimSun"/>
          <w:szCs w:val="24"/>
          <w:lang w:eastAsia="ja-JP"/>
        </w:rPr>
        <w:t xml:space="preserve">la Recomendación </w:t>
      </w:r>
      <w:r w:rsidR="00236DA1">
        <w:rPr>
          <w:rFonts w:eastAsia="SimSun"/>
          <w:szCs w:val="24"/>
          <w:lang w:eastAsia="ja-JP"/>
        </w:rPr>
        <w:t>UIT</w:t>
      </w:r>
      <w:r w:rsidR="00236DA1">
        <w:rPr>
          <w:rFonts w:eastAsia="SimSun"/>
          <w:szCs w:val="24"/>
          <w:lang w:eastAsia="ja-JP"/>
        </w:rPr>
        <w:noBreakHyphen/>
      </w:r>
      <w:r w:rsidRPr="00CA61A6">
        <w:rPr>
          <w:rFonts w:eastAsia="SimSun"/>
          <w:szCs w:val="24"/>
          <w:lang w:eastAsia="ja-JP"/>
        </w:rPr>
        <w:t>T E.157 u otros posibles documentos pertinentes para este trabajo, además de las medidas que podrían adoptarse para solucionar tales problemas.</w:t>
      </w:r>
    </w:p>
    <w:p w:rsidR="00450BDD" w:rsidRPr="00CA61A6" w:rsidRDefault="00450BDD" w:rsidP="007B3478">
      <w:pPr>
        <w:rPr>
          <w:rFonts w:eastAsia="SimSun"/>
          <w:szCs w:val="24"/>
          <w:lang w:eastAsia="ja-JP"/>
        </w:rPr>
      </w:pPr>
      <w:r w:rsidRPr="00CA61A6">
        <w:rPr>
          <w:rFonts w:eastAsia="MS PGothic"/>
          <w:szCs w:val="24"/>
          <w:lang w:eastAsia="ja-JP"/>
        </w:rPr>
        <w:lastRenderedPageBreak/>
        <w:t xml:space="preserve">El Sr. Kazuo Nakamura de KDDI y el Sr. </w:t>
      </w:r>
      <w:r w:rsidRPr="00CA61A6">
        <w:rPr>
          <w:rFonts w:eastAsia="SimSun"/>
          <w:szCs w:val="24"/>
        </w:rPr>
        <w:t>Yaw Boamah Baafi de Ghana son los convocadores del Grupo por correspondencia.</w:t>
      </w:r>
    </w:p>
    <w:p w:rsidR="00450BDD" w:rsidRPr="00CA61A6" w:rsidRDefault="00450BDD" w:rsidP="007B3478">
      <w:pPr>
        <w:rPr>
          <w:rFonts w:eastAsia="SimSun"/>
          <w:szCs w:val="24"/>
          <w:lang w:eastAsia="ja-JP"/>
        </w:rPr>
      </w:pPr>
      <w:r w:rsidRPr="00CA61A6">
        <w:rPr>
          <w:rFonts w:eastAsia="MS Gothic"/>
          <w:szCs w:val="24"/>
          <w:lang w:eastAsia="ja-JP"/>
        </w:rPr>
        <w:t>Para la reunión de la CE</w:t>
      </w:r>
      <w:r w:rsidR="00871FE0" w:rsidRPr="00CA61A6">
        <w:rPr>
          <w:rFonts w:eastAsia="MS Gothic"/>
          <w:szCs w:val="24"/>
          <w:lang w:eastAsia="ja-JP"/>
        </w:rPr>
        <w:t> </w:t>
      </w:r>
      <w:r w:rsidRPr="00CA61A6">
        <w:rPr>
          <w:rFonts w:eastAsia="MS Gothic"/>
          <w:szCs w:val="24"/>
          <w:lang w:eastAsia="ja-JP"/>
        </w:rPr>
        <w:t>2 celebrada del 28 de mayo al 6 de junio de 2014 se recibieron una contribución de Egipto (COM2-</w:t>
      </w:r>
      <w:hyperlink r:id="rId131" w:history="1">
        <w:r w:rsidRPr="00CA61A6">
          <w:rPr>
            <w:rFonts w:eastAsia="MS Gothic"/>
            <w:color w:val="0000FF"/>
            <w:szCs w:val="24"/>
            <w:u w:val="single"/>
            <w:lang w:eastAsia="ja-JP"/>
          </w:rPr>
          <w:t>C.67</w:t>
        </w:r>
      </w:hyperlink>
      <w:r w:rsidRPr="00CA61A6">
        <w:rPr>
          <w:rFonts w:eastAsia="MS Gothic"/>
          <w:szCs w:val="24"/>
          <w:lang w:eastAsia="ja-JP"/>
        </w:rPr>
        <w:t xml:space="preserve">) sobre la </w:t>
      </w:r>
      <w:r w:rsidRPr="00CA61A6">
        <w:rPr>
          <w:rFonts w:eastAsia="SimSun"/>
          <w:szCs w:val="24"/>
          <w:lang w:eastAsia="ja-JP"/>
        </w:rPr>
        <w:t>CPND, la CLI, la OI y la suplantación de números, una contribución de China (COM2-</w:t>
      </w:r>
      <w:hyperlink r:id="rId132" w:history="1">
        <w:r w:rsidRPr="00CA61A6">
          <w:rPr>
            <w:rFonts w:eastAsia="SimSun"/>
            <w:color w:val="0000FF"/>
            <w:szCs w:val="24"/>
            <w:u w:val="single"/>
            <w:lang w:eastAsia="ja-JP"/>
          </w:rPr>
          <w:t>C.53</w:t>
        </w:r>
      </w:hyperlink>
      <w:r w:rsidRPr="00CA61A6">
        <w:rPr>
          <w:rFonts w:eastAsia="SimSun"/>
          <w:szCs w:val="24"/>
          <w:lang w:eastAsia="ja-JP"/>
        </w:rPr>
        <w:t>) sobre el análisis de la entrega del ID de la parte llamante en China, y una propuesta del Presidente del GT</w:t>
      </w:r>
      <w:r w:rsidR="00CA2EC9" w:rsidRPr="00CA61A6">
        <w:rPr>
          <w:rFonts w:eastAsia="SimSun"/>
          <w:szCs w:val="24"/>
          <w:lang w:eastAsia="ja-JP"/>
        </w:rPr>
        <w:t> </w:t>
      </w:r>
      <w:r w:rsidRPr="00CA61A6">
        <w:rPr>
          <w:rFonts w:eastAsia="SimSun"/>
          <w:szCs w:val="24"/>
          <w:lang w:eastAsia="ja-JP"/>
        </w:rPr>
        <w:t>1</w:t>
      </w:r>
      <w:r w:rsidRPr="00CA61A6">
        <w:rPr>
          <w:rFonts w:eastAsia="MS Gothic"/>
          <w:szCs w:val="24"/>
          <w:lang w:eastAsia="ja-JP"/>
        </w:rPr>
        <w:t>/2 (</w:t>
      </w:r>
      <w:hyperlink r:id="rId133" w:history="1">
        <w:r w:rsidRPr="00CA61A6">
          <w:rPr>
            <w:rFonts w:eastAsia="MS Gothic"/>
            <w:color w:val="0000FF"/>
            <w:szCs w:val="24"/>
            <w:u w:val="single"/>
            <w:lang w:eastAsia="ja-JP"/>
          </w:rPr>
          <w:t>TD 374/GEN2</w:t>
        </w:r>
      </w:hyperlink>
      <w:r w:rsidRPr="00CA61A6">
        <w:rPr>
          <w:rFonts w:eastAsia="MS Gothic"/>
          <w:szCs w:val="24"/>
          <w:lang w:eastAsia="ja-JP"/>
        </w:rPr>
        <w:t>) para modificar la Recomendación UIT</w:t>
      </w:r>
      <w:r w:rsidRPr="00CA61A6">
        <w:rPr>
          <w:rFonts w:eastAsia="SimSun"/>
          <w:szCs w:val="24"/>
          <w:lang w:eastAsia="ja-JP"/>
        </w:rPr>
        <w:t xml:space="preserve">-T E.157. En la reunión se acordó seguir trabajando en la revisión de </w:t>
      </w:r>
      <w:r w:rsidR="00774A80">
        <w:rPr>
          <w:rFonts w:eastAsia="SimSun"/>
          <w:szCs w:val="24"/>
          <w:lang w:eastAsia="ja-JP"/>
        </w:rPr>
        <w:t xml:space="preserve">la Recomendación </w:t>
      </w:r>
      <w:r w:rsidRPr="00CA61A6">
        <w:rPr>
          <w:rFonts w:eastAsia="SimSun"/>
          <w:szCs w:val="24"/>
          <w:lang w:eastAsia="ja-JP"/>
        </w:rPr>
        <w:t>UIT</w:t>
      </w:r>
      <w:r w:rsidR="00EB23FC" w:rsidRPr="00CA61A6">
        <w:rPr>
          <w:rFonts w:eastAsia="SimSun"/>
          <w:szCs w:val="24"/>
          <w:lang w:eastAsia="ja-JP"/>
        </w:rPr>
        <w:noBreakHyphen/>
      </w:r>
      <w:r w:rsidRPr="00CA61A6">
        <w:rPr>
          <w:rFonts w:eastAsia="SimSun"/>
          <w:szCs w:val="24"/>
          <w:lang w:eastAsia="ja-JP"/>
        </w:rPr>
        <w:t xml:space="preserve">T E.157 y en la entrega del número de la parte llamante. El Sr. Philip </w:t>
      </w:r>
      <w:r w:rsidR="00EF0ACD">
        <w:rPr>
          <w:rFonts w:eastAsia="SimSun"/>
          <w:szCs w:val="24"/>
          <w:lang w:eastAsia="ja-JP"/>
        </w:rPr>
        <w:t>Rushton de Reino Unido y el Sr. </w:t>
      </w:r>
      <w:r w:rsidRPr="00CA61A6">
        <w:rPr>
          <w:rFonts w:eastAsia="SimSun"/>
          <w:szCs w:val="24"/>
          <w:lang w:eastAsia="ja-JP"/>
        </w:rPr>
        <w:t>Joakim Stralmark de Suecia f</w:t>
      </w:r>
      <w:r w:rsidR="00076F37" w:rsidRPr="00CA61A6">
        <w:rPr>
          <w:rFonts w:eastAsia="SimSun"/>
          <w:szCs w:val="24"/>
          <w:lang w:eastAsia="ja-JP"/>
        </w:rPr>
        <w:t xml:space="preserve">ueron nombrados editores de </w:t>
      </w:r>
      <w:r w:rsidR="00286E38">
        <w:rPr>
          <w:rFonts w:eastAsia="SimSun"/>
          <w:szCs w:val="24"/>
          <w:lang w:eastAsia="ja-JP"/>
        </w:rPr>
        <w:t xml:space="preserve">la Recomendación </w:t>
      </w:r>
      <w:r w:rsidR="00076F37" w:rsidRPr="00CA61A6">
        <w:rPr>
          <w:rFonts w:eastAsia="SimSun"/>
          <w:szCs w:val="24"/>
          <w:lang w:eastAsia="ja-JP"/>
        </w:rPr>
        <w:t>UIT</w:t>
      </w:r>
      <w:r w:rsidR="00076F37" w:rsidRPr="00CA61A6">
        <w:rPr>
          <w:rFonts w:eastAsia="SimSun"/>
          <w:szCs w:val="24"/>
          <w:lang w:eastAsia="ja-JP"/>
        </w:rPr>
        <w:noBreakHyphen/>
      </w:r>
      <w:r w:rsidRPr="00CA61A6">
        <w:rPr>
          <w:rFonts w:eastAsia="SimSun"/>
          <w:szCs w:val="24"/>
          <w:lang w:eastAsia="ja-JP"/>
        </w:rPr>
        <w:t>T E.157.</w:t>
      </w:r>
    </w:p>
    <w:p w:rsidR="00450BDD" w:rsidRPr="00CA61A6" w:rsidRDefault="00450BDD" w:rsidP="007B3478">
      <w:pPr>
        <w:rPr>
          <w:rFonts w:eastAsia="SimSun"/>
          <w:szCs w:val="24"/>
          <w:lang w:eastAsia="ja-JP"/>
        </w:rPr>
      </w:pPr>
      <w:r w:rsidRPr="00CA61A6">
        <w:rPr>
          <w:rFonts w:eastAsia="SimSun"/>
          <w:szCs w:val="24"/>
          <w:lang w:eastAsia="ja-JP"/>
        </w:rPr>
        <w:t>En la reunión de la CE</w:t>
      </w:r>
      <w:r w:rsidR="008B5B32" w:rsidRPr="00CA61A6">
        <w:rPr>
          <w:rFonts w:eastAsia="SimSun"/>
          <w:szCs w:val="24"/>
          <w:lang w:eastAsia="ja-JP"/>
        </w:rPr>
        <w:t> </w:t>
      </w:r>
      <w:r w:rsidRPr="00CA61A6">
        <w:rPr>
          <w:rFonts w:eastAsia="SimSun"/>
          <w:szCs w:val="24"/>
          <w:lang w:eastAsia="ja-JP"/>
        </w:rPr>
        <w:t>2 celebrada del 18 al 27 de marzo de 2015 se estudiaron una propuesta de los editores (</w:t>
      </w:r>
      <w:hyperlink r:id="rId134" w:history="1">
        <w:r w:rsidRPr="00CA61A6">
          <w:rPr>
            <w:rFonts w:eastAsia="SimSun"/>
            <w:color w:val="0000FF"/>
            <w:szCs w:val="24"/>
            <w:u w:val="single"/>
            <w:lang w:eastAsia="ja-JP"/>
          </w:rPr>
          <w:t>TD</w:t>
        </w:r>
        <w:r w:rsidR="00E3082D">
          <w:rPr>
            <w:rFonts w:eastAsia="SimSun"/>
            <w:color w:val="0000FF"/>
            <w:szCs w:val="24"/>
            <w:u w:val="single"/>
            <w:lang w:eastAsia="ja-JP"/>
          </w:rPr>
          <w:t> </w:t>
        </w:r>
        <w:r w:rsidRPr="00CA61A6">
          <w:rPr>
            <w:rFonts w:eastAsia="SimSun"/>
            <w:color w:val="0000FF"/>
            <w:szCs w:val="24"/>
            <w:u w:val="single"/>
            <w:lang w:eastAsia="ja-JP"/>
          </w:rPr>
          <w:t>520/GEN2</w:t>
        </w:r>
      </w:hyperlink>
      <w:r w:rsidRPr="00CA61A6">
        <w:rPr>
          <w:rFonts w:eastAsia="SimSun"/>
          <w:szCs w:val="24"/>
          <w:lang w:eastAsia="ja-JP"/>
        </w:rPr>
        <w:t xml:space="preserve">) de </w:t>
      </w:r>
      <w:r w:rsidR="005C3AAF">
        <w:rPr>
          <w:rFonts w:eastAsia="SimSun"/>
          <w:szCs w:val="24"/>
          <w:lang w:eastAsia="ja-JP"/>
        </w:rPr>
        <w:t xml:space="preserve">la Recomendación </w:t>
      </w:r>
      <w:r w:rsidR="0065530D">
        <w:rPr>
          <w:rFonts w:eastAsia="SimSun"/>
          <w:szCs w:val="24"/>
          <w:lang w:eastAsia="ja-JP"/>
        </w:rPr>
        <w:t>UIT</w:t>
      </w:r>
      <w:r w:rsidR="0065530D">
        <w:rPr>
          <w:rFonts w:eastAsia="SimSun"/>
          <w:szCs w:val="24"/>
          <w:lang w:eastAsia="ja-JP"/>
        </w:rPr>
        <w:noBreakHyphen/>
        <w:t>T </w:t>
      </w:r>
      <w:r w:rsidRPr="00CA61A6">
        <w:rPr>
          <w:rFonts w:eastAsia="SimSun"/>
          <w:szCs w:val="24"/>
          <w:lang w:eastAsia="ja-JP"/>
        </w:rPr>
        <w:t>E.157 y las contribuciones de Egipto (COM2-</w:t>
      </w:r>
      <w:hyperlink r:id="rId135" w:history="1">
        <w:r w:rsidRPr="00CA61A6">
          <w:rPr>
            <w:rFonts w:eastAsia="SimSun"/>
            <w:color w:val="0000FF"/>
            <w:szCs w:val="24"/>
            <w:u w:val="single"/>
            <w:lang w:eastAsia="ja-JP"/>
          </w:rPr>
          <w:t>C.97</w:t>
        </w:r>
      </w:hyperlink>
      <w:r w:rsidRPr="00CA61A6">
        <w:rPr>
          <w:rFonts w:eastAsia="SimSun"/>
          <w:szCs w:val="24"/>
          <w:lang w:eastAsia="ja-JP"/>
        </w:rPr>
        <w:t>), Reino Unido (COM2-</w:t>
      </w:r>
      <w:hyperlink r:id="rId136" w:history="1">
        <w:r w:rsidRPr="00CA61A6">
          <w:rPr>
            <w:rFonts w:eastAsia="SimSun"/>
            <w:color w:val="0000FF"/>
            <w:szCs w:val="24"/>
            <w:u w:val="single"/>
            <w:lang w:eastAsia="ja-JP"/>
          </w:rPr>
          <w:t>C.86</w:t>
        </w:r>
      </w:hyperlink>
      <w:r w:rsidRPr="00CA61A6">
        <w:rPr>
          <w:rFonts w:eastAsia="SimSun"/>
          <w:szCs w:val="24"/>
          <w:lang w:eastAsia="ja-JP"/>
        </w:rPr>
        <w:t>) y Telecom Italia (COM2-</w:t>
      </w:r>
      <w:hyperlink r:id="rId137" w:history="1">
        <w:r w:rsidRPr="00CA61A6">
          <w:rPr>
            <w:rFonts w:eastAsia="SimSun"/>
            <w:color w:val="0000FF"/>
            <w:szCs w:val="24"/>
            <w:u w:val="single"/>
            <w:lang w:eastAsia="ja-JP"/>
          </w:rPr>
          <w:t>C.75</w:t>
        </w:r>
      </w:hyperlink>
      <w:r w:rsidRPr="00CA61A6">
        <w:rPr>
          <w:rFonts w:eastAsia="SimSun"/>
          <w:szCs w:val="24"/>
          <w:lang w:eastAsia="ja-JP"/>
        </w:rPr>
        <w:t xml:space="preserve">). Se acordó que en adelante los trabajos sobre la revisión de </w:t>
      </w:r>
      <w:r w:rsidR="00E71086">
        <w:rPr>
          <w:rFonts w:eastAsia="SimSun"/>
          <w:szCs w:val="24"/>
          <w:lang w:eastAsia="ja-JP"/>
        </w:rPr>
        <w:t xml:space="preserve">la Recomendación </w:t>
      </w:r>
      <w:r w:rsidRPr="00CA61A6">
        <w:rPr>
          <w:rFonts w:eastAsia="SimSun"/>
          <w:szCs w:val="24"/>
          <w:lang w:eastAsia="ja-JP"/>
        </w:rPr>
        <w:t xml:space="preserve">UIT-T E.157 se realizarían a través del Grupo por correspondencia sobre la base del texto reproducido en el Documento </w:t>
      </w:r>
      <w:hyperlink r:id="rId138" w:history="1">
        <w:r w:rsidRPr="00CA61A6">
          <w:rPr>
            <w:rFonts w:eastAsia="SimSun"/>
            <w:color w:val="0000FF"/>
            <w:szCs w:val="24"/>
            <w:u w:val="single"/>
            <w:lang w:eastAsia="ja-JP"/>
          </w:rPr>
          <w:t>TD 520/GEN2</w:t>
        </w:r>
      </w:hyperlink>
      <w:r w:rsidRPr="00CA61A6">
        <w:rPr>
          <w:rFonts w:eastAsia="SimSun"/>
          <w:szCs w:val="24"/>
          <w:lang w:eastAsia="ja-JP"/>
        </w:rPr>
        <w:t>.</w:t>
      </w:r>
    </w:p>
    <w:p w:rsidR="00450BDD" w:rsidRPr="00CA61A6" w:rsidRDefault="00450BDD" w:rsidP="000F3950">
      <w:pPr>
        <w:rPr>
          <w:rFonts w:eastAsia="SimSun"/>
          <w:szCs w:val="24"/>
          <w:lang w:eastAsia="ja-JP"/>
        </w:rPr>
      </w:pPr>
      <w:r w:rsidRPr="00CA61A6">
        <w:rPr>
          <w:rFonts w:eastAsia="SimSun"/>
          <w:szCs w:val="24"/>
          <w:lang w:eastAsia="ja-JP"/>
        </w:rPr>
        <w:t>En la reunión de la CE</w:t>
      </w:r>
      <w:r w:rsidR="008B5B32" w:rsidRPr="00CA61A6">
        <w:rPr>
          <w:rFonts w:eastAsia="SimSun"/>
          <w:szCs w:val="24"/>
          <w:lang w:eastAsia="ja-JP"/>
        </w:rPr>
        <w:t> </w:t>
      </w:r>
      <w:r w:rsidRPr="00CA61A6">
        <w:rPr>
          <w:rFonts w:eastAsia="SimSun"/>
          <w:szCs w:val="24"/>
          <w:lang w:eastAsia="ja-JP"/>
        </w:rPr>
        <w:t>2 de enero de 2016 se trataron las contribuciones sobre la r</w:t>
      </w:r>
      <w:r w:rsidR="007C4BE9">
        <w:rPr>
          <w:rFonts w:eastAsia="SimSun"/>
          <w:szCs w:val="24"/>
          <w:lang w:eastAsia="ja-JP"/>
        </w:rPr>
        <w:t>evisión de la Recomendación UIT</w:t>
      </w:r>
      <w:r w:rsidR="007C4CB0">
        <w:rPr>
          <w:rFonts w:eastAsia="SimSun"/>
          <w:szCs w:val="24"/>
          <w:lang w:eastAsia="ja-JP"/>
        </w:rPr>
        <w:noBreakHyphen/>
      </w:r>
      <w:r w:rsidR="00CA4209">
        <w:rPr>
          <w:rFonts w:eastAsia="SimSun"/>
          <w:szCs w:val="24"/>
          <w:lang w:eastAsia="ja-JP"/>
        </w:rPr>
        <w:t>T </w:t>
      </w:r>
      <w:r w:rsidRPr="00CA61A6">
        <w:rPr>
          <w:rFonts w:eastAsia="SimSun"/>
          <w:szCs w:val="24"/>
          <w:lang w:eastAsia="ja-JP"/>
        </w:rPr>
        <w:t xml:space="preserve">E.157, </w:t>
      </w:r>
      <w:r w:rsidR="00957DC1">
        <w:rPr>
          <w:rFonts w:eastAsia="SimSun"/>
          <w:szCs w:val="24"/>
          <w:lang w:eastAsia="ja-JP"/>
        </w:rPr>
        <w:t>"</w:t>
      </w:r>
      <w:r w:rsidRPr="00CA61A6">
        <w:rPr>
          <w:rFonts w:eastAsia="SimSun"/>
          <w:szCs w:val="24"/>
          <w:lang w:eastAsia="ja-JP"/>
        </w:rPr>
        <w:t>Comunicación internacional del número de la parte llamante</w:t>
      </w:r>
      <w:r w:rsidR="00957DC1">
        <w:rPr>
          <w:rFonts w:eastAsia="SimSun"/>
          <w:szCs w:val="24"/>
          <w:lang w:eastAsia="ja-JP"/>
        </w:rPr>
        <w:t>"</w:t>
      </w:r>
      <w:r w:rsidRPr="00CA61A6">
        <w:rPr>
          <w:rFonts w:eastAsia="SimSun"/>
          <w:szCs w:val="24"/>
          <w:lang w:eastAsia="ja-JP"/>
        </w:rPr>
        <w:t>, procedentes de Egipto (</w:t>
      </w:r>
      <w:hyperlink r:id="rId139" w:history="1">
        <w:r w:rsidRPr="007C4BE9">
          <w:rPr>
            <w:rStyle w:val="Hyperlink"/>
            <w:rFonts w:eastAsia="SimSun"/>
          </w:rPr>
          <w:t>C130</w:t>
        </w:r>
      </w:hyperlink>
      <w:r w:rsidRPr="007C4BE9">
        <w:rPr>
          <w:rFonts w:eastAsia="SimSun"/>
        </w:rPr>
        <w:t xml:space="preserve"> y </w:t>
      </w:r>
      <w:hyperlink r:id="rId140" w:history="1">
        <w:r w:rsidRPr="007C4BE9">
          <w:rPr>
            <w:rStyle w:val="Hyperlink"/>
            <w:rFonts w:eastAsia="SimSun"/>
          </w:rPr>
          <w:t>C129</w:t>
        </w:r>
      </w:hyperlink>
      <w:r w:rsidRPr="007C4BE9">
        <w:rPr>
          <w:rFonts w:eastAsia="SimSun"/>
        </w:rPr>
        <w:t>), Italia</w:t>
      </w:r>
      <w:r w:rsidR="000F3950" w:rsidRPr="007C4BE9">
        <w:rPr>
          <w:rFonts w:eastAsia="SimSun"/>
        </w:rPr>
        <w:t xml:space="preserve"> </w:t>
      </w:r>
      <w:r w:rsidRPr="007C4BE9">
        <w:rPr>
          <w:rFonts w:eastAsia="SimSun"/>
        </w:rPr>
        <w:t>(</w:t>
      </w:r>
      <w:hyperlink r:id="rId141" w:history="1">
        <w:r w:rsidRPr="000C63ED">
          <w:rPr>
            <w:rStyle w:val="Hyperlink"/>
            <w:rFonts w:eastAsia="SimSun"/>
          </w:rPr>
          <w:t>C103</w:t>
        </w:r>
      </w:hyperlink>
      <w:r w:rsidRPr="007C4BE9">
        <w:rPr>
          <w:rFonts w:eastAsia="SimSun"/>
        </w:rPr>
        <w:t>) y Reino Unido (</w:t>
      </w:r>
      <w:hyperlink r:id="rId142" w:history="1">
        <w:r w:rsidRPr="00870B29">
          <w:rPr>
            <w:rStyle w:val="Hyperlink"/>
            <w:rFonts w:eastAsia="SimSun"/>
          </w:rPr>
          <w:t>C126</w:t>
        </w:r>
      </w:hyperlink>
      <w:r w:rsidRPr="007C4BE9">
        <w:rPr>
          <w:rFonts w:eastAsia="SimSun"/>
        </w:rPr>
        <w:t>). Se acordó</w:t>
      </w:r>
      <w:r w:rsidRPr="00CA61A6">
        <w:rPr>
          <w:rFonts w:eastAsia="SimSun"/>
          <w:szCs w:val="24"/>
          <w:lang w:eastAsia="ja-JP"/>
        </w:rPr>
        <w:t xml:space="preserve"> que las futuras contribuciones se basarán en el texto revisado recogido en el Documento</w:t>
      </w:r>
      <w:r w:rsidR="00885EBF">
        <w:rPr>
          <w:rFonts w:eastAsia="SimSun"/>
          <w:szCs w:val="24"/>
          <w:lang w:eastAsia="ja-JP"/>
        </w:rPr>
        <w:t xml:space="preserve"> </w:t>
      </w:r>
      <w:hyperlink r:id="rId143" w:history="1">
        <w:r w:rsidR="003D224D">
          <w:rPr>
            <w:rStyle w:val="Hyperlink"/>
            <w:rFonts w:eastAsia="SimSun"/>
            <w:szCs w:val="24"/>
            <w:lang w:eastAsia="ja-JP"/>
          </w:rPr>
          <w:t>TD </w:t>
        </w:r>
        <w:r w:rsidR="00885EBF" w:rsidRPr="00DF4605">
          <w:rPr>
            <w:rStyle w:val="Hyperlink"/>
            <w:rFonts w:eastAsia="SimSun"/>
            <w:szCs w:val="24"/>
            <w:lang w:eastAsia="ja-JP"/>
          </w:rPr>
          <w:t>797 (GEN/2)</w:t>
        </w:r>
      </w:hyperlink>
      <w:r w:rsidRPr="00CA61A6">
        <w:rPr>
          <w:rFonts w:eastAsia="SimSun"/>
          <w:szCs w:val="24"/>
          <w:lang w:eastAsia="ja-JP"/>
        </w:rPr>
        <w:t>.</w:t>
      </w:r>
    </w:p>
    <w:p w:rsidR="00450BDD" w:rsidRPr="00CA61A6" w:rsidRDefault="00356B84" w:rsidP="0098624B">
      <w:pPr>
        <w:pStyle w:val="Headingb"/>
        <w:keepLines/>
      </w:pPr>
      <w:bookmarkStart w:id="613" w:name="Item65_03"/>
      <w:r w:rsidRPr="00CA61A6">
        <w:t xml:space="preserve">Acción </w:t>
      </w:r>
      <w:r w:rsidR="00450BDD" w:rsidRPr="00CA61A6">
        <w:t>65-03: TSB</w:t>
      </w:r>
    </w:p>
    <w:bookmarkEnd w:id="613"/>
    <w:p w:rsidR="00450BDD" w:rsidRPr="00CA61A6" w:rsidRDefault="00450BDD" w:rsidP="00FC659E">
      <w:pPr>
        <w:rPr>
          <w:rFonts w:eastAsia="SimSun"/>
          <w:lang w:eastAsia="ja-JP"/>
        </w:rPr>
      </w:pPr>
      <w:r w:rsidRPr="00CA61A6">
        <w:rPr>
          <w:rFonts w:eastAsia="SimSun"/>
          <w:lang w:eastAsia="ja-JP"/>
        </w:rPr>
        <w:t>Este Informe.</w:t>
      </w:r>
    </w:p>
    <w:p w:rsidR="00AC309B" w:rsidRPr="00CA61A6" w:rsidRDefault="00110CAD" w:rsidP="00AC309B">
      <w:hyperlink w:anchor="Top" w:history="1">
        <w:r w:rsidR="00AC309B" w:rsidRPr="00CA61A6">
          <w:rPr>
            <w:rStyle w:val="Hyperlink"/>
          </w:rPr>
          <w:t>» Arriba</w:t>
        </w:r>
      </w:hyperlink>
    </w:p>
    <w:p w:rsidR="00450BDD" w:rsidRPr="00CA61A6" w:rsidRDefault="00831A55" w:rsidP="002129AB">
      <w:pPr>
        <w:pStyle w:val="Heading1"/>
      </w:pPr>
      <w:bookmarkStart w:id="614" w:name="_34_Resolución_66"/>
      <w:bookmarkStart w:id="615" w:name="_Toc463335785"/>
      <w:bookmarkEnd w:id="614"/>
      <w:r w:rsidRPr="00CA61A6">
        <w:t>34</w:t>
      </w:r>
      <w:r w:rsidRPr="00CA61A6">
        <w:tab/>
      </w:r>
      <w:r w:rsidR="002129AB" w:rsidRPr="00CA61A6">
        <w:t xml:space="preserve">Resolución </w:t>
      </w:r>
      <w:r w:rsidR="00450BDD" w:rsidRPr="00CA61A6">
        <w:t>66</w:t>
      </w:r>
      <w:r w:rsidR="002129AB" w:rsidRPr="00CA61A6">
        <w:t xml:space="preserve"> – </w:t>
      </w:r>
      <w:r w:rsidR="00450BDD" w:rsidRPr="00CA61A6">
        <w:t>Observatorio tecnológico en la Oficina de Normalización de las Telecomunicaciones</w:t>
      </w:r>
      <w:bookmarkEnd w:id="615"/>
    </w:p>
    <w:p w:rsidR="00B017DA" w:rsidRPr="00CA61A6" w:rsidRDefault="00B017DA" w:rsidP="00B017DA">
      <w:pPr>
        <w:pStyle w:val="Headingb"/>
        <w:keepLines/>
      </w:pPr>
      <w:r w:rsidRPr="00CA61A6">
        <w:t>Resolución 66</w:t>
      </w:r>
    </w:p>
    <w:p w:rsidR="00450BDD" w:rsidRPr="00CA61A6" w:rsidRDefault="00450BDD" w:rsidP="007B3478">
      <w:pPr>
        <w:pStyle w:val="Call"/>
        <w:spacing w:before="120"/>
      </w:pPr>
      <w:r w:rsidRPr="00CA61A6">
        <w:t>resuelve encargar al Director de la Oficina de Normalización de las Telecomunicaciones</w:t>
      </w:r>
    </w:p>
    <w:p w:rsidR="00450BDD" w:rsidRPr="00CA61A6" w:rsidRDefault="00450BDD" w:rsidP="007B3478">
      <w:r w:rsidRPr="00CA61A6">
        <w:t>1</w:t>
      </w:r>
      <w:r w:rsidRPr="00CA61A6">
        <w:tab/>
        <w:t>que el Observatorio tecnológico realice sus actividades en el seno de la Oficina de Normalización de las Telecomunicaciones y presente sus conclusiones con miras a contribuir a la elaboración de Recomendaciones UIT-T pertinentes;</w:t>
      </w:r>
    </w:p>
    <w:p w:rsidR="00450BDD" w:rsidRPr="00CA61A6" w:rsidRDefault="00450BDD" w:rsidP="007B3478">
      <w:r w:rsidRPr="00CA61A6">
        <w:t>2</w:t>
      </w:r>
      <w:r w:rsidRPr="00CA61A6">
        <w:tab/>
        <w:t>que continúe comunicando s</w:t>
      </w:r>
      <w:r w:rsidR="009D6932" w:rsidRPr="00CA61A6">
        <w:t xml:space="preserve">in dilación los resultados del </w:t>
      </w:r>
      <w:r w:rsidRPr="00CA61A6">
        <w:t>Observatorio tecnológico, junto con las conclusiones y análisis pertinentes, a las Comisiones de Estudio correspondientes y al Grupo Asesor de Normalización de las Telecomunicaciones (GANT) para que los examinen y adopten las medidas oportunas con arreglo a sus mandatos;</w:t>
      </w:r>
    </w:p>
    <w:p w:rsidR="00450BDD" w:rsidRPr="00CA61A6" w:rsidRDefault="00450BDD" w:rsidP="007B3478">
      <w:r w:rsidRPr="00CA61A6">
        <w:t>3</w:t>
      </w:r>
      <w:r w:rsidRPr="00CA61A6">
        <w:tab/>
        <w:t xml:space="preserve">que siga publicando breves resúmenes de </w:t>
      </w:r>
      <w:r w:rsidR="009D6932" w:rsidRPr="00CA61A6">
        <w:t xml:space="preserve">los principales resultados del </w:t>
      </w:r>
      <w:r w:rsidRPr="00CA61A6">
        <w:t>Observatorio tecnológico,</w:t>
      </w:r>
    </w:p>
    <w:p w:rsidR="00450BDD" w:rsidRPr="00CA61A6" w:rsidRDefault="00450BDD" w:rsidP="007B3478">
      <w:pPr>
        <w:pStyle w:val="Call"/>
        <w:keepNext w:val="0"/>
        <w:keepLines w:val="0"/>
      </w:pPr>
      <w:r w:rsidRPr="00CA61A6">
        <w:t>alienta a los Estados Miembros y a los Miembros de Sector</w:t>
      </w:r>
    </w:p>
    <w:p w:rsidR="00450BDD" w:rsidRPr="00CA61A6" w:rsidRDefault="00450BDD" w:rsidP="007B3478">
      <w:r w:rsidRPr="00CA61A6">
        <w:t>a contribuir activamente al Observatorio tecnológico a través de la presentación de propuestas y resúmenes de temas para futuras actividades y del examen y debate de las conclusiones de dicho Observatorio.</w:t>
      </w:r>
    </w:p>
    <w:p w:rsidR="001A7AA9" w:rsidRPr="00CA61A6" w:rsidRDefault="001A7AA9" w:rsidP="007B3478"/>
    <w:p w:rsidR="004D1BDF" w:rsidRPr="00CA61A6" w:rsidRDefault="004D1BDF" w:rsidP="007B3478"/>
    <w:tbl>
      <w:tblPr>
        <w:tblW w:w="9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5033"/>
        <w:gridCol w:w="1474"/>
        <w:gridCol w:w="1148"/>
        <w:gridCol w:w="1261"/>
      </w:tblGrid>
      <w:tr w:rsidR="00450BDD" w:rsidRPr="00CA61A6" w:rsidTr="00FA4DAF">
        <w:trPr>
          <w:cantSplit/>
          <w:tblHeader/>
          <w:jc w:val="center"/>
        </w:trPr>
        <w:tc>
          <w:tcPr>
            <w:tcW w:w="916" w:type="dxa"/>
            <w:tcBorders>
              <w:bottom w:val="double" w:sz="4" w:space="0" w:color="auto"/>
            </w:tcBorders>
            <w:shd w:val="clear" w:color="auto" w:fill="auto"/>
            <w:vAlign w:val="center"/>
          </w:tcPr>
          <w:p w:rsidR="00450BDD" w:rsidRPr="00CA61A6" w:rsidRDefault="00450BDD" w:rsidP="00773553">
            <w:pPr>
              <w:pStyle w:val="Tablehead"/>
            </w:pPr>
            <w:r w:rsidRPr="00CA61A6">
              <w:lastRenderedPageBreak/>
              <w:t>Número</w:t>
            </w:r>
          </w:p>
        </w:tc>
        <w:tc>
          <w:tcPr>
            <w:tcW w:w="5033" w:type="dxa"/>
            <w:tcBorders>
              <w:bottom w:val="double" w:sz="4" w:space="0" w:color="auto"/>
            </w:tcBorders>
            <w:shd w:val="clear" w:color="auto" w:fill="auto"/>
            <w:vAlign w:val="center"/>
            <w:hideMark/>
          </w:tcPr>
          <w:p w:rsidR="00450BDD" w:rsidRPr="00CA61A6" w:rsidRDefault="00450BDD" w:rsidP="00773553">
            <w:pPr>
              <w:pStyle w:val="Tablehead"/>
            </w:pPr>
            <w:r w:rsidRPr="00CA61A6">
              <w:t>Acción</w:t>
            </w:r>
          </w:p>
        </w:tc>
        <w:tc>
          <w:tcPr>
            <w:tcW w:w="1474" w:type="dxa"/>
            <w:tcBorders>
              <w:bottom w:val="double" w:sz="4" w:space="0" w:color="auto"/>
            </w:tcBorders>
            <w:shd w:val="clear" w:color="auto" w:fill="auto"/>
            <w:vAlign w:val="center"/>
            <w:hideMark/>
          </w:tcPr>
          <w:p w:rsidR="00450BDD" w:rsidRPr="00CA61A6" w:rsidRDefault="00450BDD" w:rsidP="00773553">
            <w:pPr>
              <w:pStyle w:val="Tablehead"/>
            </w:pPr>
            <w:r w:rsidRPr="00CA61A6">
              <w:t>Fecha objetivo</w:t>
            </w:r>
          </w:p>
        </w:tc>
        <w:tc>
          <w:tcPr>
            <w:tcW w:w="1148" w:type="dxa"/>
            <w:tcBorders>
              <w:bottom w:val="double" w:sz="4" w:space="0" w:color="auto"/>
            </w:tcBorders>
            <w:shd w:val="clear" w:color="auto" w:fill="auto"/>
          </w:tcPr>
          <w:p w:rsidR="00450BDD" w:rsidRPr="00CA61A6" w:rsidRDefault="00450BDD" w:rsidP="00773553">
            <w:pPr>
              <w:pStyle w:val="Tablehead"/>
            </w:pPr>
            <w:r w:rsidRPr="00CA61A6">
              <w:t>Objetivos periódicos cumplidos</w:t>
            </w:r>
          </w:p>
        </w:tc>
        <w:tc>
          <w:tcPr>
            <w:tcW w:w="1261" w:type="dxa"/>
            <w:tcBorders>
              <w:bottom w:val="double" w:sz="4" w:space="0" w:color="auto"/>
            </w:tcBorders>
            <w:shd w:val="clear" w:color="auto" w:fill="auto"/>
            <w:vAlign w:val="center"/>
          </w:tcPr>
          <w:p w:rsidR="00450BDD" w:rsidRPr="00CA61A6" w:rsidRDefault="00450BDD" w:rsidP="00773553">
            <w:pPr>
              <w:pStyle w:val="Tablehead"/>
            </w:pPr>
            <w:r w:rsidRPr="00CA61A6">
              <w:t>Completada</w:t>
            </w:r>
          </w:p>
        </w:tc>
      </w:tr>
      <w:tr w:rsidR="00450BDD" w:rsidRPr="00CA61A6" w:rsidTr="00FA4DAF">
        <w:trPr>
          <w:cantSplit/>
          <w:jc w:val="center"/>
        </w:trPr>
        <w:tc>
          <w:tcPr>
            <w:tcW w:w="916" w:type="dxa"/>
            <w:tcBorders>
              <w:top w:val="double" w:sz="4" w:space="0" w:color="auto"/>
            </w:tcBorders>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66_01" w:history="1">
              <w:r w:rsidR="00450BDD" w:rsidRPr="00CA61A6">
                <w:rPr>
                  <w:color w:val="0000FF"/>
                  <w:sz w:val="20"/>
                  <w:u w:val="single"/>
                </w:rPr>
                <w:t>66-01</w:t>
              </w:r>
            </w:hyperlink>
          </w:p>
        </w:tc>
        <w:tc>
          <w:tcPr>
            <w:tcW w:w="5033" w:type="dxa"/>
            <w:tcBorders>
              <w:top w:val="double" w:sz="4" w:space="0" w:color="auto"/>
            </w:tcBorders>
            <w:shd w:val="clear" w:color="auto" w:fill="auto"/>
            <w:hideMark/>
          </w:tcPr>
          <w:p w:rsidR="00450BDD" w:rsidRPr="00CA61A6" w:rsidRDefault="00343F12" w:rsidP="00343F12">
            <w:pPr>
              <w:pStyle w:val="Tabletext"/>
            </w:pPr>
            <w:r>
              <w:t>E</w:t>
            </w:r>
            <w:r w:rsidR="00450BDD" w:rsidRPr="00CA61A6">
              <w:t>l Director</w:t>
            </w:r>
            <w:r>
              <w:t xml:space="preserve"> se encargará de</w:t>
            </w:r>
            <w:r w:rsidR="00450BDD" w:rsidRPr="00CA61A6">
              <w:t xml:space="preserve"> que el Observatorio Tecnológico siga realizando sus funciones en la TSB</w:t>
            </w:r>
          </w:p>
        </w:tc>
        <w:tc>
          <w:tcPr>
            <w:tcW w:w="1474" w:type="dxa"/>
            <w:tcBorders>
              <w:top w:val="double" w:sz="4" w:space="0" w:color="auto"/>
            </w:tcBorders>
            <w:shd w:val="clear" w:color="auto" w:fill="auto"/>
            <w:vAlign w:val="center"/>
          </w:tcPr>
          <w:p w:rsidR="00450BDD" w:rsidRPr="00CA61A6" w:rsidRDefault="00450BDD" w:rsidP="0010204E">
            <w:pPr>
              <w:pStyle w:val="Tabletext"/>
              <w:jc w:val="center"/>
            </w:pPr>
            <w:r w:rsidRPr="00CA61A6">
              <w:t>En curso</w:t>
            </w:r>
          </w:p>
        </w:tc>
        <w:tc>
          <w:tcPr>
            <w:tcW w:w="1148" w:type="dxa"/>
            <w:tcBorders>
              <w:top w:val="double" w:sz="4" w:space="0" w:color="auto"/>
            </w:tcBorders>
            <w:shd w:val="clear" w:color="auto" w:fill="auto"/>
            <w:vAlign w:val="center"/>
          </w:tcPr>
          <w:p w:rsidR="00450BDD" w:rsidRPr="00CA61A6" w:rsidRDefault="0010204E" w:rsidP="0010204E">
            <w:pPr>
              <w:pStyle w:val="Tabletext"/>
              <w:jc w:val="center"/>
            </w:pPr>
            <w:r w:rsidRPr="00CA61A6">
              <w:sym w:font="Wingdings" w:char="F0FC"/>
            </w:r>
          </w:p>
        </w:tc>
        <w:tc>
          <w:tcPr>
            <w:tcW w:w="1261" w:type="dxa"/>
            <w:tcBorders>
              <w:top w:val="double" w:sz="4" w:space="0" w:color="auto"/>
            </w:tcBorders>
            <w:shd w:val="clear" w:color="auto" w:fill="auto"/>
            <w:vAlign w:val="center"/>
          </w:tcPr>
          <w:p w:rsidR="00450BDD" w:rsidRPr="00CA61A6" w:rsidRDefault="00450BD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p>
        </w:tc>
      </w:tr>
      <w:tr w:rsidR="00450BDD" w:rsidRPr="00CA61A6" w:rsidTr="00FA4DAF">
        <w:trPr>
          <w:cantSplit/>
          <w:jc w:val="center"/>
        </w:trPr>
        <w:tc>
          <w:tcPr>
            <w:tcW w:w="916" w:type="dxa"/>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66_02" w:history="1">
              <w:r w:rsidR="00450BDD" w:rsidRPr="00CA61A6">
                <w:rPr>
                  <w:color w:val="0000FF"/>
                  <w:sz w:val="20"/>
                  <w:u w:val="single"/>
                </w:rPr>
                <w:t>66-02</w:t>
              </w:r>
            </w:hyperlink>
          </w:p>
        </w:tc>
        <w:tc>
          <w:tcPr>
            <w:tcW w:w="5033" w:type="dxa"/>
            <w:shd w:val="clear" w:color="auto" w:fill="auto"/>
            <w:hideMark/>
          </w:tcPr>
          <w:p w:rsidR="00450BDD" w:rsidRPr="00CA61A6" w:rsidRDefault="00343F12" w:rsidP="00343F12">
            <w:pPr>
              <w:pStyle w:val="Tabletext"/>
            </w:pPr>
            <w:r>
              <w:t>L</w:t>
            </w:r>
            <w:r w:rsidR="00450BDD" w:rsidRPr="00CA61A6">
              <w:t>a TSB</w:t>
            </w:r>
            <w:r>
              <w:t xml:space="preserve"> comunicará</w:t>
            </w:r>
            <w:r w:rsidR="00450BDD" w:rsidRPr="00CA61A6">
              <w:t xml:space="preserve"> los resultados del Observatorio Tecnológico a las CE y el GANT para que los consideren y tomen las medidas oportunas</w:t>
            </w:r>
          </w:p>
        </w:tc>
        <w:tc>
          <w:tcPr>
            <w:tcW w:w="1474" w:type="dxa"/>
            <w:shd w:val="clear" w:color="auto" w:fill="auto"/>
            <w:vAlign w:val="center"/>
            <w:hideMark/>
          </w:tcPr>
          <w:p w:rsidR="00450BDD" w:rsidRPr="00CA61A6" w:rsidRDefault="00450BDD" w:rsidP="0010204E">
            <w:pPr>
              <w:pStyle w:val="Tabletext"/>
              <w:jc w:val="center"/>
            </w:pPr>
            <w:r w:rsidRPr="00CA61A6">
              <w:t>En curso</w:t>
            </w:r>
          </w:p>
        </w:tc>
        <w:tc>
          <w:tcPr>
            <w:tcW w:w="1148" w:type="dxa"/>
            <w:shd w:val="clear" w:color="auto" w:fill="auto"/>
            <w:vAlign w:val="center"/>
          </w:tcPr>
          <w:p w:rsidR="00450BDD" w:rsidRPr="00CA61A6" w:rsidRDefault="0010204E" w:rsidP="0010204E">
            <w:pPr>
              <w:pStyle w:val="Tabletext"/>
              <w:jc w:val="center"/>
            </w:pPr>
            <w:r w:rsidRPr="00CA61A6">
              <w:sym w:font="Wingdings" w:char="F0FC"/>
            </w:r>
          </w:p>
        </w:tc>
        <w:tc>
          <w:tcPr>
            <w:tcW w:w="1261" w:type="dxa"/>
            <w:shd w:val="clear" w:color="auto" w:fill="auto"/>
            <w:vAlign w:val="center"/>
          </w:tcPr>
          <w:p w:rsidR="00450BDD" w:rsidRPr="00CA61A6" w:rsidRDefault="00450BD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p>
        </w:tc>
      </w:tr>
    </w:tbl>
    <w:p w:rsidR="00450BDD" w:rsidRPr="00CA61A6" w:rsidRDefault="006A56F4" w:rsidP="006A56F4">
      <w:pPr>
        <w:pStyle w:val="Headingb"/>
        <w:keepLines/>
      </w:pPr>
      <w:bookmarkStart w:id="616" w:name="Item66_01"/>
      <w:bookmarkEnd w:id="616"/>
      <w:r w:rsidRPr="00CA61A6">
        <w:t>Accio</w:t>
      </w:r>
      <w:r w:rsidR="0056121D" w:rsidRPr="00CA61A6">
        <w:t>n</w:t>
      </w:r>
      <w:r w:rsidRPr="00CA61A6">
        <w:t>es</w:t>
      </w:r>
      <w:r w:rsidR="0056121D" w:rsidRPr="00CA61A6">
        <w:t xml:space="preserve"> </w:t>
      </w:r>
      <w:r w:rsidR="00450BDD" w:rsidRPr="00CA61A6">
        <w:t xml:space="preserve">66-01 y </w:t>
      </w:r>
      <w:bookmarkStart w:id="617" w:name="Item66_02"/>
      <w:bookmarkEnd w:id="617"/>
      <w:r w:rsidR="00450BDD" w:rsidRPr="00CA61A6">
        <w:t>66-02: TSB</w:t>
      </w:r>
    </w:p>
    <w:p w:rsidR="00450BDD" w:rsidRPr="00CA61A6" w:rsidRDefault="00450BDD" w:rsidP="007B3478">
      <w:pPr>
        <w:rPr>
          <w:rFonts w:eastAsia="SimSun"/>
          <w:szCs w:val="24"/>
          <w:lang w:eastAsia="ja-JP"/>
        </w:rPr>
      </w:pPr>
      <w:r w:rsidRPr="00CA61A6">
        <w:rPr>
          <w:rFonts w:eastAsia="SimSun"/>
          <w:b/>
          <w:bCs/>
          <w:i/>
          <w:iCs/>
        </w:rPr>
        <w:t>Mobile money</w:t>
      </w:r>
      <w:r w:rsidRPr="00CA61A6">
        <w:rPr>
          <w:rFonts w:eastAsia="SimSun"/>
        </w:rPr>
        <w:t xml:space="preserve"> (mayo de 2013</w:t>
      </w:r>
      <w:r w:rsidRPr="00CA61A6">
        <w:rPr>
          <w:rFonts w:eastAsia="SimSun"/>
          <w:szCs w:val="24"/>
          <w:lang w:eastAsia="ja-JP"/>
        </w:rPr>
        <w:t xml:space="preserve">, </w:t>
      </w:r>
      <w:hyperlink r:id="rId144" w:history="1">
        <w:r w:rsidRPr="00CA61A6">
          <w:rPr>
            <w:rFonts w:eastAsia="SimSun"/>
            <w:color w:val="0000FF"/>
            <w:szCs w:val="24"/>
            <w:u w:val="single"/>
            <w:lang w:eastAsia="ja-JP"/>
          </w:rPr>
          <w:t>http://www.itu.int/en/ITU-T/techwatch/Pages/mobile-money-standards.aspx</w:t>
        </w:r>
      </w:hyperlink>
      <w:r w:rsidRPr="00CA61A6">
        <w:rPr>
          <w:rFonts w:eastAsia="SimSun"/>
          <w:szCs w:val="24"/>
          <w:lang w:eastAsia="ja-JP"/>
        </w:rPr>
        <w:t>):</w:t>
      </w:r>
    </w:p>
    <w:p w:rsidR="00450BDD" w:rsidRPr="00CA61A6" w:rsidRDefault="002B224C" w:rsidP="002B224C">
      <w:pPr>
        <w:rPr>
          <w:rFonts w:eastAsia="SimSun"/>
          <w:lang w:eastAsia="ja-JP"/>
        </w:rPr>
      </w:pPr>
      <w:r>
        <w:rPr>
          <w:rFonts w:eastAsia="SimSun"/>
          <w:lang w:eastAsia="ja-JP"/>
        </w:rPr>
        <w:t>Por "</w:t>
      </w:r>
      <w:r w:rsidR="00450BDD" w:rsidRPr="00CA61A6">
        <w:rPr>
          <w:rFonts w:eastAsia="SimSun"/>
          <w:lang w:eastAsia="ja-JP"/>
        </w:rPr>
        <w:t>dinero móvil</w:t>
      </w:r>
      <w:r>
        <w:rPr>
          <w:rFonts w:eastAsia="SimSun"/>
          <w:lang w:eastAsia="ja-JP"/>
        </w:rPr>
        <w:t>"</w:t>
      </w:r>
      <w:r w:rsidR="00450BDD" w:rsidRPr="00CA61A6">
        <w:rPr>
          <w:rFonts w:eastAsia="SimSun"/>
          <w:lang w:eastAsia="ja-JP"/>
        </w:rPr>
        <w:t xml:space="preserve"> entendemos las transacciones y los servicios financieros que se pueden llevar a cabo utilizando un dispositivo móvil, como un teléfono móvil o una tableta. Estos servicios no necesariamente tienen una cuenta bancaria asociada, aunque puede darse el caso. Antes</w:t>
      </w:r>
      <w:r>
        <w:rPr>
          <w:rFonts w:eastAsia="SimSun"/>
          <w:lang w:eastAsia="ja-JP"/>
        </w:rPr>
        <w:t>,</w:t>
      </w:r>
      <w:r w:rsidR="00450BDD" w:rsidRPr="00CA61A6">
        <w:rPr>
          <w:rFonts w:eastAsia="SimSun"/>
          <w:lang w:eastAsia="ja-JP"/>
        </w:rPr>
        <w:t xml:space="preserve"> recargar un móvil equivalía a añadir tiempo de comunicación, pero ahora podrá recargar el saldo de su móvil, guardar en él todas sus tarjetas de crédito y de fidelidad, acceder a su cuenta bancaria y utilizarlo para pagar como si se tratase de una cartera común y corriente. Las innovaciones en el ámbito del dinero móvil podrían revolucionar cómo pagamos los bienes y servicios.</w:t>
      </w:r>
    </w:p>
    <w:p w:rsidR="00450BDD" w:rsidRPr="00CA61A6" w:rsidRDefault="00450BDD" w:rsidP="007B3478">
      <w:pPr>
        <w:rPr>
          <w:rFonts w:eastAsia="SimSun"/>
          <w:szCs w:val="24"/>
          <w:lang w:eastAsia="ja-JP"/>
        </w:rPr>
      </w:pPr>
      <w:r w:rsidRPr="00CA61A6">
        <w:t xml:space="preserve">La </w:t>
      </w:r>
      <w:hyperlink r:id="rId145" w:history="1">
        <w:r w:rsidRPr="00CA61A6">
          <w:rPr>
            <w:rFonts w:eastAsia="SimSun"/>
            <w:color w:val="0000FF"/>
            <w:szCs w:val="24"/>
            <w:u w:val="single"/>
            <w:lang w:eastAsia="ja-JP"/>
          </w:rPr>
          <w:t>Parte 1</w:t>
        </w:r>
      </w:hyperlink>
      <w:r w:rsidRPr="00CA61A6">
        <w:rPr>
          <w:rFonts w:eastAsia="SimSun"/>
          <w:szCs w:val="24"/>
          <w:lang w:eastAsia="ja-JP"/>
        </w:rPr>
        <w:t xml:space="preserve"> del Informe estudia las innovaciones en los sistemas de pago móvil, en particular en los pagos móviles sin contacto NFC, y su posible incidencia en las actividades futuras de normalización. La </w:t>
      </w:r>
      <w:hyperlink r:id="rId146" w:history="1">
        <w:r w:rsidRPr="00CA61A6">
          <w:rPr>
            <w:rFonts w:eastAsia="SimSun"/>
            <w:color w:val="0000FF"/>
            <w:szCs w:val="24"/>
            <w:u w:val="single"/>
            <w:lang w:eastAsia="ja-JP"/>
          </w:rPr>
          <w:t>segunda part</w:t>
        </w:r>
      </w:hyperlink>
      <w:r w:rsidRPr="00CA61A6">
        <w:rPr>
          <w:rFonts w:eastAsia="SimSun"/>
          <w:color w:val="0000FF"/>
          <w:szCs w:val="24"/>
          <w:u w:val="single"/>
          <w:lang w:eastAsia="ja-JP"/>
        </w:rPr>
        <w:t>e</w:t>
      </w:r>
      <w:r w:rsidRPr="00CA61A6">
        <w:rPr>
          <w:rFonts w:eastAsia="SimSun"/>
          <w:szCs w:val="24"/>
          <w:lang w:eastAsia="ja-JP"/>
        </w:rPr>
        <w:t xml:space="preserve"> se dedica a la transferencia de dinero móvil y a los servicios de banca móvil y su influencia en la integración financiera. Los pagos móviles se han convertido en un medio alternativo de canalización de las actividades económicas, sobre todo en las zonas con una infraestructura bancaria deficiente o inexistente. Algunos de los problemas indicados en el Informe están por resolver, incluida la interoperatividad. </w:t>
      </w:r>
    </w:p>
    <w:p w:rsidR="00450BDD" w:rsidRPr="00CA61A6" w:rsidRDefault="00450BDD" w:rsidP="007B3478">
      <w:pPr>
        <w:rPr>
          <w:rFonts w:eastAsia="SimSun"/>
          <w:szCs w:val="24"/>
          <w:lang w:eastAsia="ja-JP"/>
        </w:rPr>
      </w:pPr>
      <w:r w:rsidRPr="00CA61A6">
        <w:rPr>
          <w:rFonts w:eastAsia="SimSun"/>
          <w:szCs w:val="24"/>
          <w:lang w:eastAsia="ja-JP"/>
        </w:rPr>
        <w:t>El dinero móvil y los pagos móviles son temas interrelacionados que atañen a los trabajos de diversas Comisiones de Estudio, incluidas las CE</w:t>
      </w:r>
      <w:r w:rsidR="008B5B32" w:rsidRPr="00CA61A6">
        <w:rPr>
          <w:rFonts w:eastAsia="SimSun"/>
          <w:szCs w:val="24"/>
          <w:lang w:eastAsia="ja-JP"/>
        </w:rPr>
        <w:t> </w:t>
      </w:r>
      <w:r w:rsidRPr="00CA61A6">
        <w:rPr>
          <w:rFonts w:eastAsia="SimSun"/>
          <w:szCs w:val="24"/>
          <w:lang w:eastAsia="ja-JP"/>
        </w:rPr>
        <w:t>2, CE</w:t>
      </w:r>
      <w:r w:rsidR="008B5B32" w:rsidRPr="00CA61A6">
        <w:rPr>
          <w:rFonts w:eastAsia="SimSun"/>
          <w:szCs w:val="24"/>
          <w:lang w:eastAsia="ja-JP"/>
        </w:rPr>
        <w:t> </w:t>
      </w:r>
      <w:r w:rsidRPr="00CA61A6">
        <w:rPr>
          <w:rFonts w:eastAsia="SimSun"/>
          <w:szCs w:val="24"/>
          <w:lang w:eastAsia="ja-JP"/>
        </w:rPr>
        <w:t>13, CE</w:t>
      </w:r>
      <w:r w:rsidR="008B5B32" w:rsidRPr="00CA61A6">
        <w:rPr>
          <w:rFonts w:eastAsia="SimSun"/>
          <w:szCs w:val="24"/>
          <w:lang w:eastAsia="ja-JP"/>
        </w:rPr>
        <w:t> </w:t>
      </w:r>
      <w:r w:rsidRPr="00CA61A6">
        <w:rPr>
          <w:rFonts w:eastAsia="SimSun"/>
          <w:szCs w:val="24"/>
          <w:lang w:eastAsia="ja-JP"/>
        </w:rPr>
        <w:t>16 y CE</w:t>
      </w:r>
      <w:r w:rsidR="008B5B32" w:rsidRPr="00CA61A6">
        <w:rPr>
          <w:rFonts w:eastAsia="SimSun"/>
          <w:szCs w:val="24"/>
          <w:lang w:eastAsia="ja-JP"/>
        </w:rPr>
        <w:t> </w:t>
      </w:r>
      <w:r w:rsidRPr="00CA61A6">
        <w:rPr>
          <w:rFonts w:eastAsia="SimSun"/>
          <w:szCs w:val="24"/>
          <w:lang w:eastAsia="ja-JP"/>
        </w:rPr>
        <w:t>17. En junio de 2014 se creó un Grupo Temático sobre Servicios financieros digitales.</w:t>
      </w:r>
    </w:p>
    <w:p w:rsidR="00450BDD" w:rsidRPr="00343F12" w:rsidRDefault="00450BDD" w:rsidP="007B3478">
      <w:pPr>
        <w:rPr>
          <w:rFonts w:eastAsia="SimSun"/>
          <w:szCs w:val="24"/>
          <w:lang w:val="en-US" w:eastAsia="ja-JP"/>
        </w:rPr>
      </w:pPr>
      <w:r w:rsidRPr="00343F12">
        <w:rPr>
          <w:rFonts w:eastAsia="SimSun"/>
          <w:b/>
          <w:bCs/>
          <w:i/>
          <w:iCs/>
          <w:szCs w:val="24"/>
          <w:lang w:val="en-US" w:eastAsia="ja-JP"/>
        </w:rPr>
        <w:t xml:space="preserve">Location matters: Spatial standards for the Internet of Things </w:t>
      </w:r>
      <w:r w:rsidRPr="00343F12">
        <w:rPr>
          <w:rFonts w:eastAsia="SimSun"/>
          <w:szCs w:val="24"/>
          <w:lang w:val="en-US" w:eastAsia="ja-JP"/>
        </w:rPr>
        <w:t xml:space="preserve">(septiembre de 2013, </w:t>
      </w:r>
      <w:hyperlink r:id="rId147" w:history="1">
        <w:r w:rsidRPr="00343F12">
          <w:rPr>
            <w:rFonts w:eastAsia="SimSun"/>
            <w:color w:val="0000FF"/>
            <w:szCs w:val="24"/>
            <w:u w:val="single"/>
            <w:lang w:val="en-US" w:eastAsia="ja-JP"/>
          </w:rPr>
          <w:t>http://www.itu.int/en/ITU-T/techwatch/Pages/spatial-standards.aspx</w:t>
        </w:r>
      </w:hyperlink>
      <w:r w:rsidRPr="00343F12">
        <w:rPr>
          <w:rFonts w:eastAsia="SimSun"/>
          <w:szCs w:val="24"/>
          <w:lang w:val="en-US" w:eastAsia="ja-JP"/>
        </w:rPr>
        <w:t>):</w:t>
      </w:r>
    </w:p>
    <w:p w:rsidR="00450BDD" w:rsidRPr="00CA61A6" w:rsidRDefault="00450BDD" w:rsidP="007B3478">
      <w:pPr>
        <w:rPr>
          <w:rFonts w:eastAsia="SimSun"/>
          <w:szCs w:val="24"/>
          <w:lang w:eastAsia="ja-JP"/>
        </w:rPr>
      </w:pPr>
      <w:r w:rsidRPr="00CA61A6">
        <w:rPr>
          <w:rFonts w:eastAsia="SimSun"/>
          <w:szCs w:val="24"/>
          <w:lang w:eastAsia="ja-JP"/>
        </w:rPr>
        <w:t xml:space="preserve">La información precisa y exacta sobre nuestra ubicación (espacial) aumenta nuestra asociación con el entorno natural y artificial. Preparado por las secretarías de Open Geospatial Consortium (OGC) y la TSB, este </w:t>
      </w:r>
      <w:r w:rsidR="002B224C" w:rsidRPr="00CA61A6">
        <w:rPr>
          <w:rFonts w:eastAsia="SimSun"/>
          <w:szCs w:val="24"/>
          <w:lang w:eastAsia="ja-JP"/>
        </w:rPr>
        <w:t xml:space="preserve">Informe </w:t>
      </w:r>
      <w:r w:rsidRPr="00CA61A6">
        <w:rPr>
          <w:rFonts w:eastAsia="SimSun"/>
          <w:szCs w:val="24"/>
          <w:lang w:eastAsia="ja-JP"/>
        </w:rPr>
        <w:t>contempla los trabajos que se están llevando a cabo en todo el mundo para imbricar las diversas fuentes y formatos de información espacial con el fin de que resulte útil para las personas allá donde estén y sea lo que sea que estén haciendo.</w:t>
      </w:r>
    </w:p>
    <w:p w:rsidR="00450BDD" w:rsidRPr="00CA61A6" w:rsidRDefault="00450BDD" w:rsidP="007B3478">
      <w:pPr>
        <w:rPr>
          <w:rFonts w:eastAsia="SimSun"/>
          <w:szCs w:val="24"/>
          <w:lang w:eastAsia="ja-JP"/>
        </w:rPr>
      </w:pPr>
      <w:r w:rsidRPr="00CA61A6">
        <w:rPr>
          <w:rFonts w:eastAsia="SimSun"/>
          <w:szCs w:val="24"/>
          <w:lang w:eastAsia="ja-JP"/>
        </w:rPr>
        <w:t>Muchos de los nuevos servicios y aplicaciones adquieren, almacenan, procesan, intercambian, extraen y transmiten la información de ubicación, lo que tiene una gran influencia en diversos ámbitos de estudio, incluida la seguridad y la privacidad.</w:t>
      </w:r>
    </w:p>
    <w:p w:rsidR="00450BDD" w:rsidRPr="00343F12" w:rsidRDefault="00450BDD" w:rsidP="00474649">
      <w:pPr>
        <w:rPr>
          <w:rFonts w:eastAsia="SimSun"/>
          <w:szCs w:val="24"/>
          <w:lang w:val="en-US" w:eastAsia="ja-JP"/>
        </w:rPr>
      </w:pPr>
      <w:r w:rsidRPr="00343F12">
        <w:rPr>
          <w:rFonts w:eastAsia="SimSun"/>
          <w:b/>
          <w:bCs/>
          <w:i/>
          <w:iCs/>
          <w:szCs w:val="24"/>
          <w:lang w:val="en-US" w:eastAsia="ja-JP"/>
        </w:rPr>
        <w:t xml:space="preserve">Big Data: </w:t>
      </w:r>
      <w:r w:rsidR="002A35C0" w:rsidRPr="00343F12">
        <w:rPr>
          <w:rFonts w:eastAsia="SimSun"/>
          <w:b/>
          <w:bCs/>
          <w:i/>
          <w:iCs/>
          <w:szCs w:val="24"/>
          <w:lang w:val="en-US" w:eastAsia="ja-JP"/>
        </w:rPr>
        <w:t xml:space="preserve">big </w:t>
      </w:r>
      <w:r w:rsidRPr="00343F12">
        <w:rPr>
          <w:rFonts w:eastAsia="SimSun"/>
          <w:b/>
          <w:bCs/>
          <w:i/>
          <w:iCs/>
          <w:szCs w:val="24"/>
          <w:lang w:val="en-US" w:eastAsia="ja-JP"/>
        </w:rPr>
        <w:t xml:space="preserve">today, normal tomorrow </w:t>
      </w:r>
      <w:r w:rsidRPr="00343F12">
        <w:rPr>
          <w:rFonts w:eastAsia="SimSun"/>
          <w:szCs w:val="24"/>
          <w:lang w:val="en-US" w:eastAsia="ja-JP"/>
        </w:rPr>
        <w:t>(</w:t>
      </w:r>
      <w:r w:rsidR="00474649" w:rsidRPr="00343F12">
        <w:rPr>
          <w:rFonts w:eastAsia="SimSun"/>
          <w:szCs w:val="24"/>
          <w:lang w:val="en-US" w:eastAsia="ja-JP"/>
        </w:rPr>
        <w:t>noviembre de</w:t>
      </w:r>
      <w:r w:rsidRPr="00343F12">
        <w:rPr>
          <w:rFonts w:eastAsia="SimSun"/>
          <w:szCs w:val="24"/>
          <w:lang w:val="en-US" w:eastAsia="ja-JP"/>
        </w:rPr>
        <w:t xml:space="preserve"> 2013, </w:t>
      </w:r>
      <w:hyperlink r:id="rId148" w:history="1">
        <w:r w:rsidRPr="00343F12">
          <w:rPr>
            <w:rFonts w:eastAsia="SimSun"/>
            <w:color w:val="0000FF"/>
            <w:szCs w:val="24"/>
            <w:u w:val="single"/>
            <w:lang w:val="en-US" w:eastAsia="ja-JP"/>
          </w:rPr>
          <w:t>http://itu.int/en/ITU-T/techwatch/Pages/big-data-standards.aspx</w:t>
        </w:r>
      </w:hyperlink>
      <w:r w:rsidRPr="00343F12">
        <w:rPr>
          <w:rFonts w:eastAsia="SimSun"/>
          <w:szCs w:val="24"/>
          <w:lang w:val="en-US" w:eastAsia="ja-JP"/>
        </w:rPr>
        <w:t>):</w:t>
      </w:r>
    </w:p>
    <w:p w:rsidR="00450BDD" w:rsidRPr="00CA61A6" w:rsidRDefault="00450BDD" w:rsidP="007B3478">
      <w:pPr>
        <w:rPr>
          <w:rFonts w:eastAsia="SimSun"/>
          <w:szCs w:val="24"/>
          <w:lang w:eastAsia="ja-JP"/>
        </w:rPr>
      </w:pPr>
      <w:r w:rsidRPr="00CA61A6">
        <w:rPr>
          <w:rFonts w:eastAsia="SimSun"/>
          <w:szCs w:val="24"/>
          <w:lang w:eastAsia="ja-JP"/>
        </w:rPr>
        <w:t>Los analistas industriales, los estrategas empresariales y los profesionales del comercio consideran unánimemente que los datos masivos (</w:t>
      </w:r>
      <w:r w:rsidRPr="00D12B71">
        <w:rPr>
          <w:rFonts w:eastAsia="SimSun"/>
          <w:i/>
          <w:iCs/>
          <w:szCs w:val="24"/>
          <w:lang w:eastAsia="ja-JP"/>
        </w:rPr>
        <w:t>big data</w:t>
      </w:r>
      <w:r w:rsidRPr="00CA61A6">
        <w:rPr>
          <w:rFonts w:eastAsia="SimSun"/>
          <w:szCs w:val="24"/>
          <w:lang w:eastAsia="ja-JP"/>
        </w:rPr>
        <w:t xml:space="preserve">, término mediante el que se designan las nuevas capacidades tecnológicas de solución de tareas complejas) son la nueva frontera para la innovación, la competencia y la productividad. En el </w:t>
      </w:r>
      <w:r w:rsidR="00D12B71" w:rsidRPr="00CA61A6">
        <w:rPr>
          <w:rFonts w:eastAsia="SimSun"/>
          <w:szCs w:val="24"/>
          <w:lang w:eastAsia="ja-JP"/>
        </w:rPr>
        <w:t xml:space="preserve">Informe </w:t>
      </w:r>
      <w:r w:rsidRPr="00CA61A6">
        <w:rPr>
          <w:rFonts w:eastAsia="SimSun"/>
          <w:szCs w:val="24"/>
          <w:lang w:eastAsia="ja-JP"/>
        </w:rPr>
        <w:t xml:space="preserve">se examinan diferentes ejemplos de </w:t>
      </w:r>
      <w:r w:rsidRPr="00D12B71">
        <w:rPr>
          <w:rFonts w:eastAsia="SimSun"/>
          <w:i/>
          <w:iCs/>
          <w:szCs w:val="24"/>
          <w:lang w:eastAsia="ja-JP"/>
        </w:rPr>
        <w:t>big data</w:t>
      </w:r>
      <w:r w:rsidRPr="00CA61A6">
        <w:rPr>
          <w:rFonts w:eastAsia="SimSun"/>
          <w:szCs w:val="24"/>
          <w:lang w:eastAsia="ja-JP"/>
        </w:rPr>
        <w:t xml:space="preserve">, y las aplicaciones asociadas con ese paradigma, se identifican sus puntos comunes y se ponen de manifiesto algunas de las tecnologías que han propiciado el éxito de los </w:t>
      </w:r>
      <w:r w:rsidRPr="00D12B71">
        <w:rPr>
          <w:rFonts w:eastAsia="SimSun"/>
          <w:i/>
          <w:iCs/>
          <w:szCs w:val="24"/>
          <w:lang w:eastAsia="ja-JP"/>
        </w:rPr>
        <w:t>big data</w:t>
      </w:r>
      <w:r w:rsidRPr="00CA61A6">
        <w:rPr>
          <w:rFonts w:eastAsia="SimSun"/>
          <w:szCs w:val="24"/>
          <w:lang w:eastAsia="ja-JP"/>
        </w:rPr>
        <w:t xml:space="preserve">. En el Informe se </w:t>
      </w:r>
      <w:r w:rsidRPr="00CA61A6">
        <w:rPr>
          <w:rFonts w:eastAsia="SimSun"/>
          <w:szCs w:val="24"/>
          <w:lang w:eastAsia="ja-JP"/>
        </w:rPr>
        <w:lastRenderedPageBreak/>
        <w:t xml:space="preserve">identifican los retos que habrá que superar para facilitar la adopción de los </w:t>
      </w:r>
      <w:r w:rsidRPr="00386009">
        <w:rPr>
          <w:rFonts w:eastAsia="SimSun"/>
          <w:i/>
          <w:iCs/>
          <w:szCs w:val="24"/>
          <w:lang w:eastAsia="ja-JP"/>
        </w:rPr>
        <w:t>big data</w:t>
      </w:r>
      <w:r w:rsidRPr="00CA61A6">
        <w:rPr>
          <w:rFonts w:eastAsia="SimSun"/>
          <w:szCs w:val="24"/>
          <w:lang w:eastAsia="ja-JP"/>
        </w:rPr>
        <w:t xml:space="preserve"> de manera generalizada. La normalización mundial puede ayudar a afrontarlos, facilitar la entrada de las empresas en nuevos mercados, reducir costes y aumentar la eficiencia. En la parte final del Informe se detallan las actividades de normalización de </w:t>
      </w:r>
      <w:r w:rsidRPr="00386009">
        <w:rPr>
          <w:rFonts w:eastAsia="SimSun"/>
          <w:i/>
          <w:iCs/>
          <w:szCs w:val="24"/>
          <w:lang w:eastAsia="ja-JP"/>
        </w:rPr>
        <w:t>big data</w:t>
      </w:r>
      <w:r w:rsidRPr="00CA61A6">
        <w:rPr>
          <w:rFonts w:eastAsia="SimSun"/>
          <w:szCs w:val="24"/>
          <w:lang w:eastAsia="ja-JP"/>
        </w:rPr>
        <w:t xml:space="preserve"> que figuran en el programa de trabajo del UIT-T, incluidos los trabajos de la C17/13.</w:t>
      </w:r>
    </w:p>
    <w:p w:rsidR="00450BDD" w:rsidRPr="00CA61A6" w:rsidRDefault="00450BDD" w:rsidP="007B3478">
      <w:pPr>
        <w:rPr>
          <w:rFonts w:eastAsia="SimSun"/>
          <w:szCs w:val="24"/>
          <w:lang w:eastAsia="ja-JP"/>
        </w:rPr>
      </w:pPr>
      <w:r w:rsidRPr="00CA61A6">
        <w:rPr>
          <w:rFonts w:eastAsia="SimSun"/>
          <w:szCs w:val="24"/>
          <w:lang w:eastAsia="ja-JP"/>
        </w:rPr>
        <w:t xml:space="preserve">En el Informe se identifican la protección de los datos, la privacidad y la ciberseguridad como los principales problemas asociados a los </w:t>
      </w:r>
      <w:r w:rsidRPr="00843C9A">
        <w:rPr>
          <w:rFonts w:eastAsia="SimSun"/>
          <w:i/>
          <w:iCs/>
          <w:szCs w:val="24"/>
          <w:lang w:eastAsia="ja-JP"/>
        </w:rPr>
        <w:t>big data</w:t>
      </w:r>
      <w:r w:rsidRPr="00CA61A6">
        <w:rPr>
          <w:rFonts w:eastAsia="SimSun"/>
          <w:szCs w:val="24"/>
          <w:lang w:eastAsia="ja-JP"/>
        </w:rPr>
        <w:t>, y se señalan los conjuntos de datos agregados y la anonimización como campos para la investigación y la normalización futuras.</w:t>
      </w:r>
    </w:p>
    <w:p w:rsidR="00450BDD" w:rsidRPr="00CA61A6" w:rsidRDefault="00450BDD" w:rsidP="007B3478">
      <w:pPr>
        <w:rPr>
          <w:rFonts w:eastAsia="SimSun"/>
          <w:szCs w:val="24"/>
          <w:lang w:eastAsia="ja-JP"/>
        </w:rPr>
      </w:pPr>
      <w:r w:rsidRPr="00CA61A6">
        <w:rPr>
          <w:rFonts w:eastAsia="SimSun"/>
          <w:szCs w:val="24"/>
          <w:lang w:eastAsia="ja-JP"/>
        </w:rPr>
        <w:t xml:space="preserve">En su reunión de 2013, el Grupo de Directores Tecnológicos </w:t>
      </w:r>
      <w:hyperlink r:id="rId149" w:history="1">
        <w:r w:rsidRPr="00CA61A6">
          <w:rPr>
            <w:rFonts w:eastAsia="SimSun"/>
            <w:color w:val="0000FF"/>
            <w:szCs w:val="24"/>
            <w:u w:val="single"/>
            <w:lang w:eastAsia="ja-JP"/>
          </w:rPr>
          <w:t>pidió a la UIT</w:t>
        </w:r>
      </w:hyperlink>
      <w:r w:rsidRPr="00CA61A6">
        <w:rPr>
          <w:rFonts w:eastAsia="SimSun"/>
          <w:szCs w:val="24"/>
          <w:lang w:eastAsia="ja-JP"/>
        </w:rPr>
        <w:t xml:space="preserve"> que </w:t>
      </w:r>
      <w:r w:rsidR="00C744E2">
        <w:rPr>
          <w:rFonts w:eastAsia="SimSun"/>
          <w:szCs w:val="24"/>
          <w:lang w:eastAsia="ja-JP"/>
        </w:rPr>
        <w:t>"</w:t>
      </w:r>
      <w:r w:rsidRPr="00C744E2">
        <w:rPr>
          <w:rFonts w:eastAsia="SimSun"/>
          <w:i/>
          <w:iCs/>
          <w:szCs w:val="24"/>
          <w:lang w:eastAsia="ja-JP"/>
        </w:rPr>
        <w:t>iniciase los estudios de los aspectos de los big data que necesitan una normalización acelerada</w:t>
      </w:r>
      <w:r w:rsidR="00C744E2">
        <w:rPr>
          <w:rFonts w:eastAsia="SimSun"/>
          <w:szCs w:val="24"/>
          <w:lang w:eastAsia="ja-JP"/>
        </w:rPr>
        <w:t>"</w:t>
      </w:r>
      <w:r w:rsidRPr="00CA61A6">
        <w:rPr>
          <w:rFonts w:eastAsia="SimSun"/>
          <w:szCs w:val="24"/>
          <w:lang w:eastAsia="ja-JP"/>
        </w:rPr>
        <w:t xml:space="preserve">. En esa misma reunión, el CTO propuso que </w:t>
      </w:r>
      <w:r w:rsidR="00A615F3">
        <w:rPr>
          <w:rFonts w:eastAsia="SimSun"/>
          <w:szCs w:val="24"/>
          <w:lang w:eastAsia="ja-JP"/>
        </w:rPr>
        <w:t>"</w:t>
      </w:r>
      <w:r w:rsidRPr="00A615F3">
        <w:rPr>
          <w:rFonts w:eastAsia="SimSun"/>
          <w:i/>
          <w:iCs/>
          <w:szCs w:val="24"/>
          <w:lang w:eastAsia="ja-JP"/>
        </w:rPr>
        <w:t>se iniciase un proyecto para alentar a las Comisiones de Estudio del UIT-T a estudiar las consecuencias y posibilidades de los big data en sus respectivos ámbitos de estudio, así como a establecer una coordinación con los organismos de normalización que se ocupan de los big data</w:t>
      </w:r>
      <w:r w:rsidR="00A615F3">
        <w:rPr>
          <w:rFonts w:eastAsia="SimSun"/>
          <w:szCs w:val="24"/>
          <w:lang w:eastAsia="ja-JP"/>
        </w:rPr>
        <w:t>"</w:t>
      </w:r>
      <w:r w:rsidRPr="00CA61A6">
        <w:rPr>
          <w:rFonts w:eastAsia="SimSun"/>
          <w:szCs w:val="24"/>
          <w:lang w:eastAsia="ja-JP"/>
        </w:rPr>
        <w:t>.</w:t>
      </w:r>
    </w:p>
    <w:p w:rsidR="00450BDD" w:rsidRPr="00CA61A6" w:rsidRDefault="00450BDD" w:rsidP="007B3478">
      <w:r w:rsidRPr="00CA61A6">
        <w:t xml:space="preserve">En respuesta a esa petición, en paralelo a la reunión del GANT de junio de 2014 se celebró un </w:t>
      </w:r>
      <w:r w:rsidR="00A518A6" w:rsidRPr="00CA61A6">
        <w:t xml:space="preserve">taller </w:t>
      </w:r>
      <w:r w:rsidRPr="00CA61A6">
        <w:t>para examinar las últimas evoluciones y considerar la mejor manera</w:t>
      </w:r>
      <w:r w:rsidR="002B1F7C">
        <w:t xml:space="preserve"> de que el UIT-T aborde los </w:t>
      </w:r>
      <w:r w:rsidR="002B1F7C" w:rsidRPr="002B1F7C">
        <w:rPr>
          <w:i/>
          <w:iCs/>
        </w:rPr>
        <w:t>big </w:t>
      </w:r>
      <w:r w:rsidRPr="002B1F7C">
        <w:rPr>
          <w:i/>
          <w:iCs/>
        </w:rPr>
        <w:t>data</w:t>
      </w:r>
      <w:r w:rsidRPr="00CA61A6">
        <w:t>. En noviembre de 2015 se aprobó la primera Recomendación UIT-T sobre este tema, la Recomendación UIT-T Y.3600, "Grandes volúmenes de datos – requisitos, y capacidades basados</w:t>
      </w:r>
      <w:r w:rsidR="0023288D" w:rsidRPr="00CA61A6">
        <w:t xml:space="preserve"> en la computación en la nube".</w:t>
      </w:r>
    </w:p>
    <w:p w:rsidR="00450BDD" w:rsidRPr="00CA61A6" w:rsidRDefault="00450BDD" w:rsidP="003F6CF0">
      <w:pPr>
        <w:rPr>
          <w:rFonts w:eastAsia="SimSun"/>
          <w:szCs w:val="24"/>
          <w:lang w:eastAsia="ja-JP"/>
        </w:rPr>
      </w:pPr>
      <w:r w:rsidRPr="00CA61A6">
        <w:rPr>
          <w:rFonts w:eastAsia="SimSun"/>
          <w:b/>
          <w:bCs/>
          <w:i/>
          <w:iCs/>
          <w:szCs w:val="24"/>
          <w:lang w:eastAsia="ja-JP"/>
        </w:rPr>
        <w:t>The Tactile Internet</w:t>
      </w:r>
      <w:r w:rsidRPr="00CA61A6">
        <w:rPr>
          <w:rFonts w:eastAsia="SimSun"/>
          <w:szCs w:val="24"/>
          <w:lang w:eastAsia="ja-JP"/>
        </w:rPr>
        <w:t xml:space="preserve"> (</w:t>
      </w:r>
      <w:r w:rsidR="003F6CF0" w:rsidRPr="00CA61A6">
        <w:rPr>
          <w:rFonts w:eastAsia="SimSun"/>
          <w:szCs w:val="24"/>
          <w:lang w:eastAsia="ja-JP"/>
        </w:rPr>
        <w:t>agosto de</w:t>
      </w:r>
      <w:r w:rsidRPr="00CA61A6">
        <w:rPr>
          <w:rFonts w:eastAsia="SimSun"/>
          <w:szCs w:val="24"/>
          <w:lang w:eastAsia="ja-JP"/>
        </w:rPr>
        <w:t xml:space="preserve"> 2014, </w:t>
      </w:r>
      <w:hyperlink r:id="rId150" w:history="1">
        <w:r w:rsidRPr="00CA61A6">
          <w:rPr>
            <w:rFonts w:eastAsia="SimSun"/>
            <w:color w:val="0000FF"/>
            <w:szCs w:val="24"/>
            <w:u w:val="single"/>
            <w:lang w:eastAsia="ja-JP"/>
          </w:rPr>
          <w:t>http://itu.int/en/ITU-T/techwatch/Pages/tactile-internet.aspx</w:t>
        </w:r>
      </w:hyperlink>
      <w:r w:rsidR="00641E4A" w:rsidRPr="00CA61A6">
        <w:rPr>
          <w:rFonts w:eastAsia="SimSun"/>
          <w:szCs w:val="24"/>
          <w:lang w:eastAsia="ja-JP"/>
        </w:rPr>
        <w:t>):</w:t>
      </w:r>
    </w:p>
    <w:p w:rsidR="00450BDD" w:rsidRPr="00CA61A6" w:rsidRDefault="00450BDD" w:rsidP="007B3478">
      <w:pPr>
        <w:rPr>
          <w:rFonts w:eastAsia="SimSun"/>
          <w:szCs w:val="24"/>
          <w:lang w:eastAsia="ja-JP"/>
        </w:rPr>
      </w:pPr>
      <w:r w:rsidRPr="00CA61A6">
        <w:rPr>
          <w:rFonts w:eastAsia="SimSun"/>
          <w:szCs w:val="24"/>
          <w:lang w:eastAsia="ja-JP"/>
        </w:rPr>
        <w:t>En este Informe del Observatorio Tecnológico se explora el prometedor futuro de la Internet táctil en campos de aplicación que van desde la automatización industrial y los sistemas de transporte a la salud, la educación y los juegos. Se describen las exigencias de la Internet táctil para la futura infraestructura digital y las consecuencias previstas para la sociedad; y se concluye con un breve análisis del papel que deberá jugar la UIT</w:t>
      </w:r>
      <w:r w:rsidR="00AC6C13" w:rsidRPr="00CA61A6">
        <w:rPr>
          <w:rFonts w:eastAsia="SimSun"/>
          <w:szCs w:val="24"/>
          <w:lang w:eastAsia="ja-JP"/>
        </w:rPr>
        <w:t>.</w:t>
      </w:r>
    </w:p>
    <w:p w:rsidR="00450BDD" w:rsidRPr="00CA61A6" w:rsidRDefault="00450BDD" w:rsidP="007B3478">
      <w:pPr>
        <w:rPr>
          <w:rFonts w:eastAsia="SimSun"/>
          <w:szCs w:val="24"/>
          <w:lang w:eastAsia="ja-JP"/>
        </w:rPr>
      </w:pPr>
      <w:r w:rsidRPr="00CA61A6">
        <w:rPr>
          <w:rFonts w:eastAsia="SimSun"/>
          <w:szCs w:val="24"/>
          <w:lang w:eastAsia="ja-JP"/>
        </w:rPr>
        <w:t>La Internet táctil se está revelando como una de</w:t>
      </w:r>
      <w:r w:rsidR="002B1F7C">
        <w:rPr>
          <w:rFonts w:eastAsia="SimSun"/>
          <w:szCs w:val="24"/>
          <w:lang w:eastAsia="ja-JP"/>
        </w:rPr>
        <w:t xml:space="preserve"> las</w:t>
      </w:r>
      <w:r w:rsidRPr="00CA61A6">
        <w:rPr>
          <w:rFonts w:eastAsia="SimSun"/>
          <w:szCs w:val="24"/>
          <w:lang w:eastAsia="ja-JP"/>
        </w:rPr>
        <w:t xml:space="preserve"> hipótesis para las futuras redes 5G de cuyo estudio se encarga el Grupo Temático del UIT-T sobre las IMT-2020.</w:t>
      </w:r>
    </w:p>
    <w:p w:rsidR="00450BDD" w:rsidRPr="00CA61A6" w:rsidRDefault="00450BDD" w:rsidP="007B3478">
      <w:pPr>
        <w:rPr>
          <w:rFonts w:eastAsia="SimSun"/>
          <w:szCs w:val="24"/>
          <w:lang w:eastAsia="ja-JP"/>
        </w:rPr>
      </w:pPr>
      <w:r w:rsidRPr="00CA61A6">
        <w:rPr>
          <w:rFonts w:eastAsia="SimSun"/>
          <w:szCs w:val="24"/>
          <w:lang w:eastAsia="ja-JP"/>
        </w:rPr>
        <w:t xml:space="preserve">Puede encontrarse la lista completa de Informes del Observatorio Tecnológico en el </w:t>
      </w:r>
      <w:hyperlink r:id="rId151" w:history="1">
        <w:r w:rsidRPr="00CA61A6">
          <w:rPr>
            <w:rFonts w:eastAsia="SimSun"/>
            <w:color w:val="0000FF"/>
            <w:szCs w:val="24"/>
            <w:u w:val="single"/>
            <w:lang w:eastAsia="ja-JP"/>
          </w:rPr>
          <w:t>sitio web del Observatorio Tecnológico</w:t>
        </w:r>
      </w:hyperlink>
      <w:r w:rsidRPr="00CA61A6">
        <w:rPr>
          <w:rFonts w:eastAsia="SimSun"/>
          <w:color w:val="0000FF"/>
          <w:szCs w:val="24"/>
          <w:u w:val="single"/>
          <w:lang w:eastAsia="ja-JP"/>
        </w:rPr>
        <w:t xml:space="preserve"> del UIT-T</w:t>
      </w:r>
      <w:r w:rsidRPr="00CA61A6">
        <w:rPr>
          <w:rFonts w:eastAsia="SimSun"/>
        </w:rPr>
        <w:t>.</w:t>
      </w:r>
    </w:p>
    <w:p w:rsidR="00854964" w:rsidRPr="00CA61A6" w:rsidRDefault="00110CAD" w:rsidP="00854964">
      <w:hyperlink w:anchor="Top" w:history="1">
        <w:r w:rsidR="00854964" w:rsidRPr="00CA61A6">
          <w:rPr>
            <w:rStyle w:val="Hyperlink"/>
          </w:rPr>
          <w:t>» Arriba</w:t>
        </w:r>
      </w:hyperlink>
    </w:p>
    <w:p w:rsidR="00450BDD" w:rsidRPr="00CA61A6" w:rsidRDefault="00463777" w:rsidP="00463777">
      <w:pPr>
        <w:pStyle w:val="Heading1"/>
      </w:pPr>
      <w:bookmarkStart w:id="618" w:name="_35_Resolución_67"/>
      <w:bookmarkStart w:id="619" w:name="_Toc463335786"/>
      <w:bookmarkEnd w:id="618"/>
      <w:r w:rsidRPr="00CA61A6">
        <w:t>35</w:t>
      </w:r>
      <w:r w:rsidRPr="00CA61A6">
        <w:tab/>
        <w:t xml:space="preserve">Resolución </w:t>
      </w:r>
      <w:r w:rsidR="00450BDD" w:rsidRPr="00CA61A6">
        <w:t>67</w:t>
      </w:r>
      <w:r w:rsidRPr="00CA61A6">
        <w:t xml:space="preserve"> – </w:t>
      </w:r>
      <w:r w:rsidR="00450BDD" w:rsidRPr="00CA61A6">
        <w:t>Utilización en el Sector de Normalización de las Telecomunicaciones de la UIT de los idiomas de la Unión en pie de igualdad</w:t>
      </w:r>
      <w:bookmarkEnd w:id="619"/>
    </w:p>
    <w:p w:rsidR="00E26BE3" w:rsidRPr="00CA61A6" w:rsidRDefault="00E26BE3" w:rsidP="00E26BE3">
      <w:pPr>
        <w:pStyle w:val="Headingb"/>
        <w:keepLines/>
      </w:pPr>
      <w:r w:rsidRPr="00CA61A6">
        <w:t>Resolución 67</w:t>
      </w:r>
    </w:p>
    <w:p w:rsidR="00450BDD" w:rsidRPr="00CA61A6" w:rsidRDefault="00450BDD" w:rsidP="007B3478">
      <w:pPr>
        <w:pStyle w:val="Call"/>
      </w:pPr>
      <w:r w:rsidRPr="00CA61A6">
        <w:t>resuelve</w:t>
      </w:r>
    </w:p>
    <w:p w:rsidR="00450BDD" w:rsidRPr="00CA61A6" w:rsidRDefault="00450BDD" w:rsidP="007B3478">
      <w:r w:rsidRPr="00CA61A6">
        <w:t>1</w:t>
      </w:r>
      <w:r w:rsidRPr="00CA61A6">
        <w:tab/>
        <w:t>que, en el marco de sus mandatos, las Comisiones de Estudio del UIT-T prosigan su labor en relación con los términos técnicos y de explotación y sus definiciones, únicamente en inglés;</w:t>
      </w:r>
    </w:p>
    <w:p w:rsidR="00450BDD" w:rsidRPr="00CA61A6" w:rsidRDefault="00450BDD" w:rsidP="007B3478">
      <w:r w:rsidRPr="00CA61A6">
        <w:t>2</w:t>
      </w:r>
      <w:r w:rsidRPr="00CA61A6">
        <w:tab/>
        <w:t>que el trabajo sobre el vocabulario de normalización en el UIT-T se base en las propuestas que formulen sobre el particular las Comisiones de Estudio en idioma inglés, y en el examen y adopción de la traducción de los términos y definiciones en los otros cinco idiomas oficiales que proponga la Secretaría General, y que dicho trabajo sea encomendado al CNV;</w:t>
      </w:r>
    </w:p>
    <w:p w:rsidR="00450BDD" w:rsidRPr="00CA61A6" w:rsidRDefault="00450BDD" w:rsidP="007B3478">
      <w:r w:rsidRPr="00CA61A6">
        <w:lastRenderedPageBreak/>
        <w:t>3</w:t>
      </w:r>
      <w:r w:rsidRPr="00CA61A6">
        <w:tab/>
        <w:t>que, al proponer términos y definiciones, las Comisiones de Estudio del UIT-T utilicen las directrices especificadas en el Anexo B a la "Guía del Autor de Recomendaciones del UIT-T";</w:t>
      </w:r>
    </w:p>
    <w:p w:rsidR="00450BDD" w:rsidRPr="00CA61A6" w:rsidRDefault="00450BDD" w:rsidP="007B3478">
      <w:r w:rsidRPr="00CA61A6">
        <w:t>4</w:t>
      </w:r>
      <w:r w:rsidRPr="00CA61A6">
        <w:tab/>
        <w:t>que, cuando varias Comisiones de Estudio del UIT-T estén definiendo los mismos términos y/o conceptos, se esfuercen por escoger un solo término y una sola definición que resulten aceptables para las demás Comisiones de Estudio del UIT-T interesadas;</w:t>
      </w:r>
    </w:p>
    <w:p w:rsidR="00450BDD" w:rsidRPr="00CA61A6" w:rsidRDefault="00450BDD" w:rsidP="007B3478">
      <w:r w:rsidRPr="00CA61A6">
        <w:t>5</w:t>
      </w:r>
      <w:r w:rsidRPr="00CA61A6">
        <w:tab/>
        <w:t>que, al seleccionar términos y preparar definiciones, las Comisiones de Estudio del UIT</w:t>
      </w:r>
      <w:r w:rsidRPr="00CA61A6">
        <w:sym w:font="Symbol" w:char="F02D"/>
      </w:r>
      <w:r w:rsidRPr="00CA61A6">
        <w:t>T tengan en cuenta el uso establecido de los términos y definiciones existentes en la UIT, especialmente aquellos que aparecen en la base de datos en línea de términos y definiciones de la UIT;</w:t>
      </w:r>
    </w:p>
    <w:p w:rsidR="00450BDD" w:rsidRPr="00CA61A6" w:rsidRDefault="00450BDD" w:rsidP="007B3478">
      <w:r w:rsidRPr="00CA61A6">
        <w:t>6</w:t>
      </w:r>
      <w:r w:rsidRPr="00CA61A6">
        <w:tab/>
        <w:t>que la Oficina de Normalización de las Telecomunicaciones (TSB) recopile los nuevos términos y definiciones propuestos por las Comisiones de Estudio del UIT-T, tras consultar al CNV, y los incorpore a la base de datos en línea de términos y definiciones de la UIT;</w:t>
      </w:r>
    </w:p>
    <w:p w:rsidR="00450BDD" w:rsidRPr="00CA61A6" w:rsidRDefault="00450BDD" w:rsidP="007B3478">
      <w:r w:rsidRPr="00CA61A6">
        <w:t>7</w:t>
      </w:r>
      <w:r w:rsidRPr="00CA61A6">
        <w:tab/>
        <w:t>que el CNV colabore estrechamente con el Comité de Coordinación del Vocabulario (CCV) del Sector de Radiocomunicaciones de la UIT (UIT-R),</w:t>
      </w:r>
    </w:p>
    <w:p w:rsidR="00450BDD" w:rsidRPr="00CA61A6" w:rsidRDefault="00450BDD" w:rsidP="007B3478">
      <w:pPr>
        <w:pStyle w:val="Call"/>
      </w:pPr>
      <w:r w:rsidRPr="00CA61A6">
        <w:t>encarga al Director de la Oficina de Normalización de las Telecomunicaciones</w:t>
      </w:r>
    </w:p>
    <w:p w:rsidR="00450BDD" w:rsidRPr="00CA61A6" w:rsidRDefault="00450BDD" w:rsidP="007B3478">
      <w:r w:rsidRPr="00CA61A6">
        <w:t>1</w:t>
      </w:r>
      <w:r w:rsidRPr="00CA61A6">
        <w:tab/>
        <w:t>que se sigan traduciendo todas las Recomendaciones aprobadas con arreglo al proceso de aprobación tradicional (TAP) en todos los idiomas de la Unión;</w:t>
      </w:r>
    </w:p>
    <w:p w:rsidR="00450BDD" w:rsidRPr="00CA61A6" w:rsidRDefault="00450BDD" w:rsidP="007B3478">
      <w:r w:rsidRPr="00CA61A6">
        <w:t>2</w:t>
      </w:r>
      <w:r w:rsidRPr="00CA61A6">
        <w:tab/>
        <w:t>que se traduzcan todos los informes del Grupo Asesor de Normalización de las Telecomunicaciones (GANT) en todos los idiomas de la Unión;</w:t>
      </w:r>
    </w:p>
    <w:p w:rsidR="00450BDD" w:rsidRPr="00CA61A6" w:rsidRDefault="00450BDD" w:rsidP="007B3478">
      <w:r w:rsidRPr="00CA61A6">
        <w:t>3</w:t>
      </w:r>
      <w:r w:rsidRPr="00CA61A6">
        <w:tab/>
        <w:t>que en la Circular que anuncia la aprobación de una Recomendación se indique si esta se traducirá,</w:t>
      </w:r>
    </w:p>
    <w:p w:rsidR="00450BDD" w:rsidRPr="00CA61A6" w:rsidRDefault="00450BDD" w:rsidP="007B3478">
      <w:pPr>
        <w:pStyle w:val="Call"/>
        <w:rPr>
          <w:i w:val="0"/>
        </w:rPr>
      </w:pPr>
      <w:r w:rsidRPr="00CA61A6">
        <w:t>invita al Consejo</w:t>
      </w:r>
    </w:p>
    <w:p w:rsidR="00450BDD" w:rsidRPr="00CA61A6" w:rsidRDefault="00450BDD" w:rsidP="007B3478">
      <w:r w:rsidRPr="00CA61A6">
        <w:t>a tomar las medidas necesarias para garantizar que la información publicada en los sitios web de la UIT esté disponible en todos los idiomas oficiales de la Unión en pie de igualdad, con sujeción a los límites presupuestarios,</w:t>
      </w:r>
    </w:p>
    <w:p w:rsidR="00450BDD" w:rsidRPr="00CA61A6" w:rsidRDefault="00450BDD" w:rsidP="007B3478">
      <w:pPr>
        <w:pStyle w:val="Call"/>
      </w:pPr>
      <w:r w:rsidRPr="00CA61A6">
        <w:t>encarga al Grupo Asesor de Normalización de las Telecomunicaciones</w:t>
      </w:r>
    </w:p>
    <w:p w:rsidR="00450BDD" w:rsidRPr="00CA61A6" w:rsidRDefault="00450BDD" w:rsidP="00670BAD">
      <w:pPr>
        <w:spacing w:after="120"/>
      </w:pPr>
      <w:r w:rsidRPr="00CA61A6">
        <w:t>que estudie el mecanismo óptimo para decidir qué Recomendaciones aprobadas con arreglo al proceso de aprobación alternativo (AAP) se traducirán, habida cuenta de las decisiones del Consejo.</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
        <w:gridCol w:w="5019"/>
        <w:gridCol w:w="1564"/>
        <w:gridCol w:w="1169"/>
        <w:gridCol w:w="1261"/>
      </w:tblGrid>
      <w:tr w:rsidR="00450BDD" w:rsidRPr="00CA61A6" w:rsidTr="00FA4DAF">
        <w:trPr>
          <w:cantSplit/>
          <w:tblHeader/>
          <w:jc w:val="center"/>
        </w:trPr>
        <w:tc>
          <w:tcPr>
            <w:tcW w:w="930" w:type="dxa"/>
            <w:tcBorders>
              <w:bottom w:val="double" w:sz="4" w:space="0" w:color="auto"/>
            </w:tcBorders>
            <w:shd w:val="clear" w:color="auto" w:fill="auto"/>
            <w:vAlign w:val="center"/>
          </w:tcPr>
          <w:p w:rsidR="00450BDD" w:rsidRPr="00CA61A6" w:rsidRDefault="00450BDD" w:rsidP="00773553">
            <w:pPr>
              <w:pStyle w:val="Tablehead"/>
            </w:pPr>
            <w:r w:rsidRPr="00CA61A6">
              <w:t>Número</w:t>
            </w:r>
          </w:p>
        </w:tc>
        <w:tc>
          <w:tcPr>
            <w:tcW w:w="5019" w:type="dxa"/>
            <w:tcBorders>
              <w:bottom w:val="double" w:sz="4" w:space="0" w:color="auto"/>
            </w:tcBorders>
            <w:shd w:val="clear" w:color="auto" w:fill="auto"/>
            <w:vAlign w:val="center"/>
            <w:hideMark/>
          </w:tcPr>
          <w:p w:rsidR="00450BDD" w:rsidRPr="00CA61A6" w:rsidRDefault="00450BDD" w:rsidP="00773553">
            <w:pPr>
              <w:pStyle w:val="Tablehead"/>
            </w:pPr>
            <w:r w:rsidRPr="00CA61A6">
              <w:t>Acción</w:t>
            </w:r>
          </w:p>
        </w:tc>
        <w:tc>
          <w:tcPr>
            <w:tcW w:w="1564" w:type="dxa"/>
            <w:tcBorders>
              <w:bottom w:val="double" w:sz="4" w:space="0" w:color="auto"/>
            </w:tcBorders>
            <w:shd w:val="clear" w:color="auto" w:fill="auto"/>
            <w:vAlign w:val="center"/>
            <w:hideMark/>
          </w:tcPr>
          <w:p w:rsidR="00450BDD" w:rsidRPr="00CA61A6" w:rsidRDefault="00450BDD" w:rsidP="00773553">
            <w:pPr>
              <w:pStyle w:val="Tablehead"/>
            </w:pPr>
            <w:r w:rsidRPr="00CA61A6">
              <w:t>Fecha objetivo</w:t>
            </w:r>
          </w:p>
        </w:tc>
        <w:tc>
          <w:tcPr>
            <w:tcW w:w="1169" w:type="dxa"/>
            <w:tcBorders>
              <w:bottom w:val="double" w:sz="4" w:space="0" w:color="auto"/>
            </w:tcBorders>
            <w:shd w:val="clear" w:color="auto" w:fill="auto"/>
          </w:tcPr>
          <w:p w:rsidR="00450BDD" w:rsidRPr="00CA61A6" w:rsidRDefault="00450BDD" w:rsidP="00773553">
            <w:pPr>
              <w:pStyle w:val="Tablehead"/>
            </w:pPr>
            <w:r w:rsidRPr="00CA61A6">
              <w:t>Objetivos periódicos cumplidos</w:t>
            </w:r>
          </w:p>
        </w:tc>
        <w:tc>
          <w:tcPr>
            <w:tcW w:w="1261" w:type="dxa"/>
            <w:tcBorders>
              <w:bottom w:val="double" w:sz="4" w:space="0" w:color="auto"/>
            </w:tcBorders>
            <w:shd w:val="clear" w:color="auto" w:fill="auto"/>
            <w:vAlign w:val="center"/>
          </w:tcPr>
          <w:p w:rsidR="00450BDD" w:rsidRPr="00CA61A6" w:rsidRDefault="00450BDD" w:rsidP="00773553">
            <w:pPr>
              <w:pStyle w:val="Tablehead"/>
            </w:pPr>
            <w:r w:rsidRPr="00CA61A6">
              <w:t>Completada</w:t>
            </w:r>
          </w:p>
        </w:tc>
      </w:tr>
      <w:tr w:rsidR="00450BDD" w:rsidRPr="00CA61A6" w:rsidTr="00FA4DAF">
        <w:trPr>
          <w:cantSplit/>
          <w:jc w:val="center"/>
        </w:trPr>
        <w:tc>
          <w:tcPr>
            <w:tcW w:w="930" w:type="dxa"/>
            <w:tcBorders>
              <w:top w:val="double" w:sz="4" w:space="0" w:color="auto"/>
            </w:tcBorders>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67_01" w:history="1">
              <w:r w:rsidR="00450BDD" w:rsidRPr="00CA61A6">
                <w:rPr>
                  <w:color w:val="0000FF"/>
                  <w:sz w:val="20"/>
                  <w:u w:val="single"/>
                </w:rPr>
                <w:t>67-01</w:t>
              </w:r>
            </w:hyperlink>
          </w:p>
        </w:tc>
        <w:tc>
          <w:tcPr>
            <w:tcW w:w="5019" w:type="dxa"/>
            <w:tcBorders>
              <w:top w:val="double" w:sz="4" w:space="0" w:color="auto"/>
            </w:tcBorders>
            <w:shd w:val="clear" w:color="auto" w:fill="auto"/>
          </w:tcPr>
          <w:p w:rsidR="00450BDD" w:rsidRPr="00CA61A6" w:rsidRDefault="00343F12" w:rsidP="00343F12">
            <w:pPr>
              <w:pStyle w:val="Tabletext"/>
            </w:pPr>
            <w:r>
              <w:t>Las CE seguirán</w:t>
            </w:r>
            <w:r w:rsidR="00450BDD" w:rsidRPr="00CA61A6">
              <w:t xml:space="preserve"> las directrices sobre la utilización del lenguaje y la coordinación de los términos y definiciones de esta Resolución</w:t>
            </w:r>
          </w:p>
        </w:tc>
        <w:tc>
          <w:tcPr>
            <w:tcW w:w="1564" w:type="dxa"/>
            <w:tcBorders>
              <w:top w:val="double" w:sz="4" w:space="0" w:color="auto"/>
            </w:tcBorders>
            <w:shd w:val="clear" w:color="auto" w:fill="auto"/>
            <w:vAlign w:val="center"/>
          </w:tcPr>
          <w:p w:rsidR="00450BDD" w:rsidRPr="00CA61A6" w:rsidRDefault="00450BDD" w:rsidP="006A683D">
            <w:pPr>
              <w:pStyle w:val="Tabletext"/>
              <w:jc w:val="center"/>
            </w:pPr>
            <w:r w:rsidRPr="00CA61A6">
              <w:t>En curso</w:t>
            </w:r>
          </w:p>
        </w:tc>
        <w:tc>
          <w:tcPr>
            <w:tcW w:w="1169" w:type="dxa"/>
            <w:tcBorders>
              <w:top w:val="double" w:sz="4" w:space="0" w:color="auto"/>
            </w:tcBorders>
            <w:shd w:val="clear" w:color="auto" w:fill="auto"/>
            <w:vAlign w:val="center"/>
          </w:tcPr>
          <w:p w:rsidR="00450BDD" w:rsidRPr="00CA61A6" w:rsidRDefault="00C8725A" w:rsidP="006A683D">
            <w:pPr>
              <w:pStyle w:val="Tabletext"/>
              <w:jc w:val="center"/>
            </w:pPr>
            <w:r w:rsidRPr="00CA61A6">
              <w:sym w:font="Wingdings" w:char="F0FC"/>
            </w:r>
          </w:p>
        </w:tc>
        <w:tc>
          <w:tcPr>
            <w:tcW w:w="1261" w:type="dxa"/>
            <w:tcBorders>
              <w:top w:val="double" w:sz="4" w:space="0" w:color="auto"/>
            </w:tcBorders>
            <w:shd w:val="clear" w:color="auto" w:fill="auto"/>
            <w:vAlign w:val="center"/>
          </w:tcPr>
          <w:p w:rsidR="00450BDD" w:rsidRPr="00CA61A6" w:rsidRDefault="00450BDD" w:rsidP="006A683D">
            <w:pPr>
              <w:pStyle w:val="Tabletext"/>
              <w:jc w:val="center"/>
            </w:pPr>
          </w:p>
        </w:tc>
      </w:tr>
      <w:tr w:rsidR="00450BDD" w:rsidRPr="00CA61A6" w:rsidTr="00FA4DAF">
        <w:trPr>
          <w:cantSplit/>
          <w:jc w:val="center"/>
        </w:trPr>
        <w:tc>
          <w:tcPr>
            <w:tcW w:w="930" w:type="dxa"/>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67_02" w:history="1">
              <w:r w:rsidR="00450BDD" w:rsidRPr="00CA61A6">
                <w:rPr>
                  <w:color w:val="0000FF"/>
                  <w:sz w:val="20"/>
                  <w:u w:val="single"/>
                </w:rPr>
                <w:t>67-02</w:t>
              </w:r>
            </w:hyperlink>
          </w:p>
        </w:tc>
        <w:tc>
          <w:tcPr>
            <w:tcW w:w="5019" w:type="dxa"/>
            <w:shd w:val="clear" w:color="auto" w:fill="auto"/>
            <w:hideMark/>
          </w:tcPr>
          <w:p w:rsidR="00450BDD" w:rsidRPr="00CA61A6" w:rsidRDefault="00343F12" w:rsidP="00343F12">
            <w:pPr>
              <w:pStyle w:val="Tabletext"/>
            </w:pPr>
            <w:r>
              <w:t>La</w:t>
            </w:r>
            <w:r w:rsidR="00450BDD" w:rsidRPr="00CA61A6">
              <w:t xml:space="preserve"> TSB introdu</w:t>
            </w:r>
            <w:r>
              <w:t>cirá</w:t>
            </w:r>
            <w:r w:rsidR="00450BDD" w:rsidRPr="00CA61A6">
              <w:t xml:space="preserve"> todos los nuevos términos y definiciones en la base de datos de términos y definiciones de la UIT en línea</w:t>
            </w:r>
          </w:p>
        </w:tc>
        <w:tc>
          <w:tcPr>
            <w:tcW w:w="1564" w:type="dxa"/>
            <w:shd w:val="clear" w:color="auto" w:fill="auto"/>
            <w:vAlign w:val="center"/>
          </w:tcPr>
          <w:p w:rsidR="00450BDD" w:rsidRPr="00CA61A6" w:rsidRDefault="00450BDD" w:rsidP="006A683D">
            <w:pPr>
              <w:pStyle w:val="Tabletext"/>
              <w:jc w:val="center"/>
            </w:pPr>
            <w:r w:rsidRPr="00CA61A6">
              <w:t>En curso</w:t>
            </w:r>
          </w:p>
        </w:tc>
        <w:tc>
          <w:tcPr>
            <w:tcW w:w="1169" w:type="dxa"/>
            <w:shd w:val="clear" w:color="auto" w:fill="auto"/>
            <w:vAlign w:val="center"/>
          </w:tcPr>
          <w:p w:rsidR="00450BDD" w:rsidRPr="00CA61A6" w:rsidRDefault="00C8725A" w:rsidP="006A683D">
            <w:pPr>
              <w:pStyle w:val="Tabletext"/>
              <w:jc w:val="center"/>
            </w:pPr>
            <w:r w:rsidRPr="00CA61A6">
              <w:sym w:font="Wingdings" w:char="F0FC"/>
            </w:r>
          </w:p>
        </w:tc>
        <w:tc>
          <w:tcPr>
            <w:tcW w:w="1261" w:type="dxa"/>
            <w:shd w:val="clear" w:color="auto" w:fill="auto"/>
            <w:vAlign w:val="center"/>
          </w:tcPr>
          <w:p w:rsidR="00450BDD" w:rsidRPr="00CA61A6" w:rsidRDefault="00450BDD" w:rsidP="006A683D">
            <w:pPr>
              <w:pStyle w:val="Tabletext"/>
              <w:jc w:val="center"/>
            </w:pPr>
          </w:p>
        </w:tc>
      </w:tr>
      <w:tr w:rsidR="00450BDD" w:rsidRPr="00CA61A6" w:rsidTr="00FA4DAF">
        <w:trPr>
          <w:cantSplit/>
          <w:jc w:val="center"/>
        </w:trPr>
        <w:tc>
          <w:tcPr>
            <w:tcW w:w="930" w:type="dxa"/>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67_03" w:history="1">
              <w:r w:rsidR="00450BDD" w:rsidRPr="00CA61A6">
                <w:rPr>
                  <w:color w:val="0000FF"/>
                  <w:sz w:val="20"/>
                  <w:u w:val="single"/>
                </w:rPr>
                <w:t>67-03</w:t>
              </w:r>
            </w:hyperlink>
          </w:p>
        </w:tc>
        <w:tc>
          <w:tcPr>
            <w:tcW w:w="5019" w:type="dxa"/>
            <w:shd w:val="clear" w:color="auto" w:fill="auto"/>
            <w:hideMark/>
          </w:tcPr>
          <w:p w:rsidR="00450BDD" w:rsidRPr="00CA61A6" w:rsidRDefault="00343F12" w:rsidP="00343F12">
            <w:pPr>
              <w:pStyle w:val="Tabletext"/>
            </w:pPr>
            <w:r>
              <w:t>E</w:t>
            </w:r>
            <w:r w:rsidR="00450BDD" w:rsidRPr="00CA61A6">
              <w:t>l Director s</w:t>
            </w:r>
            <w:r>
              <w:t>eguirá</w:t>
            </w:r>
            <w:r w:rsidR="00450BDD" w:rsidRPr="00CA61A6">
              <w:t xml:space="preserve"> traduciendo todas las Recomendaciones aprobadas por el TAP y los Informes del GANT en todos los idiomas de la Unión</w:t>
            </w:r>
            <w:r>
              <w:t>,</w:t>
            </w:r>
            <w:r w:rsidR="00450BDD" w:rsidRPr="00CA61A6">
              <w:t xml:space="preserve"> y en el anuncio de aprobación de una Recomendación se indi</w:t>
            </w:r>
            <w:r>
              <w:t>cará</w:t>
            </w:r>
            <w:r w:rsidR="00450BDD" w:rsidRPr="00CA61A6">
              <w:t xml:space="preserve"> si esta se traducirá</w:t>
            </w:r>
          </w:p>
        </w:tc>
        <w:tc>
          <w:tcPr>
            <w:tcW w:w="1564" w:type="dxa"/>
            <w:shd w:val="clear" w:color="auto" w:fill="auto"/>
            <w:vAlign w:val="center"/>
          </w:tcPr>
          <w:p w:rsidR="00450BDD" w:rsidRPr="00CA61A6" w:rsidRDefault="00450BDD" w:rsidP="006A683D">
            <w:pPr>
              <w:pStyle w:val="Tabletext"/>
              <w:jc w:val="center"/>
            </w:pPr>
            <w:r w:rsidRPr="00CA61A6">
              <w:t>En curso</w:t>
            </w:r>
          </w:p>
        </w:tc>
        <w:tc>
          <w:tcPr>
            <w:tcW w:w="1169" w:type="dxa"/>
            <w:shd w:val="clear" w:color="auto" w:fill="auto"/>
            <w:vAlign w:val="center"/>
          </w:tcPr>
          <w:p w:rsidR="00450BDD" w:rsidRPr="00CA61A6" w:rsidRDefault="00C8725A" w:rsidP="006A683D">
            <w:pPr>
              <w:pStyle w:val="Tabletext"/>
              <w:jc w:val="center"/>
            </w:pPr>
            <w:r w:rsidRPr="00CA61A6">
              <w:sym w:font="Wingdings" w:char="F0FC"/>
            </w:r>
          </w:p>
        </w:tc>
        <w:tc>
          <w:tcPr>
            <w:tcW w:w="1261" w:type="dxa"/>
            <w:shd w:val="clear" w:color="auto" w:fill="auto"/>
            <w:vAlign w:val="center"/>
          </w:tcPr>
          <w:p w:rsidR="00450BDD" w:rsidRPr="00CA61A6" w:rsidRDefault="00450BDD" w:rsidP="006A683D">
            <w:pPr>
              <w:pStyle w:val="Tabletext"/>
              <w:jc w:val="center"/>
            </w:pPr>
          </w:p>
        </w:tc>
      </w:tr>
      <w:tr w:rsidR="00450BDD" w:rsidRPr="00CA61A6" w:rsidTr="00FA4DAF">
        <w:trPr>
          <w:cantSplit/>
          <w:jc w:val="center"/>
        </w:trPr>
        <w:tc>
          <w:tcPr>
            <w:tcW w:w="930" w:type="dxa"/>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67_04" w:history="1">
              <w:r w:rsidR="00450BDD" w:rsidRPr="00CA61A6">
                <w:rPr>
                  <w:color w:val="0000FF"/>
                  <w:sz w:val="20"/>
                  <w:u w:val="single"/>
                </w:rPr>
                <w:t>67-04</w:t>
              </w:r>
            </w:hyperlink>
          </w:p>
        </w:tc>
        <w:tc>
          <w:tcPr>
            <w:tcW w:w="5019" w:type="dxa"/>
            <w:shd w:val="clear" w:color="auto" w:fill="auto"/>
          </w:tcPr>
          <w:p w:rsidR="00450BDD" w:rsidRPr="00CA61A6" w:rsidRDefault="00343F12" w:rsidP="00343F12">
            <w:pPr>
              <w:pStyle w:val="Tabletext"/>
            </w:pPr>
            <w:r>
              <w:t>E</w:t>
            </w:r>
            <w:r w:rsidR="00450BDD" w:rsidRPr="00CA61A6">
              <w:t>l Director invit</w:t>
            </w:r>
            <w:r>
              <w:t>ará</w:t>
            </w:r>
            <w:r w:rsidR="00450BDD" w:rsidRPr="00CA61A6">
              <w:t xml:space="preserve"> al Consejo a garantizar que la información publicada en los sitios web de la UIT esté disponible en todos los idiomas oficiales de la Unión en pie de igualdad, con sujeción a los límites presupuestarios</w:t>
            </w:r>
          </w:p>
        </w:tc>
        <w:tc>
          <w:tcPr>
            <w:tcW w:w="1564" w:type="dxa"/>
            <w:shd w:val="clear" w:color="auto" w:fill="auto"/>
            <w:vAlign w:val="center"/>
          </w:tcPr>
          <w:p w:rsidR="00450BDD" w:rsidRPr="00CA61A6" w:rsidRDefault="00450BDD" w:rsidP="006A683D">
            <w:pPr>
              <w:pStyle w:val="Tabletext"/>
              <w:jc w:val="center"/>
            </w:pPr>
            <w:r w:rsidRPr="00CA61A6">
              <w:t>En curso</w:t>
            </w:r>
          </w:p>
        </w:tc>
        <w:tc>
          <w:tcPr>
            <w:tcW w:w="1169" w:type="dxa"/>
            <w:shd w:val="clear" w:color="auto" w:fill="auto"/>
            <w:vAlign w:val="center"/>
          </w:tcPr>
          <w:p w:rsidR="00450BDD" w:rsidRPr="00CA61A6" w:rsidRDefault="00450BDD" w:rsidP="006A683D">
            <w:pPr>
              <w:pStyle w:val="Tabletext"/>
              <w:jc w:val="center"/>
            </w:pPr>
          </w:p>
        </w:tc>
        <w:tc>
          <w:tcPr>
            <w:tcW w:w="1261" w:type="dxa"/>
            <w:shd w:val="clear" w:color="auto" w:fill="auto"/>
            <w:vAlign w:val="center"/>
          </w:tcPr>
          <w:p w:rsidR="00450BDD" w:rsidRPr="00CA61A6" w:rsidRDefault="00C8725A" w:rsidP="006A683D">
            <w:pPr>
              <w:pStyle w:val="Tabletext"/>
              <w:jc w:val="center"/>
            </w:pPr>
            <w:r w:rsidRPr="00CA61A6">
              <w:sym w:font="Wingdings" w:char="F0FC"/>
            </w:r>
          </w:p>
        </w:tc>
      </w:tr>
      <w:tr w:rsidR="00450BDD" w:rsidRPr="00CA61A6" w:rsidTr="00FA4DAF">
        <w:trPr>
          <w:cantSplit/>
          <w:jc w:val="center"/>
        </w:trPr>
        <w:tc>
          <w:tcPr>
            <w:tcW w:w="930" w:type="dxa"/>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67_05" w:history="1">
              <w:r w:rsidR="00450BDD" w:rsidRPr="00CA61A6">
                <w:rPr>
                  <w:color w:val="0000FF"/>
                  <w:sz w:val="20"/>
                  <w:u w:val="single"/>
                </w:rPr>
                <w:t>67-05</w:t>
              </w:r>
            </w:hyperlink>
          </w:p>
        </w:tc>
        <w:tc>
          <w:tcPr>
            <w:tcW w:w="5019" w:type="dxa"/>
            <w:shd w:val="clear" w:color="auto" w:fill="auto"/>
          </w:tcPr>
          <w:p w:rsidR="00450BDD" w:rsidRPr="00CA61A6" w:rsidRDefault="00343F12" w:rsidP="00343F12">
            <w:pPr>
              <w:pStyle w:val="Tabletext"/>
              <w:rPr>
                <w:highlight w:val="cyan"/>
              </w:rPr>
            </w:pPr>
            <w:r>
              <w:t>E</w:t>
            </w:r>
            <w:r w:rsidR="00450BDD" w:rsidRPr="00CA61A6">
              <w:t>l GANT estudi</w:t>
            </w:r>
            <w:r>
              <w:t>ará</w:t>
            </w:r>
            <w:r w:rsidR="00450BDD" w:rsidRPr="00CA61A6">
              <w:t xml:space="preserve"> el mecanismo óptimo para decidir qué Recomendaciones aprobadas con arreglo al proceso de aprobación alternativo (AAP) se traducirán, habida cuenta de las decisiones del Consejo</w:t>
            </w:r>
          </w:p>
        </w:tc>
        <w:tc>
          <w:tcPr>
            <w:tcW w:w="1564" w:type="dxa"/>
            <w:shd w:val="clear" w:color="auto" w:fill="auto"/>
            <w:vAlign w:val="center"/>
          </w:tcPr>
          <w:p w:rsidR="00450BDD" w:rsidRPr="00CA61A6" w:rsidRDefault="00450BDD" w:rsidP="006A683D">
            <w:pPr>
              <w:pStyle w:val="Tabletext"/>
              <w:jc w:val="center"/>
            </w:pPr>
            <w:r w:rsidRPr="00CA61A6">
              <w:t>En curso</w:t>
            </w:r>
          </w:p>
        </w:tc>
        <w:tc>
          <w:tcPr>
            <w:tcW w:w="1169" w:type="dxa"/>
            <w:shd w:val="clear" w:color="auto" w:fill="auto"/>
            <w:vAlign w:val="center"/>
          </w:tcPr>
          <w:p w:rsidR="00450BDD" w:rsidRPr="00CA61A6" w:rsidRDefault="00C8725A" w:rsidP="006A683D">
            <w:pPr>
              <w:pStyle w:val="Tabletext"/>
              <w:jc w:val="center"/>
            </w:pPr>
            <w:r w:rsidRPr="00CA61A6">
              <w:sym w:font="Wingdings" w:char="F0FC"/>
            </w:r>
          </w:p>
        </w:tc>
        <w:tc>
          <w:tcPr>
            <w:tcW w:w="1261" w:type="dxa"/>
            <w:shd w:val="clear" w:color="auto" w:fill="auto"/>
            <w:vAlign w:val="center"/>
          </w:tcPr>
          <w:p w:rsidR="00450BDD" w:rsidRPr="00CA61A6" w:rsidRDefault="00450BDD" w:rsidP="006A683D">
            <w:pPr>
              <w:pStyle w:val="Tabletext"/>
              <w:jc w:val="center"/>
            </w:pPr>
          </w:p>
        </w:tc>
      </w:tr>
    </w:tbl>
    <w:p w:rsidR="00450BDD" w:rsidRPr="00CA61A6" w:rsidRDefault="00311F59" w:rsidP="004B39B7">
      <w:pPr>
        <w:pStyle w:val="Headingb"/>
        <w:keepLines/>
      </w:pPr>
      <w:bookmarkStart w:id="620" w:name="Item67_01"/>
      <w:r w:rsidRPr="00CA61A6">
        <w:t xml:space="preserve">Acción </w:t>
      </w:r>
      <w:r w:rsidR="00450BDD" w:rsidRPr="00CA61A6">
        <w:t xml:space="preserve">67-01: </w:t>
      </w:r>
      <w:r w:rsidR="004B39B7">
        <w:t>CE</w:t>
      </w:r>
    </w:p>
    <w:p w:rsidR="00450BDD" w:rsidRPr="00CA61A6" w:rsidRDefault="00311F59" w:rsidP="00311F59">
      <w:pPr>
        <w:pStyle w:val="Headingb"/>
        <w:keepLines/>
      </w:pPr>
      <w:bookmarkStart w:id="621" w:name="Item67_02"/>
      <w:bookmarkEnd w:id="620"/>
      <w:r w:rsidRPr="00CA61A6">
        <w:t xml:space="preserve">Acción </w:t>
      </w:r>
      <w:r w:rsidR="00450BDD" w:rsidRPr="00CA61A6">
        <w:t>67-02: TSB</w:t>
      </w:r>
    </w:p>
    <w:bookmarkEnd w:id="621"/>
    <w:p w:rsidR="00450BDD" w:rsidRPr="00CA61A6" w:rsidRDefault="00450BDD" w:rsidP="007B3478">
      <w:pPr>
        <w:rPr>
          <w:rFonts w:eastAsia="SimSun"/>
          <w:szCs w:val="24"/>
          <w:lang w:eastAsia="ja-JP"/>
        </w:rPr>
      </w:pPr>
      <w:r w:rsidRPr="00CA61A6">
        <w:rPr>
          <w:rFonts w:eastAsia="SimSun"/>
          <w:szCs w:val="24"/>
          <w:lang w:eastAsia="ja-JP"/>
        </w:rPr>
        <w:t>La TSB sigue introduciendo sistemáticamente los nuevos términos y abreviaturas en la base de datos de términos y definiciones de la UIT</w:t>
      </w:r>
      <w:r w:rsidR="002613CD">
        <w:rPr>
          <w:rFonts w:eastAsia="SimSun"/>
          <w:szCs w:val="24"/>
          <w:lang w:eastAsia="ja-JP"/>
        </w:rPr>
        <w:t>. Desde el final de la AMNT-12 hasta</w:t>
      </w:r>
      <w:r w:rsidRPr="00CA61A6">
        <w:rPr>
          <w:rFonts w:eastAsia="SimSun"/>
          <w:szCs w:val="24"/>
          <w:lang w:eastAsia="ja-JP"/>
        </w:rPr>
        <w:t xml:space="preserve"> el 9 de junio de 2016 se habían introducido en la base de datos 3 653 términos y 14 277 abreviaturas.</w:t>
      </w:r>
    </w:p>
    <w:p w:rsidR="00450BDD" w:rsidRPr="00CA61A6" w:rsidRDefault="00311F59" w:rsidP="00311F59">
      <w:pPr>
        <w:pStyle w:val="Headingb"/>
        <w:keepLines/>
      </w:pPr>
      <w:bookmarkStart w:id="622" w:name="Item67_03"/>
      <w:r w:rsidRPr="00CA61A6">
        <w:t xml:space="preserve">Acción </w:t>
      </w:r>
      <w:r w:rsidR="00450BDD" w:rsidRPr="00CA61A6">
        <w:t>67-03: TSB</w:t>
      </w:r>
    </w:p>
    <w:bookmarkEnd w:id="622"/>
    <w:p w:rsidR="00450BDD" w:rsidRPr="00CA61A6" w:rsidRDefault="00450BDD" w:rsidP="007B3478">
      <w:pPr>
        <w:rPr>
          <w:rFonts w:eastAsia="SimSun"/>
          <w:szCs w:val="24"/>
          <w:lang w:eastAsia="ja-JP"/>
        </w:rPr>
      </w:pPr>
      <w:r w:rsidRPr="00CA61A6">
        <w:rPr>
          <w:rFonts w:eastAsia="SimSun"/>
          <w:szCs w:val="24"/>
          <w:lang w:eastAsia="ja-JP"/>
        </w:rPr>
        <w:t>Todas las Recomendaciones TAP se han traducido a todos los idiomas oficiales de la Unión en igualdad de condiciones.</w:t>
      </w:r>
    </w:p>
    <w:p w:rsidR="00450BDD" w:rsidRPr="00CA61A6" w:rsidRDefault="00450BDD" w:rsidP="005D2522">
      <w:pPr>
        <w:rPr>
          <w:rFonts w:eastAsia="SimSun"/>
          <w:szCs w:val="24"/>
          <w:lang w:eastAsia="ja-JP"/>
        </w:rPr>
      </w:pPr>
      <w:r w:rsidRPr="00CA61A6">
        <w:rPr>
          <w:rFonts w:eastAsia="SimSun"/>
          <w:szCs w:val="24"/>
          <w:lang w:eastAsia="ja-JP"/>
        </w:rPr>
        <w:t xml:space="preserve">De conformidad con </w:t>
      </w:r>
      <w:r w:rsidR="005D2522">
        <w:rPr>
          <w:rFonts w:eastAsia="SimSun"/>
          <w:szCs w:val="24"/>
          <w:lang w:eastAsia="ja-JP"/>
        </w:rPr>
        <w:t xml:space="preserve">la </w:t>
      </w:r>
      <w:hyperlink w:anchor="Item67_05" w:history="1">
        <w:r w:rsidR="005D2522" w:rsidRPr="003E3F75">
          <w:rPr>
            <w:rStyle w:val="Hyperlink"/>
            <w:rFonts w:eastAsia="SimSun"/>
            <w:szCs w:val="24"/>
            <w:lang w:eastAsia="ja-JP"/>
          </w:rPr>
          <w:t>Acción</w:t>
        </w:r>
        <w:r w:rsidRPr="003E3F75">
          <w:rPr>
            <w:rStyle w:val="Hyperlink"/>
            <w:rFonts w:eastAsia="SimSun"/>
            <w:szCs w:val="24"/>
            <w:lang w:eastAsia="ja-JP"/>
          </w:rPr>
          <w:t xml:space="preserve"> 67-05</w:t>
        </w:r>
      </w:hyperlink>
      <w:r w:rsidRPr="00CA61A6">
        <w:rPr>
          <w:rFonts w:eastAsia="SimSun"/>
          <w:szCs w:val="24"/>
          <w:lang w:eastAsia="ja-JP"/>
        </w:rPr>
        <w:t>, la TSB incluirá en las circulares que anuncian la aprobación de las Recomendaciones AAP una nota que indicará si serán traducidas una vez el mecanismo de selección de las Recomendaciones AAP candidatas haya sido determinado por el GANT y si hay fondos disponibles en el presupuesto.</w:t>
      </w:r>
    </w:p>
    <w:p w:rsidR="00450BDD" w:rsidRPr="00CA61A6" w:rsidRDefault="00311F59" w:rsidP="00311F59">
      <w:pPr>
        <w:pStyle w:val="Headingb"/>
        <w:keepLines/>
      </w:pPr>
      <w:bookmarkStart w:id="623" w:name="Item67_04"/>
      <w:r w:rsidRPr="00CA61A6">
        <w:t xml:space="preserve">Acción </w:t>
      </w:r>
      <w:r w:rsidR="00450BDD" w:rsidRPr="00CA61A6">
        <w:t>67-04: TSB</w:t>
      </w:r>
    </w:p>
    <w:bookmarkEnd w:id="623"/>
    <w:p w:rsidR="00450BDD" w:rsidRPr="00CA61A6" w:rsidRDefault="00450BDD" w:rsidP="007E2697">
      <w:pPr>
        <w:rPr>
          <w:rFonts w:eastAsia="SimSun"/>
          <w:szCs w:val="24"/>
          <w:lang w:eastAsia="ja-JP"/>
        </w:rPr>
      </w:pPr>
      <w:r w:rsidRPr="00CA61A6">
        <w:rPr>
          <w:rFonts w:eastAsia="SimSun"/>
          <w:szCs w:val="24"/>
          <w:lang w:eastAsia="ja-JP"/>
        </w:rPr>
        <w:t>En el Informe de la AMNT-12 a la reunión de 2013 del Consejo (</w:t>
      </w:r>
      <w:hyperlink r:id="rId152" w:history="1">
        <w:r w:rsidRPr="00CA61A6">
          <w:rPr>
            <w:rFonts w:eastAsia="SimSun"/>
            <w:color w:val="0000FF"/>
            <w:szCs w:val="24"/>
            <w:u w:val="single"/>
            <w:lang w:eastAsia="ja-JP"/>
          </w:rPr>
          <w:t>C13/22</w:t>
        </w:r>
      </w:hyperlink>
      <w:r w:rsidRPr="00CA61A6">
        <w:rPr>
          <w:rFonts w:eastAsia="SimSun"/>
          <w:szCs w:val="24"/>
          <w:lang w:eastAsia="ja-JP"/>
        </w:rPr>
        <w:t>) el Director de la TSB invitó al Consejo a tomar las medidas necesarias para garantizar que la información publicada en los sitios web de la UIT esté disponible en todos los idiomas oficiales de la Unión en pie de igualdad, con sujeción a los límites presupuestarios.</w:t>
      </w:r>
    </w:p>
    <w:p w:rsidR="00450BDD" w:rsidRPr="00CA61A6" w:rsidRDefault="00311F59" w:rsidP="00981BCD">
      <w:pPr>
        <w:pStyle w:val="Headingb"/>
        <w:keepLines/>
      </w:pPr>
      <w:bookmarkStart w:id="624" w:name="Item67_05"/>
      <w:r w:rsidRPr="00CA61A6">
        <w:t xml:space="preserve">Acción </w:t>
      </w:r>
      <w:r w:rsidR="00450BDD" w:rsidRPr="00CA61A6">
        <w:t>67-05: GANT</w:t>
      </w:r>
    </w:p>
    <w:bookmarkEnd w:id="624"/>
    <w:p w:rsidR="00450BDD" w:rsidRPr="00CA61A6" w:rsidRDefault="00450BDD" w:rsidP="000349B7">
      <w:pPr>
        <w:jc w:val="both"/>
        <w:rPr>
          <w:rFonts w:eastAsia="SimSun"/>
          <w:lang w:eastAsia="ja-JP"/>
        </w:rPr>
      </w:pPr>
      <w:r w:rsidRPr="00CA61A6">
        <w:rPr>
          <w:rFonts w:eastAsia="SimSun"/>
          <w:lang w:eastAsia="ja-JP"/>
        </w:rPr>
        <w:t>Si bien todas las Recomendaciones aprobadas mediante el proceso de aprobación tradicional (TAP) siguen traduciéndose a los seis idiomas oficiales, la TSB está buscando la manera de traducir más de las Recomendaciones aprobadas siguiendo el proceso de aprobación alternativo (AAP) y que los grupos lingüísticos y las Comisiones de Estudio identificaron como prioritarias. Como solicitó el GANT e</w:t>
      </w:r>
      <w:r w:rsidR="000349B7">
        <w:rPr>
          <w:rFonts w:eastAsia="SimSun"/>
          <w:lang w:eastAsia="ja-JP"/>
        </w:rPr>
        <w:t>n</w:t>
      </w:r>
      <w:r w:rsidRPr="00CA61A6">
        <w:rPr>
          <w:rFonts w:eastAsia="SimSun"/>
          <w:lang w:eastAsia="ja-JP"/>
        </w:rPr>
        <w:t xml:space="preserve"> sus reuniones de 2013 y 2014, la TSB recibió de las Comisiones de Estudio del UIT-T y de los grupos rusófono y sinófono listas de Recomendaciones AAP candidatas para su traducción prioritaria. Desde junio de 2013, se han traducido 48 de esas Recomendaciones AAP prioritarias, incluidas 16 Recomendaciones que se tradujeron en el marco de un ensayo de traducción.</w:t>
      </w:r>
    </w:p>
    <w:p w:rsidR="00450BDD" w:rsidRPr="00CA61A6" w:rsidRDefault="00450BDD" w:rsidP="007B3478">
      <w:pPr>
        <w:jc w:val="both"/>
        <w:rPr>
          <w:rFonts w:eastAsia="SimSun"/>
          <w:szCs w:val="24"/>
          <w:lang w:eastAsia="ja-JP"/>
        </w:rPr>
      </w:pPr>
      <w:r w:rsidRPr="00CA61A6">
        <w:rPr>
          <w:rFonts w:eastAsia="SimSun"/>
          <w:szCs w:val="24"/>
          <w:lang w:eastAsia="ja-JP"/>
        </w:rPr>
        <w:t>El proyecto piloto sobre la traducción de Recomendaciones AAP a precios inferiores por instituciones especializadas en el sector de las telecomunicaciones ha concluido y la TSB da las gracias a los grupos lingüísticos, instituciones especializadas y expertos de Comisiones de Estudio participantes por su apoyo, compromiso y trabajo. Aunque las traducciones recibidas transmiten el significado sin ambigüedades, algunos textos necesitaron de una revisión adicional a fin de armonizar la terminología y la redacción de los textos traducidos con las utilizadas actualmente en el UIT-T</w:t>
      </w:r>
      <w:r w:rsidR="00981BCD" w:rsidRPr="00CA61A6">
        <w:rPr>
          <w:rFonts w:eastAsia="SimSun"/>
          <w:szCs w:val="24"/>
          <w:lang w:eastAsia="ja-JP"/>
        </w:rPr>
        <w:t>.</w:t>
      </w:r>
    </w:p>
    <w:p w:rsidR="00410991" w:rsidRPr="00CA61A6" w:rsidRDefault="00110CAD" w:rsidP="00410991">
      <w:hyperlink w:anchor="Top" w:history="1">
        <w:r w:rsidR="00410991" w:rsidRPr="00CA61A6">
          <w:rPr>
            <w:rStyle w:val="Hyperlink"/>
          </w:rPr>
          <w:t>» Arriba</w:t>
        </w:r>
      </w:hyperlink>
    </w:p>
    <w:p w:rsidR="00450BDD" w:rsidRPr="00CA61A6" w:rsidRDefault="007C5C49" w:rsidP="007C5C49">
      <w:pPr>
        <w:pStyle w:val="Heading1"/>
      </w:pPr>
      <w:bookmarkStart w:id="625" w:name="_36_Resolución_68"/>
      <w:bookmarkStart w:id="626" w:name="_Toc463335787"/>
      <w:bookmarkEnd w:id="625"/>
      <w:r w:rsidRPr="00CA61A6">
        <w:lastRenderedPageBreak/>
        <w:t>36</w:t>
      </w:r>
      <w:r w:rsidRPr="00CA61A6">
        <w:tab/>
        <w:t xml:space="preserve">Resolución </w:t>
      </w:r>
      <w:r w:rsidR="00450BDD" w:rsidRPr="00CA61A6">
        <w:t>68</w:t>
      </w:r>
      <w:r w:rsidRPr="00CA61A6">
        <w:t xml:space="preserve"> – </w:t>
      </w:r>
      <w:r w:rsidR="00450BDD" w:rsidRPr="00CA61A6">
        <w:t>Aplicación de la Resolución 122 (Rev. Guadalajara, 2010) de la Conferencia de Plenipotenciarios sobre la evolución del papel de la Asamblea Mundial de Normalización de las Telecomunicaciones</w:t>
      </w:r>
      <w:bookmarkEnd w:id="626"/>
    </w:p>
    <w:p w:rsidR="00BF5867" w:rsidRPr="00CA61A6" w:rsidRDefault="00BF5867" w:rsidP="00BF5867">
      <w:pPr>
        <w:pStyle w:val="Headingb"/>
        <w:keepLines/>
      </w:pPr>
      <w:r w:rsidRPr="00CA61A6">
        <w:t>Resolución 6</w:t>
      </w:r>
      <w:r w:rsidR="00257B5A" w:rsidRPr="00CA61A6">
        <w:t>8</w:t>
      </w:r>
    </w:p>
    <w:p w:rsidR="00450BDD" w:rsidRPr="00CA61A6" w:rsidRDefault="00450BDD" w:rsidP="007B3478">
      <w:pPr>
        <w:pStyle w:val="Call"/>
      </w:pPr>
      <w:r w:rsidRPr="00CA61A6">
        <w:t>resuelve encargar al Director de la Oficina de Normalización de las Telecomunicaciones</w:t>
      </w:r>
    </w:p>
    <w:p w:rsidR="00450BDD" w:rsidRPr="00CA61A6" w:rsidRDefault="00450BDD" w:rsidP="007B3478">
      <w:r w:rsidRPr="00CA61A6">
        <w:t>1</w:t>
      </w:r>
      <w:r w:rsidRPr="00CA61A6">
        <w:tab/>
        <w:t xml:space="preserve">que organice reuniones para altos ejecutivos del Sector, por ejemplo reuniones de Directores Técnicos (CTO), con el fin de contribuir a la definición y coordinación de las prioridades y los temas en el ámbito de la normalización, a efectos de reducir al mínimo el número de foros y consorcios; </w:t>
      </w:r>
    </w:p>
    <w:p w:rsidR="00450BDD" w:rsidRPr="00CA61A6" w:rsidRDefault="00450BDD" w:rsidP="007B3478">
      <w:r w:rsidRPr="00CA61A6">
        <w:t>2</w:t>
      </w:r>
      <w:r w:rsidRPr="00CA61A6">
        <w:tab/>
        <w:t>que transmita a dichas reuniones las necesidades de los países en desarrollo, previa consulta con los mismos a través de cuestionarios;</w:t>
      </w:r>
    </w:p>
    <w:p w:rsidR="00450BDD" w:rsidRPr="00CA61A6" w:rsidRDefault="00450BDD" w:rsidP="007B3478">
      <w:r w:rsidRPr="00CA61A6">
        <w:t>3</w:t>
      </w:r>
      <w:r w:rsidRPr="00CA61A6">
        <w:tab/>
        <w:t>que cree mecanismos eficaces para atraer a un número creciente de altos ejecutivos técnicos del sector tecnológico para que participen en estas reuniones a fin de mejorar la cooperación, la colaboración y la coordinación con sus organizaciones y alentar a estas últimas a adherirse al UIT-T como uno o varios Miembros de Sector, según proceda;</w:t>
      </w:r>
    </w:p>
    <w:p w:rsidR="00450BDD" w:rsidRPr="00CA61A6" w:rsidRDefault="00450BDD" w:rsidP="00220348">
      <w:pPr>
        <w:spacing w:after="120"/>
      </w:pPr>
      <w:r w:rsidRPr="00CA61A6">
        <w:t>4</w:t>
      </w:r>
      <w:r w:rsidRPr="00CA61A6">
        <w:tab/>
        <w:t>que informe al Grupo Asesor de Normalización de las Telecomunicaciones y a la próxima AMNT acerca de los avances logrados en relación con la presente Resolución, indicando cuáles son las enseñanzas extraídas.</w:t>
      </w:r>
    </w:p>
    <w:tbl>
      <w:tblPr>
        <w:tblW w:w="9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1"/>
        <w:gridCol w:w="4876"/>
        <w:gridCol w:w="1514"/>
        <w:gridCol w:w="1170"/>
        <w:gridCol w:w="1275"/>
      </w:tblGrid>
      <w:tr w:rsidR="00450BDD" w:rsidRPr="00CA61A6" w:rsidTr="00FA4DAF">
        <w:trPr>
          <w:cantSplit/>
          <w:tblHeader/>
          <w:jc w:val="center"/>
        </w:trPr>
        <w:tc>
          <w:tcPr>
            <w:tcW w:w="931" w:type="dxa"/>
            <w:tcBorders>
              <w:bottom w:val="double" w:sz="4" w:space="0" w:color="auto"/>
            </w:tcBorders>
            <w:shd w:val="clear" w:color="auto" w:fill="auto"/>
            <w:vAlign w:val="center"/>
          </w:tcPr>
          <w:p w:rsidR="00450BDD" w:rsidRPr="00CA61A6" w:rsidRDefault="00450BDD" w:rsidP="00293463">
            <w:pPr>
              <w:pStyle w:val="Tablehead"/>
            </w:pPr>
            <w:r w:rsidRPr="00CA61A6">
              <w:t>Número</w:t>
            </w:r>
          </w:p>
        </w:tc>
        <w:tc>
          <w:tcPr>
            <w:tcW w:w="4876" w:type="dxa"/>
            <w:tcBorders>
              <w:bottom w:val="double" w:sz="4" w:space="0" w:color="auto"/>
            </w:tcBorders>
            <w:shd w:val="clear" w:color="auto" w:fill="auto"/>
            <w:vAlign w:val="center"/>
            <w:hideMark/>
          </w:tcPr>
          <w:p w:rsidR="00450BDD" w:rsidRPr="00CA61A6" w:rsidRDefault="00450BDD" w:rsidP="00293463">
            <w:pPr>
              <w:pStyle w:val="Tablehead"/>
            </w:pPr>
            <w:r w:rsidRPr="00CA61A6">
              <w:t>Acción</w:t>
            </w:r>
          </w:p>
        </w:tc>
        <w:tc>
          <w:tcPr>
            <w:tcW w:w="1514" w:type="dxa"/>
            <w:tcBorders>
              <w:bottom w:val="double" w:sz="4" w:space="0" w:color="auto"/>
            </w:tcBorders>
            <w:shd w:val="clear" w:color="auto" w:fill="auto"/>
            <w:vAlign w:val="center"/>
            <w:hideMark/>
          </w:tcPr>
          <w:p w:rsidR="00450BDD" w:rsidRPr="00CA61A6" w:rsidRDefault="00450BDD" w:rsidP="00293463">
            <w:pPr>
              <w:pStyle w:val="Tablehead"/>
            </w:pPr>
            <w:r w:rsidRPr="00CA61A6">
              <w:t>Fecha objetivo</w:t>
            </w:r>
          </w:p>
        </w:tc>
        <w:tc>
          <w:tcPr>
            <w:tcW w:w="1170" w:type="dxa"/>
            <w:tcBorders>
              <w:bottom w:val="double" w:sz="4" w:space="0" w:color="auto"/>
            </w:tcBorders>
            <w:shd w:val="clear" w:color="auto" w:fill="auto"/>
          </w:tcPr>
          <w:p w:rsidR="00450BDD" w:rsidRPr="00CA61A6" w:rsidRDefault="00450BDD" w:rsidP="00293463">
            <w:pPr>
              <w:pStyle w:val="Tablehead"/>
            </w:pPr>
            <w:r w:rsidRPr="00CA61A6">
              <w:t>Objetivos periódicos cumplidos</w:t>
            </w:r>
          </w:p>
        </w:tc>
        <w:tc>
          <w:tcPr>
            <w:tcW w:w="1275" w:type="dxa"/>
            <w:tcBorders>
              <w:bottom w:val="double" w:sz="4" w:space="0" w:color="auto"/>
            </w:tcBorders>
            <w:shd w:val="clear" w:color="auto" w:fill="auto"/>
            <w:vAlign w:val="center"/>
          </w:tcPr>
          <w:p w:rsidR="00450BDD" w:rsidRPr="00CA61A6" w:rsidRDefault="00450BDD" w:rsidP="00293463">
            <w:pPr>
              <w:pStyle w:val="Tablehead"/>
            </w:pPr>
            <w:r w:rsidRPr="00CA61A6">
              <w:t>Completada</w:t>
            </w:r>
          </w:p>
        </w:tc>
      </w:tr>
      <w:tr w:rsidR="00450BDD" w:rsidRPr="00CA61A6" w:rsidTr="00FA4DAF">
        <w:trPr>
          <w:cantSplit/>
          <w:jc w:val="center"/>
        </w:trPr>
        <w:tc>
          <w:tcPr>
            <w:tcW w:w="931" w:type="dxa"/>
            <w:tcBorders>
              <w:top w:val="double" w:sz="4" w:space="0" w:color="auto"/>
            </w:tcBorders>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68_02" w:history="1">
              <w:r w:rsidR="00450BDD" w:rsidRPr="00CA61A6">
                <w:rPr>
                  <w:color w:val="0000FF"/>
                  <w:sz w:val="20"/>
                  <w:u w:val="single"/>
                </w:rPr>
                <w:t>68-01</w:t>
              </w:r>
            </w:hyperlink>
          </w:p>
        </w:tc>
        <w:tc>
          <w:tcPr>
            <w:tcW w:w="4876" w:type="dxa"/>
            <w:tcBorders>
              <w:top w:val="double" w:sz="4" w:space="0" w:color="auto"/>
            </w:tcBorders>
            <w:shd w:val="clear" w:color="auto" w:fill="auto"/>
            <w:hideMark/>
          </w:tcPr>
          <w:p w:rsidR="00450BDD" w:rsidRPr="00CA61A6" w:rsidRDefault="00343F12" w:rsidP="00343F12">
            <w:pPr>
              <w:pStyle w:val="Tabletext"/>
            </w:pPr>
            <w:r>
              <w:t>E</w:t>
            </w:r>
            <w:r w:rsidR="00450BDD" w:rsidRPr="00CA61A6">
              <w:t>l Director organi</w:t>
            </w:r>
            <w:r>
              <w:t>zará</w:t>
            </w:r>
            <w:r w:rsidR="00450BDD" w:rsidRPr="00CA61A6">
              <w:t xml:space="preserve"> reuniones de Directores Técnicos (CTO)</w:t>
            </w:r>
          </w:p>
        </w:tc>
        <w:tc>
          <w:tcPr>
            <w:tcW w:w="1514" w:type="dxa"/>
            <w:tcBorders>
              <w:top w:val="double" w:sz="4" w:space="0" w:color="auto"/>
            </w:tcBorders>
            <w:shd w:val="clear" w:color="auto" w:fill="auto"/>
            <w:vAlign w:val="center"/>
            <w:hideMark/>
          </w:tcPr>
          <w:p w:rsidR="00450BDD" w:rsidRPr="00CA61A6" w:rsidRDefault="00450BDD" w:rsidP="005D2FA4">
            <w:pPr>
              <w:pStyle w:val="Tabletext"/>
              <w:jc w:val="center"/>
            </w:pPr>
            <w:r w:rsidRPr="00CA61A6">
              <w:t>En curso</w:t>
            </w:r>
          </w:p>
        </w:tc>
        <w:tc>
          <w:tcPr>
            <w:tcW w:w="1170" w:type="dxa"/>
            <w:tcBorders>
              <w:top w:val="double" w:sz="4" w:space="0" w:color="auto"/>
            </w:tcBorders>
            <w:shd w:val="clear" w:color="auto" w:fill="auto"/>
            <w:vAlign w:val="center"/>
          </w:tcPr>
          <w:p w:rsidR="00450BDD" w:rsidRPr="00CA61A6" w:rsidRDefault="005D2FA4" w:rsidP="005D2FA4">
            <w:pPr>
              <w:pStyle w:val="Tabletext"/>
              <w:jc w:val="center"/>
            </w:pPr>
            <w:r w:rsidRPr="00CA61A6">
              <w:sym w:font="Wingdings" w:char="F0FC"/>
            </w:r>
          </w:p>
        </w:tc>
        <w:tc>
          <w:tcPr>
            <w:tcW w:w="1275" w:type="dxa"/>
            <w:tcBorders>
              <w:top w:val="double" w:sz="4" w:space="0" w:color="auto"/>
            </w:tcBorders>
            <w:shd w:val="clear" w:color="auto" w:fill="auto"/>
            <w:vAlign w:val="center"/>
          </w:tcPr>
          <w:p w:rsidR="00450BDD" w:rsidRPr="00CA61A6" w:rsidRDefault="00450BD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p>
        </w:tc>
      </w:tr>
      <w:tr w:rsidR="00450BDD" w:rsidRPr="00CA61A6" w:rsidTr="00FA4DAF">
        <w:trPr>
          <w:cantSplit/>
          <w:jc w:val="center"/>
        </w:trPr>
        <w:tc>
          <w:tcPr>
            <w:tcW w:w="931" w:type="dxa"/>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68_02" w:history="1">
              <w:r w:rsidR="00450BDD" w:rsidRPr="00CA61A6">
                <w:rPr>
                  <w:color w:val="0000FF"/>
                  <w:sz w:val="20"/>
                  <w:u w:val="single"/>
                </w:rPr>
                <w:t>68-02</w:t>
              </w:r>
            </w:hyperlink>
          </w:p>
        </w:tc>
        <w:tc>
          <w:tcPr>
            <w:tcW w:w="4876" w:type="dxa"/>
            <w:shd w:val="clear" w:color="auto" w:fill="auto"/>
            <w:hideMark/>
          </w:tcPr>
          <w:p w:rsidR="00450BDD" w:rsidRPr="00CA61A6" w:rsidRDefault="00343F12" w:rsidP="00D97065">
            <w:pPr>
              <w:pStyle w:val="Tabletext"/>
            </w:pPr>
            <w:r>
              <w:t>E</w:t>
            </w:r>
            <w:r w:rsidR="00450BDD" w:rsidRPr="00CA61A6">
              <w:t>l Director cre</w:t>
            </w:r>
            <w:r>
              <w:t>ará</w:t>
            </w:r>
            <w:r w:rsidR="00450BDD" w:rsidRPr="00CA61A6">
              <w:t xml:space="preserve"> mecanismos eficaces para atraer a un número creciente </w:t>
            </w:r>
            <w:r w:rsidR="001260B3">
              <w:t xml:space="preserve">de </w:t>
            </w:r>
            <w:r w:rsidR="00450BDD" w:rsidRPr="00CA61A6">
              <w:t>participantes y foment</w:t>
            </w:r>
            <w:r w:rsidR="00D97065">
              <w:t>ar</w:t>
            </w:r>
            <w:r w:rsidR="00450BDD" w:rsidRPr="00CA61A6">
              <w:t xml:space="preserve"> las adhesiones al UIT-T</w:t>
            </w:r>
          </w:p>
        </w:tc>
        <w:tc>
          <w:tcPr>
            <w:tcW w:w="1514" w:type="dxa"/>
            <w:shd w:val="clear" w:color="auto" w:fill="auto"/>
            <w:vAlign w:val="center"/>
          </w:tcPr>
          <w:p w:rsidR="00450BDD" w:rsidRPr="00CA61A6" w:rsidRDefault="00450BDD" w:rsidP="005D2FA4">
            <w:pPr>
              <w:pStyle w:val="Tabletext"/>
              <w:jc w:val="center"/>
            </w:pPr>
            <w:r w:rsidRPr="00CA61A6">
              <w:t>En curso</w:t>
            </w:r>
          </w:p>
        </w:tc>
        <w:tc>
          <w:tcPr>
            <w:tcW w:w="1170" w:type="dxa"/>
            <w:shd w:val="clear" w:color="auto" w:fill="auto"/>
            <w:vAlign w:val="center"/>
          </w:tcPr>
          <w:p w:rsidR="00450BDD" w:rsidRPr="00CA61A6" w:rsidRDefault="005D2FA4" w:rsidP="005D2FA4">
            <w:pPr>
              <w:pStyle w:val="Tabletext"/>
              <w:jc w:val="center"/>
            </w:pPr>
            <w:r w:rsidRPr="00CA61A6">
              <w:sym w:font="Wingdings" w:char="F0FC"/>
            </w:r>
          </w:p>
        </w:tc>
        <w:tc>
          <w:tcPr>
            <w:tcW w:w="1275" w:type="dxa"/>
            <w:shd w:val="clear" w:color="auto" w:fill="auto"/>
            <w:vAlign w:val="center"/>
          </w:tcPr>
          <w:p w:rsidR="00450BDD" w:rsidRPr="00CA61A6" w:rsidRDefault="00450BD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p>
        </w:tc>
      </w:tr>
      <w:tr w:rsidR="00450BDD" w:rsidRPr="00CA61A6" w:rsidTr="00FA4DAF">
        <w:trPr>
          <w:cantSplit/>
          <w:jc w:val="center"/>
        </w:trPr>
        <w:tc>
          <w:tcPr>
            <w:tcW w:w="931" w:type="dxa"/>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68_03" w:history="1">
              <w:r w:rsidR="00450BDD" w:rsidRPr="00CA61A6">
                <w:rPr>
                  <w:color w:val="0000FF"/>
                  <w:sz w:val="20"/>
                  <w:u w:val="single"/>
                </w:rPr>
                <w:t>68-03</w:t>
              </w:r>
            </w:hyperlink>
          </w:p>
        </w:tc>
        <w:tc>
          <w:tcPr>
            <w:tcW w:w="4876" w:type="dxa"/>
            <w:shd w:val="clear" w:color="auto" w:fill="auto"/>
            <w:hideMark/>
          </w:tcPr>
          <w:p w:rsidR="00450BDD" w:rsidRPr="00CA61A6" w:rsidRDefault="00343F12" w:rsidP="00343F12">
            <w:pPr>
              <w:pStyle w:val="Tabletext"/>
            </w:pPr>
            <w:r>
              <w:t>La</w:t>
            </w:r>
            <w:r w:rsidR="00450BDD" w:rsidRPr="00CA61A6">
              <w:t xml:space="preserve"> TSB elabor</w:t>
            </w:r>
            <w:r>
              <w:t>ará</w:t>
            </w:r>
            <w:r w:rsidR="00450BDD" w:rsidRPr="00CA61A6">
              <w:t xml:space="preserve"> un cuestionario y, antes de las reuniones CTO, lo distribu</w:t>
            </w:r>
            <w:r>
              <w:t>irá</w:t>
            </w:r>
            <w:r w:rsidR="00450BDD" w:rsidRPr="00CA61A6">
              <w:t xml:space="preserve"> a los países en desarrollo para conocer sus necesidades de normalización</w:t>
            </w:r>
          </w:p>
        </w:tc>
        <w:tc>
          <w:tcPr>
            <w:tcW w:w="1514" w:type="dxa"/>
            <w:shd w:val="clear" w:color="auto" w:fill="auto"/>
            <w:vAlign w:val="center"/>
          </w:tcPr>
          <w:p w:rsidR="00450BDD" w:rsidRPr="00CA61A6" w:rsidRDefault="00450BDD" w:rsidP="005D2FA4">
            <w:pPr>
              <w:pStyle w:val="Tabletext"/>
              <w:jc w:val="center"/>
            </w:pPr>
            <w:r w:rsidRPr="00CA61A6">
              <w:t>En curso</w:t>
            </w:r>
          </w:p>
        </w:tc>
        <w:tc>
          <w:tcPr>
            <w:tcW w:w="1170" w:type="dxa"/>
            <w:shd w:val="clear" w:color="auto" w:fill="auto"/>
            <w:vAlign w:val="center"/>
          </w:tcPr>
          <w:p w:rsidR="00450BDD" w:rsidRPr="00CA61A6" w:rsidRDefault="00450BDD" w:rsidP="005D2FA4">
            <w:pPr>
              <w:pStyle w:val="Tabletext"/>
              <w:jc w:val="center"/>
            </w:pPr>
            <w:r w:rsidRPr="00CA61A6">
              <w:t>×</w:t>
            </w:r>
          </w:p>
        </w:tc>
        <w:tc>
          <w:tcPr>
            <w:tcW w:w="1275" w:type="dxa"/>
            <w:shd w:val="clear" w:color="auto" w:fill="auto"/>
            <w:vAlign w:val="center"/>
          </w:tcPr>
          <w:p w:rsidR="00450BDD" w:rsidRPr="00CA61A6" w:rsidRDefault="00450BD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p>
        </w:tc>
      </w:tr>
      <w:tr w:rsidR="00450BDD" w:rsidRPr="00CA61A6" w:rsidTr="00FA4DAF">
        <w:trPr>
          <w:cantSplit/>
          <w:jc w:val="center"/>
        </w:trPr>
        <w:tc>
          <w:tcPr>
            <w:tcW w:w="931" w:type="dxa"/>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68_04" w:history="1">
              <w:r w:rsidR="00450BDD" w:rsidRPr="00CA61A6">
                <w:rPr>
                  <w:color w:val="0000FF"/>
                  <w:sz w:val="20"/>
                  <w:u w:val="single"/>
                </w:rPr>
                <w:t>68-04</w:t>
              </w:r>
            </w:hyperlink>
          </w:p>
        </w:tc>
        <w:tc>
          <w:tcPr>
            <w:tcW w:w="4876" w:type="dxa"/>
            <w:shd w:val="clear" w:color="auto" w:fill="auto"/>
          </w:tcPr>
          <w:p w:rsidR="00450BDD" w:rsidRPr="00CA61A6" w:rsidRDefault="00343F12" w:rsidP="00E45118">
            <w:pPr>
              <w:pStyle w:val="Tabletext"/>
            </w:pPr>
            <w:r>
              <w:t>E</w:t>
            </w:r>
            <w:r w:rsidR="00450BDD" w:rsidRPr="00CA61A6">
              <w:t>l Director inform</w:t>
            </w:r>
            <w:r w:rsidR="00E45118">
              <w:t>ará</w:t>
            </w:r>
            <w:r w:rsidR="00450BDD" w:rsidRPr="00CA61A6">
              <w:t xml:space="preserve"> al GANT y a la AMNT-16 acerca de los avances logrados y las lecciones extraídas</w:t>
            </w:r>
          </w:p>
        </w:tc>
        <w:tc>
          <w:tcPr>
            <w:tcW w:w="1514" w:type="dxa"/>
            <w:shd w:val="clear" w:color="auto" w:fill="auto"/>
            <w:vAlign w:val="center"/>
          </w:tcPr>
          <w:p w:rsidR="00450BDD" w:rsidRPr="00CA61A6" w:rsidRDefault="00450BDD" w:rsidP="005D2FA4">
            <w:pPr>
              <w:pStyle w:val="Tabletext"/>
              <w:jc w:val="center"/>
            </w:pPr>
            <w:r w:rsidRPr="00CA61A6">
              <w:t>En curso</w:t>
            </w:r>
          </w:p>
        </w:tc>
        <w:tc>
          <w:tcPr>
            <w:tcW w:w="1170" w:type="dxa"/>
            <w:shd w:val="clear" w:color="auto" w:fill="auto"/>
            <w:vAlign w:val="center"/>
          </w:tcPr>
          <w:p w:rsidR="00450BDD" w:rsidRPr="00CA61A6" w:rsidRDefault="005D2FA4" w:rsidP="005D2FA4">
            <w:pPr>
              <w:pStyle w:val="Tabletext"/>
              <w:jc w:val="center"/>
            </w:pPr>
            <w:r w:rsidRPr="00CA61A6">
              <w:sym w:font="Wingdings" w:char="F0FC"/>
            </w:r>
          </w:p>
        </w:tc>
        <w:tc>
          <w:tcPr>
            <w:tcW w:w="1275" w:type="dxa"/>
            <w:shd w:val="clear" w:color="auto" w:fill="auto"/>
            <w:vAlign w:val="center"/>
          </w:tcPr>
          <w:p w:rsidR="00450BDD" w:rsidRPr="00CA61A6" w:rsidRDefault="00450BD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p>
        </w:tc>
      </w:tr>
    </w:tbl>
    <w:p w:rsidR="00450BDD" w:rsidRPr="00CA61A6" w:rsidRDefault="00F96BE1" w:rsidP="006C25F0">
      <w:pPr>
        <w:pStyle w:val="Headingb"/>
        <w:keepLines/>
      </w:pPr>
      <w:r w:rsidRPr="00CA61A6">
        <w:t xml:space="preserve">Acciones </w:t>
      </w:r>
      <w:r w:rsidR="00450BDD" w:rsidRPr="00CA61A6">
        <w:t xml:space="preserve">68-01 y </w:t>
      </w:r>
      <w:bookmarkStart w:id="627" w:name="Item68_02"/>
      <w:bookmarkEnd w:id="627"/>
      <w:r w:rsidR="00450BDD" w:rsidRPr="00CA61A6">
        <w:t>68-02: TSB</w:t>
      </w:r>
    </w:p>
    <w:p w:rsidR="00450BDD" w:rsidRPr="00CA61A6" w:rsidRDefault="00450BDD" w:rsidP="007B3478">
      <w:pPr>
        <w:rPr>
          <w:rFonts w:eastAsia="SimSun"/>
          <w:szCs w:val="24"/>
          <w:lang w:eastAsia="ja-JP"/>
        </w:rPr>
      </w:pPr>
      <w:r w:rsidRPr="00CA61A6">
        <w:rPr>
          <w:rFonts w:eastAsia="SimSun"/>
          <w:szCs w:val="24"/>
          <w:lang w:eastAsia="ja-JP"/>
        </w:rPr>
        <w:t xml:space="preserve">Las reuniones del Grupo CTO se celebran coincidiendo con grandes eventos de la industria para facilitar la participación. La quinta reunión se celebró el lunes 18 de noviembre de 2013 en Bangkok, Tailandia, con ocasión de ITU </w:t>
      </w:r>
      <w:r w:rsidR="005F5F3B" w:rsidRPr="00CA61A6">
        <w:rPr>
          <w:rFonts w:eastAsia="SimSun"/>
          <w:szCs w:val="24"/>
          <w:lang w:eastAsia="ja-JP"/>
        </w:rPr>
        <w:t xml:space="preserve">Telecom </w:t>
      </w:r>
      <w:r w:rsidRPr="00CA61A6">
        <w:rPr>
          <w:rFonts w:eastAsia="SimSun"/>
          <w:szCs w:val="24"/>
          <w:lang w:eastAsia="ja-JP"/>
        </w:rPr>
        <w:t xml:space="preserve">World 2013. La sexta reunión coincidió con ITU </w:t>
      </w:r>
      <w:r w:rsidR="005F5F3B" w:rsidRPr="00CA61A6">
        <w:rPr>
          <w:rFonts w:eastAsia="SimSun"/>
          <w:szCs w:val="24"/>
          <w:lang w:eastAsia="ja-JP"/>
        </w:rPr>
        <w:t xml:space="preserve">Telecom </w:t>
      </w:r>
      <w:r w:rsidRPr="00CA61A6">
        <w:rPr>
          <w:rFonts w:eastAsia="SimSun"/>
          <w:szCs w:val="24"/>
          <w:lang w:eastAsia="ja-JP"/>
        </w:rPr>
        <w:t>World 2014, en Doha, Qatar.</w:t>
      </w:r>
    </w:p>
    <w:p w:rsidR="00450BDD" w:rsidRPr="00CA61A6" w:rsidRDefault="00450BDD" w:rsidP="007B3478">
      <w:pPr>
        <w:rPr>
          <w:rFonts w:eastAsia="SimSun"/>
          <w:szCs w:val="24"/>
          <w:lang w:eastAsia="ja-JP"/>
        </w:rPr>
      </w:pPr>
      <w:r w:rsidRPr="00CA61A6">
        <w:rPr>
          <w:rFonts w:eastAsia="SimSun"/>
          <w:szCs w:val="24"/>
          <w:lang w:eastAsia="ja-JP"/>
        </w:rPr>
        <w:t xml:space="preserve">Se celebró una reunión de CTO de China, Japón y Corea en Seúl, Corea, el 14 de abril de 2015. </w:t>
      </w:r>
      <w:hyperlink r:id="rId153" w:history="1">
        <w:r w:rsidRPr="00CA61A6">
          <w:rPr>
            <w:rFonts w:eastAsia="SimSun"/>
            <w:color w:val="0000FF"/>
            <w:szCs w:val="24"/>
            <w:u w:val="single"/>
            <w:lang w:eastAsia="ja-JP"/>
          </w:rPr>
          <w:t>Aquí</w:t>
        </w:r>
      </w:hyperlink>
      <w:r w:rsidRPr="00CA61A6">
        <w:rPr>
          <w:rFonts w:eastAsia="SimSun"/>
          <w:szCs w:val="24"/>
          <w:lang w:eastAsia="ja-JP"/>
        </w:rPr>
        <w:t xml:space="preserve"> puede encontrarse el comunicado de la reunión. La séptima reunión CTO se celebró el 11 de octubre de 2015, coincidiendo con ITU </w:t>
      </w:r>
      <w:r w:rsidR="00234824" w:rsidRPr="00CA61A6">
        <w:rPr>
          <w:rFonts w:eastAsia="SimSun"/>
          <w:szCs w:val="24"/>
          <w:lang w:eastAsia="ja-JP"/>
        </w:rPr>
        <w:t xml:space="preserve">Telecom </w:t>
      </w:r>
      <w:r w:rsidRPr="00CA61A6">
        <w:rPr>
          <w:rFonts w:eastAsia="SimSun"/>
          <w:szCs w:val="24"/>
          <w:lang w:eastAsia="ja-JP"/>
        </w:rPr>
        <w:t xml:space="preserve">WORLD 2015, en Budapest, Hungría. Al mismo tiempo se celebraron una reunión del Grupo CTO con los Presidentes de las Comisiones de Estudio y la primera Asamblea de Directivos de Comisiones de Estudio. El comunicado correspondiente puede encontrarse </w:t>
      </w:r>
      <w:hyperlink r:id="rId154" w:history="1">
        <w:r w:rsidRPr="00CA61A6">
          <w:rPr>
            <w:rFonts w:eastAsia="SimSun"/>
            <w:color w:val="0000FF"/>
            <w:szCs w:val="24"/>
            <w:u w:val="single"/>
            <w:lang w:eastAsia="ja-JP"/>
          </w:rPr>
          <w:t>aquí</w:t>
        </w:r>
      </w:hyperlink>
      <w:r w:rsidRPr="00CA61A6">
        <w:rPr>
          <w:rFonts w:eastAsia="SimSun"/>
          <w:szCs w:val="24"/>
          <w:lang w:eastAsia="ja-JP"/>
        </w:rPr>
        <w:t>.</w:t>
      </w:r>
    </w:p>
    <w:p w:rsidR="00450BDD" w:rsidRPr="00CA61A6" w:rsidRDefault="00450BDD" w:rsidP="00DA1E08">
      <w:pPr>
        <w:rPr>
          <w:rFonts w:eastAsia="SimSun"/>
          <w:lang w:eastAsia="ja-JP"/>
        </w:rPr>
      </w:pPr>
      <w:r w:rsidRPr="00CA61A6">
        <w:rPr>
          <w:rFonts w:eastAsia="SimSun"/>
          <w:lang w:eastAsia="ja-JP"/>
        </w:rPr>
        <w:lastRenderedPageBreak/>
        <w:t xml:space="preserve">Podrá encontrar toda la documentación relativa a las reuniones del Grupo CTO, incluidas las listas de participantes, órdenes del día y comunicados, </w:t>
      </w:r>
      <w:hyperlink r:id="rId155" w:history="1">
        <w:r w:rsidRPr="00CA61A6">
          <w:rPr>
            <w:rFonts w:eastAsia="SimSun"/>
            <w:color w:val="0000FF"/>
            <w:u w:val="single"/>
            <w:lang w:eastAsia="ja-JP"/>
          </w:rPr>
          <w:t>aquí</w:t>
        </w:r>
      </w:hyperlink>
      <w:r w:rsidRPr="00CA61A6">
        <w:rPr>
          <w:rFonts w:eastAsia="SimSun"/>
          <w:lang w:eastAsia="ja-JP"/>
        </w:rPr>
        <w:t>.</w:t>
      </w:r>
    </w:p>
    <w:p w:rsidR="00450BDD" w:rsidRPr="00CA61A6" w:rsidRDefault="001B2A2A" w:rsidP="00E22DD3">
      <w:pPr>
        <w:pStyle w:val="Headingb"/>
        <w:keepLines/>
      </w:pPr>
      <w:bookmarkStart w:id="628" w:name="Item68_03"/>
      <w:bookmarkEnd w:id="628"/>
      <w:r w:rsidRPr="00CA61A6">
        <w:t xml:space="preserve">Acción </w:t>
      </w:r>
      <w:r w:rsidR="00450BDD" w:rsidRPr="00CA61A6">
        <w:t>68-03: TSB</w:t>
      </w:r>
    </w:p>
    <w:p w:rsidR="00450BDD" w:rsidRPr="00CA61A6" w:rsidRDefault="001B2A2A" w:rsidP="00E22DD3">
      <w:pPr>
        <w:pStyle w:val="Headingb"/>
        <w:keepLines/>
      </w:pPr>
      <w:bookmarkStart w:id="629" w:name="Item68_04"/>
      <w:bookmarkEnd w:id="629"/>
      <w:r w:rsidRPr="00CA61A6">
        <w:t xml:space="preserve">Acción </w:t>
      </w:r>
      <w:r w:rsidR="00450BDD" w:rsidRPr="00CA61A6">
        <w:t>68-04: TSB</w:t>
      </w:r>
    </w:p>
    <w:p w:rsidR="00450BDD" w:rsidRPr="00CA61A6" w:rsidRDefault="00450BDD" w:rsidP="007B3478">
      <w:pPr>
        <w:rPr>
          <w:rFonts w:eastAsia="SimSun"/>
          <w:szCs w:val="24"/>
          <w:lang w:eastAsia="ja-JP"/>
        </w:rPr>
      </w:pPr>
      <w:r w:rsidRPr="00CA61A6">
        <w:rPr>
          <w:rFonts w:eastAsia="SimSun"/>
          <w:szCs w:val="24"/>
          <w:lang w:eastAsia="ja-JP"/>
        </w:rPr>
        <w:t>Se comunicaron los resultados de las reuniones CTO al GANT, que procedió a su examen. Véase el Informe del GANT a la AMNT-16</w:t>
      </w:r>
      <w:r w:rsidR="00E22DD3" w:rsidRPr="00CA61A6">
        <w:rPr>
          <w:rFonts w:eastAsia="SimSun"/>
          <w:szCs w:val="24"/>
          <w:lang w:eastAsia="ja-JP"/>
        </w:rPr>
        <w:t>.</w:t>
      </w:r>
    </w:p>
    <w:p w:rsidR="001B3D7D" w:rsidRPr="00CA61A6" w:rsidRDefault="00110CAD" w:rsidP="001B3D7D">
      <w:hyperlink w:anchor="Top" w:history="1">
        <w:r w:rsidR="001B3D7D" w:rsidRPr="00CA61A6">
          <w:rPr>
            <w:rStyle w:val="Hyperlink"/>
          </w:rPr>
          <w:t>» Arriba</w:t>
        </w:r>
      </w:hyperlink>
    </w:p>
    <w:p w:rsidR="00450BDD" w:rsidRPr="00CA61A6" w:rsidRDefault="002E5A92" w:rsidP="002E5A92">
      <w:pPr>
        <w:pStyle w:val="Heading1"/>
      </w:pPr>
      <w:bookmarkStart w:id="630" w:name="_37_Resolución_69"/>
      <w:bookmarkStart w:id="631" w:name="_Toc463335788"/>
      <w:bookmarkEnd w:id="630"/>
      <w:r w:rsidRPr="00CA61A6">
        <w:t>37</w:t>
      </w:r>
      <w:r w:rsidRPr="00CA61A6">
        <w:tab/>
        <w:t xml:space="preserve">Resolución </w:t>
      </w:r>
      <w:r w:rsidR="00450BDD" w:rsidRPr="00CA61A6">
        <w:t>69</w:t>
      </w:r>
      <w:r w:rsidRPr="00CA61A6">
        <w:t xml:space="preserve"> – </w:t>
      </w:r>
      <w:r w:rsidR="00450BDD" w:rsidRPr="00CA61A6">
        <w:t>Acceso y utilización no discriminatorios de los recursos de Internet</w:t>
      </w:r>
      <w:bookmarkEnd w:id="631"/>
    </w:p>
    <w:p w:rsidR="002322BD" w:rsidRPr="00CA61A6" w:rsidRDefault="002322BD" w:rsidP="002322BD">
      <w:pPr>
        <w:pStyle w:val="Headingb"/>
        <w:keepLines/>
      </w:pPr>
      <w:r w:rsidRPr="00CA61A6">
        <w:t>Resolución 69</w:t>
      </w:r>
    </w:p>
    <w:p w:rsidR="00450BDD" w:rsidRPr="00CA61A6" w:rsidRDefault="00450BDD" w:rsidP="007B3478">
      <w:pPr>
        <w:pStyle w:val="Call"/>
      </w:pPr>
      <w:r w:rsidRPr="00CA61A6">
        <w:t>resuelve invitar a los Estados Miembros</w:t>
      </w:r>
    </w:p>
    <w:p w:rsidR="00450BDD" w:rsidRPr="00CA61A6" w:rsidRDefault="00450BDD" w:rsidP="007B3478">
      <w:r w:rsidRPr="00CA61A6">
        <w:t>1</w:t>
      </w:r>
      <w:r w:rsidRPr="00CA61A6">
        <w:tab/>
        <w:t>a que se abstengan de tomar medidas unilaterales y/o discriminatorias que pudieran impedir a otro Estado Miembro acceder a los sitios públicos de Internet y utilizar los recursos, en consonancia con el espíritu del Artículo 1 de la Constitución y los principios de la CMSI;</w:t>
      </w:r>
    </w:p>
    <w:p w:rsidR="00450BDD" w:rsidRPr="00CA61A6" w:rsidRDefault="00450BDD" w:rsidP="007B3478">
      <w:r w:rsidRPr="00CA61A6">
        <w:t>2</w:t>
      </w:r>
      <w:r w:rsidRPr="00CA61A6">
        <w:tab/>
        <w:t>a que informen al Director de la Oficina de Normalización de las Telecomunicaciones (TSB) de cualquier incidente de los que se mencionan en el párrafo 1 anterior,</w:t>
      </w:r>
    </w:p>
    <w:p w:rsidR="00450BDD" w:rsidRPr="00CA61A6" w:rsidRDefault="00450BDD" w:rsidP="007B3478">
      <w:pPr>
        <w:pStyle w:val="Call"/>
      </w:pPr>
      <w:r w:rsidRPr="00CA61A6">
        <w:t>encarga al Director de la Oficina de Normalización de las Telecomunicaciones</w:t>
      </w:r>
    </w:p>
    <w:p w:rsidR="00450BDD" w:rsidRPr="00CA61A6" w:rsidRDefault="00450BDD" w:rsidP="007B3478">
      <w:pPr>
        <w:spacing w:before="100"/>
      </w:pPr>
      <w:r w:rsidRPr="00CA61A6">
        <w:t>1</w:t>
      </w:r>
      <w:r w:rsidRPr="00CA61A6">
        <w:tab/>
        <w:t>que recopile y analice la información sobre incidentes que remitan los Estados Miembros;</w:t>
      </w:r>
    </w:p>
    <w:p w:rsidR="00450BDD" w:rsidRPr="00CA61A6" w:rsidRDefault="00450BDD" w:rsidP="007B3478">
      <w:pPr>
        <w:spacing w:before="100"/>
      </w:pPr>
      <w:r w:rsidRPr="00CA61A6">
        <w:t>2</w:t>
      </w:r>
      <w:r w:rsidRPr="00CA61A6">
        <w:tab/>
        <w:t>que remita dicha información a los Estados Miembros a través de un mecanismo apropiado;</w:t>
      </w:r>
    </w:p>
    <w:p w:rsidR="00450BDD" w:rsidRPr="00CA61A6" w:rsidRDefault="00450BDD" w:rsidP="007B3478">
      <w:pPr>
        <w:spacing w:before="100"/>
      </w:pPr>
      <w:r w:rsidRPr="00CA61A6">
        <w:t>3</w:t>
      </w:r>
      <w:r w:rsidRPr="00CA61A6">
        <w:tab/>
        <w:t>que informe al Grupo Asesor de Normalización de las Telecomunicaciones (GANT) acerca de los progresos relativos a la presente Resolución, con el objetivo de que el GANT pueda evaluar la eficacia de su aplicación;</w:t>
      </w:r>
    </w:p>
    <w:p w:rsidR="00450BDD" w:rsidRPr="00CA61A6" w:rsidRDefault="00450BDD" w:rsidP="007B3478">
      <w:pPr>
        <w:spacing w:before="100"/>
      </w:pPr>
      <w:r w:rsidRPr="00CA61A6">
        <w:t>4</w:t>
      </w:r>
      <w:r w:rsidRPr="00CA61A6">
        <w:tab/>
        <w:t>que informe a la próxima Asamblea Mundial de Normalización de las Telecomunicaciones (AMNT) acerca de los progresos relativos a la presente Resolución,</w:t>
      </w:r>
    </w:p>
    <w:p w:rsidR="00450BDD" w:rsidRPr="00CA61A6" w:rsidRDefault="00450BDD" w:rsidP="007B3478">
      <w:pPr>
        <w:pStyle w:val="Call"/>
      </w:pPr>
      <w:r w:rsidRPr="00CA61A6">
        <w:t>encarga al Secretario General de la UIT</w:t>
      </w:r>
    </w:p>
    <w:p w:rsidR="00450BDD" w:rsidRPr="00CA61A6" w:rsidRDefault="00450BDD" w:rsidP="007B3478">
      <w:pPr>
        <w:spacing w:before="100"/>
      </w:pPr>
      <w:r w:rsidRPr="00CA61A6">
        <w:t>que informe anualmente al Consejo de la UIT sobre la aplicación de la presente Resolución,</w:t>
      </w:r>
    </w:p>
    <w:p w:rsidR="00450BDD" w:rsidRPr="00CA61A6" w:rsidRDefault="00450BDD" w:rsidP="007B3478">
      <w:pPr>
        <w:pStyle w:val="Call"/>
        <w:keepNext w:val="0"/>
        <w:keepLines w:val="0"/>
      </w:pPr>
      <w:r w:rsidRPr="00CA61A6">
        <w:t>invita a los Estados Miembros y Miembros del Sector</w:t>
      </w:r>
    </w:p>
    <w:p w:rsidR="00450BDD" w:rsidRPr="00CA61A6" w:rsidRDefault="00450BDD" w:rsidP="00B7741C">
      <w:pPr>
        <w:spacing w:after="120"/>
      </w:pPr>
      <w:r w:rsidRPr="00CA61A6">
        <w:t>a presentar contribuciones a las Comisiones de Estudio del UIT-T que ayuden a prevenir y evitar tales prácticas.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4749"/>
        <w:gridCol w:w="1595"/>
        <w:gridCol w:w="1172"/>
        <w:gridCol w:w="1261"/>
      </w:tblGrid>
      <w:tr w:rsidR="00450BDD" w:rsidRPr="00CA61A6" w:rsidTr="00FA4DAF">
        <w:trPr>
          <w:cantSplit/>
          <w:tblHeader/>
          <w:jc w:val="center"/>
        </w:trPr>
        <w:tc>
          <w:tcPr>
            <w:tcW w:w="916" w:type="dxa"/>
            <w:tcBorders>
              <w:bottom w:val="double" w:sz="4" w:space="0" w:color="auto"/>
            </w:tcBorders>
            <w:shd w:val="clear" w:color="auto" w:fill="auto"/>
            <w:vAlign w:val="center"/>
          </w:tcPr>
          <w:p w:rsidR="00450BDD" w:rsidRPr="00CA61A6" w:rsidRDefault="00450BDD" w:rsidP="00004409">
            <w:pPr>
              <w:pStyle w:val="Tablehead"/>
            </w:pPr>
            <w:r w:rsidRPr="00CA61A6">
              <w:t>Número</w:t>
            </w:r>
          </w:p>
        </w:tc>
        <w:tc>
          <w:tcPr>
            <w:tcW w:w="4749" w:type="dxa"/>
            <w:tcBorders>
              <w:bottom w:val="double" w:sz="4" w:space="0" w:color="auto"/>
            </w:tcBorders>
            <w:shd w:val="clear" w:color="auto" w:fill="auto"/>
            <w:vAlign w:val="center"/>
            <w:hideMark/>
          </w:tcPr>
          <w:p w:rsidR="00450BDD" w:rsidRPr="00CA61A6" w:rsidRDefault="00450BDD" w:rsidP="00004409">
            <w:pPr>
              <w:pStyle w:val="Tablehead"/>
            </w:pPr>
            <w:r w:rsidRPr="00CA61A6">
              <w:t>Acción</w:t>
            </w:r>
          </w:p>
        </w:tc>
        <w:tc>
          <w:tcPr>
            <w:tcW w:w="1595" w:type="dxa"/>
            <w:tcBorders>
              <w:bottom w:val="double" w:sz="4" w:space="0" w:color="auto"/>
            </w:tcBorders>
            <w:shd w:val="clear" w:color="auto" w:fill="auto"/>
            <w:vAlign w:val="center"/>
            <w:hideMark/>
          </w:tcPr>
          <w:p w:rsidR="00450BDD" w:rsidRPr="00CA61A6" w:rsidRDefault="00450BDD" w:rsidP="00004409">
            <w:pPr>
              <w:pStyle w:val="Tablehead"/>
            </w:pPr>
            <w:r w:rsidRPr="00CA61A6">
              <w:t>Fecha objetivo</w:t>
            </w:r>
          </w:p>
        </w:tc>
        <w:tc>
          <w:tcPr>
            <w:tcW w:w="1172" w:type="dxa"/>
            <w:tcBorders>
              <w:bottom w:val="double" w:sz="4" w:space="0" w:color="auto"/>
            </w:tcBorders>
            <w:shd w:val="clear" w:color="auto" w:fill="auto"/>
          </w:tcPr>
          <w:p w:rsidR="00450BDD" w:rsidRPr="00CA61A6" w:rsidRDefault="00450BDD" w:rsidP="00004409">
            <w:pPr>
              <w:pStyle w:val="Tablehead"/>
            </w:pPr>
            <w:r w:rsidRPr="00CA61A6">
              <w:t>Objetivos periódicos cumplidos</w:t>
            </w:r>
          </w:p>
        </w:tc>
        <w:tc>
          <w:tcPr>
            <w:tcW w:w="1261" w:type="dxa"/>
            <w:tcBorders>
              <w:bottom w:val="double" w:sz="4" w:space="0" w:color="auto"/>
            </w:tcBorders>
            <w:shd w:val="clear" w:color="auto" w:fill="auto"/>
            <w:vAlign w:val="center"/>
          </w:tcPr>
          <w:p w:rsidR="00450BDD" w:rsidRPr="00CA61A6" w:rsidRDefault="00450BDD" w:rsidP="00004409">
            <w:pPr>
              <w:pStyle w:val="Tablehead"/>
            </w:pPr>
            <w:r w:rsidRPr="00CA61A6">
              <w:t>Completada</w:t>
            </w:r>
          </w:p>
        </w:tc>
      </w:tr>
      <w:tr w:rsidR="00450BDD" w:rsidRPr="00CA61A6" w:rsidTr="00FA4DAF">
        <w:trPr>
          <w:cantSplit/>
          <w:jc w:val="center"/>
        </w:trPr>
        <w:tc>
          <w:tcPr>
            <w:tcW w:w="916" w:type="dxa"/>
            <w:tcBorders>
              <w:top w:val="double" w:sz="4" w:space="0" w:color="auto"/>
            </w:tcBorders>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69_01" w:history="1">
              <w:r w:rsidR="00450BDD" w:rsidRPr="00CA61A6">
                <w:rPr>
                  <w:color w:val="0000FF"/>
                  <w:sz w:val="20"/>
                  <w:u w:val="single"/>
                </w:rPr>
                <w:t>69-01</w:t>
              </w:r>
            </w:hyperlink>
          </w:p>
        </w:tc>
        <w:tc>
          <w:tcPr>
            <w:tcW w:w="4749" w:type="dxa"/>
            <w:tcBorders>
              <w:top w:val="double" w:sz="4" w:space="0" w:color="auto"/>
            </w:tcBorders>
            <w:shd w:val="clear" w:color="auto" w:fill="auto"/>
            <w:hideMark/>
          </w:tcPr>
          <w:p w:rsidR="00450BDD" w:rsidRPr="00CA61A6" w:rsidRDefault="00343F12" w:rsidP="00343F12">
            <w:pPr>
              <w:pStyle w:val="Tabletext"/>
            </w:pPr>
            <w:r>
              <w:t>El</w:t>
            </w:r>
            <w:r w:rsidR="00450BDD" w:rsidRPr="00CA61A6">
              <w:t xml:space="preserve"> Director recopil</w:t>
            </w:r>
            <w:r>
              <w:t>ará</w:t>
            </w:r>
            <w:r w:rsidR="00450BDD" w:rsidRPr="00CA61A6">
              <w:t xml:space="preserve"> y anali</w:t>
            </w:r>
            <w:r>
              <w:t>zará</w:t>
            </w:r>
            <w:r w:rsidR="00450BDD" w:rsidRPr="00CA61A6">
              <w:t xml:space="preserve"> la información sobre incidentes que remitan los Estados Miembros</w:t>
            </w:r>
          </w:p>
        </w:tc>
        <w:tc>
          <w:tcPr>
            <w:tcW w:w="1595" w:type="dxa"/>
            <w:tcBorders>
              <w:top w:val="double" w:sz="4" w:space="0" w:color="auto"/>
            </w:tcBorders>
            <w:shd w:val="clear" w:color="auto" w:fill="auto"/>
            <w:vAlign w:val="center"/>
            <w:hideMark/>
          </w:tcPr>
          <w:p w:rsidR="00450BDD" w:rsidRPr="00CA61A6" w:rsidRDefault="00450BDD" w:rsidP="006C2114">
            <w:pPr>
              <w:pStyle w:val="Tabletext"/>
              <w:jc w:val="center"/>
            </w:pPr>
            <w:r w:rsidRPr="00CA61A6">
              <w:t>En curso</w:t>
            </w:r>
          </w:p>
        </w:tc>
        <w:tc>
          <w:tcPr>
            <w:tcW w:w="1172" w:type="dxa"/>
            <w:tcBorders>
              <w:top w:val="double" w:sz="4" w:space="0" w:color="auto"/>
            </w:tcBorders>
            <w:shd w:val="clear" w:color="auto" w:fill="auto"/>
            <w:vAlign w:val="center"/>
          </w:tcPr>
          <w:p w:rsidR="00450BDD" w:rsidRPr="00CA61A6" w:rsidRDefault="00450BDD" w:rsidP="006C2114">
            <w:pPr>
              <w:pStyle w:val="Tabletext"/>
              <w:jc w:val="center"/>
            </w:pPr>
          </w:p>
        </w:tc>
        <w:tc>
          <w:tcPr>
            <w:tcW w:w="1261" w:type="dxa"/>
            <w:tcBorders>
              <w:top w:val="double" w:sz="4" w:space="0" w:color="auto"/>
            </w:tcBorders>
            <w:shd w:val="clear" w:color="auto" w:fill="auto"/>
            <w:vAlign w:val="center"/>
          </w:tcPr>
          <w:p w:rsidR="00450BDD" w:rsidRPr="00CA61A6" w:rsidRDefault="00450BDD" w:rsidP="006C2114">
            <w:pPr>
              <w:pStyle w:val="Tabletext"/>
              <w:jc w:val="center"/>
            </w:pPr>
            <w:r w:rsidRPr="00CA61A6">
              <w:t>×</w:t>
            </w:r>
          </w:p>
        </w:tc>
      </w:tr>
      <w:tr w:rsidR="00450BDD" w:rsidRPr="00CA61A6" w:rsidTr="00FA4DAF">
        <w:trPr>
          <w:cantSplit/>
          <w:jc w:val="center"/>
        </w:trPr>
        <w:tc>
          <w:tcPr>
            <w:tcW w:w="916" w:type="dxa"/>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69_02" w:history="1">
              <w:r w:rsidR="00450BDD" w:rsidRPr="00CA61A6">
                <w:rPr>
                  <w:color w:val="0000FF"/>
                  <w:sz w:val="20"/>
                  <w:u w:val="single"/>
                </w:rPr>
                <w:t>69-02</w:t>
              </w:r>
            </w:hyperlink>
          </w:p>
        </w:tc>
        <w:tc>
          <w:tcPr>
            <w:tcW w:w="4749" w:type="dxa"/>
            <w:shd w:val="clear" w:color="auto" w:fill="auto"/>
            <w:hideMark/>
          </w:tcPr>
          <w:p w:rsidR="00450BDD" w:rsidRPr="00CA61A6" w:rsidRDefault="00343F12" w:rsidP="00343F12">
            <w:pPr>
              <w:pStyle w:val="Tabletext"/>
            </w:pPr>
            <w:r>
              <w:t>L</w:t>
            </w:r>
            <w:r w:rsidR="00450BDD" w:rsidRPr="00CA61A6">
              <w:t>a TSB facilit</w:t>
            </w:r>
            <w:r>
              <w:t>ará</w:t>
            </w:r>
            <w:r w:rsidR="00450BDD" w:rsidRPr="00CA61A6">
              <w:t xml:space="preserve"> a los Estados Miembros el acceso a los informes de incidentes recibidos a través del sitio web creado de acuerdo con esta Resolución</w:t>
            </w:r>
          </w:p>
        </w:tc>
        <w:tc>
          <w:tcPr>
            <w:tcW w:w="1595" w:type="dxa"/>
            <w:shd w:val="clear" w:color="auto" w:fill="auto"/>
            <w:vAlign w:val="center"/>
            <w:hideMark/>
          </w:tcPr>
          <w:p w:rsidR="00450BDD" w:rsidRPr="00CA61A6" w:rsidRDefault="00450BDD" w:rsidP="006C2114">
            <w:pPr>
              <w:pStyle w:val="Tabletext"/>
              <w:jc w:val="center"/>
            </w:pPr>
          </w:p>
        </w:tc>
        <w:tc>
          <w:tcPr>
            <w:tcW w:w="1172" w:type="dxa"/>
            <w:shd w:val="clear" w:color="auto" w:fill="auto"/>
            <w:vAlign w:val="center"/>
          </w:tcPr>
          <w:p w:rsidR="00450BDD" w:rsidRPr="00CA61A6" w:rsidRDefault="00450BDD" w:rsidP="006C2114">
            <w:pPr>
              <w:pStyle w:val="Tabletext"/>
              <w:jc w:val="center"/>
            </w:pPr>
          </w:p>
        </w:tc>
        <w:tc>
          <w:tcPr>
            <w:tcW w:w="1261" w:type="dxa"/>
            <w:shd w:val="clear" w:color="auto" w:fill="auto"/>
            <w:vAlign w:val="center"/>
          </w:tcPr>
          <w:p w:rsidR="00450BDD" w:rsidRPr="00CA61A6" w:rsidRDefault="000879B9" w:rsidP="006C2114">
            <w:pPr>
              <w:pStyle w:val="Tabletext"/>
              <w:jc w:val="center"/>
            </w:pPr>
            <w:r w:rsidRPr="00CA61A6">
              <w:sym w:font="Wingdings" w:char="F0FC"/>
            </w:r>
          </w:p>
        </w:tc>
      </w:tr>
      <w:tr w:rsidR="00450BDD" w:rsidRPr="00CA61A6" w:rsidTr="00FA4DAF">
        <w:trPr>
          <w:cantSplit/>
          <w:jc w:val="center"/>
        </w:trPr>
        <w:tc>
          <w:tcPr>
            <w:tcW w:w="916" w:type="dxa"/>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69_03" w:history="1">
              <w:r w:rsidR="00450BDD" w:rsidRPr="00CA61A6">
                <w:rPr>
                  <w:color w:val="0000FF"/>
                  <w:sz w:val="20"/>
                  <w:u w:val="single"/>
                </w:rPr>
                <w:t>69-03</w:t>
              </w:r>
            </w:hyperlink>
          </w:p>
        </w:tc>
        <w:tc>
          <w:tcPr>
            <w:tcW w:w="4749" w:type="dxa"/>
            <w:shd w:val="clear" w:color="auto" w:fill="auto"/>
            <w:hideMark/>
          </w:tcPr>
          <w:p w:rsidR="00450BDD" w:rsidRPr="00CA61A6" w:rsidRDefault="00343F12" w:rsidP="00343F12">
            <w:pPr>
              <w:pStyle w:val="Tabletext"/>
            </w:pPr>
            <w:r>
              <w:t>E</w:t>
            </w:r>
            <w:r w:rsidR="00450BDD" w:rsidRPr="00CA61A6">
              <w:t>l Director inform</w:t>
            </w:r>
            <w:r>
              <w:t>ará</w:t>
            </w:r>
            <w:r w:rsidR="00450BDD" w:rsidRPr="00CA61A6">
              <w:t xml:space="preserve"> al GANT acerca de los progresos relativos a la presente Resolución, con el objetivo de que el GANT pueda evaluar la eficacia de su aplicación</w:t>
            </w:r>
          </w:p>
        </w:tc>
        <w:tc>
          <w:tcPr>
            <w:tcW w:w="1595" w:type="dxa"/>
            <w:shd w:val="clear" w:color="auto" w:fill="auto"/>
            <w:vAlign w:val="center"/>
            <w:hideMark/>
          </w:tcPr>
          <w:p w:rsidR="00450BDD" w:rsidRPr="00CA61A6" w:rsidRDefault="00450BDD" w:rsidP="006C2114">
            <w:pPr>
              <w:pStyle w:val="Tabletext"/>
              <w:jc w:val="center"/>
            </w:pPr>
            <w:r w:rsidRPr="00CA61A6">
              <w:t>GANT</w:t>
            </w:r>
          </w:p>
        </w:tc>
        <w:tc>
          <w:tcPr>
            <w:tcW w:w="1172" w:type="dxa"/>
            <w:shd w:val="clear" w:color="auto" w:fill="auto"/>
            <w:vAlign w:val="center"/>
          </w:tcPr>
          <w:p w:rsidR="00450BDD" w:rsidRPr="00CA61A6" w:rsidRDefault="000879B9" w:rsidP="006C2114">
            <w:pPr>
              <w:pStyle w:val="Tabletext"/>
              <w:jc w:val="center"/>
            </w:pPr>
            <w:r w:rsidRPr="00CA61A6">
              <w:sym w:font="Wingdings" w:char="F0FC"/>
            </w:r>
          </w:p>
        </w:tc>
        <w:tc>
          <w:tcPr>
            <w:tcW w:w="1261" w:type="dxa"/>
            <w:shd w:val="clear" w:color="auto" w:fill="auto"/>
            <w:vAlign w:val="center"/>
          </w:tcPr>
          <w:p w:rsidR="00450BDD" w:rsidRPr="00CA61A6" w:rsidRDefault="00450BDD" w:rsidP="006C2114">
            <w:pPr>
              <w:pStyle w:val="Tabletext"/>
              <w:jc w:val="center"/>
            </w:pPr>
          </w:p>
        </w:tc>
      </w:tr>
      <w:tr w:rsidR="00450BDD" w:rsidRPr="00CA61A6" w:rsidTr="00FA4DAF">
        <w:trPr>
          <w:cantSplit/>
          <w:jc w:val="center"/>
        </w:trPr>
        <w:tc>
          <w:tcPr>
            <w:tcW w:w="916" w:type="dxa"/>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69_04" w:history="1">
              <w:r w:rsidR="00450BDD" w:rsidRPr="00CA61A6">
                <w:rPr>
                  <w:color w:val="0000FF"/>
                  <w:sz w:val="20"/>
                  <w:u w:val="single"/>
                </w:rPr>
                <w:t>69-04</w:t>
              </w:r>
            </w:hyperlink>
          </w:p>
        </w:tc>
        <w:tc>
          <w:tcPr>
            <w:tcW w:w="4749" w:type="dxa"/>
            <w:shd w:val="clear" w:color="auto" w:fill="auto"/>
            <w:hideMark/>
          </w:tcPr>
          <w:p w:rsidR="00450BDD" w:rsidRPr="00CA61A6" w:rsidRDefault="00343F12" w:rsidP="00343F12">
            <w:pPr>
              <w:pStyle w:val="Tabletext"/>
            </w:pPr>
            <w:r>
              <w:t>E</w:t>
            </w:r>
            <w:r w:rsidR="00450BDD" w:rsidRPr="00CA61A6">
              <w:t>l Director inform</w:t>
            </w:r>
            <w:r>
              <w:t>ará</w:t>
            </w:r>
            <w:r w:rsidR="00450BDD" w:rsidRPr="00CA61A6">
              <w:t xml:space="preserve"> a la AMNT-16 acerca de los progresos relativos a la presente Resolución</w:t>
            </w:r>
          </w:p>
        </w:tc>
        <w:tc>
          <w:tcPr>
            <w:tcW w:w="1595" w:type="dxa"/>
            <w:shd w:val="clear" w:color="auto" w:fill="auto"/>
            <w:vAlign w:val="center"/>
            <w:hideMark/>
          </w:tcPr>
          <w:p w:rsidR="00450BDD" w:rsidRPr="00CA61A6" w:rsidRDefault="00450BDD" w:rsidP="006C2114">
            <w:pPr>
              <w:pStyle w:val="Tabletext"/>
              <w:jc w:val="center"/>
            </w:pPr>
            <w:r w:rsidRPr="00CA61A6">
              <w:t>GANT 2016</w:t>
            </w:r>
          </w:p>
        </w:tc>
        <w:tc>
          <w:tcPr>
            <w:tcW w:w="1172" w:type="dxa"/>
            <w:shd w:val="clear" w:color="auto" w:fill="auto"/>
            <w:vAlign w:val="center"/>
          </w:tcPr>
          <w:p w:rsidR="00450BDD" w:rsidRPr="00CA61A6" w:rsidRDefault="00450BDD" w:rsidP="006C2114">
            <w:pPr>
              <w:pStyle w:val="Tabletext"/>
              <w:jc w:val="center"/>
            </w:pPr>
          </w:p>
        </w:tc>
        <w:tc>
          <w:tcPr>
            <w:tcW w:w="1261" w:type="dxa"/>
            <w:shd w:val="clear" w:color="auto" w:fill="auto"/>
            <w:vAlign w:val="center"/>
          </w:tcPr>
          <w:p w:rsidR="00450BDD" w:rsidRPr="00CA61A6" w:rsidRDefault="000879B9" w:rsidP="006C2114">
            <w:pPr>
              <w:pStyle w:val="Tabletext"/>
              <w:jc w:val="center"/>
            </w:pPr>
            <w:r w:rsidRPr="00CA61A6">
              <w:sym w:font="Wingdings" w:char="F0FC"/>
            </w:r>
          </w:p>
        </w:tc>
      </w:tr>
      <w:tr w:rsidR="00450BDD" w:rsidRPr="00CA61A6" w:rsidTr="00FA4DAF">
        <w:trPr>
          <w:cantSplit/>
          <w:jc w:val="center"/>
        </w:trPr>
        <w:tc>
          <w:tcPr>
            <w:tcW w:w="916" w:type="dxa"/>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69_05" w:history="1">
              <w:r w:rsidR="00450BDD" w:rsidRPr="00CA61A6">
                <w:rPr>
                  <w:color w:val="0000FF"/>
                  <w:sz w:val="20"/>
                  <w:u w:val="single"/>
                </w:rPr>
                <w:t>69-05</w:t>
              </w:r>
            </w:hyperlink>
          </w:p>
        </w:tc>
        <w:tc>
          <w:tcPr>
            <w:tcW w:w="4749" w:type="dxa"/>
            <w:shd w:val="clear" w:color="auto" w:fill="auto"/>
            <w:hideMark/>
          </w:tcPr>
          <w:p w:rsidR="00450BDD" w:rsidRPr="00CA61A6" w:rsidRDefault="00343F12" w:rsidP="00343F12">
            <w:pPr>
              <w:pStyle w:val="Tabletext"/>
            </w:pPr>
            <w:r>
              <w:t>E</w:t>
            </w:r>
            <w:r w:rsidR="00450BDD" w:rsidRPr="00CA61A6">
              <w:t>l Secretario General r</w:t>
            </w:r>
            <w:r>
              <w:t>endirá</w:t>
            </w:r>
            <w:r w:rsidR="00450BDD" w:rsidRPr="00CA61A6">
              <w:t xml:space="preserve"> informe anualmente al Consejo</w:t>
            </w:r>
          </w:p>
        </w:tc>
        <w:tc>
          <w:tcPr>
            <w:tcW w:w="1595" w:type="dxa"/>
            <w:shd w:val="clear" w:color="auto" w:fill="auto"/>
            <w:vAlign w:val="center"/>
            <w:hideMark/>
          </w:tcPr>
          <w:p w:rsidR="00450BDD" w:rsidRPr="00CA61A6" w:rsidRDefault="00450BDD" w:rsidP="006C2114">
            <w:pPr>
              <w:pStyle w:val="Tabletext"/>
              <w:jc w:val="center"/>
            </w:pPr>
            <w:r w:rsidRPr="00CA61A6">
              <w:t>Consejo</w:t>
            </w:r>
          </w:p>
        </w:tc>
        <w:tc>
          <w:tcPr>
            <w:tcW w:w="1172" w:type="dxa"/>
            <w:shd w:val="clear" w:color="auto" w:fill="auto"/>
            <w:vAlign w:val="center"/>
          </w:tcPr>
          <w:p w:rsidR="00450BDD" w:rsidRPr="00CA61A6" w:rsidRDefault="000879B9" w:rsidP="006C2114">
            <w:pPr>
              <w:pStyle w:val="Tabletext"/>
              <w:jc w:val="center"/>
            </w:pPr>
            <w:r w:rsidRPr="00CA61A6">
              <w:sym w:font="Wingdings" w:char="F0FC"/>
            </w:r>
          </w:p>
        </w:tc>
        <w:tc>
          <w:tcPr>
            <w:tcW w:w="1261" w:type="dxa"/>
            <w:shd w:val="clear" w:color="auto" w:fill="auto"/>
            <w:vAlign w:val="center"/>
          </w:tcPr>
          <w:p w:rsidR="00450BDD" w:rsidRPr="00CA61A6" w:rsidRDefault="00450BDD" w:rsidP="006C2114">
            <w:pPr>
              <w:pStyle w:val="Tabletext"/>
              <w:jc w:val="center"/>
            </w:pPr>
          </w:p>
        </w:tc>
      </w:tr>
    </w:tbl>
    <w:p w:rsidR="00450BDD" w:rsidRPr="00CA61A6" w:rsidRDefault="00644420" w:rsidP="007968D0">
      <w:pPr>
        <w:pStyle w:val="Headingb"/>
        <w:keepLines/>
      </w:pPr>
      <w:bookmarkStart w:id="632" w:name="Item69_01"/>
      <w:bookmarkEnd w:id="632"/>
      <w:r w:rsidRPr="00CA61A6">
        <w:t xml:space="preserve">Acción </w:t>
      </w:r>
      <w:r w:rsidR="00450BDD" w:rsidRPr="00CA61A6">
        <w:t>69-01: TSB</w:t>
      </w:r>
    </w:p>
    <w:p w:rsidR="00450BDD" w:rsidRPr="00CA61A6" w:rsidRDefault="00450BDD" w:rsidP="007B3478">
      <w:pPr>
        <w:rPr>
          <w:rFonts w:eastAsia="SimSun"/>
          <w:szCs w:val="24"/>
          <w:lang w:eastAsia="ja-JP"/>
        </w:rPr>
      </w:pPr>
      <w:r w:rsidRPr="00CA61A6">
        <w:rPr>
          <w:rFonts w:eastAsia="SimSun"/>
          <w:szCs w:val="24"/>
          <w:lang w:eastAsia="ja-JP"/>
        </w:rPr>
        <w:t>La TSB recibió dos nuevos informes de incidentes durante este periodo de estudios (véanse todos los </w:t>
      </w:r>
      <w:hyperlink r:id="rId156" w:history="1">
        <w:r w:rsidRPr="00CA61A6">
          <w:rPr>
            <w:rFonts w:eastAsia="SimSun"/>
            <w:color w:val="0000FF"/>
            <w:szCs w:val="24"/>
            <w:u w:val="single"/>
            <w:lang w:eastAsia="ja-JP"/>
          </w:rPr>
          <w:t>informes y respuestas</w:t>
        </w:r>
      </w:hyperlink>
      <w:r w:rsidRPr="00CA61A6">
        <w:rPr>
          <w:rFonts w:eastAsia="SimSun"/>
          <w:szCs w:val="24"/>
          <w:lang w:eastAsia="ja-JP"/>
        </w:rPr>
        <w:t> sobre el acceso de usuarios TIES UIT relacionados con la Resolución 69). La TSB no ha recibido información sobre los incidentes comunicados.</w:t>
      </w:r>
    </w:p>
    <w:p w:rsidR="00450BDD" w:rsidRPr="00CA61A6" w:rsidRDefault="00246AC8" w:rsidP="007968D0">
      <w:pPr>
        <w:pStyle w:val="Headingb"/>
        <w:keepLines/>
      </w:pPr>
      <w:bookmarkStart w:id="633" w:name="Item69_02"/>
      <w:bookmarkEnd w:id="633"/>
      <w:r w:rsidRPr="00CA61A6">
        <w:t xml:space="preserve">Acción </w:t>
      </w:r>
      <w:r w:rsidR="00450BDD" w:rsidRPr="00CA61A6">
        <w:t>69-02: TSB</w:t>
      </w:r>
    </w:p>
    <w:p w:rsidR="00450BDD" w:rsidRPr="00CA61A6" w:rsidRDefault="00450BDD" w:rsidP="007B3478">
      <w:pPr>
        <w:rPr>
          <w:rFonts w:eastAsia="SimSun"/>
          <w:szCs w:val="24"/>
          <w:lang w:eastAsia="ja-JP"/>
        </w:rPr>
      </w:pPr>
      <w:r w:rsidRPr="00CA61A6">
        <w:rPr>
          <w:rFonts w:eastAsia="SimSun"/>
          <w:szCs w:val="24"/>
          <w:lang w:eastAsia="ja-JP"/>
        </w:rPr>
        <w:t>En enero de 2009 se creó un sitio web (</w:t>
      </w:r>
      <w:hyperlink r:id="rId157" w:tooltip="http://www.itu.int/net/ITU-T/forms/res69/Default.aspx" w:history="1">
        <w:r w:rsidRPr="00CA61A6">
          <w:rPr>
            <w:rFonts w:eastAsia="SimSun"/>
            <w:color w:val="0000FF"/>
            <w:szCs w:val="24"/>
            <w:u w:val="single"/>
            <w:lang w:eastAsia="ja-JP"/>
          </w:rPr>
          <w:t>http://www.itu.int/net/ITU-T/forms/res69/Default.aspx</w:t>
        </w:r>
      </w:hyperlink>
      <w:r w:rsidRPr="00CA61A6">
        <w:rPr>
          <w:rFonts w:eastAsia="SimSun"/>
          <w:szCs w:val="24"/>
          <w:lang w:eastAsia="ja-JP"/>
        </w:rPr>
        <w:t xml:space="preserve">) donde recibir los informes de incidentes y ponerlos a disposición de los </w:t>
      </w:r>
      <w:r w:rsidR="00110CAD" w:rsidRPr="00CA61A6">
        <w:rPr>
          <w:rFonts w:eastAsia="SimSun"/>
          <w:szCs w:val="24"/>
          <w:lang w:eastAsia="ja-JP"/>
        </w:rPr>
        <w:t xml:space="preserve">miembros </w:t>
      </w:r>
      <w:r w:rsidRPr="00CA61A6">
        <w:rPr>
          <w:rFonts w:eastAsia="SimSun"/>
          <w:szCs w:val="24"/>
          <w:lang w:eastAsia="ja-JP"/>
        </w:rPr>
        <w:t>de la UIT (véase el enlace a los informes anterior).</w:t>
      </w:r>
    </w:p>
    <w:p w:rsidR="00450BDD" w:rsidRPr="00CA61A6" w:rsidRDefault="00246AC8" w:rsidP="007968D0">
      <w:pPr>
        <w:pStyle w:val="Headingb"/>
        <w:keepLines/>
      </w:pPr>
      <w:bookmarkStart w:id="634" w:name="Item69_03"/>
      <w:r w:rsidRPr="00CA61A6">
        <w:t xml:space="preserve">Acción </w:t>
      </w:r>
      <w:r w:rsidR="00450BDD" w:rsidRPr="00CA61A6">
        <w:t>69-03: TSB y GANT</w:t>
      </w:r>
    </w:p>
    <w:bookmarkEnd w:id="634"/>
    <w:p w:rsidR="00450BDD" w:rsidRPr="00CA61A6" w:rsidRDefault="00450BDD" w:rsidP="007B3478">
      <w:pPr>
        <w:rPr>
          <w:rFonts w:eastAsia="SimSun"/>
          <w:szCs w:val="24"/>
          <w:lang w:eastAsia="ja-JP"/>
        </w:rPr>
      </w:pPr>
      <w:r w:rsidRPr="00CA61A6">
        <w:rPr>
          <w:rFonts w:eastAsia="SimSun"/>
          <w:szCs w:val="24"/>
          <w:lang w:eastAsia="ja-JP"/>
        </w:rPr>
        <w:t>Este documento.</w:t>
      </w:r>
    </w:p>
    <w:p w:rsidR="00450BDD" w:rsidRPr="00CA61A6" w:rsidRDefault="00246AC8" w:rsidP="007968D0">
      <w:pPr>
        <w:pStyle w:val="Headingb"/>
        <w:keepLines/>
      </w:pPr>
      <w:bookmarkStart w:id="635" w:name="Item69_04"/>
      <w:bookmarkEnd w:id="635"/>
      <w:r w:rsidRPr="00CA61A6">
        <w:t xml:space="preserve">Acción </w:t>
      </w:r>
      <w:r w:rsidR="00450BDD" w:rsidRPr="00CA61A6">
        <w:t>69-04: TSB</w:t>
      </w:r>
    </w:p>
    <w:p w:rsidR="00450BDD" w:rsidRPr="00CA61A6" w:rsidRDefault="00450BDD" w:rsidP="007B3478">
      <w:pPr>
        <w:rPr>
          <w:rFonts w:eastAsia="SimSun"/>
          <w:szCs w:val="24"/>
          <w:lang w:eastAsia="ja-JP"/>
        </w:rPr>
      </w:pPr>
      <w:r w:rsidRPr="00CA61A6">
        <w:rPr>
          <w:rFonts w:eastAsia="SimSun"/>
          <w:szCs w:val="24"/>
          <w:lang w:eastAsia="ja-JP"/>
        </w:rPr>
        <w:t>Este documento.</w:t>
      </w:r>
    </w:p>
    <w:p w:rsidR="00450BDD" w:rsidRPr="00CA61A6" w:rsidRDefault="00246AC8" w:rsidP="007968D0">
      <w:pPr>
        <w:pStyle w:val="Headingb"/>
        <w:keepLines/>
      </w:pPr>
      <w:bookmarkStart w:id="636" w:name="Item69_05"/>
      <w:r w:rsidRPr="00CA61A6">
        <w:t xml:space="preserve">Acción </w:t>
      </w:r>
      <w:r w:rsidR="00450BDD" w:rsidRPr="00CA61A6">
        <w:t>69-05: TSB</w:t>
      </w:r>
    </w:p>
    <w:bookmarkEnd w:id="636"/>
    <w:p w:rsidR="00450BDD" w:rsidRPr="00CA61A6" w:rsidRDefault="00450BDD" w:rsidP="007B3478">
      <w:pPr>
        <w:rPr>
          <w:rFonts w:eastAsia="SimSun"/>
          <w:szCs w:val="24"/>
          <w:lang w:eastAsia="ja-JP"/>
        </w:rPr>
      </w:pPr>
      <w:r w:rsidRPr="00CA61A6">
        <w:rPr>
          <w:rFonts w:eastAsia="SimSun"/>
          <w:szCs w:val="24"/>
          <w:lang w:eastAsia="ja-JP"/>
        </w:rPr>
        <w:t xml:space="preserve">De haber novedades en cuanto a la Resolución 69 de la AMNT, el Director de la TSB las comunica anualmente al Consejo a través del Documento "Actividades de la UIT en el ámbito de internet: </w:t>
      </w:r>
      <w:r w:rsidR="0072773C" w:rsidRPr="00CA61A6">
        <w:rPr>
          <w:rFonts w:eastAsia="SimSun"/>
          <w:szCs w:val="24"/>
          <w:lang w:eastAsia="ja-JP"/>
        </w:rPr>
        <w:t xml:space="preserve">Resoluciones </w:t>
      </w:r>
      <w:r w:rsidRPr="00CA61A6">
        <w:rPr>
          <w:rFonts w:eastAsia="SimSun"/>
          <w:szCs w:val="24"/>
          <w:lang w:eastAsia="ja-JP"/>
        </w:rPr>
        <w:t>101, 102, 133".</w:t>
      </w:r>
    </w:p>
    <w:p w:rsidR="001C2927" w:rsidRPr="00CA61A6" w:rsidRDefault="00110CAD" w:rsidP="001C2927">
      <w:hyperlink w:anchor="Top" w:history="1">
        <w:r w:rsidR="001C2927" w:rsidRPr="00CA61A6">
          <w:rPr>
            <w:rStyle w:val="Hyperlink"/>
          </w:rPr>
          <w:t>» Arriba</w:t>
        </w:r>
      </w:hyperlink>
    </w:p>
    <w:p w:rsidR="00450BDD" w:rsidRPr="00CA61A6" w:rsidRDefault="00AD5AE9" w:rsidP="00A23C87">
      <w:pPr>
        <w:pStyle w:val="Heading1"/>
      </w:pPr>
      <w:bookmarkStart w:id="637" w:name="_38_Resolución_70"/>
      <w:bookmarkStart w:id="638" w:name="_Toc463335789"/>
      <w:bookmarkEnd w:id="637"/>
      <w:r w:rsidRPr="00CA61A6">
        <w:t>38</w:t>
      </w:r>
      <w:r w:rsidRPr="00CA61A6">
        <w:tab/>
      </w:r>
      <w:r w:rsidR="00A23C87" w:rsidRPr="00CA61A6">
        <w:t xml:space="preserve">Resolución </w:t>
      </w:r>
      <w:r w:rsidR="00450BDD" w:rsidRPr="00CA61A6">
        <w:t>70</w:t>
      </w:r>
      <w:r w:rsidR="00A23C87" w:rsidRPr="00CA61A6">
        <w:t xml:space="preserve"> – </w:t>
      </w:r>
      <w:r w:rsidR="00450BDD" w:rsidRPr="00CA61A6">
        <w:t>Accesibilidad de las telecomunicaciones/tecnologías de la información y la comunicación para las personas con discapacidades</w:t>
      </w:r>
      <w:bookmarkEnd w:id="638"/>
    </w:p>
    <w:p w:rsidR="00962EFA" w:rsidRPr="00CA61A6" w:rsidRDefault="00962EFA" w:rsidP="00962EFA">
      <w:pPr>
        <w:pStyle w:val="Headingb"/>
        <w:keepLines/>
      </w:pPr>
      <w:r w:rsidRPr="00CA61A6">
        <w:t>Resolución 70</w:t>
      </w:r>
    </w:p>
    <w:p w:rsidR="00450BDD" w:rsidRPr="00CA61A6" w:rsidRDefault="00450BDD" w:rsidP="007B3478">
      <w:pPr>
        <w:pStyle w:val="Call"/>
        <w:rPr>
          <w:lang w:eastAsia="en-AU"/>
        </w:rPr>
      </w:pPr>
      <w:r w:rsidRPr="00CA61A6">
        <w:rPr>
          <w:lang w:eastAsia="en-AU"/>
        </w:rPr>
        <w:t>resuelve</w:t>
      </w:r>
    </w:p>
    <w:p w:rsidR="00450BDD" w:rsidRPr="00CA61A6" w:rsidRDefault="00450BDD" w:rsidP="007B3478">
      <w:r w:rsidRPr="00CA61A6">
        <w:t>1</w:t>
      </w:r>
      <w:r w:rsidRPr="00CA61A6">
        <w:tab/>
        <w:t>que la Comisión de Estudio 2, la Comisión de Estudio 16 y la JCA-AHF sigan dando prioridad a los trabajos sobre las cuestiones pertinentes de conformidad con las directrices sobre accesibilidad estipuladas en la Guía para Comisiones de Estudio del UIT</w:t>
      </w:r>
      <w:r w:rsidRPr="00CA61A6">
        <w:noBreakHyphen/>
        <w:t xml:space="preserve">T – Consideración de las necesidades de los usuarios finales en la formulación de Recomendaciones, facilitando el desarrollo de nuevos programas informáticos, servicios y propuestas que permitan a todas las personas con discapacidad, </w:t>
      </w:r>
      <w:r w:rsidRPr="00CA61A6">
        <w:rPr>
          <w:lang w:eastAsia="ko-KR"/>
        </w:rPr>
        <w:t xml:space="preserve">incluida la discapacidad debida a la edad, utilizar de manera efectiva los servicios de telecomunicaciones/TIC, </w:t>
      </w:r>
      <w:r w:rsidRPr="00CA61A6">
        <w:t xml:space="preserve">el Documento Técnico del UIT-T Lista de control de accesibilidad de las telecomunicaciones para redactores de normas, así como la Recomendación UIT-T F.790, Directrices sobre accesibilidad para ancianos y discapacitados; </w:t>
      </w:r>
    </w:p>
    <w:p w:rsidR="00450BDD" w:rsidRPr="00CA61A6" w:rsidRDefault="00450BDD" w:rsidP="007B3478">
      <w:r w:rsidRPr="00CA61A6">
        <w:lastRenderedPageBreak/>
        <w:t>2</w:t>
      </w:r>
      <w:r w:rsidRPr="00CA61A6">
        <w:tab/>
        <w:t xml:space="preserve">que las Comisiones de Estudio del UIT elaboren propuestas para mejorar la accesibilidad a las telecomunicaciones/TIC, combinando la elaboración de normas no discriminatorias, reglamentos de servicio y medidas dirigidas a todas las personas con discapacidad, incluida la discapacidad debida a la edad, con medidas transversales de protección del usuario; </w:t>
      </w:r>
    </w:p>
    <w:p w:rsidR="00450BDD" w:rsidRPr="00CA61A6" w:rsidRDefault="00450BDD" w:rsidP="007B3478">
      <w:r w:rsidRPr="00CA61A6">
        <w:t>3</w:t>
      </w:r>
      <w:r w:rsidRPr="00CA61A6">
        <w:tab/>
        <w:t>solicitar a todas las Comisiones de Estudio del UIT-T que utilicen el Documento Técnico del UIT-T Lista de control de accesibilidad de las telecomunicaciones, que hace posible la incorporación de los principios de diseño universal y accesibilidad;</w:t>
      </w:r>
    </w:p>
    <w:p w:rsidR="00450BDD" w:rsidRPr="00CA61A6" w:rsidRDefault="00450BDD" w:rsidP="007B3478">
      <w:r w:rsidRPr="00CA61A6">
        <w:t>4</w:t>
      </w:r>
      <w:r w:rsidRPr="00CA61A6">
        <w:tab/>
        <w:t>que se realice un taller de la UIT para informar sobre el progreso de los trabajos y los resultados obtenidos por las Comisiones de Estudio encargadas de la accesibilidad a las TIC antes de la próxima Asamblea Mundial de Normalización de las Telecomunicaciones,</w:t>
      </w:r>
    </w:p>
    <w:p w:rsidR="00450BDD" w:rsidRPr="00CA61A6" w:rsidRDefault="00450BDD" w:rsidP="007B3478">
      <w:pPr>
        <w:pStyle w:val="Call"/>
        <w:rPr>
          <w:lang w:eastAsia="en-AU"/>
        </w:rPr>
      </w:pPr>
      <w:r w:rsidRPr="00CA61A6">
        <w:rPr>
          <w:lang w:eastAsia="en-AU"/>
        </w:rPr>
        <w:t xml:space="preserve">invita a los Estados Miembros y a los Miembros de Sector </w:t>
      </w:r>
    </w:p>
    <w:p w:rsidR="00450BDD" w:rsidRPr="00CA61A6" w:rsidRDefault="00450BDD" w:rsidP="007B3478">
      <w:r w:rsidRPr="00CA61A6">
        <w:t>1</w:t>
      </w:r>
      <w:r w:rsidRPr="00CA61A6">
        <w:tab/>
        <w:t>a considerar la creación, dentro de sus marcos jurídicos nacionales, de directrices o de otros mecanismos para mejorar la accesibilidad, compatibilidad y facilidad de uso de servicios, productos y terminales de telecomunicaciones/TIC;</w:t>
      </w:r>
    </w:p>
    <w:p w:rsidR="00450BDD" w:rsidRPr="00CA61A6" w:rsidRDefault="00450BDD" w:rsidP="007B3478">
      <w:r w:rsidRPr="00CA61A6">
        <w:t>2</w:t>
      </w:r>
      <w:r w:rsidRPr="00CA61A6">
        <w:tab/>
        <w:t>a considerar la introducción de servicios de retransmisión de telecomunicaciones</w:t>
      </w:r>
      <w:r w:rsidRPr="00CA61A6">
        <w:rPr>
          <w:vertAlign w:val="superscript"/>
        </w:rPr>
        <w:footnoteReference w:customMarkFollows="1" w:id="5"/>
        <w:t>2</w:t>
      </w:r>
      <w:r w:rsidRPr="00CA61A6">
        <w:t xml:space="preserve"> que permitan que las personas con incapacidades para oír y para hablar utilicen servicios de telecomunicaciones que sean funcionalmente equivalentes a los utilizados por las personas sin incapacidades;</w:t>
      </w:r>
    </w:p>
    <w:p w:rsidR="00450BDD" w:rsidRPr="00CA61A6" w:rsidRDefault="00450BDD" w:rsidP="007B3478">
      <w:r w:rsidRPr="00CA61A6">
        <w:t>3</w:t>
      </w:r>
      <w:r w:rsidRPr="00CA61A6">
        <w:tab/>
        <w:t>a participar activamente en estudios relacionados con la accesibilidad en el UIT</w:t>
      </w:r>
      <w:r w:rsidRPr="00CA61A6">
        <w:noBreakHyphen/>
        <w:t>T, el UIT</w:t>
      </w:r>
      <w:r w:rsidRPr="00CA61A6">
        <w:noBreakHyphen/>
        <w:t>R y el UIT</w:t>
      </w:r>
      <w:r w:rsidRPr="00CA61A6">
        <w:noBreakHyphen/>
        <w:t>D, y a instar y promover que las personas con discapacidad se representen a sí mismas en el proceso de normalización, con el fin de que se tengan en cuenta sus experiencias, opiniones y puntos de vista en todos los trabajos de las Comisiones de Estudio;</w:t>
      </w:r>
    </w:p>
    <w:p w:rsidR="00450BDD" w:rsidRPr="00CA61A6" w:rsidRDefault="00450BDD" w:rsidP="007B3478">
      <w:r w:rsidRPr="00CA61A6">
        <w:t>4</w:t>
      </w:r>
      <w:r w:rsidRPr="00CA61A6">
        <w:tab/>
        <w:t>a alentar la oferta de planes de servicio diferenciados y asequibles para las personas con discapacidad a fin de aumentar la accesibilidad a las telecomunicaciones/TIC y su facilidad de uso para estas personas;</w:t>
      </w:r>
    </w:p>
    <w:p w:rsidR="00450BDD" w:rsidRPr="00CA61A6" w:rsidRDefault="00450BDD" w:rsidP="007B3478">
      <w:r w:rsidRPr="00CA61A6">
        <w:t>5</w:t>
      </w:r>
      <w:r w:rsidRPr="00CA61A6">
        <w:tab/>
        <w:t>a alentar la elaboración de aplicaciones para terminales y productos de telecomunicaciones con miras a aumentar la accesibilidad de las telecomunicaciones/TIC y su facilidad de uso para personas con discapacidad visual, auditiva, verbal u otra discapacidad física o mental;</w:t>
      </w:r>
    </w:p>
    <w:p w:rsidR="00450BDD" w:rsidRPr="00CA61A6" w:rsidRDefault="00450BDD" w:rsidP="007B3478">
      <w:r w:rsidRPr="00CA61A6">
        <w:t>6</w:t>
      </w:r>
      <w:r w:rsidRPr="00CA61A6">
        <w:tab/>
        <w:t>a alentar a las organizaciones regionales de telecomunicaciones a contribuir a la labor y considerar la aplicación de los resultados obtenidos en las Comisiones de Estudio y talleres sobre este tema,</w:t>
      </w:r>
    </w:p>
    <w:p w:rsidR="00450BDD" w:rsidRPr="00CA61A6" w:rsidRDefault="00450BDD" w:rsidP="007B3478">
      <w:pPr>
        <w:pStyle w:val="Call"/>
        <w:rPr>
          <w:lang w:eastAsia="en-AU"/>
        </w:rPr>
      </w:pPr>
      <w:r w:rsidRPr="00CA61A6">
        <w:t>encarga al Director de la</w:t>
      </w:r>
      <w:r w:rsidRPr="00CA61A6">
        <w:rPr>
          <w:lang w:eastAsia="en-AU"/>
        </w:rPr>
        <w:t xml:space="preserve"> Oficina de Normalización de las Telecomunicaciones</w:t>
      </w:r>
    </w:p>
    <w:p w:rsidR="00450BDD" w:rsidRPr="00CA61A6" w:rsidRDefault="00450BDD" w:rsidP="007B3478">
      <w:pPr>
        <w:snapToGrid w:val="0"/>
      </w:pPr>
      <w:r w:rsidRPr="00CA61A6">
        <w:t>que informe al Consejo de la UIT de la aplicación de la presente Resolución,</w:t>
      </w:r>
    </w:p>
    <w:p w:rsidR="00450BDD" w:rsidRPr="00CA61A6" w:rsidRDefault="00450BDD" w:rsidP="007B3478">
      <w:pPr>
        <w:pStyle w:val="Call"/>
        <w:rPr>
          <w:lang w:eastAsia="en-AU"/>
        </w:rPr>
      </w:pPr>
      <w:r w:rsidRPr="00CA61A6">
        <w:t>invita al Director de la</w:t>
      </w:r>
      <w:r w:rsidRPr="00CA61A6">
        <w:rPr>
          <w:lang w:eastAsia="en-AU"/>
        </w:rPr>
        <w:t xml:space="preserve"> Oficina de Normalización de las Telecomunicaciones</w:t>
      </w:r>
    </w:p>
    <w:p w:rsidR="00450BDD" w:rsidRPr="00CA61A6" w:rsidRDefault="00450BDD" w:rsidP="007B3478">
      <w:r w:rsidRPr="00CA61A6">
        <w:t>1</w:t>
      </w:r>
      <w:r w:rsidRPr="00CA61A6">
        <w:tab/>
        <w:t>a que identifique y documente ejemplos de las prácticas idóneas para la accesibilidad en el campo de las telecomunicaciones/TIC para su diseminación entre Estados Miembros y Miembros de Sector de la UIT;</w:t>
      </w:r>
    </w:p>
    <w:p w:rsidR="00450BDD" w:rsidRPr="00CA61A6" w:rsidRDefault="00450BDD" w:rsidP="007B3478">
      <w:r w:rsidRPr="00CA61A6">
        <w:lastRenderedPageBreak/>
        <w:t>2</w:t>
      </w:r>
      <w:r w:rsidRPr="00CA61A6">
        <w:tab/>
        <w:t>a que examine la accesibilidad de los servicios e instalaciones del UIT-T y considere la posibilidad de introducir cambios, donde corresponda, conforme a la Resolución 61/106 de la Asamblea General de las Naciones Unidas, y que informe al Consejo a este respecto;</w:t>
      </w:r>
    </w:p>
    <w:p w:rsidR="00450BDD" w:rsidRPr="00CA61A6" w:rsidRDefault="00450BDD" w:rsidP="007B3478">
      <w:r w:rsidRPr="00CA61A6">
        <w:t>3</w:t>
      </w:r>
      <w:r w:rsidRPr="00CA61A6">
        <w:tab/>
        <w:t>a que colabore con los Directores de la Oficina de Radiocomunicaciones de la UIT (BR) y la Oficina de Desarrollo de las Telecomunicaciones de la UIT (BDT), en las actividades relativas a la accesibilidad, en particular las relativas a la sensibilización y adopción generalizada de las normas de accesibilidad de las telecomunicaciones/TIC, e informe sobre sus conclusiones al Consejo según proceda;</w:t>
      </w:r>
    </w:p>
    <w:p w:rsidR="00450BDD" w:rsidRPr="00CA61A6" w:rsidRDefault="00450BDD" w:rsidP="007B3478">
      <w:r w:rsidRPr="00CA61A6">
        <w:t>4</w:t>
      </w:r>
      <w:r w:rsidRPr="00CA61A6">
        <w:tab/>
        <w:t>a que colabore con el UIT</w:t>
      </w:r>
      <w:r w:rsidRPr="00CA61A6">
        <w:noBreakHyphen/>
        <w:t>D en las actividades relativas a la accesibilidad, en particular elaborando programas que permitan a los países en desarrollo introducir servicios que permitan a las personas con discapacidades usar eficazmente los servicios de telecomunicaciones;</w:t>
      </w:r>
    </w:p>
    <w:p w:rsidR="00450BDD" w:rsidRPr="00CA61A6" w:rsidRDefault="00450BDD" w:rsidP="007B3478">
      <w:r w:rsidRPr="00CA61A6">
        <w:t>5</w:t>
      </w:r>
      <w:r w:rsidRPr="00CA61A6">
        <w:tab/>
        <w:t>a que colabore y coopere con otras organizaciones y entidades de normalización, en particular con miras a garantizar que se tiene en cuenta la labor en curso en el ámbito de la accesibilidad a fin de evitar duplicaciones;</w:t>
      </w:r>
    </w:p>
    <w:p w:rsidR="00450BDD" w:rsidRPr="00CA61A6" w:rsidRDefault="00450BDD" w:rsidP="007B3478">
      <w:r w:rsidRPr="00CA61A6">
        <w:t>6</w:t>
      </w:r>
      <w:r w:rsidRPr="00CA61A6">
        <w:tab/>
        <w:t>a que colabore y coopere con las organizaciones de personas con discapacidad en todas las regiones, con el fin de velar por que se tengan en cuenta las necesidades de la comunidad de personas con discapacidad en todos los asuntos relativos a la normalización;</w:t>
      </w:r>
    </w:p>
    <w:p w:rsidR="00450BDD" w:rsidRPr="00CA61A6" w:rsidRDefault="00450BDD" w:rsidP="007B3478">
      <w:r w:rsidRPr="00CA61A6">
        <w:t>7</w:t>
      </w:r>
      <w:r w:rsidRPr="00CA61A6">
        <w:tab/>
        <w:t>a que contribuya al desarrollo de un programa de prácticas aplicable a toda la UIT para personas con discapacidad que disponen de conocimientos técnicos especializados en el campo de las TIC, a los efectos de formar a estas personas en el proceso de normalización y sensibilizar al UIT-T respecto de las necesidades de las personas con discapacidades;</w:t>
      </w:r>
    </w:p>
    <w:p w:rsidR="00450BDD" w:rsidRPr="00CA61A6" w:rsidRDefault="00450BDD" w:rsidP="007B3478">
      <w:r w:rsidRPr="00CA61A6">
        <w:t>8</w:t>
      </w:r>
      <w:r w:rsidRPr="00CA61A6">
        <w:tab/>
        <w:t xml:space="preserve">a que el UIT-T continúe </w:t>
      </w:r>
      <w:r w:rsidR="009D6932" w:rsidRPr="00CA61A6">
        <w:t xml:space="preserve">con la función de coordinación </w:t>
      </w:r>
      <w:r w:rsidRPr="00CA61A6">
        <w:t>y asesoramiento para las cuestiones de accesibilidad con objeto de prestar asistencia al Director de la TSB en la elaboración de informes sobre las conclusiones del examen de los servicios e instalaciones del UIT-T;</w:t>
      </w:r>
    </w:p>
    <w:p w:rsidR="00450BDD" w:rsidRPr="00CA61A6" w:rsidRDefault="00450BDD" w:rsidP="007B3478">
      <w:pPr>
        <w:keepNext/>
        <w:keepLines/>
      </w:pPr>
      <w:r w:rsidRPr="00CA61A6">
        <w:t>9</w:t>
      </w:r>
      <w:r w:rsidRPr="00CA61A6">
        <w:tab/>
        <w:t>a que estudie la posibilidad de utilizar recursos relacionados con la accesibilidad en las reuniones organizadas por el UIT-T a fin de alentar la participación de las personas con discapacidad en el proceso de normalización,</w:t>
      </w:r>
    </w:p>
    <w:p w:rsidR="00450BDD" w:rsidRPr="00CA61A6" w:rsidRDefault="00450BDD" w:rsidP="007B3478">
      <w:pPr>
        <w:pStyle w:val="Call"/>
      </w:pPr>
      <w:r w:rsidRPr="00CA61A6">
        <w:t>encarga al Grupo Asesor de Normalización de las Telecomunicaciones</w:t>
      </w:r>
    </w:p>
    <w:p w:rsidR="00450BDD" w:rsidRPr="00CA61A6" w:rsidRDefault="00450BDD" w:rsidP="007B3478">
      <w:r w:rsidRPr="00CA61A6">
        <w:t>1</w:t>
      </w:r>
      <w:r w:rsidRPr="00CA61A6">
        <w:tab/>
        <w:t>que revise la Guía para Comisiones de Estudio del UIT-T – Consideración de las necesidades de los usuarios finales en la formulación de Recomendaciones;</w:t>
      </w:r>
    </w:p>
    <w:p w:rsidR="00450BDD" w:rsidRPr="00CA61A6" w:rsidRDefault="00450BDD" w:rsidP="006754E6">
      <w:pPr>
        <w:spacing w:after="120"/>
      </w:pPr>
      <w:r w:rsidRPr="00CA61A6">
        <w:t>2</w:t>
      </w:r>
      <w:r w:rsidRPr="00CA61A6">
        <w:tab/>
        <w:t>que pida a las Comisiones de Estudio que faciliten en sus correspondientes trabajos la puesta en práctica de nuevos programas, servicios y propuestas que permitan a todas las personas con discapacidad, incluida la incapacidad debida a la edad, utilizar de manera efectiva servicios de telecomunicación/TIC, así como las directrices pertinentes sobre las necesidades de los usuarios finales, para incluir específicamente las necesidades de las personas con discapacidades, y que actualice esta Guía de forma periódica, basándose en las contribuciones de los Estados Miembros y de los Miembros de Sector, así como de las Comisiones de Estudio del UIT-T, según corresponda.</w:t>
      </w:r>
    </w:p>
    <w:p w:rsidR="00E31C60" w:rsidRPr="00CA61A6" w:rsidRDefault="00E31C60" w:rsidP="006754E6">
      <w:pPr>
        <w:spacing w:after="120"/>
      </w:pPr>
    </w:p>
    <w:p w:rsidR="00E31C60" w:rsidRPr="00CA61A6" w:rsidRDefault="00E31C60" w:rsidP="006754E6">
      <w:pPr>
        <w:spacing w:after="120"/>
      </w:pPr>
    </w:p>
    <w:tbl>
      <w:tblPr>
        <w:tblW w:w="9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5033"/>
        <w:gridCol w:w="1474"/>
        <w:gridCol w:w="1148"/>
        <w:gridCol w:w="1261"/>
      </w:tblGrid>
      <w:tr w:rsidR="00450BDD" w:rsidRPr="00CA61A6" w:rsidTr="00FA4DAF">
        <w:trPr>
          <w:cantSplit/>
          <w:tblHeader/>
          <w:jc w:val="center"/>
        </w:trPr>
        <w:tc>
          <w:tcPr>
            <w:tcW w:w="916" w:type="dxa"/>
            <w:tcBorders>
              <w:bottom w:val="double" w:sz="4" w:space="0" w:color="auto"/>
            </w:tcBorders>
            <w:shd w:val="clear" w:color="auto" w:fill="auto"/>
            <w:vAlign w:val="center"/>
          </w:tcPr>
          <w:p w:rsidR="00450BDD" w:rsidRPr="00CA61A6" w:rsidRDefault="00450BDD" w:rsidP="00680B9D">
            <w:pPr>
              <w:pStyle w:val="Tablehead"/>
            </w:pPr>
            <w:bookmarkStart w:id="639" w:name="OLE_LINK1"/>
            <w:bookmarkStart w:id="640" w:name="OLE_LINK2"/>
            <w:r w:rsidRPr="00CA61A6">
              <w:lastRenderedPageBreak/>
              <w:t>Número</w:t>
            </w:r>
          </w:p>
        </w:tc>
        <w:tc>
          <w:tcPr>
            <w:tcW w:w="5033" w:type="dxa"/>
            <w:tcBorders>
              <w:bottom w:val="double" w:sz="4" w:space="0" w:color="auto"/>
            </w:tcBorders>
            <w:shd w:val="clear" w:color="auto" w:fill="auto"/>
            <w:vAlign w:val="center"/>
            <w:hideMark/>
          </w:tcPr>
          <w:p w:rsidR="00450BDD" w:rsidRPr="00CA61A6" w:rsidRDefault="00450BDD" w:rsidP="00680B9D">
            <w:pPr>
              <w:pStyle w:val="Tablehead"/>
            </w:pPr>
            <w:r w:rsidRPr="00CA61A6">
              <w:t>Acción</w:t>
            </w:r>
          </w:p>
        </w:tc>
        <w:tc>
          <w:tcPr>
            <w:tcW w:w="1474" w:type="dxa"/>
            <w:tcBorders>
              <w:bottom w:val="double" w:sz="4" w:space="0" w:color="auto"/>
            </w:tcBorders>
            <w:shd w:val="clear" w:color="auto" w:fill="auto"/>
            <w:vAlign w:val="center"/>
            <w:hideMark/>
          </w:tcPr>
          <w:p w:rsidR="00450BDD" w:rsidRPr="00CA61A6" w:rsidRDefault="00450BDD" w:rsidP="00680B9D">
            <w:pPr>
              <w:pStyle w:val="Tablehead"/>
            </w:pPr>
            <w:r w:rsidRPr="00CA61A6">
              <w:t>Fecha objetivo</w:t>
            </w:r>
          </w:p>
        </w:tc>
        <w:tc>
          <w:tcPr>
            <w:tcW w:w="1148" w:type="dxa"/>
            <w:tcBorders>
              <w:bottom w:val="double" w:sz="4" w:space="0" w:color="auto"/>
            </w:tcBorders>
            <w:shd w:val="clear" w:color="auto" w:fill="auto"/>
          </w:tcPr>
          <w:p w:rsidR="00450BDD" w:rsidRPr="00CA61A6" w:rsidRDefault="00450BDD" w:rsidP="00680B9D">
            <w:pPr>
              <w:pStyle w:val="Tablehead"/>
            </w:pPr>
            <w:r w:rsidRPr="00CA61A6">
              <w:t>Objetivos periódicos cumplidos</w:t>
            </w:r>
          </w:p>
        </w:tc>
        <w:tc>
          <w:tcPr>
            <w:tcW w:w="1261" w:type="dxa"/>
            <w:tcBorders>
              <w:bottom w:val="double" w:sz="4" w:space="0" w:color="auto"/>
            </w:tcBorders>
            <w:shd w:val="clear" w:color="auto" w:fill="auto"/>
            <w:vAlign w:val="center"/>
          </w:tcPr>
          <w:p w:rsidR="00450BDD" w:rsidRPr="00CA61A6" w:rsidRDefault="00450BDD" w:rsidP="00680B9D">
            <w:pPr>
              <w:pStyle w:val="Tablehead"/>
            </w:pPr>
            <w:r w:rsidRPr="00CA61A6">
              <w:t>Completada</w:t>
            </w:r>
          </w:p>
        </w:tc>
      </w:tr>
      <w:tr w:rsidR="00450BDD" w:rsidRPr="00CA61A6" w:rsidTr="00FA4DAF">
        <w:trPr>
          <w:cantSplit/>
          <w:jc w:val="center"/>
        </w:trPr>
        <w:tc>
          <w:tcPr>
            <w:tcW w:w="916" w:type="dxa"/>
            <w:tcBorders>
              <w:top w:val="double" w:sz="4" w:space="0" w:color="auto"/>
            </w:tcBorders>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70_01" w:history="1">
              <w:r w:rsidR="00450BDD" w:rsidRPr="00CA61A6">
                <w:rPr>
                  <w:color w:val="0000FF"/>
                  <w:sz w:val="20"/>
                  <w:u w:val="single"/>
                </w:rPr>
                <w:t>70-01</w:t>
              </w:r>
            </w:hyperlink>
          </w:p>
        </w:tc>
        <w:tc>
          <w:tcPr>
            <w:tcW w:w="5033" w:type="dxa"/>
            <w:tcBorders>
              <w:top w:val="double" w:sz="4" w:space="0" w:color="auto"/>
            </w:tcBorders>
            <w:shd w:val="clear" w:color="auto" w:fill="auto"/>
            <w:vAlign w:val="center"/>
          </w:tcPr>
          <w:p w:rsidR="00450BDD" w:rsidRPr="00CA61A6" w:rsidRDefault="00343F12" w:rsidP="00343F12">
            <w:pPr>
              <w:pStyle w:val="Tabletext"/>
            </w:pPr>
            <w:r>
              <w:t>La</w:t>
            </w:r>
            <w:r w:rsidR="00450BDD" w:rsidRPr="00CA61A6">
              <w:t xml:space="preserve"> CE 2, la CE 16 y la JCA-AHF (Factores humanos y accesibilidad) s</w:t>
            </w:r>
            <w:r>
              <w:t>eguirán</w:t>
            </w:r>
            <w:r w:rsidR="00450BDD" w:rsidRPr="00CA61A6">
              <w:t xml:space="preserve"> dando prioridad a los trabajos sobre la accesibilidad</w:t>
            </w:r>
          </w:p>
        </w:tc>
        <w:tc>
          <w:tcPr>
            <w:tcW w:w="1474" w:type="dxa"/>
            <w:tcBorders>
              <w:top w:val="double" w:sz="4" w:space="0" w:color="auto"/>
            </w:tcBorders>
            <w:shd w:val="clear" w:color="auto" w:fill="auto"/>
            <w:vAlign w:val="center"/>
          </w:tcPr>
          <w:p w:rsidR="00450BDD" w:rsidRPr="00CA61A6" w:rsidRDefault="00450BDD" w:rsidP="00C3610F">
            <w:pPr>
              <w:pStyle w:val="Tabletext"/>
              <w:jc w:val="center"/>
            </w:pPr>
            <w:r w:rsidRPr="00CA61A6">
              <w:t>En curso</w:t>
            </w:r>
          </w:p>
        </w:tc>
        <w:tc>
          <w:tcPr>
            <w:tcW w:w="1148" w:type="dxa"/>
            <w:tcBorders>
              <w:top w:val="double" w:sz="4" w:space="0" w:color="auto"/>
            </w:tcBorders>
            <w:shd w:val="clear" w:color="auto" w:fill="auto"/>
            <w:vAlign w:val="center"/>
          </w:tcPr>
          <w:p w:rsidR="00450BDD" w:rsidRPr="00CA61A6" w:rsidRDefault="00C3610F" w:rsidP="00C3610F">
            <w:pPr>
              <w:pStyle w:val="Tabletext"/>
              <w:jc w:val="center"/>
            </w:pPr>
            <w:r w:rsidRPr="00CA61A6">
              <w:sym w:font="Wingdings" w:char="F0FC"/>
            </w:r>
          </w:p>
        </w:tc>
        <w:tc>
          <w:tcPr>
            <w:tcW w:w="1261" w:type="dxa"/>
            <w:tcBorders>
              <w:top w:val="double" w:sz="4" w:space="0" w:color="auto"/>
            </w:tcBorders>
            <w:shd w:val="clear" w:color="auto" w:fill="auto"/>
            <w:vAlign w:val="center"/>
          </w:tcPr>
          <w:p w:rsidR="00450BDD" w:rsidRPr="00CA61A6" w:rsidRDefault="00450BDD" w:rsidP="00C3610F">
            <w:pPr>
              <w:pStyle w:val="Tabletext"/>
              <w:jc w:val="center"/>
            </w:pPr>
          </w:p>
        </w:tc>
      </w:tr>
      <w:tr w:rsidR="00450BDD" w:rsidRPr="00CA61A6" w:rsidTr="00FA4DAF">
        <w:trPr>
          <w:cantSplit/>
          <w:jc w:val="center"/>
        </w:trPr>
        <w:tc>
          <w:tcPr>
            <w:tcW w:w="916" w:type="dxa"/>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70_02" w:history="1">
              <w:r w:rsidR="00450BDD" w:rsidRPr="00CA61A6">
                <w:rPr>
                  <w:color w:val="0000FF"/>
                  <w:sz w:val="20"/>
                  <w:u w:val="single"/>
                </w:rPr>
                <w:t>70-02</w:t>
              </w:r>
            </w:hyperlink>
          </w:p>
        </w:tc>
        <w:tc>
          <w:tcPr>
            <w:tcW w:w="5033" w:type="dxa"/>
            <w:shd w:val="clear" w:color="auto" w:fill="auto"/>
            <w:vAlign w:val="center"/>
          </w:tcPr>
          <w:p w:rsidR="00450BDD" w:rsidRPr="00CA61A6" w:rsidRDefault="00343F12" w:rsidP="00343F12">
            <w:pPr>
              <w:pStyle w:val="Tabletext"/>
            </w:pPr>
            <w:r>
              <w:t>L</w:t>
            </w:r>
            <w:r w:rsidR="00450BDD" w:rsidRPr="00CA61A6">
              <w:t>a TSB celebr</w:t>
            </w:r>
            <w:r>
              <w:t>ará</w:t>
            </w:r>
            <w:r w:rsidR="00450BDD" w:rsidRPr="00CA61A6">
              <w:t xml:space="preserve"> un taller de la UIT sobre los progresos y logros de las CE del UIT-T en materia de accesibilidad a las TIC antes de la AMNT-16</w:t>
            </w:r>
          </w:p>
        </w:tc>
        <w:tc>
          <w:tcPr>
            <w:tcW w:w="1474" w:type="dxa"/>
            <w:shd w:val="clear" w:color="auto" w:fill="auto"/>
            <w:vAlign w:val="center"/>
          </w:tcPr>
          <w:p w:rsidR="00450BDD" w:rsidRPr="00CA61A6" w:rsidRDefault="00FA4DAF" w:rsidP="00C3610F">
            <w:pPr>
              <w:pStyle w:val="Tabletext"/>
              <w:jc w:val="center"/>
            </w:pPr>
            <w:r>
              <w:t>30 de septiembre de 2016</w:t>
            </w:r>
          </w:p>
        </w:tc>
        <w:tc>
          <w:tcPr>
            <w:tcW w:w="1148" w:type="dxa"/>
            <w:shd w:val="clear" w:color="auto" w:fill="auto"/>
            <w:vAlign w:val="center"/>
          </w:tcPr>
          <w:p w:rsidR="00450BDD" w:rsidRPr="00CA61A6" w:rsidRDefault="00C3610F" w:rsidP="00C3610F">
            <w:pPr>
              <w:pStyle w:val="Tabletext"/>
              <w:jc w:val="center"/>
            </w:pPr>
            <w:r w:rsidRPr="00CA61A6">
              <w:sym w:font="Wingdings" w:char="F0FC"/>
            </w:r>
          </w:p>
        </w:tc>
        <w:tc>
          <w:tcPr>
            <w:tcW w:w="1261" w:type="dxa"/>
            <w:shd w:val="clear" w:color="auto" w:fill="auto"/>
            <w:vAlign w:val="center"/>
          </w:tcPr>
          <w:p w:rsidR="00450BDD" w:rsidRPr="00CA61A6" w:rsidRDefault="00450BDD" w:rsidP="00C3610F">
            <w:pPr>
              <w:pStyle w:val="Tabletext"/>
              <w:jc w:val="center"/>
            </w:pPr>
          </w:p>
        </w:tc>
      </w:tr>
      <w:tr w:rsidR="00450BDD" w:rsidRPr="00CA61A6" w:rsidTr="00FA4DAF">
        <w:trPr>
          <w:cantSplit/>
          <w:jc w:val="center"/>
        </w:trPr>
        <w:tc>
          <w:tcPr>
            <w:tcW w:w="916" w:type="dxa"/>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70_03" w:history="1">
              <w:r w:rsidR="00450BDD" w:rsidRPr="00CA61A6">
                <w:rPr>
                  <w:color w:val="0000FF"/>
                  <w:sz w:val="20"/>
                  <w:u w:val="single"/>
                </w:rPr>
                <w:t>70-03</w:t>
              </w:r>
            </w:hyperlink>
          </w:p>
        </w:tc>
        <w:tc>
          <w:tcPr>
            <w:tcW w:w="5033" w:type="dxa"/>
            <w:shd w:val="clear" w:color="auto" w:fill="auto"/>
            <w:vAlign w:val="center"/>
          </w:tcPr>
          <w:p w:rsidR="00450BDD" w:rsidRPr="00CA61A6" w:rsidRDefault="00343F12" w:rsidP="00343F12">
            <w:pPr>
              <w:pStyle w:val="Tabletext"/>
            </w:pPr>
            <w:r>
              <w:t>E</w:t>
            </w:r>
            <w:r w:rsidR="00450BDD" w:rsidRPr="00CA61A6">
              <w:t>l Director de la TSB inform</w:t>
            </w:r>
            <w:r>
              <w:t>ará</w:t>
            </w:r>
            <w:r w:rsidR="00450BDD" w:rsidRPr="00CA61A6">
              <w:t xml:space="preserve"> al Consejo</w:t>
            </w:r>
          </w:p>
        </w:tc>
        <w:tc>
          <w:tcPr>
            <w:tcW w:w="1474" w:type="dxa"/>
            <w:shd w:val="clear" w:color="auto" w:fill="auto"/>
            <w:vAlign w:val="center"/>
          </w:tcPr>
          <w:p w:rsidR="00450BDD" w:rsidRPr="00CA61A6" w:rsidRDefault="00450BDD" w:rsidP="00C3610F">
            <w:pPr>
              <w:pStyle w:val="Tabletext"/>
              <w:jc w:val="center"/>
            </w:pPr>
            <w:r w:rsidRPr="00CA61A6">
              <w:t>Consejo de 2016</w:t>
            </w:r>
          </w:p>
        </w:tc>
        <w:tc>
          <w:tcPr>
            <w:tcW w:w="1148" w:type="dxa"/>
            <w:shd w:val="clear" w:color="auto" w:fill="auto"/>
            <w:vAlign w:val="center"/>
          </w:tcPr>
          <w:p w:rsidR="00450BDD" w:rsidRPr="00CA61A6" w:rsidRDefault="00C3610F" w:rsidP="00C3610F">
            <w:pPr>
              <w:pStyle w:val="Tabletext"/>
              <w:jc w:val="center"/>
            </w:pPr>
            <w:r w:rsidRPr="00CA61A6">
              <w:sym w:font="Wingdings" w:char="F0FC"/>
            </w:r>
          </w:p>
        </w:tc>
        <w:tc>
          <w:tcPr>
            <w:tcW w:w="1261" w:type="dxa"/>
            <w:shd w:val="clear" w:color="auto" w:fill="auto"/>
            <w:vAlign w:val="center"/>
          </w:tcPr>
          <w:p w:rsidR="00450BDD" w:rsidRPr="00CA61A6" w:rsidRDefault="00450BDD" w:rsidP="00C3610F">
            <w:pPr>
              <w:pStyle w:val="Tabletext"/>
              <w:jc w:val="center"/>
            </w:pPr>
          </w:p>
        </w:tc>
      </w:tr>
      <w:tr w:rsidR="00450BDD" w:rsidRPr="00CA61A6" w:rsidTr="00FA4DAF">
        <w:trPr>
          <w:cantSplit/>
          <w:jc w:val="center"/>
        </w:trPr>
        <w:tc>
          <w:tcPr>
            <w:tcW w:w="916" w:type="dxa"/>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70_04" w:history="1">
              <w:r w:rsidR="00450BDD" w:rsidRPr="00CA61A6">
                <w:rPr>
                  <w:color w:val="0000FF"/>
                  <w:sz w:val="20"/>
                  <w:u w:val="single"/>
                </w:rPr>
                <w:t>70-04</w:t>
              </w:r>
            </w:hyperlink>
          </w:p>
        </w:tc>
        <w:tc>
          <w:tcPr>
            <w:tcW w:w="5033" w:type="dxa"/>
            <w:shd w:val="clear" w:color="auto" w:fill="auto"/>
            <w:vAlign w:val="center"/>
            <w:hideMark/>
          </w:tcPr>
          <w:p w:rsidR="00450BDD" w:rsidRPr="00CA61A6" w:rsidRDefault="00343F12" w:rsidP="00343F12">
            <w:pPr>
              <w:pStyle w:val="Tabletext"/>
            </w:pPr>
            <w:r>
              <w:t>L</w:t>
            </w:r>
            <w:r w:rsidR="00450BDD" w:rsidRPr="00CA61A6">
              <w:t>a TSB identifi</w:t>
            </w:r>
            <w:r>
              <w:t>cará, documentará y divulgará</w:t>
            </w:r>
            <w:r w:rsidR="00450BDD" w:rsidRPr="00CA61A6">
              <w:t xml:space="preserve"> a los </w:t>
            </w:r>
            <w:r w:rsidR="00110CAD" w:rsidRPr="00CA61A6">
              <w:t xml:space="preserve">miembros </w:t>
            </w:r>
            <w:r w:rsidR="00450BDD" w:rsidRPr="00CA61A6">
              <w:t>de la UIT las prácticas idóneas en materia de accesibilidad a las telecomunicaciones/TIC</w:t>
            </w:r>
          </w:p>
        </w:tc>
        <w:tc>
          <w:tcPr>
            <w:tcW w:w="1474" w:type="dxa"/>
            <w:shd w:val="clear" w:color="auto" w:fill="auto"/>
            <w:vAlign w:val="center"/>
            <w:hideMark/>
          </w:tcPr>
          <w:p w:rsidR="00450BDD" w:rsidRPr="00CA61A6" w:rsidRDefault="00450BDD" w:rsidP="00C3610F">
            <w:pPr>
              <w:pStyle w:val="Tabletext"/>
              <w:jc w:val="center"/>
            </w:pPr>
            <w:r w:rsidRPr="00CA61A6">
              <w:t>En curso</w:t>
            </w:r>
          </w:p>
        </w:tc>
        <w:tc>
          <w:tcPr>
            <w:tcW w:w="1148" w:type="dxa"/>
            <w:shd w:val="clear" w:color="auto" w:fill="auto"/>
            <w:vAlign w:val="center"/>
          </w:tcPr>
          <w:p w:rsidR="00450BDD" w:rsidRPr="00CA61A6" w:rsidRDefault="00C3610F" w:rsidP="00C3610F">
            <w:pPr>
              <w:pStyle w:val="Tabletext"/>
              <w:jc w:val="center"/>
            </w:pPr>
            <w:r w:rsidRPr="00CA61A6">
              <w:sym w:font="Wingdings" w:char="F0FC"/>
            </w:r>
          </w:p>
        </w:tc>
        <w:tc>
          <w:tcPr>
            <w:tcW w:w="1261" w:type="dxa"/>
            <w:shd w:val="clear" w:color="auto" w:fill="auto"/>
            <w:vAlign w:val="center"/>
          </w:tcPr>
          <w:p w:rsidR="00450BDD" w:rsidRPr="00CA61A6" w:rsidRDefault="00450BDD" w:rsidP="00C3610F">
            <w:pPr>
              <w:pStyle w:val="Tabletext"/>
              <w:jc w:val="center"/>
            </w:pPr>
          </w:p>
        </w:tc>
      </w:tr>
      <w:tr w:rsidR="00450BDD" w:rsidRPr="00CA61A6" w:rsidTr="00FA4DAF">
        <w:trPr>
          <w:cantSplit/>
          <w:jc w:val="center"/>
        </w:trPr>
        <w:tc>
          <w:tcPr>
            <w:tcW w:w="916" w:type="dxa"/>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70_05" w:history="1">
              <w:r w:rsidR="00450BDD" w:rsidRPr="00CA61A6">
                <w:rPr>
                  <w:color w:val="0000FF"/>
                  <w:sz w:val="20"/>
                  <w:u w:val="single"/>
                </w:rPr>
                <w:t>70-05</w:t>
              </w:r>
            </w:hyperlink>
          </w:p>
        </w:tc>
        <w:tc>
          <w:tcPr>
            <w:tcW w:w="5033" w:type="dxa"/>
            <w:shd w:val="clear" w:color="auto" w:fill="auto"/>
            <w:vAlign w:val="center"/>
          </w:tcPr>
          <w:p w:rsidR="00450BDD" w:rsidRPr="00CA61A6" w:rsidRDefault="00343F12" w:rsidP="00343F12">
            <w:pPr>
              <w:pStyle w:val="Tabletext"/>
            </w:pPr>
            <w:r>
              <w:t>E</w:t>
            </w:r>
            <w:r w:rsidR="00450BDD" w:rsidRPr="00CA61A6">
              <w:t>l Director examin</w:t>
            </w:r>
            <w:r>
              <w:t>ará</w:t>
            </w:r>
            <w:r w:rsidR="00450BDD" w:rsidRPr="00CA61A6">
              <w:t xml:space="preserve"> la accesibilidad de los servicios e instalaciones del UIT-T y consider</w:t>
            </w:r>
            <w:r>
              <w:t>ará</w:t>
            </w:r>
            <w:r w:rsidR="00450BDD" w:rsidRPr="00CA61A6">
              <w:t xml:space="preserve"> la posibilidad de introducir cambios</w:t>
            </w:r>
          </w:p>
        </w:tc>
        <w:tc>
          <w:tcPr>
            <w:tcW w:w="1474" w:type="dxa"/>
            <w:shd w:val="clear" w:color="auto" w:fill="auto"/>
            <w:vAlign w:val="center"/>
          </w:tcPr>
          <w:p w:rsidR="00450BDD" w:rsidRPr="00CA61A6" w:rsidRDefault="00450BDD" w:rsidP="00C3610F">
            <w:pPr>
              <w:pStyle w:val="Tabletext"/>
              <w:jc w:val="center"/>
            </w:pPr>
            <w:r w:rsidRPr="00CA61A6">
              <w:t>En curso</w:t>
            </w:r>
          </w:p>
        </w:tc>
        <w:tc>
          <w:tcPr>
            <w:tcW w:w="1148" w:type="dxa"/>
            <w:shd w:val="clear" w:color="auto" w:fill="auto"/>
            <w:vAlign w:val="center"/>
          </w:tcPr>
          <w:p w:rsidR="00450BDD" w:rsidRPr="00CA61A6" w:rsidRDefault="00C3610F" w:rsidP="00C3610F">
            <w:pPr>
              <w:pStyle w:val="Tabletext"/>
              <w:jc w:val="center"/>
            </w:pPr>
            <w:r w:rsidRPr="00CA61A6">
              <w:sym w:font="Wingdings" w:char="F0FC"/>
            </w:r>
          </w:p>
        </w:tc>
        <w:tc>
          <w:tcPr>
            <w:tcW w:w="1261" w:type="dxa"/>
            <w:shd w:val="clear" w:color="auto" w:fill="auto"/>
            <w:vAlign w:val="center"/>
          </w:tcPr>
          <w:p w:rsidR="00450BDD" w:rsidRPr="00CA61A6" w:rsidRDefault="00450BDD" w:rsidP="00C3610F">
            <w:pPr>
              <w:pStyle w:val="Tabletext"/>
              <w:jc w:val="center"/>
            </w:pPr>
          </w:p>
        </w:tc>
      </w:tr>
      <w:tr w:rsidR="00450BDD" w:rsidRPr="00CA61A6" w:rsidTr="00FA4DAF">
        <w:trPr>
          <w:cantSplit/>
          <w:jc w:val="center"/>
        </w:trPr>
        <w:tc>
          <w:tcPr>
            <w:tcW w:w="916" w:type="dxa"/>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70_06" w:history="1">
              <w:r w:rsidR="00450BDD" w:rsidRPr="00CA61A6">
                <w:rPr>
                  <w:color w:val="0000FF"/>
                  <w:sz w:val="20"/>
                  <w:u w:val="single"/>
                </w:rPr>
                <w:t>70-06</w:t>
              </w:r>
            </w:hyperlink>
          </w:p>
        </w:tc>
        <w:tc>
          <w:tcPr>
            <w:tcW w:w="5033" w:type="dxa"/>
            <w:shd w:val="clear" w:color="auto" w:fill="auto"/>
            <w:vAlign w:val="center"/>
            <w:hideMark/>
          </w:tcPr>
          <w:p w:rsidR="00450BDD" w:rsidRPr="00CA61A6" w:rsidRDefault="00343F12" w:rsidP="00343F12">
            <w:pPr>
              <w:pStyle w:val="Tabletext"/>
            </w:pPr>
            <w:r>
              <w:t>E</w:t>
            </w:r>
            <w:r w:rsidR="00450BDD" w:rsidRPr="00CA61A6">
              <w:t>l Director colabor</w:t>
            </w:r>
            <w:r>
              <w:t>ará</w:t>
            </w:r>
            <w:r w:rsidR="00450BDD" w:rsidRPr="00CA61A6">
              <w:t xml:space="preserve"> con los demás Directores en las actividades sobre accesibilidad relativas a la sensibilización y adopción generalizada de las normas de accesibilidad de las telecomunicaciones/TIC, e inform</w:t>
            </w:r>
            <w:r>
              <w:t>ará</w:t>
            </w:r>
            <w:r w:rsidR="00450BDD" w:rsidRPr="00CA61A6">
              <w:t xml:space="preserve"> sobre sus conclusiones al Consejo según proceda</w:t>
            </w:r>
          </w:p>
        </w:tc>
        <w:tc>
          <w:tcPr>
            <w:tcW w:w="1474" w:type="dxa"/>
            <w:shd w:val="clear" w:color="auto" w:fill="auto"/>
            <w:vAlign w:val="center"/>
            <w:hideMark/>
          </w:tcPr>
          <w:p w:rsidR="00450BDD" w:rsidRPr="00CA61A6" w:rsidRDefault="00450BDD" w:rsidP="00C3610F">
            <w:pPr>
              <w:pStyle w:val="Tabletext"/>
              <w:jc w:val="center"/>
            </w:pPr>
            <w:r w:rsidRPr="00CA61A6">
              <w:t>En curso</w:t>
            </w:r>
          </w:p>
        </w:tc>
        <w:tc>
          <w:tcPr>
            <w:tcW w:w="1148" w:type="dxa"/>
            <w:shd w:val="clear" w:color="auto" w:fill="auto"/>
            <w:vAlign w:val="center"/>
          </w:tcPr>
          <w:p w:rsidR="00450BDD" w:rsidRPr="00CA61A6" w:rsidRDefault="00C3610F" w:rsidP="00C3610F">
            <w:pPr>
              <w:pStyle w:val="Tabletext"/>
              <w:jc w:val="center"/>
            </w:pPr>
            <w:r w:rsidRPr="00CA61A6">
              <w:sym w:font="Wingdings" w:char="F0FC"/>
            </w:r>
          </w:p>
        </w:tc>
        <w:tc>
          <w:tcPr>
            <w:tcW w:w="1261" w:type="dxa"/>
            <w:shd w:val="clear" w:color="auto" w:fill="auto"/>
            <w:vAlign w:val="center"/>
          </w:tcPr>
          <w:p w:rsidR="00450BDD" w:rsidRPr="00CA61A6" w:rsidRDefault="00450BDD" w:rsidP="00C3610F">
            <w:pPr>
              <w:pStyle w:val="Tabletext"/>
              <w:jc w:val="center"/>
            </w:pPr>
          </w:p>
        </w:tc>
      </w:tr>
      <w:tr w:rsidR="00450BDD" w:rsidRPr="00CA61A6" w:rsidTr="00FA4DAF">
        <w:trPr>
          <w:cantSplit/>
          <w:jc w:val="center"/>
        </w:trPr>
        <w:tc>
          <w:tcPr>
            <w:tcW w:w="916" w:type="dxa"/>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70_07" w:history="1">
              <w:r w:rsidR="00450BDD" w:rsidRPr="00CA61A6">
                <w:rPr>
                  <w:color w:val="0000FF"/>
                  <w:sz w:val="20"/>
                  <w:u w:val="single"/>
                </w:rPr>
                <w:t>70-07</w:t>
              </w:r>
            </w:hyperlink>
          </w:p>
        </w:tc>
        <w:tc>
          <w:tcPr>
            <w:tcW w:w="5033" w:type="dxa"/>
            <w:shd w:val="clear" w:color="auto" w:fill="auto"/>
            <w:vAlign w:val="center"/>
            <w:hideMark/>
          </w:tcPr>
          <w:p w:rsidR="00450BDD" w:rsidRPr="00CA61A6" w:rsidRDefault="00343F12" w:rsidP="00343F12">
            <w:pPr>
              <w:pStyle w:val="Tabletext"/>
            </w:pPr>
            <w:r>
              <w:t>E</w:t>
            </w:r>
            <w:r w:rsidR="00450BDD" w:rsidRPr="00CA61A6">
              <w:t>l Director, en colaboración con el Director de la BDT, elabor</w:t>
            </w:r>
            <w:r>
              <w:t>ará</w:t>
            </w:r>
            <w:r w:rsidR="00450BDD" w:rsidRPr="00CA61A6">
              <w:t xml:space="preserve"> programas que permitan a los países en desarrollo introducir servicios que permitan a las personas con discapacidades usar eficazmente los servicios de TIC</w:t>
            </w:r>
          </w:p>
        </w:tc>
        <w:tc>
          <w:tcPr>
            <w:tcW w:w="1474" w:type="dxa"/>
            <w:shd w:val="clear" w:color="auto" w:fill="auto"/>
            <w:vAlign w:val="center"/>
            <w:hideMark/>
          </w:tcPr>
          <w:p w:rsidR="00450BDD" w:rsidRPr="00CA61A6" w:rsidRDefault="00450BDD" w:rsidP="00C3610F">
            <w:pPr>
              <w:pStyle w:val="Tabletext"/>
              <w:jc w:val="center"/>
            </w:pPr>
            <w:r w:rsidRPr="00CA61A6">
              <w:t>En curso</w:t>
            </w:r>
          </w:p>
        </w:tc>
        <w:tc>
          <w:tcPr>
            <w:tcW w:w="1148" w:type="dxa"/>
            <w:shd w:val="clear" w:color="auto" w:fill="auto"/>
            <w:vAlign w:val="center"/>
          </w:tcPr>
          <w:p w:rsidR="00450BDD" w:rsidRPr="00CA61A6" w:rsidRDefault="00C3610F" w:rsidP="00C3610F">
            <w:pPr>
              <w:pStyle w:val="Tabletext"/>
              <w:jc w:val="center"/>
            </w:pPr>
            <w:r w:rsidRPr="00CA61A6">
              <w:sym w:font="Wingdings" w:char="F0FC"/>
            </w:r>
          </w:p>
        </w:tc>
        <w:tc>
          <w:tcPr>
            <w:tcW w:w="1261" w:type="dxa"/>
            <w:shd w:val="clear" w:color="auto" w:fill="auto"/>
            <w:vAlign w:val="center"/>
          </w:tcPr>
          <w:p w:rsidR="00450BDD" w:rsidRPr="00CA61A6" w:rsidRDefault="00450BDD" w:rsidP="00C3610F">
            <w:pPr>
              <w:pStyle w:val="Tabletext"/>
              <w:jc w:val="center"/>
            </w:pPr>
          </w:p>
        </w:tc>
      </w:tr>
      <w:tr w:rsidR="00450BDD" w:rsidRPr="00CA61A6" w:rsidTr="00FA4DAF">
        <w:trPr>
          <w:cantSplit/>
          <w:jc w:val="center"/>
        </w:trPr>
        <w:tc>
          <w:tcPr>
            <w:tcW w:w="916" w:type="dxa"/>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70_08" w:history="1">
              <w:r w:rsidR="00450BDD" w:rsidRPr="00CA61A6">
                <w:rPr>
                  <w:color w:val="0000FF"/>
                  <w:sz w:val="20"/>
                  <w:u w:val="single"/>
                </w:rPr>
                <w:t>70-08</w:t>
              </w:r>
            </w:hyperlink>
          </w:p>
        </w:tc>
        <w:tc>
          <w:tcPr>
            <w:tcW w:w="5033" w:type="dxa"/>
            <w:shd w:val="clear" w:color="auto" w:fill="auto"/>
            <w:vAlign w:val="center"/>
          </w:tcPr>
          <w:p w:rsidR="00450BDD" w:rsidRPr="00CA61A6" w:rsidRDefault="00343F12" w:rsidP="00343F12">
            <w:pPr>
              <w:pStyle w:val="Tabletext"/>
            </w:pPr>
            <w:r>
              <w:t>L</w:t>
            </w:r>
            <w:r w:rsidR="00450BDD" w:rsidRPr="00CA61A6">
              <w:t>a TSB colabor</w:t>
            </w:r>
            <w:r>
              <w:t>ará</w:t>
            </w:r>
            <w:r w:rsidR="00450BDD" w:rsidRPr="00CA61A6">
              <w:t xml:space="preserve"> y cooper</w:t>
            </w:r>
            <w:r>
              <w:t>ará</w:t>
            </w:r>
            <w:r w:rsidR="00450BDD" w:rsidRPr="00CA61A6">
              <w:t xml:space="preserve"> con las organizaciones </w:t>
            </w:r>
            <w:r w:rsidR="00990D17">
              <w:t xml:space="preserve">de </w:t>
            </w:r>
            <w:r w:rsidR="00450BDD" w:rsidRPr="00CA61A6">
              <w:t>normalización, para evitar la duplicación y con organizaciones de personas con discapacidad a fin de garantizar que se tengan en cuenta las necesidades de accesibilidad en la normalización</w:t>
            </w:r>
          </w:p>
        </w:tc>
        <w:tc>
          <w:tcPr>
            <w:tcW w:w="1474" w:type="dxa"/>
            <w:shd w:val="clear" w:color="auto" w:fill="auto"/>
            <w:vAlign w:val="center"/>
          </w:tcPr>
          <w:p w:rsidR="00450BDD" w:rsidRPr="00CA61A6" w:rsidRDefault="00450BDD" w:rsidP="00C3610F">
            <w:pPr>
              <w:pStyle w:val="Tabletext"/>
              <w:jc w:val="center"/>
            </w:pPr>
            <w:r w:rsidRPr="00CA61A6">
              <w:t>En curso</w:t>
            </w:r>
          </w:p>
        </w:tc>
        <w:tc>
          <w:tcPr>
            <w:tcW w:w="1148" w:type="dxa"/>
            <w:shd w:val="clear" w:color="auto" w:fill="auto"/>
            <w:vAlign w:val="center"/>
          </w:tcPr>
          <w:p w:rsidR="00450BDD" w:rsidRPr="00CA61A6" w:rsidRDefault="00C3610F" w:rsidP="00C3610F">
            <w:pPr>
              <w:pStyle w:val="Tabletext"/>
              <w:jc w:val="center"/>
            </w:pPr>
            <w:r w:rsidRPr="00CA61A6">
              <w:sym w:font="Wingdings" w:char="F0FC"/>
            </w:r>
          </w:p>
        </w:tc>
        <w:tc>
          <w:tcPr>
            <w:tcW w:w="1261" w:type="dxa"/>
            <w:shd w:val="clear" w:color="auto" w:fill="auto"/>
            <w:vAlign w:val="center"/>
          </w:tcPr>
          <w:p w:rsidR="00450BDD" w:rsidRPr="00CA61A6" w:rsidRDefault="00450BDD" w:rsidP="00C3610F">
            <w:pPr>
              <w:pStyle w:val="Tabletext"/>
              <w:jc w:val="center"/>
            </w:pPr>
          </w:p>
        </w:tc>
      </w:tr>
      <w:tr w:rsidR="00450BDD" w:rsidRPr="00CA61A6" w:rsidTr="00FA4DAF">
        <w:trPr>
          <w:cantSplit/>
          <w:jc w:val="center"/>
        </w:trPr>
        <w:tc>
          <w:tcPr>
            <w:tcW w:w="916" w:type="dxa"/>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70_09" w:history="1">
              <w:r w:rsidR="00450BDD" w:rsidRPr="00CA61A6">
                <w:rPr>
                  <w:color w:val="0000FF"/>
                  <w:sz w:val="20"/>
                  <w:u w:val="single"/>
                </w:rPr>
                <w:t>70-09</w:t>
              </w:r>
            </w:hyperlink>
          </w:p>
        </w:tc>
        <w:tc>
          <w:tcPr>
            <w:tcW w:w="5033" w:type="dxa"/>
            <w:shd w:val="clear" w:color="auto" w:fill="auto"/>
            <w:vAlign w:val="center"/>
          </w:tcPr>
          <w:p w:rsidR="00450BDD" w:rsidRPr="00CA61A6" w:rsidRDefault="00343F12" w:rsidP="00343F12">
            <w:pPr>
              <w:pStyle w:val="Tabletext"/>
            </w:pPr>
            <w:r>
              <w:t>E</w:t>
            </w:r>
            <w:r w:rsidR="00450BDD" w:rsidRPr="00CA61A6">
              <w:t>l Director contribu</w:t>
            </w:r>
            <w:r>
              <w:t>irá</w:t>
            </w:r>
            <w:r w:rsidR="00450BDD" w:rsidRPr="00CA61A6">
              <w:t xml:space="preserve"> al desarrollo de un programa de prácticas aplicable a toda la UIT para personas con discapacidad que disponen de conocimientos técnicos especializados en el campo de las TIC</w:t>
            </w:r>
          </w:p>
        </w:tc>
        <w:tc>
          <w:tcPr>
            <w:tcW w:w="1474" w:type="dxa"/>
            <w:shd w:val="clear" w:color="auto" w:fill="auto"/>
            <w:vAlign w:val="center"/>
          </w:tcPr>
          <w:p w:rsidR="00450BDD" w:rsidRPr="00CA61A6" w:rsidRDefault="00450BDD" w:rsidP="00C3610F">
            <w:pPr>
              <w:pStyle w:val="Tabletext"/>
              <w:jc w:val="center"/>
            </w:pPr>
            <w:r w:rsidRPr="00CA61A6">
              <w:t>En curso</w:t>
            </w:r>
          </w:p>
        </w:tc>
        <w:tc>
          <w:tcPr>
            <w:tcW w:w="1148" w:type="dxa"/>
            <w:shd w:val="clear" w:color="auto" w:fill="auto"/>
            <w:vAlign w:val="center"/>
          </w:tcPr>
          <w:p w:rsidR="00450BDD" w:rsidRPr="00CA61A6" w:rsidRDefault="00C3610F" w:rsidP="00C3610F">
            <w:pPr>
              <w:pStyle w:val="Tabletext"/>
              <w:jc w:val="center"/>
            </w:pPr>
            <w:r w:rsidRPr="00CA61A6">
              <w:sym w:font="Wingdings" w:char="F0FC"/>
            </w:r>
          </w:p>
        </w:tc>
        <w:tc>
          <w:tcPr>
            <w:tcW w:w="1261" w:type="dxa"/>
            <w:shd w:val="clear" w:color="auto" w:fill="auto"/>
            <w:vAlign w:val="center"/>
          </w:tcPr>
          <w:p w:rsidR="00450BDD" w:rsidRPr="00CA61A6" w:rsidRDefault="00450BDD" w:rsidP="00C3610F">
            <w:pPr>
              <w:pStyle w:val="Tabletext"/>
              <w:jc w:val="center"/>
            </w:pPr>
          </w:p>
        </w:tc>
      </w:tr>
      <w:tr w:rsidR="00450BDD" w:rsidRPr="00CA61A6" w:rsidTr="00FA4DAF">
        <w:trPr>
          <w:cantSplit/>
          <w:jc w:val="center"/>
        </w:trPr>
        <w:tc>
          <w:tcPr>
            <w:tcW w:w="916" w:type="dxa"/>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70_10" w:history="1">
              <w:r w:rsidR="00450BDD" w:rsidRPr="00CA61A6">
                <w:rPr>
                  <w:color w:val="0000FF"/>
                  <w:sz w:val="20"/>
                  <w:u w:val="single"/>
                </w:rPr>
                <w:t>70-10</w:t>
              </w:r>
            </w:hyperlink>
          </w:p>
        </w:tc>
        <w:tc>
          <w:tcPr>
            <w:tcW w:w="5033" w:type="dxa"/>
            <w:shd w:val="clear" w:color="auto" w:fill="auto"/>
            <w:vAlign w:val="center"/>
          </w:tcPr>
          <w:p w:rsidR="00450BDD" w:rsidRPr="00CA61A6" w:rsidRDefault="00343F12" w:rsidP="00343F12">
            <w:pPr>
              <w:pStyle w:val="Tabletext"/>
            </w:pPr>
            <w:r>
              <w:t>E</w:t>
            </w:r>
            <w:r w:rsidR="00450BDD" w:rsidRPr="00CA61A6">
              <w:t>l Director contin</w:t>
            </w:r>
            <w:r>
              <w:t>uará</w:t>
            </w:r>
            <w:r w:rsidR="009D6932" w:rsidRPr="00CA61A6">
              <w:t xml:space="preserve"> con la función de coordinación</w:t>
            </w:r>
            <w:r w:rsidR="00450BDD" w:rsidRPr="00CA61A6">
              <w:t xml:space="preserve"> y asesoramiento en materia de discapacidad del UIT-T</w:t>
            </w:r>
          </w:p>
        </w:tc>
        <w:tc>
          <w:tcPr>
            <w:tcW w:w="1474" w:type="dxa"/>
            <w:shd w:val="clear" w:color="auto" w:fill="auto"/>
            <w:vAlign w:val="center"/>
          </w:tcPr>
          <w:p w:rsidR="00450BDD" w:rsidRPr="00CA61A6" w:rsidRDefault="00450BDD" w:rsidP="00C3610F">
            <w:pPr>
              <w:pStyle w:val="Tabletext"/>
              <w:jc w:val="center"/>
            </w:pPr>
            <w:r w:rsidRPr="00CA61A6">
              <w:t>En curso</w:t>
            </w:r>
          </w:p>
        </w:tc>
        <w:tc>
          <w:tcPr>
            <w:tcW w:w="1148" w:type="dxa"/>
            <w:shd w:val="clear" w:color="auto" w:fill="auto"/>
            <w:vAlign w:val="center"/>
          </w:tcPr>
          <w:p w:rsidR="00450BDD" w:rsidRPr="00CA61A6" w:rsidRDefault="00C3610F" w:rsidP="00C3610F">
            <w:pPr>
              <w:pStyle w:val="Tabletext"/>
              <w:jc w:val="center"/>
            </w:pPr>
            <w:r w:rsidRPr="00CA61A6">
              <w:sym w:font="Wingdings" w:char="F0FC"/>
            </w:r>
          </w:p>
        </w:tc>
        <w:tc>
          <w:tcPr>
            <w:tcW w:w="1261" w:type="dxa"/>
            <w:shd w:val="clear" w:color="auto" w:fill="auto"/>
            <w:vAlign w:val="center"/>
          </w:tcPr>
          <w:p w:rsidR="00450BDD" w:rsidRPr="00CA61A6" w:rsidRDefault="00450BDD" w:rsidP="00C3610F">
            <w:pPr>
              <w:pStyle w:val="Tabletext"/>
              <w:jc w:val="center"/>
            </w:pPr>
          </w:p>
        </w:tc>
      </w:tr>
      <w:tr w:rsidR="00450BDD" w:rsidRPr="00CA61A6" w:rsidTr="00FA4DAF">
        <w:trPr>
          <w:cantSplit/>
          <w:jc w:val="center"/>
        </w:trPr>
        <w:tc>
          <w:tcPr>
            <w:tcW w:w="916" w:type="dxa"/>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70_11" w:history="1">
              <w:r w:rsidR="00450BDD" w:rsidRPr="00CA61A6">
                <w:rPr>
                  <w:color w:val="0000FF"/>
                  <w:sz w:val="20"/>
                  <w:u w:val="single"/>
                </w:rPr>
                <w:t>70-11</w:t>
              </w:r>
            </w:hyperlink>
          </w:p>
        </w:tc>
        <w:tc>
          <w:tcPr>
            <w:tcW w:w="5033" w:type="dxa"/>
            <w:shd w:val="clear" w:color="auto" w:fill="auto"/>
            <w:vAlign w:val="center"/>
          </w:tcPr>
          <w:p w:rsidR="00450BDD" w:rsidRPr="00CA61A6" w:rsidRDefault="00343F12" w:rsidP="00343F12">
            <w:pPr>
              <w:pStyle w:val="Tabletext"/>
            </w:pPr>
            <w:r>
              <w:t>E</w:t>
            </w:r>
            <w:r w:rsidR="00450BDD" w:rsidRPr="00CA61A6">
              <w:t>l Director estudi</w:t>
            </w:r>
            <w:r>
              <w:t>ará</w:t>
            </w:r>
            <w:r w:rsidR="00450BDD" w:rsidRPr="00CA61A6">
              <w:t xml:space="preserve"> la posibilidad de utilizar recursos relacionados con la accesibilidad para fomentar la participación de las personas con discapacidad</w:t>
            </w:r>
          </w:p>
        </w:tc>
        <w:tc>
          <w:tcPr>
            <w:tcW w:w="1474" w:type="dxa"/>
            <w:shd w:val="clear" w:color="auto" w:fill="auto"/>
            <w:vAlign w:val="center"/>
          </w:tcPr>
          <w:p w:rsidR="00450BDD" w:rsidRPr="00CA61A6" w:rsidRDefault="00450BDD" w:rsidP="00C3610F">
            <w:pPr>
              <w:pStyle w:val="Tabletext"/>
              <w:jc w:val="center"/>
            </w:pPr>
            <w:r w:rsidRPr="00CA61A6">
              <w:t>En curso</w:t>
            </w:r>
          </w:p>
        </w:tc>
        <w:tc>
          <w:tcPr>
            <w:tcW w:w="1148" w:type="dxa"/>
            <w:shd w:val="clear" w:color="auto" w:fill="auto"/>
            <w:vAlign w:val="center"/>
          </w:tcPr>
          <w:p w:rsidR="00450BDD" w:rsidRPr="00CA61A6" w:rsidRDefault="00C3610F" w:rsidP="00C3610F">
            <w:pPr>
              <w:pStyle w:val="Tabletext"/>
              <w:jc w:val="center"/>
            </w:pPr>
            <w:r w:rsidRPr="00CA61A6">
              <w:sym w:font="Wingdings" w:char="F0FC"/>
            </w:r>
          </w:p>
        </w:tc>
        <w:tc>
          <w:tcPr>
            <w:tcW w:w="1261" w:type="dxa"/>
            <w:shd w:val="clear" w:color="auto" w:fill="auto"/>
            <w:vAlign w:val="center"/>
          </w:tcPr>
          <w:p w:rsidR="00450BDD" w:rsidRPr="00CA61A6" w:rsidRDefault="00450BDD" w:rsidP="00C3610F">
            <w:pPr>
              <w:pStyle w:val="Tabletext"/>
              <w:jc w:val="center"/>
            </w:pPr>
          </w:p>
        </w:tc>
      </w:tr>
      <w:tr w:rsidR="00450BDD" w:rsidRPr="00CA61A6" w:rsidTr="00FA4DAF">
        <w:trPr>
          <w:cantSplit/>
          <w:jc w:val="center"/>
        </w:trPr>
        <w:tc>
          <w:tcPr>
            <w:tcW w:w="916" w:type="dxa"/>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70_12" w:history="1">
              <w:r w:rsidR="00450BDD" w:rsidRPr="00CA61A6">
                <w:rPr>
                  <w:color w:val="0000FF"/>
                  <w:sz w:val="20"/>
                  <w:u w:val="single"/>
                </w:rPr>
                <w:t>70-12</w:t>
              </w:r>
            </w:hyperlink>
          </w:p>
        </w:tc>
        <w:tc>
          <w:tcPr>
            <w:tcW w:w="5033" w:type="dxa"/>
            <w:shd w:val="clear" w:color="auto" w:fill="auto"/>
            <w:vAlign w:val="center"/>
          </w:tcPr>
          <w:p w:rsidR="00450BDD" w:rsidRPr="00CA61A6" w:rsidRDefault="00343F12" w:rsidP="00343F12">
            <w:pPr>
              <w:pStyle w:val="Tabletext"/>
            </w:pPr>
            <w:r>
              <w:t>E</w:t>
            </w:r>
            <w:r w:rsidR="00450BDD" w:rsidRPr="00CA61A6">
              <w:t>l GANT revis</w:t>
            </w:r>
            <w:r>
              <w:t>ará</w:t>
            </w:r>
            <w:r w:rsidR="00450BDD" w:rsidRPr="00CA61A6">
              <w:t xml:space="preserve"> la Guía para Comisiones de Estudio del UIT-T – </w:t>
            </w:r>
            <w:r w:rsidR="006179DF">
              <w:t>"</w:t>
            </w:r>
            <w:r w:rsidR="00450BDD" w:rsidRPr="00CA61A6">
              <w:t>Consideración de las necesidades de los usuarios finales en la formulación de Recomendaciones</w:t>
            </w:r>
            <w:r w:rsidR="006179DF">
              <w:t>"</w:t>
            </w:r>
            <w:r w:rsidR="00450BDD" w:rsidRPr="00CA61A6">
              <w:t xml:space="preserve"> y solicit</w:t>
            </w:r>
            <w:r>
              <w:t>ará</w:t>
            </w:r>
            <w:r w:rsidR="00450BDD" w:rsidRPr="00CA61A6">
              <w:t xml:space="preserve"> a las CE que la pongan en práctica</w:t>
            </w:r>
          </w:p>
        </w:tc>
        <w:tc>
          <w:tcPr>
            <w:tcW w:w="1474" w:type="dxa"/>
            <w:shd w:val="clear" w:color="auto" w:fill="auto"/>
            <w:vAlign w:val="center"/>
          </w:tcPr>
          <w:p w:rsidR="00450BDD" w:rsidRPr="00CA61A6" w:rsidRDefault="00450BDD" w:rsidP="00C3610F">
            <w:pPr>
              <w:pStyle w:val="Tabletext"/>
              <w:jc w:val="center"/>
            </w:pPr>
            <w:r w:rsidRPr="00CA61A6">
              <w:t>En curso</w:t>
            </w:r>
          </w:p>
        </w:tc>
        <w:tc>
          <w:tcPr>
            <w:tcW w:w="1148" w:type="dxa"/>
            <w:shd w:val="clear" w:color="auto" w:fill="auto"/>
            <w:vAlign w:val="center"/>
          </w:tcPr>
          <w:p w:rsidR="00450BDD" w:rsidRPr="00CA61A6" w:rsidRDefault="00C3610F" w:rsidP="00C3610F">
            <w:pPr>
              <w:pStyle w:val="Tabletext"/>
              <w:jc w:val="center"/>
            </w:pPr>
            <w:r w:rsidRPr="00CA61A6">
              <w:sym w:font="Wingdings" w:char="F0FC"/>
            </w:r>
          </w:p>
        </w:tc>
        <w:tc>
          <w:tcPr>
            <w:tcW w:w="1261" w:type="dxa"/>
            <w:shd w:val="clear" w:color="auto" w:fill="auto"/>
            <w:vAlign w:val="center"/>
          </w:tcPr>
          <w:p w:rsidR="00450BDD" w:rsidRPr="00CA61A6" w:rsidRDefault="00450BDD" w:rsidP="00C3610F">
            <w:pPr>
              <w:pStyle w:val="Tabletext"/>
              <w:jc w:val="center"/>
            </w:pPr>
          </w:p>
        </w:tc>
      </w:tr>
    </w:tbl>
    <w:p w:rsidR="00450BDD" w:rsidRPr="00CA61A6" w:rsidRDefault="00956DC6" w:rsidP="001B3254">
      <w:pPr>
        <w:pStyle w:val="Headingb"/>
        <w:keepLines/>
      </w:pPr>
      <w:bookmarkStart w:id="641" w:name="Item70_01"/>
      <w:bookmarkEnd w:id="639"/>
      <w:bookmarkEnd w:id="640"/>
      <w:r w:rsidRPr="00CA61A6">
        <w:t xml:space="preserve">Acción </w:t>
      </w:r>
      <w:r w:rsidR="00450BDD" w:rsidRPr="00CA61A6">
        <w:t>70-01: TSB</w:t>
      </w:r>
    </w:p>
    <w:bookmarkEnd w:id="641"/>
    <w:p w:rsidR="00450BDD" w:rsidRPr="00CA61A6" w:rsidRDefault="00450BDD" w:rsidP="007B3478">
      <w:pPr>
        <w:rPr>
          <w:rFonts w:eastAsia="SimSun"/>
          <w:szCs w:val="24"/>
          <w:lang w:eastAsia="ja-JP"/>
        </w:rPr>
      </w:pPr>
      <w:r w:rsidRPr="00CA61A6">
        <w:rPr>
          <w:rFonts w:eastAsia="SimSun"/>
          <w:szCs w:val="24"/>
          <w:lang w:eastAsia="ja-JP"/>
        </w:rPr>
        <w:t>La TSB ha seguido trabajando en Comisiones de Estudio competentes para avanzar los estudios de la accesibilidad a los servicios, redes y aplicaciones TIC</w:t>
      </w:r>
      <w:r w:rsidR="00844449" w:rsidRPr="00CA61A6">
        <w:rPr>
          <w:rFonts w:eastAsia="SimSun"/>
          <w:szCs w:val="24"/>
          <w:lang w:eastAsia="ja-JP"/>
        </w:rPr>
        <w:t>.</w:t>
      </w:r>
    </w:p>
    <w:p w:rsidR="00450BDD" w:rsidRPr="00CA61A6" w:rsidRDefault="00450BDD" w:rsidP="007B3478">
      <w:pPr>
        <w:rPr>
          <w:rFonts w:eastAsia="SimSun"/>
          <w:szCs w:val="24"/>
          <w:lang w:eastAsia="ja-JP"/>
        </w:rPr>
      </w:pPr>
      <w:r w:rsidRPr="00CA61A6">
        <w:rPr>
          <w:rFonts w:eastAsia="SimSun"/>
          <w:szCs w:val="24"/>
          <w:lang w:eastAsia="ja-JP"/>
        </w:rPr>
        <w:t>La Actividad Conjunta de Coordinación sobre Accesibilidad y Factores Humanos (</w:t>
      </w:r>
      <w:hyperlink r:id="rId158" w:history="1">
        <w:r w:rsidRPr="00CA61A6">
          <w:rPr>
            <w:rStyle w:val="Hyperlink"/>
            <w:rFonts w:eastAsia="SimSun"/>
            <w:szCs w:val="24"/>
            <w:lang w:eastAsia="ja-JP"/>
          </w:rPr>
          <w:t>JCA-AHF</w:t>
        </w:r>
      </w:hyperlink>
      <w:r w:rsidRPr="00CA61A6">
        <w:rPr>
          <w:rFonts w:eastAsia="SimSun"/>
          <w:szCs w:val="24"/>
          <w:lang w:eastAsia="ja-JP"/>
        </w:rPr>
        <w:t>) sigue en marcha, aumentando</w:t>
      </w:r>
      <w:r w:rsidR="009D6932" w:rsidRPr="00CA61A6">
        <w:rPr>
          <w:rFonts w:eastAsia="SimSun"/>
          <w:szCs w:val="24"/>
          <w:lang w:eastAsia="ja-JP"/>
        </w:rPr>
        <w:t xml:space="preserve"> la sensibilización </w:t>
      </w:r>
      <w:r w:rsidRPr="00CA61A6">
        <w:rPr>
          <w:rFonts w:eastAsia="SimSun"/>
          <w:szCs w:val="24"/>
          <w:lang w:eastAsia="ja-JP"/>
        </w:rPr>
        <w:t>y manteniendo la accesibilidad a las TIC. El GANT (junio de 2015) decidió que la JCA-AHF rindiese informe al GAN</w:t>
      </w:r>
      <w:r w:rsidR="00C764B0" w:rsidRPr="00CA61A6">
        <w:rPr>
          <w:rFonts w:eastAsia="SimSun"/>
          <w:szCs w:val="24"/>
          <w:lang w:eastAsia="ja-JP"/>
        </w:rPr>
        <w:t>T (en lugar de a la CE</w:t>
      </w:r>
      <w:r w:rsidR="008B5B32" w:rsidRPr="00CA61A6">
        <w:rPr>
          <w:rFonts w:eastAsia="SimSun"/>
          <w:szCs w:val="24"/>
          <w:lang w:eastAsia="ja-JP"/>
        </w:rPr>
        <w:t> </w:t>
      </w:r>
      <w:r w:rsidR="00C764B0" w:rsidRPr="00CA61A6">
        <w:rPr>
          <w:rFonts w:eastAsia="SimSun"/>
          <w:szCs w:val="24"/>
          <w:lang w:eastAsia="ja-JP"/>
        </w:rPr>
        <w:t>2 del UIT</w:t>
      </w:r>
      <w:r w:rsidR="00C764B0" w:rsidRPr="00CA61A6">
        <w:rPr>
          <w:rFonts w:eastAsia="SimSun"/>
          <w:szCs w:val="24"/>
          <w:lang w:eastAsia="ja-JP"/>
        </w:rPr>
        <w:noBreakHyphen/>
      </w:r>
      <w:r w:rsidRPr="00CA61A6">
        <w:rPr>
          <w:rFonts w:eastAsia="SimSun"/>
          <w:szCs w:val="24"/>
          <w:lang w:eastAsia="ja-JP"/>
        </w:rPr>
        <w:t>T).</w:t>
      </w:r>
    </w:p>
    <w:p w:rsidR="00450BDD" w:rsidRPr="00CA61A6" w:rsidRDefault="00450BDD" w:rsidP="00233639">
      <w:pPr>
        <w:rPr>
          <w:rFonts w:eastAsia="SimSun"/>
          <w:szCs w:val="24"/>
          <w:lang w:eastAsia="ja-JP"/>
        </w:rPr>
      </w:pPr>
      <w:r w:rsidRPr="00CA61A6">
        <w:rPr>
          <w:rFonts w:eastAsia="SimSun"/>
          <w:szCs w:val="24"/>
          <w:lang w:eastAsia="ja-JP"/>
        </w:rPr>
        <w:lastRenderedPageBreak/>
        <w:t>En 2013, la Actividad Conjunta de Coordinación sobre accesibilidad y factores humanos se reunió</w:t>
      </w:r>
      <w:r w:rsidR="00C06FE3">
        <w:rPr>
          <w:rFonts w:eastAsia="SimSun"/>
          <w:szCs w:val="24"/>
          <w:lang w:eastAsia="ja-JP"/>
        </w:rPr>
        <w:t xml:space="preserve"> 4 </w:t>
      </w:r>
      <w:r w:rsidRPr="00CA61A6">
        <w:rPr>
          <w:rFonts w:eastAsia="SimSun"/>
          <w:szCs w:val="24"/>
          <w:lang w:eastAsia="ja-JP"/>
        </w:rPr>
        <w:t>veces y contribuyó positivamente a aumentar la sensibilización en cuanto a la normalización y accesibilidad a las TIC en el Sector y en la UIT en general. La JCA-AHF celebró sus reuniones al tiempo que la Cuestión 26/16 de la CE</w:t>
      </w:r>
      <w:r w:rsidR="008B5B32" w:rsidRPr="00CA61A6">
        <w:rPr>
          <w:rFonts w:eastAsia="SimSun"/>
          <w:szCs w:val="24"/>
          <w:lang w:eastAsia="ja-JP"/>
        </w:rPr>
        <w:t> </w:t>
      </w:r>
      <w:r w:rsidRPr="00CA61A6">
        <w:rPr>
          <w:rFonts w:eastAsia="SimSun"/>
          <w:szCs w:val="24"/>
          <w:lang w:eastAsia="ja-JP"/>
        </w:rPr>
        <w:t xml:space="preserve">16 y, entre otros, trató de la participación a distancia accesible, los requisitos de los servicios de retransmisión y de los productos finales del Grupo Temático sobre accesibilidad a los medios audiovisuales, que finalizó su trabajo en octubre de 2013. La JCA-AHF también se reunió en paralelo a la reunión de Relatores del UIT-D (abril de 2013) a fin de llegar a los participantes del Sector de Desarrollo y, más concretamente, a los </w:t>
      </w:r>
      <w:r w:rsidR="00470E1C">
        <w:rPr>
          <w:rFonts w:eastAsia="SimSun"/>
          <w:szCs w:val="24"/>
          <w:lang w:eastAsia="ja-JP"/>
        </w:rPr>
        <w:t>participantes en la Cuestión 20/</w:t>
      </w:r>
      <w:r w:rsidRPr="00CA61A6">
        <w:rPr>
          <w:rFonts w:eastAsia="SimSun"/>
          <w:szCs w:val="24"/>
          <w:lang w:eastAsia="ja-JP"/>
        </w:rPr>
        <w:t xml:space="preserve">1, </w:t>
      </w:r>
      <w:r w:rsidR="00470E1C">
        <w:rPr>
          <w:rFonts w:eastAsia="SimSun"/>
          <w:szCs w:val="24"/>
          <w:lang w:eastAsia="ja-JP"/>
        </w:rPr>
        <w:t>"</w:t>
      </w:r>
      <w:r w:rsidRPr="00CA61A6">
        <w:rPr>
          <w:rFonts w:eastAsia="SimSun"/>
          <w:szCs w:val="24"/>
          <w:lang w:eastAsia="ja-JP"/>
        </w:rPr>
        <w:t>Acceso a los servicios de telecomunicaciones en favor de las personas con discapacidades</w:t>
      </w:r>
      <w:r w:rsidR="00470E1C">
        <w:rPr>
          <w:rFonts w:eastAsia="SimSun"/>
          <w:szCs w:val="24"/>
          <w:lang w:eastAsia="ja-JP"/>
        </w:rPr>
        <w:t>"</w:t>
      </w:r>
      <w:r w:rsidRPr="00CA61A6">
        <w:rPr>
          <w:rFonts w:eastAsia="SimSun"/>
          <w:szCs w:val="24"/>
          <w:lang w:eastAsia="ja-JP"/>
        </w:rPr>
        <w:t>. La JCA-AHF también se reunió con ocasión de la reunión de su Comisión tutora, la CE</w:t>
      </w:r>
      <w:r w:rsidR="008B5B32" w:rsidRPr="00CA61A6">
        <w:rPr>
          <w:rFonts w:eastAsia="SimSun"/>
          <w:szCs w:val="24"/>
          <w:lang w:eastAsia="ja-JP"/>
        </w:rPr>
        <w:t> </w:t>
      </w:r>
      <w:r w:rsidRPr="00CA61A6">
        <w:rPr>
          <w:rFonts w:eastAsia="SimSun"/>
          <w:szCs w:val="24"/>
          <w:lang w:eastAsia="ja-JP"/>
        </w:rPr>
        <w:t xml:space="preserve">2, para facilitar la asistencia y la cooperación con la Cuestión 4 de la Comisión de Estudio 2. </w:t>
      </w:r>
    </w:p>
    <w:p w:rsidR="00450BDD" w:rsidRPr="00CA61A6" w:rsidRDefault="00450BDD" w:rsidP="007B3478">
      <w:pPr>
        <w:rPr>
          <w:rFonts w:eastAsia="SimSun"/>
          <w:szCs w:val="24"/>
          <w:lang w:eastAsia="ja-JP"/>
        </w:rPr>
      </w:pPr>
      <w:r w:rsidRPr="00CA61A6">
        <w:rPr>
          <w:rFonts w:eastAsia="SimSun"/>
          <w:szCs w:val="24"/>
          <w:lang w:eastAsia="ja-JP"/>
        </w:rPr>
        <w:t>En 2014, la JCA-AHF se reunió el 30 de mayo, en paralelo a la CE</w:t>
      </w:r>
      <w:r w:rsidR="008B5B32" w:rsidRPr="00CA61A6">
        <w:rPr>
          <w:rFonts w:eastAsia="SimSun"/>
          <w:szCs w:val="24"/>
          <w:lang w:eastAsia="ja-JP"/>
        </w:rPr>
        <w:t> </w:t>
      </w:r>
      <w:r w:rsidRPr="00CA61A6">
        <w:rPr>
          <w:rFonts w:eastAsia="SimSun"/>
          <w:szCs w:val="24"/>
          <w:lang w:eastAsia="ja-JP"/>
        </w:rPr>
        <w:t xml:space="preserve">2 del UIT-T. </w:t>
      </w:r>
      <w:r w:rsidR="00EA04D1" w:rsidRPr="00CA61A6">
        <w:rPr>
          <w:rFonts w:eastAsia="SimSun"/>
          <w:szCs w:val="24"/>
          <w:lang w:eastAsia="ja-JP"/>
        </w:rPr>
        <w:t>En 2015, la JCA</w:t>
      </w:r>
      <w:r w:rsidR="00EA04D1" w:rsidRPr="00CA61A6">
        <w:rPr>
          <w:rFonts w:eastAsia="SimSun"/>
          <w:szCs w:val="24"/>
          <w:lang w:eastAsia="ja-JP"/>
        </w:rPr>
        <w:noBreakHyphen/>
      </w:r>
      <w:r w:rsidRPr="00CA61A6">
        <w:rPr>
          <w:rFonts w:eastAsia="SimSun"/>
          <w:szCs w:val="24"/>
          <w:lang w:eastAsia="ja-JP"/>
        </w:rPr>
        <w:t>AHF se reunió el 18 de febrero, en paralelo a la CE</w:t>
      </w:r>
      <w:r w:rsidR="008B5B32" w:rsidRPr="00CA61A6">
        <w:rPr>
          <w:rFonts w:eastAsia="SimSun"/>
          <w:szCs w:val="24"/>
          <w:lang w:eastAsia="ja-JP"/>
        </w:rPr>
        <w:t> </w:t>
      </w:r>
      <w:r w:rsidRPr="00CA61A6">
        <w:rPr>
          <w:rFonts w:eastAsia="SimSun"/>
          <w:szCs w:val="24"/>
          <w:lang w:eastAsia="ja-JP"/>
        </w:rPr>
        <w:t>16 del UIT-T; el 17 de junio, en paralelo a la CE</w:t>
      </w:r>
      <w:r w:rsidR="008B5B32" w:rsidRPr="00CA61A6">
        <w:rPr>
          <w:rFonts w:eastAsia="SimSun"/>
          <w:szCs w:val="24"/>
          <w:lang w:eastAsia="ja-JP"/>
        </w:rPr>
        <w:t> </w:t>
      </w:r>
      <w:r w:rsidRPr="00CA61A6">
        <w:rPr>
          <w:rFonts w:eastAsia="SimSun"/>
          <w:szCs w:val="24"/>
          <w:lang w:eastAsia="ja-JP"/>
        </w:rPr>
        <w:t>2 del UIT-T; y el 21 de octubre, en paralelo a la CE</w:t>
      </w:r>
      <w:r w:rsidR="008B5B32" w:rsidRPr="00CA61A6">
        <w:rPr>
          <w:rFonts w:eastAsia="SimSun"/>
          <w:szCs w:val="24"/>
          <w:lang w:eastAsia="ja-JP"/>
        </w:rPr>
        <w:t> </w:t>
      </w:r>
      <w:r w:rsidRPr="00CA61A6">
        <w:rPr>
          <w:rFonts w:eastAsia="SimSun"/>
          <w:szCs w:val="24"/>
          <w:lang w:eastAsia="ja-JP"/>
        </w:rPr>
        <w:t>16 del UIT-T. En 2016, la JCA-AHF se reunió el 25 de enero, en paralelo a la CE</w:t>
      </w:r>
      <w:r w:rsidR="008B5B32" w:rsidRPr="00CA61A6">
        <w:rPr>
          <w:rFonts w:eastAsia="SimSun"/>
          <w:szCs w:val="24"/>
          <w:lang w:eastAsia="ja-JP"/>
        </w:rPr>
        <w:t> </w:t>
      </w:r>
      <w:r w:rsidRPr="00CA61A6">
        <w:rPr>
          <w:rFonts w:eastAsia="SimSun"/>
          <w:szCs w:val="24"/>
          <w:lang w:eastAsia="ja-JP"/>
        </w:rPr>
        <w:t xml:space="preserve">2 del UIT-T, y su siguiente reunión coincidió, el 4 de </w:t>
      </w:r>
      <w:r w:rsidR="0013258D">
        <w:rPr>
          <w:rFonts w:eastAsia="SimSun"/>
          <w:szCs w:val="24"/>
          <w:lang w:eastAsia="ja-JP"/>
        </w:rPr>
        <w:t>marzo de 2016, con la IMN-TVIP.</w:t>
      </w:r>
    </w:p>
    <w:p w:rsidR="00450BDD" w:rsidRPr="00CA61A6" w:rsidRDefault="00450BDD" w:rsidP="009D6932">
      <w:pPr>
        <w:rPr>
          <w:rFonts w:eastAsia="SimSun"/>
          <w:szCs w:val="24"/>
          <w:lang w:eastAsia="ja-JP"/>
        </w:rPr>
      </w:pPr>
      <w:r w:rsidRPr="00CA61A6">
        <w:rPr>
          <w:rFonts w:eastAsia="SimSun"/>
          <w:szCs w:val="24"/>
          <w:lang w:eastAsia="ja-JP"/>
        </w:rPr>
        <w:t>E</w:t>
      </w:r>
      <w:r w:rsidR="00294511">
        <w:rPr>
          <w:rFonts w:eastAsia="SimSun"/>
          <w:szCs w:val="24"/>
          <w:lang w:eastAsia="ja-JP"/>
        </w:rPr>
        <w:t>l</w:t>
      </w:r>
      <w:r w:rsidRPr="00CA61A6">
        <w:rPr>
          <w:rFonts w:eastAsia="SimSun"/>
          <w:szCs w:val="24"/>
          <w:lang w:eastAsia="ja-JP"/>
        </w:rPr>
        <w:t xml:space="preserve"> Grupo Temático del UIT-T sobre la accesibilidad a los medios audiovisuales (</w:t>
      </w:r>
      <w:hyperlink r:id="rId159" w:history="1">
        <w:r w:rsidRPr="00CA61A6">
          <w:rPr>
            <w:rStyle w:val="Hyperlink"/>
            <w:rFonts w:eastAsia="SimSun"/>
            <w:szCs w:val="24"/>
            <w:lang w:eastAsia="ja-JP"/>
          </w:rPr>
          <w:t>FG-AVA</w:t>
        </w:r>
      </w:hyperlink>
      <w:r w:rsidRPr="00CA61A6">
        <w:rPr>
          <w:rFonts w:eastAsia="SimSun"/>
          <w:szCs w:val="24"/>
          <w:lang w:eastAsia="ja-JP"/>
        </w:rPr>
        <w:t xml:space="preserve">) concluyó sus trabajos el 24 de octubre de 2013. Los 18 resultados publicados como informes técnicos del FG-AVA son un recurso valioso en torno al tema de la accesibilidad a los medios audiovisuales. Tratan de numerosos temas tales como sonido nítido, directrices de producción de servicios de lenguaje de signos, requisitos para la incorporación de una ventana con lenguaje de signos y un instrumento sobre accesibilidad a los medios audiovisuales destinado a los poderes públicos. Por otra parte, todos los nuevos elementos y resultados producidos por el FG-AVA nutren los trabajos realizados por la </w:t>
      </w:r>
      <w:hyperlink r:id="rId160" w:history="1">
        <w:r w:rsidRPr="00CA61A6">
          <w:rPr>
            <w:rStyle w:val="Hyperlink"/>
            <w:rFonts w:eastAsia="SimSun"/>
            <w:szCs w:val="24"/>
            <w:lang w:eastAsia="ja-JP"/>
          </w:rPr>
          <w:t>Comisión de Estudio 16 del UIT-T, ''Multimedios''</w:t>
        </w:r>
      </w:hyperlink>
      <w:r w:rsidRPr="00CA61A6">
        <w:rPr>
          <w:rFonts w:eastAsia="SimSun"/>
          <w:szCs w:val="24"/>
          <w:lang w:eastAsia="ja-JP"/>
        </w:rPr>
        <w:t xml:space="preserve">, y la </w:t>
      </w:r>
      <w:hyperlink r:id="rId161" w:history="1">
        <w:r w:rsidRPr="00CA61A6">
          <w:rPr>
            <w:rStyle w:val="Hyperlink"/>
            <w:rFonts w:eastAsia="SimSun"/>
            <w:szCs w:val="24"/>
            <w:lang w:eastAsia="ja-JP"/>
          </w:rPr>
          <w:t>Comisión de Estudio 5, ''Servicios terrenales''</w:t>
        </w:r>
      </w:hyperlink>
      <w:r w:rsidRPr="00CA61A6">
        <w:rPr>
          <w:rFonts w:eastAsia="SimSun"/>
          <w:szCs w:val="24"/>
          <w:lang w:eastAsia="ja-JP"/>
        </w:rPr>
        <w:t xml:space="preserve"> y </w:t>
      </w:r>
      <w:hyperlink r:id="rId162" w:history="1">
        <w:r w:rsidRPr="00CA61A6">
          <w:rPr>
            <w:rStyle w:val="Hyperlink"/>
            <w:rFonts w:eastAsia="SimSun"/>
            <w:szCs w:val="24"/>
            <w:lang w:eastAsia="ja-JP"/>
          </w:rPr>
          <w:t>Comisión de Estudio 6, ''Servicio de radiodifusión''</w:t>
        </w:r>
      </w:hyperlink>
      <w:r w:rsidRPr="00CA61A6">
        <w:rPr>
          <w:rFonts w:eastAsia="SimSun"/>
          <w:szCs w:val="24"/>
          <w:lang w:eastAsia="ja-JP"/>
        </w:rPr>
        <w:t>, del UIT-R.</w:t>
      </w:r>
    </w:p>
    <w:p w:rsidR="00450BDD" w:rsidRPr="00CA61A6" w:rsidRDefault="00450BDD" w:rsidP="007B3478">
      <w:pPr>
        <w:rPr>
          <w:rFonts w:eastAsia="SimSun"/>
          <w:szCs w:val="24"/>
          <w:lang w:eastAsia="ja-JP"/>
        </w:rPr>
      </w:pPr>
      <w:r w:rsidRPr="00CA61A6">
        <w:rPr>
          <w:rFonts w:eastAsia="SimSun"/>
          <w:szCs w:val="24"/>
          <w:lang w:eastAsia="ja-JP"/>
        </w:rPr>
        <w:t>Conforme a las recomendaciones del FG-AVA, en diciembre de 2013 el UIT-T y el UIT-R establecieron conjuntamente el Grupo de Relator Intersectorial de la UIT sobre accesibilidad a los medios audiovisuales (</w:t>
      </w:r>
      <w:hyperlink r:id="rId163" w:history="1">
        <w:r w:rsidRPr="00CA61A6">
          <w:rPr>
            <w:rStyle w:val="Hyperlink"/>
            <w:rFonts w:eastAsia="SimSun"/>
            <w:szCs w:val="24"/>
            <w:lang w:eastAsia="ja-JP"/>
          </w:rPr>
          <w:t>IRG-AVA</w:t>
        </w:r>
      </w:hyperlink>
      <w:r w:rsidRPr="00CA61A6">
        <w:rPr>
          <w:rFonts w:eastAsia="SimSun"/>
          <w:szCs w:val="24"/>
          <w:lang w:eastAsia="ja-JP"/>
        </w:rPr>
        <w:t xml:space="preserve">), que estudia temas relacionados con la accesibilidad a los medios audiovisuales, ''Sistemas de acceso'' que se pueden utilizar para todos los sistemas de entrega de medios, incluidos cable, radiodifusión, Internet e IPTV, a fin de elaborar Recomendaciones y otros materiales con arreglo al mandato actual de la Comisión de Estudio 6 del UIT-R y las </w:t>
      </w:r>
      <w:hyperlink r:id="rId164" w:history="1">
        <w:r w:rsidRPr="00CA61A6">
          <w:rPr>
            <w:rStyle w:val="Hyperlink"/>
            <w:rFonts w:eastAsia="SimSun"/>
            <w:szCs w:val="24"/>
            <w:lang w:eastAsia="ja-JP"/>
          </w:rPr>
          <w:t>Comisiones de Estudio 9, ''Cable y TV de banda ancha''</w:t>
        </w:r>
      </w:hyperlink>
      <w:r w:rsidRPr="00CA61A6">
        <w:rPr>
          <w:rFonts w:eastAsia="SimSun"/>
          <w:szCs w:val="24"/>
          <w:lang w:eastAsia="ja-JP"/>
        </w:rPr>
        <w:t>, y 16 del UIT-T. El IRG-AVA también trata asuntos que contribuyen a la coordinación de los trabajos de normalización en los que participan Grupos del UIT-T y el UIT-R, y colabora con otras organizaciones.</w:t>
      </w:r>
    </w:p>
    <w:p w:rsidR="00450BDD" w:rsidRPr="00CA61A6" w:rsidRDefault="00450BDD" w:rsidP="007B3478">
      <w:pPr>
        <w:rPr>
          <w:rFonts w:eastAsia="SimSun"/>
          <w:szCs w:val="24"/>
          <w:lang w:eastAsia="ja-JP"/>
        </w:rPr>
      </w:pPr>
      <w:r w:rsidRPr="00CA61A6">
        <w:rPr>
          <w:rFonts w:eastAsia="SimSun"/>
          <w:szCs w:val="24"/>
          <w:lang w:eastAsia="ja-JP"/>
        </w:rPr>
        <w:t>La CE</w:t>
      </w:r>
      <w:r w:rsidR="008B5B32" w:rsidRPr="00CA61A6">
        <w:rPr>
          <w:rFonts w:eastAsia="SimSun"/>
          <w:szCs w:val="24"/>
          <w:lang w:eastAsia="ja-JP"/>
        </w:rPr>
        <w:t> </w:t>
      </w:r>
      <w:r w:rsidRPr="00CA61A6">
        <w:rPr>
          <w:rFonts w:eastAsia="SimSun"/>
          <w:szCs w:val="24"/>
          <w:lang w:eastAsia="ja-JP"/>
        </w:rPr>
        <w:t xml:space="preserve">16 aprobó en diciembre de 2014 el Suplemento 17 a la </w:t>
      </w:r>
      <w:r w:rsidR="00D51738" w:rsidRPr="00CA61A6">
        <w:rPr>
          <w:rFonts w:eastAsia="SimSun"/>
          <w:szCs w:val="24"/>
          <w:lang w:eastAsia="ja-JP"/>
        </w:rPr>
        <w:t xml:space="preserve">serie </w:t>
      </w:r>
      <w:r w:rsidR="009D6932" w:rsidRPr="00CA61A6">
        <w:rPr>
          <w:rFonts w:eastAsia="SimSun"/>
          <w:szCs w:val="24"/>
          <w:lang w:eastAsia="ja-JP"/>
        </w:rPr>
        <w:t xml:space="preserve">H de Recomendaciones UIT-T </w:t>
      </w:r>
      <w:r w:rsidRPr="00CA61A6">
        <w:rPr>
          <w:rFonts w:eastAsia="SimSun"/>
          <w:szCs w:val="24"/>
          <w:lang w:eastAsia="ja-JP"/>
        </w:rPr>
        <w:t>que es una transposición de la ISO/CEI Guide 71 "</w:t>
      </w:r>
      <w:r w:rsidRPr="006662C7">
        <w:rPr>
          <w:rFonts w:eastAsia="SimSun"/>
          <w:szCs w:val="24"/>
          <w:lang w:eastAsia="ja-JP"/>
        </w:rPr>
        <w:t>Guide for addressing accessibility in standards</w:t>
      </w:r>
      <w:r w:rsidRPr="00CA61A6">
        <w:rPr>
          <w:rFonts w:eastAsia="SimSun"/>
          <w:szCs w:val="24"/>
          <w:lang w:eastAsia="ja-JP"/>
        </w:rPr>
        <w:t>".</w:t>
      </w:r>
    </w:p>
    <w:p w:rsidR="00450BDD" w:rsidRPr="00CA61A6" w:rsidRDefault="00450BDD" w:rsidP="007B3478">
      <w:pPr>
        <w:rPr>
          <w:rFonts w:eastAsia="SimSun"/>
          <w:szCs w:val="24"/>
          <w:lang w:eastAsia="ja-JP"/>
        </w:rPr>
      </w:pPr>
      <w:r w:rsidRPr="00CA61A6">
        <w:rPr>
          <w:rFonts w:eastAsia="SimSun"/>
          <w:szCs w:val="24"/>
          <w:lang w:eastAsia="ja-JP"/>
        </w:rPr>
        <w:t>La CE</w:t>
      </w:r>
      <w:r w:rsidR="008B5B32" w:rsidRPr="00CA61A6">
        <w:rPr>
          <w:rFonts w:eastAsia="SimSun"/>
          <w:szCs w:val="24"/>
          <w:lang w:eastAsia="ja-JP"/>
        </w:rPr>
        <w:t> </w:t>
      </w:r>
      <w:r w:rsidRPr="00CA61A6">
        <w:rPr>
          <w:rFonts w:eastAsia="SimSun"/>
          <w:szCs w:val="24"/>
          <w:lang w:eastAsia="ja-JP"/>
        </w:rPr>
        <w:t xml:space="preserve">16 del UIT-T finalizó en octubre de 2015 dos Recomendaciones sobre accesibilidad, una de ellas sobre terminología de la accesibilidad (UIT-T F.791) y dos Informes Técnicos, uno sobre reuniones accesibles (UIT-T </w:t>
      </w:r>
      <w:hyperlink r:id="rId165" w:history="1">
        <w:r w:rsidRPr="00CA61A6">
          <w:rPr>
            <w:rFonts w:eastAsia="SimSun"/>
            <w:color w:val="0000FF"/>
            <w:szCs w:val="24"/>
            <w:u w:val="single"/>
            <w:lang w:eastAsia="ja-JP"/>
          </w:rPr>
          <w:t>FSTP</w:t>
        </w:r>
        <w:r w:rsidRPr="00CA61A6">
          <w:rPr>
            <w:rFonts w:eastAsia="SimSun"/>
            <w:color w:val="0000FF"/>
            <w:szCs w:val="24"/>
            <w:u w:val="single"/>
            <w:lang w:eastAsia="ja-JP"/>
          </w:rPr>
          <w:noBreakHyphen/>
          <w:t>AM</w:t>
        </w:r>
      </w:hyperlink>
      <w:r w:rsidRPr="00CA61A6">
        <w:rPr>
          <w:rFonts w:eastAsia="SimSun"/>
          <w:szCs w:val="24"/>
          <w:lang w:eastAsia="ja-JP"/>
        </w:rPr>
        <w:t xml:space="preserve">) y otro sobre participación a distancia accesible (UIT-T </w:t>
      </w:r>
      <w:hyperlink r:id="rId166" w:history="1">
        <w:r w:rsidRPr="00CA61A6">
          <w:rPr>
            <w:rFonts w:eastAsia="SimSun"/>
            <w:color w:val="0000FF"/>
            <w:szCs w:val="24"/>
            <w:u w:val="single"/>
            <w:lang w:eastAsia="ja-JP"/>
          </w:rPr>
          <w:t>FSTP-ACC-RemPart</w:t>
        </w:r>
      </w:hyperlink>
      <w:r w:rsidRPr="00CA61A6">
        <w:rPr>
          <w:rFonts w:eastAsia="SimSun"/>
          <w:szCs w:val="24"/>
          <w:lang w:eastAsia="ja-JP"/>
        </w:rPr>
        <w:t xml:space="preserve">). </w:t>
      </w:r>
      <w:r w:rsidRPr="00CA61A6">
        <w:t xml:space="preserve">Este último complementa el nuevo Suplemento 4 a la </w:t>
      </w:r>
      <w:r w:rsidR="00D51738" w:rsidRPr="00CA61A6">
        <w:t xml:space="preserve">serie </w:t>
      </w:r>
      <w:r w:rsidRPr="00CA61A6">
        <w:t xml:space="preserve">A relativo a la organización de participación a distancia en las reuniones, aprobado </w:t>
      </w:r>
      <w:r w:rsidRPr="00CA61A6">
        <w:rPr>
          <w:rFonts w:eastAsia="SimSun"/>
          <w:szCs w:val="24"/>
          <w:lang w:eastAsia="ja-JP"/>
        </w:rPr>
        <w:t>por el GANT (junio de 2015).</w:t>
      </w:r>
    </w:p>
    <w:p w:rsidR="00450BDD" w:rsidRPr="00CA61A6" w:rsidRDefault="00873A21" w:rsidP="00B53D99">
      <w:pPr>
        <w:pStyle w:val="Headingb"/>
        <w:keepLines/>
      </w:pPr>
      <w:bookmarkStart w:id="642" w:name="Item70_02"/>
      <w:r w:rsidRPr="00CA61A6">
        <w:t xml:space="preserve">Acción </w:t>
      </w:r>
      <w:r w:rsidR="00450BDD" w:rsidRPr="00CA61A6">
        <w:t>70-02: TSB</w:t>
      </w:r>
    </w:p>
    <w:bookmarkEnd w:id="642"/>
    <w:p w:rsidR="00450BDD" w:rsidRPr="0040316E" w:rsidRDefault="00450BDD" w:rsidP="007B3478">
      <w:r w:rsidRPr="00CA61A6">
        <w:rPr>
          <w:rFonts w:eastAsia="SimSun"/>
          <w:szCs w:val="24"/>
          <w:lang w:eastAsia="ja-JP"/>
        </w:rPr>
        <w:t>Para adelantar los trabajos con miras al taller de la UIT sobre los progresos y logros de las CE del UIT-T en materia de accesibilidad a las TIC, que se celebrará antes de la próxima AMNT, e</w:t>
      </w:r>
      <w:r w:rsidRPr="00CA61A6">
        <w:t xml:space="preserve">l Grupo Temático sobre accesibilidad audiovisual (FG-AVA) organizó un taller los días 24 y 25 de octubre de 2013 en la Sede de la UIT en Ginebra con objeto de explicar las opciones disponibles para todos los servicios de acceso, los aspectos económicos de su puesta en marcha, y la presentación de </w:t>
      </w:r>
      <w:r w:rsidRPr="00CA61A6">
        <w:lastRenderedPageBreak/>
        <w:t>estudios de casos exitosos al respecto. El taller fue de utilidad para todos los creadores de contenido dirigido a medios de comunicación, para los fabricantes de equipos y los reguladores, para los usuarios y para los que tienen previsto utilizar herramientas de acceso a los medios. Dado el número creciente de aplicaciones de la Convención de las Naciones Unidas sobre los derechos de las personas con discapacidades, tales servicios serán un requisito obligatorio en un próximo futuro.</w:t>
      </w:r>
    </w:p>
    <w:p w:rsidR="00450BDD" w:rsidRPr="00CA61A6" w:rsidRDefault="00450BDD" w:rsidP="009E1BE2">
      <w:pPr>
        <w:rPr>
          <w:rFonts w:eastAsia="SimSun"/>
          <w:szCs w:val="24"/>
          <w:lang w:eastAsia="ja-JP"/>
        </w:rPr>
      </w:pPr>
      <w:r w:rsidRPr="00CA61A6">
        <w:rPr>
          <w:rFonts w:eastAsia="SimSun"/>
          <w:szCs w:val="24"/>
          <w:lang w:eastAsia="ja-JP"/>
        </w:rPr>
        <w:t xml:space="preserve">El taller </w:t>
      </w:r>
      <w:r w:rsidR="00EF5530" w:rsidRPr="00CA61A6">
        <w:rPr>
          <w:rFonts w:eastAsia="SimSun"/>
          <w:szCs w:val="24"/>
          <w:lang w:eastAsia="ja-JP"/>
        </w:rPr>
        <w:t>"</w:t>
      </w:r>
      <w:hyperlink r:id="rId167" w:history="1">
        <w:r w:rsidRPr="00CA65B3">
          <w:rPr>
            <w:rFonts w:eastAsia="SimSun"/>
            <w:color w:val="0000FF"/>
            <w:szCs w:val="24"/>
            <w:u w:val="single"/>
            <w:lang w:eastAsia="ja-JP"/>
          </w:rPr>
          <w:t>Innovation in Accessibility Technology and Policy</w:t>
        </w:r>
      </w:hyperlink>
      <w:r w:rsidR="00EF5530" w:rsidRPr="00CA61A6">
        <w:rPr>
          <w:rFonts w:eastAsia="SimSun"/>
          <w:szCs w:val="24"/>
          <w:lang w:eastAsia="ja-JP"/>
        </w:rPr>
        <w:t>"</w:t>
      </w:r>
      <w:r w:rsidRPr="00CA61A6">
        <w:rPr>
          <w:rFonts w:eastAsia="SimSun"/>
          <w:szCs w:val="24"/>
          <w:lang w:eastAsia="ja-JP"/>
        </w:rPr>
        <w:t xml:space="preserve"> se celebró</w:t>
      </w:r>
      <w:r w:rsidR="004A05ED">
        <w:rPr>
          <w:rFonts w:eastAsia="SimSun"/>
          <w:szCs w:val="24"/>
          <w:lang w:eastAsia="ja-JP"/>
        </w:rPr>
        <w:t xml:space="preserve"> de las 11.00 a las 12.45 </w:t>
      </w:r>
      <w:r w:rsidRPr="00CA61A6">
        <w:rPr>
          <w:rFonts w:eastAsia="SimSun"/>
          <w:szCs w:val="24"/>
          <w:lang w:eastAsia="ja-JP"/>
        </w:rPr>
        <w:t xml:space="preserve">horas del 29 de mayo de 2015 en Ginebra, Suiza, con ocasión del Foro de la CMSI de 2015. En el marco del FGI 2015 (10-13 de noviembre de 2015) se celebró el taller </w:t>
      </w:r>
      <w:r w:rsidR="009E1BE2">
        <w:rPr>
          <w:rFonts w:eastAsia="SimSun"/>
          <w:szCs w:val="24"/>
          <w:lang w:eastAsia="ja-JP"/>
        </w:rPr>
        <w:t>"</w:t>
      </w:r>
      <w:r w:rsidRPr="002C5B81">
        <w:rPr>
          <w:rFonts w:eastAsia="SimSun"/>
          <w:szCs w:val="24"/>
          <w:lang w:eastAsia="ja-JP"/>
        </w:rPr>
        <w:t>Empowering the next billion by improving accessibility</w:t>
      </w:r>
      <w:r w:rsidR="009E1BE2">
        <w:rPr>
          <w:rFonts w:eastAsia="SimSun"/>
          <w:szCs w:val="24"/>
          <w:lang w:eastAsia="ja-JP"/>
        </w:rPr>
        <w:t>"</w:t>
      </w:r>
      <w:r w:rsidRPr="00CA61A6">
        <w:rPr>
          <w:rFonts w:eastAsia="SimSun"/>
          <w:szCs w:val="24"/>
          <w:lang w:eastAsia="ja-JP"/>
        </w:rPr>
        <w:t xml:space="preserve"> en João Pessoa, Brasil.</w:t>
      </w:r>
    </w:p>
    <w:p w:rsidR="00450BDD" w:rsidRPr="00CA61A6" w:rsidRDefault="000B48B0" w:rsidP="007773C1">
      <w:pPr>
        <w:pStyle w:val="Headingb"/>
        <w:keepLines/>
      </w:pPr>
      <w:bookmarkStart w:id="643" w:name="Item70_03"/>
      <w:r w:rsidRPr="00CA61A6">
        <w:t xml:space="preserve">Acción </w:t>
      </w:r>
      <w:r w:rsidR="00450BDD" w:rsidRPr="00CA61A6">
        <w:t>70-03: TSB</w:t>
      </w:r>
    </w:p>
    <w:bookmarkEnd w:id="643"/>
    <w:p w:rsidR="00450BDD" w:rsidRPr="00CA61A6" w:rsidRDefault="009E2877" w:rsidP="007B3478">
      <w:pPr>
        <w:rPr>
          <w:rFonts w:eastAsia="SimSun"/>
          <w:szCs w:val="24"/>
          <w:lang w:eastAsia="ja-JP"/>
        </w:rPr>
      </w:pPr>
      <w:r w:rsidRPr="00CA61A6">
        <w:rPr>
          <w:rFonts w:eastAsia="SimSun"/>
          <w:szCs w:val="24"/>
          <w:lang w:eastAsia="ja-JP"/>
        </w:rPr>
        <w:t>En el Documento "</w:t>
      </w:r>
      <w:r w:rsidR="00450BDD" w:rsidRPr="00CA61A6">
        <w:rPr>
          <w:rFonts w:eastAsia="SimSun"/>
          <w:szCs w:val="24"/>
          <w:lang w:eastAsia="ja-JP"/>
        </w:rPr>
        <w:t>Actividades de la UIT para promover la accesibilidad de las personas con discapacidad a las TIC</w:t>
      </w:r>
      <w:r w:rsidRPr="00CA61A6">
        <w:rPr>
          <w:rFonts w:eastAsia="SimSun"/>
          <w:szCs w:val="24"/>
          <w:lang w:eastAsia="ja-JP"/>
        </w:rPr>
        <w:t>"</w:t>
      </w:r>
      <w:r w:rsidR="00450BDD" w:rsidRPr="00CA61A6">
        <w:rPr>
          <w:rFonts w:eastAsia="SimSun"/>
          <w:szCs w:val="24"/>
          <w:lang w:eastAsia="ja-JP"/>
        </w:rPr>
        <w:t xml:space="preserve">, presentado a la reunión de 2014 del Consejo </w:t>
      </w:r>
      <w:hyperlink r:id="rId168" w:history="1">
        <w:r w:rsidR="00450BDD" w:rsidRPr="00B81136">
          <w:rPr>
            <w:rFonts w:eastAsia="SimSun"/>
          </w:rPr>
          <w:t>(</w:t>
        </w:r>
        <w:r w:rsidR="00450BDD" w:rsidRPr="00CA61A6">
          <w:rPr>
            <w:rFonts w:eastAsia="SimSun"/>
            <w:color w:val="0000FF"/>
            <w:szCs w:val="24"/>
            <w:u w:val="single"/>
            <w:lang w:eastAsia="ja-JP"/>
          </w:rPr>
          <w:t>C14/5</w:t>
        </w:r>
        <w:r w:rsidR="00450BDD" w:rsidRPr="00B81136">
          <w:rPr>
            <w:rFonts w:eastAsia="SimSun"/>
          </w:rPr>
          <w:t>)</w:t>
        </w:r>
      </w:hyperlink>
      <w:r w:rsidR="00450BDD" w:rsidRPr="00CD0BC8">
        <w:rPr>
          <w:rFonts w:eastAsia="SimSun"/>
        </w:rPr>
        <w:t>, se</w:t>
      </w:r>
      <w:r w:rsidR="00450BDD" w:rsidRPr="00CA61A6">
        <w:rPr>
          <w:rFonts w:eastAsia="SimSun"/>
          <w:szCs w:val="24"/>
          <w:lang w:eastAsia="ja-JP"/>
        </w:rPr>
        <w:t xml:space="preserve"> dan las últimas informaciones en cuanto a la Resolución 70.</w:t>
      </w:r>
    </w:p>
    <w:p w:rsidR="00450BDD" w:rsidRPr="00CA61A6" w:rsidRDefault="00450BDD" w:rsidP="007B3478">
      <w:pPr>
        <w:rPr>
          <w:rFonts w:eastAsia="SimSun"/>
          <w:szCs w:val="24"/>
          <w:lang w:eastAsia="ja-JP"/>
        </w:rPr>
      </w:pPr>
      <w:r w:rsidRPr="00CA61A6">
        <w:rPr>
          <w:rFonts w:eastAsia="SimSun"/>
          <w:szCs w:val="24"/>
          <w:lang w:eastAsia="ja-JP"/>
        </w:rPr>
        <w:t xml:space="preserve">Se presentó a la reunión de febrero de 2015 de la JCA-AHF el </w:t>
      </w:r>
      <w:r w:rsidR="00DD5469">
        <w:rPr>
          <w:rFonts w:eastAsia="SimSun"/>
          <w:color w:val="0000FF"/>
          <w:szCs w:val="24"/>
          <w:u w:val="single"/>
          <w:lang w:eastAsia="ja-JP"/>
        </w:rPr>
        <w:t>Informe "</w:t>
      </w:r>
      <w:r w:rsidRPr="00ED014E">
        <w:rPr>
          <w:rFonts w:eastAsia="SimSun"/>
          <w:color w:val="0000FF"/>
          <w:szCs w:val="24"/>
          <w:u w:val="single"/>
          <w:lang w:eastAsia="ja-JP"/>
        </w:rPr>
        <w:t>Major ITU-T Activities on ICT Accessibility for PWD in 2014</w:t>
      </w:r>
      <w:r w:rsidR="00DD5469">
        <w:rPr>
          <w:rFonts w:eastAsia="SimSun"/>
          <w:color w:val="0000FF"/>
          <w:szCs w:val="24"/>
          <w:u w:val="single"/>
          <w:lang w:eastAsia="ja-JP"/>
        </w:rPr>
        <w:t>"</w:t>
      </w:r>
      <w:r w:rsidRPr="00CA61A6">
        <w:rPr>
          <w:rFonts w:eastAsia="SimSun"/>
        </w:rPr>
        <w:t>.</w:t>
      </w:r>
    </w:p>
    <w:p w:rsidR="00450BDD" w:rsidRPr="00CA61A6" w:rsidRDefault="00450BDD" w:rsidP="007B3478">
      <w:pPr>
        <w:rPr>
          <w:rFonts w:eastAsia="SimSun"/>
          <w:szCs w:val="24"/>
          <w:lang w:eastAsia="ja-JP"/>
        </w:rPr>
      </w:pPr>
      <w:r w:rsidRPr="00CA61A6">
        <w:rPr>
          <w:rFonts w:eastAsia="SimSun"/>
          <w:szCs w:val="24"/>
          <w:lang w:eastAsia="ja-JP"/>
        </w:rPr>
        <w:t>El Grupo de Trabajo del Consejo sobre cuestiones de política pública internacional relacionadas con Internet (GTC-Internet) abrió en su sexta reunión, celebrada en octubre de 2015, una consulta pública sobre el siguiente tema:</w:t>
      </w:r>
    </w:p>
    <w:p w:rsidR="00450BDD" w:rsidRPr="00CA61A6" w:rsidRDefault="00BF069C" w:rsidP="00BF069C">
      <w:pPr>
        <w:pStyle w:val="Headingb"/>
        <w:rPr>
          <w:i/>
          <w:iCs/>
        </w:rPr>
      </w:pPr>
      <w:r w:rsidRPr="00A465F5">
        <w:rPr>
          <w:b w:val="0"/>
          <w:bCs/>
        </w:rPr>
        <w:t>"</w:t>
      </w:r>
      <w:r w:rsidR="00450BDD" w:rsidRPr="00CA61A6">
        <w:rPr>
          <w:i/>
          <w:iCs/>
        </w:rPr>
        <w:t>El acceso a Internet para las personas con discapacidad y necesidades específicas</w:t>
      </w:r>
    </w:p>
    <w:p w:rsidR="00450BDD" w:rsidRPr="00CA61A6" w:rsidRDefault="00450BDD" w:rsidP="00CD5911">
      <w:pPr>
        <w:pStyle w:val="enumlev1"/>
        <w:rPr>
          <w:i/>
          <w:iCs/>
        </w:rPr>
      </w:pPr>
      <w:r w:rsidRPr="00CA61A6">
        <w:rPr>
          <w:i/>
          <w:iCs/>
        </w:rPr>
        <w:t>–</w:t>
      </w:r>
      <w:r w:rsidRPr="00CA61A6">
        <w:rPr>
          <w:i/>
          <w:iCs/>
        </w:rPr>
        <w:tab/>
        <w:t>¿A qué problemas hacen frente las personas con discapacidad y necesidades específicas (por ejemplo, falta de aptitudes de TIC, etc.) para acceder a Internet y utilizarlo?</w:t>
      </w:r>
    </w:p>
    <w:p w:rsidR="00450BDD" w:rsidRPr="00CA61A6" w:rsidRDefault="00450BDD" w:rsidP="00CD5911">
      <w:pPr>
        <w:pStyle w:val="enumlev1"/>
        <w:rPr>
          <w:i/>
          <w:iCs/>
        </w:rPr>
      </w:pPr>
      <w:r w:rsidRPr="00CA61A6">
        <w:rPr>
          <w:i/>
          <w:iCs/>
        </w:rPr>
        <w:t>–</w:t>
      </w:r>
      <w:r w:rsidRPr="00CA61A6">
        <w:rPr>
          <w:i/>
          <w:iCs/>
        </w:rPr>
        <w:tab/>
        <w:t>¿Qué posibles enfoques y ejemplos de buenas prácticas están disponibles para resolver esos problemas?</w:t>
      </w:r>
    </w:p>
    <w:p w:rsidR="00450BDD" w:rsidRPr="00CA61A6" w:rsidRDefault="00450BDD" w:rsidP="00CD5911">
      <w:pPr>
        <w:pStyle w:val="enumlev1"/>
        <w:rPr>
          <w:i/>
          <w:iCs/>
        </w:rPr>
      </w:pPr>
      <w:r w:rsidRPr="00CA61A6">
        <w:rPr>
          <w:i/>
          <w:iCs/>
        </w:rPr>
        <w:t>–</w:t>
      </w:r>
      <w:r w:rsidRPr="00CA61A6">
        <w:rPr>
          <w:i/>
          <w:iCs/>
        </w:rPr>
        <w:tab/>
        <w:t>¿Qué deficiencias existen para hacer frente a esos problemas y cómo pueden subsanarse?</w:t>
      </w:r>
    </w:p>
    <w:p w:rsidR="00450BDD" w:rsidRPr="00A465F5" w:rsidRDefault="00450BDD" w:rsidP="00CD5911">
      <w:pPr>
        <w:pStyle w:val="enumlev1"/>
      </w:pPr>
      <w:r w:rsidRPr="00CA61A6">
        <w:rPr>
          <w:i/>
          <w:iCs/>
        </w:rPr>
        <w:t>–</w:t>
      </w:r>
      <w:r w:rsidRPr="00CA61A6">
        <w:rPr>
          <w:i/>
          <w:iCs/>
        </w:rPr>
        <w:tab/>
        <w:t>¿Qué función desempeñan los gobiernos para superar esos problemas y deficiencias?</w:t>
      </w:r>
      <w:r w:rsidR="00A465F5">
        <w:t>"</w:t>
      </w:r>
    </w:p>
    <w:p w:rsidR="00450BDD" w:rsidRPr="006F7B93" w:rsidRDefault="00450BDD" w:rsidP="006758E2">
      <w:pPr>
        <w:rPr>
          <w:rFonts w:eastAsia="SimSun"/>
          <w:lang w:eastAsia="ja-JP"/>
        </w:rPr>
      </w:pPr>
      <w:r w:rsidRPr="006F7B93">
        <w:rPr>
          <w:rFonts w:eastAsia="SimSun"/>
          <w:lang w:eastAsia="ja-JP"/>
        </w:rPr>
        <w:t>Del tema antes mencionado se recibieron respuestas de diversas parte</w:t>
      </w:r>
      <w:r w:rsidR="00DE1F97" w:rsidRPr="006F7B93">
        <w:rPr>
          <w:rFonts w:eastAsia="SimSun"/>
          <w:lang w:eastAsia="ja-JP"/>
        </w:rPr>
        <w:t>s interesadas (21 </w:t>
      </w:r>
      <w:r w:rsidR="00625AC7">
        <w:rPr>
          <w:rFonts w:eastAsia="SimSun"/>
          <w:lang w:eastAsia="ja-JP"/>
        </w:rPr>
        <w:t>Gobiernos, 6 </w:t>
      </w:r>
      <w:r w:rsidRPr="006F7B93">
        <w:rPr>
          <w:rFonts w:eastAsia="SimSun"/>
          <w:lang w:eastAsia="ja-JP"/>
        </w:rPr>
        <w:t>organismos del sector privado, 15 organiz</w:t>
      </w:r>
      <w:r w:rsidR="00DE1F97" w:rsidRPr="006F7B93">
        <w:rPr>
          <w:rFonts w:eastAsia="SimSun"/>
          <w:lang w:eastAsia="ja-JP"/>
        </w:rPr>
        <w:t>aciones de la sociedad civil, 3 </w:t>
      </w:r>
      <w:r w:rsidRPr="006F7B93">
        <w:rPr>
          <w:rFonts w:eastAsia="SimSun"/>
          <w:lang w:eastAsia="ja-JP"/>
        </w:rPr>
        <w:t>organizaciones internacionales y 5 instituciones académicas). El 15 de febrero de 2016 se celebró la reunión de consulta presencial así como una reunión de expertos en la que se presentó información básica objetiva sobre el tema de la accesibilidad. (véase el Documento</w:t>
      </w:r>
      <w:r w:rsidR="00B560D0" w:rsidRPr="006F7B93">
        <w:rPr>
          <w:rFonts w:eastAsia="SimSun"/>
          <w:lang w:eastAsia="ja-JP"/>
        </w:rPr>
        <w:t> </w:t>
      </w:r>
      <w:hyperlink r:id="rId169" w:history="1">
        <w:r w:rsidRPr="006F7B93">
          <w:rPr>
            <w:rFonts w:eastAsia="SimSun"/>
            <w:color w:val="0000FF"/>
            <w:u w:val="single"/>
            <w:lang w:eastAsia="ja-JP"/>
          </w:rPr>
          <w:t>C16/51</w:t>
        </w:r>
      </w:hyperlink>
      <w:r w:rsidRPr="006F7B93">
        <w:rPr>
          <w:rFonts w:eastAsia="SimSun"/>
          <w:lang w:eastAsia="ja-JP"/>
        </w:rPr>
        <w:t xml:space="preserve"> </w:t>
      </w:r>
      <w:r w:rsidR="00146842" w:rsidRPr="006F7B93">
        <w:rPr>
          <w:rFonts w:eastAsia="SimSun"/>
          <w:lang w:eastAsia="ja-JP"/>
        </w:rPr>
        <w:t>del Consejo de la UIT)</w:t>
      </w:r>
      <w:r w:rsidR="006F7B93">
        <w:rPr>
          <w:rFonts w:eastAsia="SimSun"/>
          <w:lang w:eastAsia="ja-JP"/>
        </w:rPr>
        <w:t>.</w:t>
      </w:r>
    </w:p>
    <w:p w:rsidR="00450BDD" w:rsidRPr="00CA61A6" w:rsidRDefault="004954B9" w:rsidP="003C3C46">
      <w:pPr>
        <w:pStyle w:val="Headingb"/>
        <w:keepLines/>
      </w:pPr>
      <w:bookmarkStart w:id="644" w:name="Item70_04"/>
      <w:r w:rsidRPr="00CA61A6">
        <w:t xml:space="preserve">Acción </w:t>
      </w:r>
      <w:r w:rsidR="00450BDD" w:rsidRPr="00CA61A6">
        <w:t>70-04: TSB</w:t>
      </w:r>
    </w:p>
    <w:bookmarkEnd w:id="644"/>
    <w:p w:rsidR="00450BDD" w:rsidRPr="00CA61A6" w:rsidRDefault="00450BDD" w:rsidP="00A86131">
      <w:pPr>
        <w:rPr>
          <w:rFonts w:eastAsia="SimSun"/>
          <w:lang w:eastAsia="ja-JP"/>
        </w:rPr>
      </w:pPr>
      <w:r w:rsidRPr="00CA61A6">
        <w:rPr>
          <w:rFonts w:eastAsia="SimSun"/>
          <w:lang w:eastAsia="ja-JP"/>
        </w:rPr>
        <w:t>La TSB participa en las actividades de la Unión en materia de accesibilidad a las TIC cooperando estrechamente con los coordinadores d</w:t>
      </w:r>
      <w:r w:rsidR="00545D8B" w:rsidRPr="00CA61A6">
        <w:rPr>
          <w:rFonts w:eastAsia="SimSun"/>
          <w:lang w:eastAsia="ja-JP"/>
        </w:rPr>
        <w:t>e la UIT para la accesibilidad.</w:t>
      </w:r>
    </w:p>
    <w:p w:rsidR="00450BDD" w:rsidRPr="00CA61A6" w:rsidRDefault="00A9697B" w:rsidP="00B37067">
      <w:pPr>
        <w:pStyle w:val="Headingb"/>
        <w:keepLines/>
      </w:pPr>
      <w:bookmarkStart w:id="645" w:name="Item70_05"/>
      <w:r w:rsidRPr="00CA61A6">
        <w:t xml:space="preserve">Acción </w:t>
      </w:r>
      <w:r w:rsidR="00450BDD" w:rsidRPr="00CA61A6">
        <w:t>70-05</w:t>
      </w:r>
      <w:r w:rsidR="00B37067" w:rsidRPr="00CA61A6">
        <w:t>: TSB</w:t>
      </w:r>
    </w:p>
    <w:bookmarkEnd w:id="645"/>
    <w:p w:rsidR="00450BDD" w:rsidRPr="00CA61A6" w:rsidRDefault="00450BDD" w:rsidP="007B3478">
      <w:pPr>
        <w:rPr>
          <w:rFonts w:eastAsia="SimSun"/>
          <w:szCs w:val="24"/>
          <w:lang w:eastAsia="ja-JP"/>
        </w:rPr>
      </w:pPr>
      <w:r w:rsidRPr="00CA61A6">
        <w:rPr>
          <w:rFonts w:eastAsia="SimSun"/>
          <w:szCs w:val="24"/>
          <w:lang w:eastAsia="ja-JP"/>
        </w:rPr>
        <w:t>La TSB contribuye activa y constantemente a la finalización de la futura política de la UIT en materia de accesibilidad, cuya formulación aprobó el Consejo en 2013.</w:t>
      </w:r>
    </w:p>
    <w:p w:rsidR="00450BDD" w:rsidRPr="00CA61A6" w:rsidRDefault="00450BDD" w:rsidP="007B3478">
      <w:pPr>
        <w:rPr>
          <w:rFonts w:eastAsia="SimSun"/>
          <w:szCs w:val="24"/>
          <w:lang w:eastAsia="ja-JP"/>
        </w:rPr>
      </w:pPr>
      <w:r w:rsidRPr="00CA61A6">
        <w:rPr>
          <w:rFonts w:eastAsia="SimSun"/>
          <w:szCs w:val="24"/>
          <w:lang w:eastAsia="ja-JP"/>
        </w:rPr>
        <w:t xml:space="preserve">La TSB ha contribuido en gran medida a los trabajos del Grupo Especial sobre accesibilidad de la UIT, encargado de formular el </w:t>
      </w:r>
      <w:hyperlink r:id="rId170" w:history="1">
        <w:r w:rsidRPr="00CA61A6">
          <w:rPr>
            <w:rFonts w:eastAsia="SimSun"/>
            <w:color w:val="0000FF"/>
            <w:szCs w:val="24"/>
            <w:u w:val="single"/>
            <w:lang w:eastAsia="ja-JP"/>
          </w:rPr>
          <w:t>Plan de accesibilidad de la UIT de 2014</w:t>
        </w:r>
      </w:hyperlink>
      <w:r w:rsidR="003B16A8" w:rsidRPr="00CA61A6">
        <w:rPr>
          <w:rFonts w:eastAsia="SimSun"/>
          <w:szCs w:val="24"/>
          <w:lang w:eastAsia="ja-JP"/>
        </w:rPr>
        <w:t>.</w:t>
      </w:r>
    </w:p>
    <w:p w:rsidR="00450BDD" w:rsidRPr="00CA61A6" w:rsidRDefault="00621627" w:rsidP="00435E69">
      <w:pPr>
        <w:pStyle w:val="Headingb"/>
        <w:keepLines/>
      </w:pPr>
      <w:bookmarkStart w:id="646" w:name="Item70_06"/>
      <w:r w:rsidRPr="00CA61A6">
        <w:lastRenderedPageBreak/>
        <w:t xml:space="preserve">Acción </w:t>
      </w:r>
      <w:r w:rsidR="00450BDD" w:rsidRPr="00CA61A6">
        <w:t>70-06: TSB</w:t>
      </w:r>
    </w:p>
    <w:bookmarkEnd w:id="646"/>
    <w:p w:rsidR="00450BDD" w:rsidRPr="00CA61A6" w:rsidRDefault="00450BDD" w:rsidP="007B3478">
      <w:pPr>
        <w:rPr>
          <w:rFonts w:eastAsia="SimSun"/>
          <w:szCs w:val="24"/>
          <w:lang w:eastAsia="ja-JP"/>
        </w:rPr>
      </w:pPr>
      <w:r w:rsidRPr="00CA61A6">
        <w:rPr>
          <w:rFonts w:eastAsia="SimSun"/>
          <w:szCs w:val="24"/>
          <w:lang w:eastAsia="ja-JP"/>
        </w:rPr>
        <w:t>La Actividad Conjunta de Coordinación sobre accesibilidad y factores humanos (</w:t>
      </w:r>
      <w:hyperlink r:id="rId171" w:history="1">
        <w:r w:rsidRPr="00CA61A6">
          <w:rPr>
            <w:rFonts w:eastAsia="SimSun"/>
            <w:color w:val="0000FF"/>
            <w:szCs w:val="24"/>
            <w:u w:val="single"/>
            <w:lang w:eastAsia="ja-JP"/>
          </w:rPr>
          <w:t>JCA-AHF</w:t>
        </w:r>
      </w:hyperlink>
      <w:r w:rsidRPr="00CA61A6">
        <w:rPr>
          <w:rFonts w:eastAsia="SimSun"/>
          <w:szCs w:val="24"/>
          <w:lang w:eastAsia="ja-JP"/>
        </w:rPr>
        <w:t>) ejerce de coordinador entre los Sectores de la UIT, otros organismos de normalización y las organizaciones de discapacitados.</w:t>
      </w:r>
    </w:p>
    <w:p w:rsidR="00450BDD" w:rsidRPr="00CA61A6" w:rsidRDefault="00450BDD" w:rsidP="007B3478">
      <w:pPr>
        <w:rPr>
          <w:rFonts w:eastAsia="SimSun"/>
          <w:szCs w:val="24"/>
          <w:lang w:eastAsia="ja-JP"/>
        </w:rPr>
      </w:pPr>
      <w:r w:rsidRPr="00CA61A6">
        <w:rPr>
          <w:rFonts w:eastAsia="SimSun"/>
          <w:szCs w:val="24"/>
          <w:lang w:eastAsia="ja-JP"/>
        </w:rPr>
        <w:t>La TSB participa y aporta activamente su contribución al Grupo Especial</w:t>
      </w:r>
      <w:r w:rsidR="00692F10">
        <w:rPr>
          <w:rFonts w:eastAsia="SimSun"/>
          <w:szCs w:val="24"/>
          <w:lang w:eastAsia="ja-JP"/>
        </w:rPr>
        <w:t xml:space="preserve"> sobre accesibilidad de la UIT.</w:t>
      </w:r>
    </w:p>
    <w:p w:rsidR="00450BDD" w:rsidRPr="00CA61A6" w:rsidRDefault="00621627" w:rsidP="00435E69">
      <w:pPr>
        <w:pStyle w:val="Headingb"/>
        <w:keepLines/>
      </w:pPr>
      <w:bookmarkStart w:id="647" w:name="Item70_07"/>
      <w:r w:rsidRPr="00CA61A6">
        <w:t xml:space="preserve">Acción </w:t>
      </w:r>
      <w:r w:rsidR="00450BDD" w:rsidRPr="00CA61A6">
        <w:t>70-07: TSB</w:t>
      </w:r>
    </w:p>
    <w:bookmarkEnd w:id="647"/>
    <w:p w:rsidR="00450BDD" w:rsidRPr="00CA61A6" w:rsidRDefault="00450BDD" w:rsidP="007B3478">
      <w:pPr>
        <w:rPr>
          <w:rFonts w:eastAsia="SimSun"/>
          <w:szCs w:val="24"/>
          <w:lang w:eastAsia="ja-JP"/>
        </w:rPr>
      </w:pPr>
      <w:r w:rsidRPr="00CA61A6">
        <w:rPr>
          <w:rFonts w:eastAsia="SimSun"/>
          <w:szCs w:val="24"/>
          <w:lang w:eastAsia="ja-JP"/>
        </w:rPr>
        <w:t>La JCA-AHF ejerce de coordinador entre los Sectores de la UIT, otros organismos de normalización y las organizaciones de discapacitados.</w:t>
      </w:r>
    </w:p>
    <w:p w:rsidR="00450BDD" w:rsidRPr="00CA61A6" w:rsidRDefault="00621627" w:rsidP="00435E69">
      <w:pPr>
        <w:pStyle w:val="Headingb"/>
        <w:keepLines/>
      </w:pPr>
      <w:bookmarkStart w:id="648" w:name="Item70_08"/>
      <w:r w:rsidRPr="00CA61A6">
        <w:t xml:space="preserve">Acción </w:t>
      </w:r>
      <w:r w:rsidR="00450BDD" w:rsidRPr="00CA61A6">
        <w:t>70-08: TSB</w:t>
      </w:r>
    </w:p>
    <w:bookmarkEnd w:id="648"/>
    <w:p w:rsidR="00450BDD" w:rsidRPr="00CA61A6" w:rsidRDefault="00450BDD" w:rsidP="007B3478">
      <w:pPr>
        <w:rPr>
          <w:rFonts w:eastAsia="SimSun"/>
          <w:szCs w:val="24"/>
          <w:lang w:eastAsia="ja-JP"/>
        </w:rPr>
      </w:pPr>
      <w:r w:rsidRPr="00CA61A6">
        <w:rPr>
          <w:rFonts w:eastAsia="SimSun"/>
          <w:szCs w:val="24"/>
          <w:lang w:eastAsia="ja-JP"/>
        </w:rPr>
        <w:t>En noviembre de 2014, la CE</w:t>
      </w:r>
      <w:r w:rsidR="008B5B32" w:rsidRPr="00CA61A6">
        <w:rPr>
          <w:rFonts w:eastAsia="SimSun"/>
          <w:szCs w:val="24"/>
          <w:lang w:eastAsia="ja-JP"/>
        </w:rPr>
        <w:t> </w:t>
      </w:r>
      <w:r w:rsidRPr="00CA61A6">
        <w:rPr>
          <w:rFonts w:eastAsia="SimSun"/>
          <w:szCs w:val="24"/>
          <w:lang w:eastAsia="ja-JP"/>
        </w:rPr>
        <w:t xml:space="preserve">16 del UIT-T aprobó el </w:t>
      </w:r>
      <w:hyperlink r:id="rId172" w:history="1">
        <w:r w:rsidRPr="00327BC9">
          <w:rPr>
            <w:rStyle w:val="Hyperlink"/>
            <w:rFonts w:eastAsia="SimSun"/>
            <w:szCs w:val="24"/>
            <w:lang w:eastAsia="ja-JP"/>
          </w:rPr>
          <w:t xml:space="preserve">Suplemento 17 a la </w:t>
        </w:r>
        <w:r w:rsidR="00D51738" w:rsidRPr="00327BC9">
          <w:rPr>
            <w:rStyle w:val="Hyperlink"/>
            <w:rFonts w:eastAsia="SimSun"/>
            <w:szCs w:val="24"/>
            <w:lang w:eastAsia="ja-JP"/>
          </w:rPr>
          <w:t xml:space="preserve">serie </w:t>
        </w:r>
        <w:r w:rsidRPr="00327BC9">
          <w:rPr>
            <w:rStyle w:val="Hyperlink"/>
            <w:rFonts w:eastAsia="SimSun"/>
            <w:szCs w:val="24"/>
            <w:lang w:eastAsia="ja-JP"/>
          </w:rPr>
          <w:t>H de Recomendaciones UIT-T</w:t>
        </w:r>
      </w:hyperlink>
      <w:r w:rsidRPr="00472FB9">
        <w:rPr>
          <w:rFonts w:eastAsia="SimSun"/>
        </w:rPr>
        <w:t>,</w:t>
      </w:r>
      <w:r w:rsidRPr="00CA61A6">
        <w:rPr>
          <w:rFonts w:eastAsia="SimSun"/>
          <w:szCs w:val="24"/>
          <w:lang w:eastAsia="ja-JP"/>
        </w:rPr>
        <w:t xml:space="preserve"> </w:t>
      </w:r>
      <w:r w:rsidR="00D133B0">
        <w:rPr>
          <w:rFonts w:eastAsia="SimSun"/>
          <w:szCs w:val="24"/>
          <w:lang w:eastAsia="ja-JP"/>
        </w:rPr>
        <w:t>"</w:t>
      </w:r>
      <w:r w:rsidRPr="00CA61A6">
        <w:t>Guía para abordar la accesibilidad en las normas</w:t>
      </w:r>
      <w:r w:rsidR="00D133B0">
        <w:t>"</w:t>
      </w:r>
      <w:r w:rsidRPr="00CA61A6">
        <w:t>, que está técnicamente armonizado con</w:t>
      </w:r>
      <w:r w:rsidRPr="00CA61A6">
        <w:rPr>
          <w:rFonts w:eastAsia="SimSun"/>
          <w:szCs w:val="24"/>
          <w:lang w:eastAsia="ja-JP"/>
        </w:rPr>
        <w:t xml:space="preserve"> ISO/CEI Guide 71.</w:t>
      </w:r>
    </w:p>
    <w:p w:rsidR="00450BDD" w:rsidRPr="00CA61A6" w:rsidRDefault="00450BDD" w:rsidP="00900021">
      <w:pPr>
        <w:rPr>
          <w:rFonts w:eastAsia="SimSun"/>
          <w:szCs w:val="24"/>
          <w:lang w:eastAsia="ja-JP"/>
        </w:rPr>
      </w:pPr>
      <w:r w:rsidRPr="00CA61A6">
        <w:rPr>
          <w:rFonts w:eastAsia="SimSun"/>
          <w:szCs w:val="24"/>
          <w:lang w:eastAsia="ja-JP"/>
        </w:rPr>
        <w:t xml:space="preserve">(Véase también </w:t>
      </w:r>
      <w:r w:rsidR="00900021">
        <w:rPr>
          <w:rFonts w:eastAsia="SimSun"/>
          <w:szCs w:val="24"/>
          <w:lang w:eastAsia="ja-JP"/>
        </w:rPr>
        <w:t>la</w:t>
      </w:r>
      <w:r w:rsidRPr="00CA61A6">
        <w:rPr>
          <w:rFonts w:eastAsia="SimSun"/>
          <w:szCs w:val="24"/>
          <w:lang w:eastAsia="ja-JP"/>
        </w:rPr>
        <w:t xml:space="preserve"> </w:t>
      </w:r>
      <w:hyperlink w:anchor="Item07_03" w:history="1">
        <w:r w:rsidR="00900021" w:rsidRPr="000A636C">
          <w:rPr>
            <w:rStyle w:val="Hyperlink"/>
            <w:rFonts w:eastAsia="SimSun"/>
            <w:szCs w:val="24"/>
            <w:lang w:eastAsia="ja-JP"/>
          </w:rPr>
          <w:t>Acción</w:t>
        </w:r>
        <w:r w:rsidRPr="000A636C">
          <w:rPr>
            <w:rStyle w:val="Hyperlink"/>
            <w:rFonts w:eastAsia="SimSun"/>
            <w:szCs w:val="24"/>
            <w:lang w:eastAsia="ja-JP"/>
          </w:rPr>
          <w:t xml:space="preserve"> 07-03</w:t>
        </w:r>
      </w:hyperlink>
      <w:r w:rsidRPr="00CA61A6">
        <w:rPr>
          <w:rFonts w:eastAsia="SimSun"/>
          <w:szCs w:val="24"/>
          <w:lang w:eastAsia="ja-JP"/>
        </w:rPr>
        <w:t>).</w:t>
      </w:r>
    </w:p>
    <w:p w:rsidR="00450BDD" w:rsidRPr="00CA61A6" w:rsidRDefault="00621627" w:rsidP="00435E69">
      <w:pPr>
        <w:pStyle w:val="Headingb"/>
        <w:keepLines/>
      </w:pPr>
      <w:bookmarkStart w:id="649" w:name="Item70_09"/>
      <w:r w:rsidRPr="00CA61A6">
        <w:t xml:space="preserve">Acción </w:t>
      </w:r>
      <w:r w:rsidR="00450BDD" w:rsidRPr="00CA61A6">
        <w:t>70-09: TSB</w:t>
      </w:r>
    </w:p>
    <w:bookmarkEnd w:id="649"/>
    <w:p w:rsidR="00450BDD" w:rsidRPr="00CA61A6" w:rsidRDefault="00450BDD" w:rsidP="007B3478">
      <w:pPr>
        <w:rPr>
          <w:rFonts w:eastAsia="SimSun"/>
          <w:szCs w:val="24"/>
          <w:lang w:eastAsia="ja-JP"/>
        </w:rPr>
      </w:pPr>
      <w:r w:rsidRPr="00CA61A6">
        <w:rPr>
          <w:rFonts w:eastAsia="SimSun"/>
          <w:szCs w:val="24"/>
          <w:lang w:eastAsia="ja-JP"/>
        </w:rPr>
        <w:t>Este punto está incluido en la Política de accesibilidad de la UIT, aprobada por el Consejo en 2013 y a cuya formulación contribuyó la TSB.</w:t>
      </w:r>
    </w:p>
    <w:p w:rsidR="00450BDD" w:rsidRPr="00CA61A6" w:rsidRDefault="00621627" w:rsidP="00435E69">
      <w:pPr>
        <w:pStyle w:val="Headingb"/>
        <w:keepLines/>
      </w:pPr>
      <w:bookmarkStart w:id="650" w:name="Item70_10"/>
      <w:r w:rsidRPr="00CA61A6">
        <w:t xml:space="preserve">Acción </w:t>
      </w:r>
      <w:r w:rsidR="00450BDD" w:rsidRPr="00CA61A6">
        <w:t>70-10: TSB</w:t>
      </w:r>
    </w:p>
    <w:bookmarkEnd w:id="650"/>
    <w:p w:rsidR="00450BDD" w:rsidRPr="00CA61A6" w:rsidRDefault="00450BDD" w:rsidP="007B3478">
      <w:pPr>
        <w:rPr>
          <w:rFonts w:eastAsia="SimSun"/>
          <w:szCs w:val="24"/>
          <w:lang w:eastAsia="ja-JP"/>
        </w:rPr>
      </w:pPr>
      <w:r w:rsidRPr="00CA61A6">
        <w:rPr>
          <w:rFonts w:eastAsia="SimSun"/>
          <w:szCs w:val="24"/>
          <w:lang w:eastAsia="ja-JP"/>
        </w:rPr>
        <w:t>La JCA-AHF ejerce de coordinador entre los Sectores de la UIT, otros organismos de normalización y las organizaciones de discapacitados.</w:t>
      </w:r>
    </w:p>
    <w:p w:rsidR="00450BDD" w:rsidRPr="00CA61A6" w:rsidRDefault="00621627" w:rsidP="00435E69">
      <w:pPr>
        <w:pStyle w:val="Headingb"/>
        <w:keepLines/>
      </w:pPr>
      <w:bookmarkStart w:id="651" w:name="Item70_11"/>
      <w:r w:rsidRPr="00CA61A6">
        <w:t xml:space="preserve">Acción </w:t>
      </w:r>
      <w:r w:rsidR="00450BDD" w:rsidRPr="00CA61A6">
        <w:t>70-11: TSB</w:t>
      </w:r>
    </w:p>
    <w:bookmarkEnd w:id="651"/>
    <w:p w:rsidR="00450BDD" w:rsidRPr="00CA61A6" w:rsidRDefault="00450BDD" w:rsidP="008C06E0">
      <w:pPr>
        <w:rPr>
          <w:rFonts w:eastAsia="SimSun"/>
          <w:szCs w:val="24"/>
          <w:lang w:eastAsia="ja-JP"/>
        </w:rPr>
      </w:pPr>
      <w:r w:rsidRPr="00CA61A6">
        <w:rPr>
          <w:rFonts w:eastAsia="SimSun"/>
          <w:szCs w:val="24"/>
          <w:lang w:eastAsia="ja-JP"/>
        </w:rPr>
        <w:t xml:space="preserve">La TSB ofrece diversos servicios y herramientas que permiten la participación a distancia y el acomodo de personas con discapacidad. </w:t>
      </w:r>
      <w:r w:rsidR="008C06E0">
        <w:rPr>
          <w:rFonts w:eastAsia="SimSun"/>
          <w:szCs w:val="24"/>
          <w:lang w:eastAsia="ja-JP"/>
        </w:rPr>
        <w:t>La</w:t>
      </w:r>
      <w:r w:rsidRPr="00CA61A6">
        <w:rPr>
          <w:rFonts w:eastAsia="SimSun"/>
          <w:szCs w:val="24"/>
          <w:lang w:eastAsia="ja-JP"/>
        </w:rPr>
        <w:t xml:space="preserve"> TSB ofrece servicios de teleconferencia, herramientas para el intercambio de documentos a distancia (Adobe Connect), así como servicios de interpretación en lenguaje de signos (previa petición) y subtitulado en tiempo real a fin de que las reuniones sean plenamente accesibles y se pueda participar en ellas a distancia.</w:t>
      </w:r>
    </w:p>
    <w:p w:rsidR="00450BDD" w:rsidRPr="00CA61A6" w:rsidRDefault="00621627" w:rsidP="00435E69">
      <w:pPr>
        <w:pStyle w:val="Headingb"/>
        <w:keepLines/>
      </w:pPr>
      <w:bookmarkStart w:id="652" w:name="Item70_12"/>
      <w:r w:rsidRPr="00CA61A6">
        <w:t xml:space="preserve">Acción </w:t>
      </w:r>
      <w:r w:rsidR="00450BDD" w:rsidRPr="00CA61A6">
        <w:t>70-12: GANT</w:t>
      </w:r>
    </w:p>
    <w:bookmarkEnd w:id="652"/>
    <w:p w:rsidR="00450BDD" w:rsidRPr="00CA61A6" w:rsidRDefault="00450BDD" w:rsidP="007B3478">
      <w:pPr>
        <w:rPr>
          <w:rFonts w:eastAsia="SimSun"/>
          <w:szCs w:val="24"/>
          <w:lang w:eastAsia="ja-JP"/>
        </w:rPr>
      </w:pPr>
      <w:r w:rsidRPr="00CA61A6">
        <w:rPr>
          <w:rFonts w:eastAsia="SimSun"/>
          <w:szCs w:val="24"/>
          <w:lang w:eastAsia="ja-JP"/>
        </w:rPr>
        <w:t>El GANT considerará la posibilidad de actualizar la revisión de la Guía para las Comisiones de Estudio del UIT-T</w:t>
      </w:r>
      <w:r w:rsidR="006D0D8E">
        <w:rPr>
          <w:rFonts w:eastAsia="SimSun"/>
          <w:szCs w:val="24"/>
          <w:lang w:eastAsia="ja-JP"/>
        </w:rPr>
        <w:t>,</w:t>
      </w:r>
      <w:r w:rsidRPr="00CA61A6">
        <w:rPr>
          <w:rFonts w:eastAsia="SimSun"/>
          <w:lang w:eastAsia="ja-JP"/>
        </w:rPr>
        <w:t xml:space="preserve"> </w:t>
      </w:r>
      <w:r w:rsidR="003D13BA">
        <w:rPr>
          <w:rFonts w:eastAsia="SimSun"/>
          <w:lang w:eastAsia="ja-JP"/>
        </w:rPr>
        <w:t>"</w:t>
      </w:r>
      <w:r w:rsidRPr="003D13BA">
        <w:rPr>
          <w:rFonts w:eastAsia="SimSun"/>
          <w:lang w:eastAsia="ja-JP"/>
        </w:rPr>
        <w:t>Consideración de las necesidades de los usuarios finales en la formulación de Recomendaciones</w:t>
      </w:r>
      <w:r w:rsidR="003D13BA">
        <w:rPr>
          <w:rFonts w:eastAsia="SimSun"/>
          <w:lang w:eastAsia="ja-JP"/>
        </w:rPr>
        <w:t>"</w:t>
      </w:r>
      <w:r w:rsidRPr="00CA61A6">
        <w:rPr>
          <w:rFonts w:eastAsia="SimSun"/>
          <w:lang w:eastAsia="ja-JP"/>
        </w:rPr>
        <w:t>, ahora que se ha adoptado el Suplemento 17 UIT-T/</w:t>
      </w:r>
      <w:r w:rsidR="000F463F">
        <w:rPr>
          <w:rFonts w:eastAsia="SimSun"/>
          <w:szCs w:val="24"/>
          <w:lang w:eastAsia="ja-JP"/>
        </w:rPr>
        <w:t>ISO/CEI</w:t>
      </w:r>
      <w:r w:rsidRPr="00CA61A6">
        <w:rPr>
          <w:rFonts w:eastAsia="SimSun"/>
          <w:szCs w:val="24"/>
          <w:lang w:eastAsia="ja-JP"/>
        </w:rPr>
        <w:t xml:space="preserve"> Guide 71, </w:t>
      </w:r>
      <w:r w:rsidR="006D0D8E">
        <w:rPr>
          <w:rFonts w:eastAsia="SimSun"/>
          <w:szCs w:val="24"/>
          <w:lang w:eastAsia="ja-JP"/>
        </w:rPr>
        <w:t>"</w:t>
      </w:r>
      <w:r w:rsidRPr="00CA61A6">
        <w:t>Guía para abordar la accesibilidad en las normas</w:t>
      </w:r>
      <w:r w:rsidR="006D0D8E">
        <w:t>"</w:t>
      </w:r>
      <w:r w:rsidRPr="00CA61A6">
        <w:rPr>
          <w:rFonts w:eastAsia="SimSun"/>
          <w:szCs w:val="24"/>
          <w:lang w:eastAsia="ja-JP"/>
        </w:rPr>
        <w:t>.</w:t>
      </w:r>
    </w:p>
    <w:p w:rsidR="00901BC6" w:rsidRPr="00CA61A6" w:rsidRDefault="00110CAD" w:rsidP="00901BC6">
      <w:hyperlink w:anchor="Top" w:history="1">
        <w:r w:rsidR="00901BC6" w:rsidRPr="00CA61A6">
          <w:rPr>
            <w:rStyle w:val="Hyperlink"/>
          </w:rPr>
          <w:t>» Arriba</w:t>
        </w:r>
      </w:hyperlink>
    </w:p>
    <w:p w:rsidR="00450BDD" w:rsidRPr="00CA61A6" w:rsidRDefault="00494AE0" w:rsidP="00494AE0">
      <w:pPr>
        <w:pStyle w:val="Heading1"/>
      </w:pPr>
      <w:bookmarkStart w:id="653" w:name="_39_Resolución_71"/>
      <w:bookmarkStart w:id="654" w:name="_Toc463335790"/>
      <w:bookmarkEnd w:id="653"/>
      <w:r w:rsidRPr="00CA61A6">
        <w:t>39</w:t>
      </w:r>
      <w:r w:rsidRPr="00CA61A6">
        <w:tab/>
        <w:t xml:space="preserve">Resolución </w:t>
      </w:r>
      <w:r w:rsidR="00450BDD" w:rsidRPr="00CA61A6">
        <w:t>71</w:t>
      </w:r>
      <w:r w:rsidRPr="00CA61A6">
        <w:t xml:space="preserve"> – </w:t>
      </w:r>
      <w:r w:rsidR="00450BDD" w:rsidRPr="00CA61A6">
        <w:t>Admisión de instituciones académicas para que participen en los trabajos del Sector de Normalización de las Telecomunicaciones de la UIT</w:t>
      </w:r>
      <w:bookmarkEnd w:id="654"/>
    </w:p>
    <w:p w:rsidR="0039489A" w:rsidRPr="00CA61A6" w:rsidRDefault="0039489A" w:rsidP="0039489A">
      <w:pPr>
        <w:pStyle w:val="Headingb"/>
        <w:keepLines/>
      </w:pPr>
      <w:r w:rsidRPr="00CA61A6">
        <w:t>Resolución 71</w:t>
      </w:r>
    </w:p>
    <w:p w:rsidR="00450BDD" w:rsidRPr="00CA61A6" w:rsidRDefault="00450BDD" w:rsidP="007B3478">
      <w:pPr>
        <w:pStyle w:val="Call"/>
        <w:rPr>
          <w:lang w:eastAsia="en-AU"/>
        </w:rPr>
      </w:pPr>
      <w:r w:rsidRPr="00CA61A6">
        <w:rPr>
          <w:lang w:eastAsia="en-AU"/>
        </w:rPr>
        <w:t xml:space="preserve">resuelve </w:t>
      </w:r>
    </w:p>
    <w:p w:rsidR="00450BDD" w:rsidRPr="00CA61A6" w:rsidRDefault="00450BDD" w:rsidP="007B3478">
      <w:r w:rsidRPr="00CA61A6">
        <w:t>1</w:t>
      </w:r>
      <w:r w:rsidRPr="00CA61A6">
        <w:tab/>
        <w:t>evaluar la participación de las instituciones académicas desde la aprobación de la Resolución 169 (Guadalajara, 2010);</w:t>
      </w:r>
    </w:p>
    <w:p w:rsidR="00450BDD" w:rsidRPr="00CA61A6" w:rsidRDefault="00450BDD" w:rsidP="007B3478">
      <w:r w:rsidRPr="00CA61A6">
        <w:rPr>
          <w:lang w:eastAsia="en-AU"/>
        </w:rPr>
        <w:lastRenderedPageBreak/>
        <w:t>2</w:t>
      </w:r>
      <w:r w:rsidRPr="00CA61A6">
        <w:rPr>
          <w:lang w:eastAsia="en-AU"/>
        </w:rPr>
        <w:tab/>
        <w:t>autorizar la participación de instituciones académicas en las diversas Comisiones de Estudio y los numerosos talleres y Grupos de Trabajo, así como en el Grupo Asesor de Normalización de las Telecomunicaciones (GANT), teniendo presente que no podrán intervenir en la toma de decisiones;</w:t>
      </w:r>
    </w:p>
    <w:p w:rsidR="00450BDD" w:rsidRPr="00CA61A6" w:rsidRDefault="00450BDD" w:rsidP="007B3478">
      <w:pPr>
        <w:rPr>
          <w:lang w:eastAsia="en-AU"/>
        </w:rPr>
      </w:pPr>
      <w:r w:rsidRPr="00CA61A6">
        <w:rPr>
          <w:lang w:eastAsia="en-AU"/>
        </w:rPr>
        <w:t>3</w:t>
      </w:r>
      <w:r w:rsidRPr="00CA61A6">
        <w:rPr>
          <w:lang w:eastAsia="en-AU"/>
        </w:rPr>
        <w:tab/>
        <w:t>que las instituciones académicas tengan acceso a los documentos del UIT-T;</w:t>
      </w:r>
    </w:p>
    <w:p w:rsidR="00450BDD" w:rsidRPr="00CA61A6" w:rsidRDefault="00450BDD" w:rsidP="007B3478">
      <w:pPr>
        <w:rPr>
          <w:lang w:eastAsia="en-AU"/>
        </w:rPr>
      </w:pPr>
      <w:r w:rsidRPr="00CA61A6">
        <w:rPr>
          <w:lang w:eastAsia="en-AU"/>
        </w:rPr>
        <w:t>4</w:t>
      </w:r>
      <w:r w:rsidRPr="00CA61A6">
        <w:rPr>
          <w:lang w:eastAsia="en-AU"/>
        </w:rPr>
        <w:tab/>
        <w:t>que los representantes de instituciones académicas puedan ocupar el cargo de Relator;</w:t>
      </w:r>
    </w:p>
    <w:p w:rsidR="00450BDD" w:rsidRPr="00CA61A6" w:rsidRDefault="00450BDD" w:rsidP="007B3478">
      <w:pPr>
        <w:rPr>
          <w:lang w:eastAsia="en-AU"/>
        </w:rPr>
      </w:pPr>
      <w:r w:rsidRPr="00CA61A6">
        <w:rPr>
          <w:lang w:eastAsia="en-AU"/>
        </w:rPr>
        <w:t>5</w:t>
      </w:r>
      <w:r w:rsidRPr="00CA61A6">
        <w:rPr>
          <w:lang w:eastAsia="en-AU"/>
        </w:rPr>
        <w:tab/>
        <w:t>autorizar la participación sin capacidad consultiva de instituciones académicas en el Simposio Mundial de Normalización (SMN) y la Asamblea Mundial de Normalización de las Telecomunicaciones (AMNT);</w:t>
      </w:r>
    </w:p>
    <w:p w:rsidR="00450BDD" w:rsidRPr="00CA61A6" w:rsidRDefault="00450BDD" w:rsidP="007B3478">
      <w:pPr>
        <w:rPr>
          <w:lang w:eastAsia="en-AU"/>
        </w:rPr>
      </w:pPr>
      <w:r w:rsidRPr="00CA61A6">
        <w:rPr>
          <w:lang w:eastAsia="en-AU"/>
        </w:rPr>
        <w:t>6</w:t>
      </w:r>
      <w:r w:rsidRPr="00CA61A6">
        <w:rPr>
          <w:lang w:eastAsia="en-AU"/>
        </w:rPr>
        <w:tab/>
        <w:t>autorizar la participación de instituciones académicas en eventos paralelos de la AMNT así como en exposiciones afines;</w:t>
      </w:r>
    </w:p>
    <w:p w:rsidR="00450BDD" w:rsidRPr="00CA61A6" w:rsidRDefault="00450BDD" w:rsidP="007B3478">
      <w:pPr>
        <w:rPr>
          <w:lang w:eastAsia="en-AU"/>
        </w:rPr>
      </w:pPr>
      <w:r w:rsidRPr="00CA61A6">
        <w:rPr>
          <w:lang w:eastAsia="en-AU"/>
        </w:rPr>
        <w:t>7</w:t>
      </w:r>
      <w:r w:rsidRPr="00CA61A6">
        <w:rPr>
          <w:lang w:eastAsia="en-AU"/>
        </w:rPr>
        <w:tab/>
        <w:t>solicitar al GANT que examine la necesidad de otras medidas y/o disposiciones adicionales para facilitar la participación de instituciones académicas y sacar provecho de sus conocimientos técnicos e intelectuales, y presente un informe de los resultados, a través del Director de la Oficina de Normalización de las Telecomunicaciones, al Consejo y a la próxima AMNT en 2016;</w:t>
      </w:r>
    </w:p>
    <w:p w:rsidR="00450BDD" w:rsidRPr="00CA61A6" w:rsidRDefault="00450BDD" w:rsidP="007B3478">
      <w:pPr>
        <w:rPr>
          <w:lang w:eastAsia="en-AU"/>
        </w:rPr>
      </w:pPr>
      <w:r w:rsidRPr="00CA61A6">
        <w:rPr>
          <w:lang w:eastAsia="en-AU"/>
        </w:rPr>
        <w:t>8</w:t>
      </w:r>
      <w:r w:rsidRPr="00CA61A6">
        <w:rPr>
          <w:lang w:eastAsia="en-AU"/>
        </w:rPr>
        <w:tab/>
        <w:t>que el importe de la contribución financiera anual para la participación de las instituciones académicas sea inferior al normal, especialmente para las procedentes de países en desarrollo</w:t>
      </w:r>
      <w:r w:rsidRPr="00CA61A6">
        <w:rPr>
          <w:rStyle w:val="FootnoteReference"/>
          <w:lang w:eastAsia="en-AU"/>
        </w:rPr>
        <w:footnoteReference w:customMarkFollows="1" w:id="6"/>
        <w:t>2</w:t>
      </w:r>
      <w:r w:rsidRPr="00CA61A6">
        <w:rPr>
          <w:lang w:eastAsia="en-AU"/>
        </w:rPr>
        <w:t>,</w:t>
      </w:r>
    </w:p>
    <w:p w:rsidR="00450BDD" w:rsidRPr="00CA61A6" w:rsidRDefault="00450BDD" w:rsidP="007B3478">
      <w:pPr>
        <w:pStyle w:val="Call"/>
        <w:rPr>
          <w:lang w:eastAsia="en-AU"/>
        </w:rPr>
      </w:pPr>
      <w:r w:rsidRPr="00CA61A6">
        <w:rPr>
          <w:lang w:eastAsia="en-AU"/>
        </w:rPr>
        <w:t>encarga al Director de la Oficina de Normalización de las Telecomunicaciones</w:t>
      </w:r>
    </w:p>
    <w:p w:rsidR="00450BDD" w:rsidRPr="00CA61A6" w:rsidRDefault="00450BDD" w:rsidP="007B3478">
      <w:pPr>
        <w:rPr>
          <w:lang w:eastAsia="en-AU"/>
        </w:rPr>
      </w:pPr>
      <w:r w:rsidRPr="00CA61A6">
        <w:rPr>
          <w:lang w:eastAsia="en-AU"/>
        </w:rPr>
        <w:t>1</w:t>
      </w:r>
      <w:r w:rsidRPr="00CA61A6">
        <w:rPr>
          <w:lang w:eastAsia="en-AU"/>
        </w:rPr>
        <w:tab/>
        <w:t>que prosiga con éxito su tarea de explorar y recomendar, basándose en parte en el asesoramiento del GANT, diversos mecanismos, como la utilización de contribuciones financieras y en especie voluntarias, para alentar la cooperación entre el UIT-T y las instituciones académicas en las seis regiones</w:t>
      </w:r>
      <w:r w:rsidRPr="00CA61A6">
        <w:rPr>
          <w:rStyle w:val="FootnoteReference"/>
          <w:lang w:eastAsia="en-AU"/>
        </w:rPr>
        <w:footnoteReference w:customMarkFollows="1" w:id="7"/>
        <w:t>3</w:t>
      </w:r>
      <w:r w:rsidRPr="00CA61A6">
        <w:rPr>
          <w:lang w:eastAsia="en-AU"/>
        </w:rPr>
        <w:t>;</w:t>
      </w:r>
    </w:p>
    <w:p w:rsidR="00450BDD" w:rsidRPr="00CA61A6" w:rsidRDefault="00450BDD" w:rsidP="007B3478">
      <w:pPr>
        <w:rPr>
          <w:lang w:eastAsia="en-AU"/>
        </w:rPr>
      </w:pPr>
      <w:r w:rsidRPr="00CA61A6">
        <w:rPr>
          <w:lang w:eastAsia="en-AU"/>
        </w:rPr>
        <w:t>2</w:t>
      </w:r>
      <w:r w:rsidRPr="00CA61A6">
        <w:rPr>
          <w:lang w:eastAsia="en-AU"/>
        </w:rPr>
        <w:tab/>
        <w:t>que siga organizando cada año el evento Caleidoscopio, siguiendo, en la medida de lo posible, un sistema de rotación entre las seis regiones;</w:t>
      </w:r>
    </w:p>
    <w:p w:rsidR="00450BDD" w:rsidRPr="00CA61A6" w:rsidRDefault="00450BDD" w:rsidP="007B3478">
      <w:r w:rsidRPr="00CA61A6">
        <w:t>3</w:t>
      </w:r>
      <w:r w:rsidRPr="00CA61A6">
        <w:tab/>
        <w:t xml:space="preserve">que colabore con ITU TELECOM, para dar a conocer el valor de las </w:t>
      </w:r>
      <w:r w:rsidR="00110CAD" w:rsidRPr="00CA61A6">
        <w:t xml:space="preserve">Instituciones Académicas </w:t>
      </w:r>
      <w:r w:rsidRPr="00CA61A6">
        <w:t>Miembros del UIT-T,</w:t>
      </w:r>
    </w:p>
    <w:p w:rsidR="00450BDD" w:rsidRPr="00CA61A6" w:rsidRDefault="00450BDD" w:rsidP="007B3478">
      <w:pPr>
        <w:pStyle w:val="Call"/>
      </w:pPr>
      <w:r w:rsidRPr="00CA61A6">
        <w:t>invita al Consejo</w:t>
      </w:r>
    </w:p>
    <w:p w:rsidR="00450BDD" w:rsidRPr="00CA61A6" w:rsidRDefault="00450BDD" w:rsidP="007B3478">
      <w:r w:rsidRPr="00CA61A6">
        <w:t>a que considere, al presentar su Informe a la próxima Conferencia de Plenipotenciarios (Busán, 2014), el aporte positivo a las diversas actividades de la UIT realizado por las instituciones académicas, y recomiende la admisión permanente de dichas instituciones en los trabajos de los tres Sectores de la UIT,</w:t>
      </w:r>
    </w:p>
    <w:p w:rsidR="00450BDD" w:rsidRPr="00CA61A6" w:rsidRDefault="00450BDD" w:rsidP="007B3478">
      <w:pPr>
        <w:pStyle w:val="Call"/>
      </w:pPr>
      <w:r w:rsidRPr="00CA61A6">
        <w:lastRenderedPageBreak/>
        <w:t>invita a los Miembros de la UIT</w:t>
      </w:r>
    </w:p>
    <w:p w:rsidR="00450BDD" w:rsidRPr="00CA61A6" w:rsidRDefault="00450BDD" w:rsidP="00D75860">
      <w:pPr>
        <w:spacing w:after="120"/>
      </w:pPr>
      <w:r w:rsidRPr="00CA61A6">
        <w:t>a poner en conocimiento de las instituciones académicas la presente Resolución y a respaldarlas y alentarlas a adherirse a la UIT y participar en sus actividades.</w:t>
      </w:r>
    </w:p>
    <w:tbl>
      <w:tblPr>
        <w:tblW w:w="9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
        <w:gridCol w:w="4748"/>
        <w:gridCol w:w="1682"/>
        <w:gridCol w:w="1224"/>
        <w:gridCol w:w="1261"/>
      </w:tblGrid>
      <w:tr w:rsidR="00450BDD" w:rsidRPr="00CA61A6" w:rsidTr="009638E5">
        <w:trPr>
          <w:cantSplit/>
          <w:tblHeader/>
          <w:jc w:val="center"/>
        </w:trPr>
        <w:tc>
          <w:tcPr>
            <w:tcW w:w="917" w:type="dxa"/>
            <w:tcBorders>
              <w:bottom w:val="double" w:sz="4" w:space="0" w:color="auto"/>
            </w:tcBorders>
            <w:shd w:val="clear" w:color="auto" w:fill="auto"/>
            <w:vAlign w:val="center"/>
          </w:tcPr>
          <w:p w:rsidR="00450BDD" w:rsidRPr="00CA61A6" w:rsidRDefault="00450BDD" w:rsidP="00A171F6">
            <w:pPr>
              <w:pStyle w:val="Tablehead"/>
            </w:pPr>
            <w:r w:rsidRPr="00CA61A6">
              <w:t>Número</w:t>
            </w:r>
          </w:p>
        </w:tc>
        <w:tc>
          <w:tcPr>
            <w:tcW w:w="4748" w:type="dxa"/>
            <w:tcBorders>
              <w:bottom w:val="double" w:sz="4" w:space="0" w:color="auto"/>
            </w:tcBorders>
            <w:shd w:val="clear" w:color="auto" w:fill="auto"/>
            <w:vAlign w:val="center"/>
            <w:hideMark/>
          </w:tcPr>
          <w:p w:rsidR="00450BDD" w:rsidRPr="00CA61A6" w:rsidRDefault="00450BDD" w:rsidP="00A171F6">
            <w:pPr>
              <w:pStyle w:val="Tablehead"/>
            </w:pPr>
            <w:r w:rsidRPr="00CA61A6">
              <w:t>Acción</w:t>
            </w:r>
          </w:p>
        </w:tc>
        <w:tc>
          <w:tcPr>
            <w:tcW w:w="1682" w:type="dxa"/>
            <w:tcBorders>
              <w:bottom w:val="double" w:sz="4" w:space="0" w:color="auto"/>
            </w:tcBorders>
            <w:shd w:val="clear" w:color="auto" w:fill="auto"/>
            <w:vAlign w:val="center"/>
            <w:hideMark/>
          </w:tcPr>
          <w:p w:rsidR="00450BDD" w:rsidRPr="00CA61A6" w:rsidRDefault="00450BDD" w:rsidP="00A171F6">
            <w:pPr>
              <w:pStyle w:val="Tablehead"/>
            </w:pPr>
            <w:r w:rsidRPr="00CA61A6">
              <w:t>Fecha objetivo</w:t>
            </w:r>
          </w:p>
        </w:tc>
        <w:tc>
          <w:tcPr>
            <w:tcW w:w="1224" w:type="dxa"/>
            <w:tcBorders>
              <w:bottom w:val="double" w:sz="4" w:space="0" w:color="auto"/>
            </w:tcBorders>
            <w:shd w:val="clear" w:color="auto" w:fill="auto"/>
            <w:vAlign w:val="center"/>
          </w:tcPr>
          <w:p w:rsidR="00450BDD" w:rsidRPr="00CA61A6" w:rsidRDefault="00450BDD" w:rsidP="00A171F6">
            <w:pPr>
              <w:pStyle w:val="Tablehead"/>
            </w:pPr>
            <w:r w:rsidRPr="00CA61A6">
              <w:t>Objetivos periódicos cumplidos</w:t>
            </w:r>
          </w:p>
        </w:tc>
        <w:tc>
          <w:tcPr>
            <w:tcW w:w="1261" w:type="dxa"/>
            <w:tcBorders>
              <w:bottom w:val="double" w:sz="4" w:space="0" w:color="auto"/>
            </w:tcBorders>
            <w:shd w:val="clear" w:color="auto" w:fill="auto"/>
            <w:vAlign w:val="center"/>
          </w:tcPr>
          <w:p w:rsidR="00450BDD" w:rsidRPr="00CA61A6" w:rsidRDefault="00450BDD" w:rsidP="00A171F6">
            <w:pPr>
              <w:pStyle w:val="Tablehead"/>
            </w:pPr>
            <w:r w:rsidRPr="00CA61A6">
              <w:t>Completada</w:t>
            </w:r>
          </w:p>
        </w:tc>
      </w:tr>
      <w:tr w:rsidR="00450BDD" w:rsidRPr="00CA61A6" w:rsidTr="009638E5">
        <w:trPr>
          <w:cantSplit/>
          <w:jc w:val="center"/>
        </w:trPr>
        <w:tc>
          <w:tcPr>
            <w:tcW w:w="917" w:type="dxa"/>
            <w:tcBorders>
              <w:top w:val="double" w:sz="4" w:space="0" w:color="auto"/>
            </w:tcBorders>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71_01" w:history="1">
              <w:r w:rsidR="00450BDD" w:rsidRPr="00CA61A6">
                <w:rPr>
                  <w:color w:val="0000FF"/>
                  <w:sz w:val="20"/>
                  <w:u w:val="single"/>
                </w:rPr>
                <w:t>71-01</w:t>
              </w:r>
            </w:hyperlink>
          </w:p>
        </w:tc>
        <w:tc>
          <w:tcPr>
            <w:tcW w:w="4748" w:type="dxa"/>
            <w:tcBorders>
              <w:top w:val="double" w:sz="4" w:space="0" w:color="auto"/>
            </w:tcBorders>
            <w:shd w:val="clear" w:color="auto" w:fill="auto"/>
          </w:tcPr>
          <w:p w:rsidR="00450BDD" w:rsidRPr="00CA61A6" w:rsidRDefault="00343F12" w:rsidP="00343F12">
            <w:pPr>
              <w:pStyle w:val="Tabletext"/>
            </w:pPr>
            <w:r>
              <w:t>E</w:t>
            </w:r>
            <w:r w:rsidR="00450BDD" w:rsidRPr="00CA61A6">
              <w:t>l Director de la TSB invit</w:t>
            </w:r>
            <w:r>
              <w:t>ará</w:t>
            </w:r>
            <w:r w:rsidR="00450BDD" w:rsidRPr="00CA61A6">
              <w:t xml:space="preserve"> al Consejo a evaluar la participación de las </w:t>
            </w:r>
            <w:r w:rsidR="00EF14AF" w:rsidRPr="00CA61A6">
              <w:t xml:space="preserve">Instituciones Académicas </w:t>
            </w:r>
            <w:r w:rsidR="00450BDD" w:rsidRPr="00CA61A6">
              <w:t>de acuerdo con la Resolución 169 de la PP-10 e inform</w:t>
            </w:r>
            <w:r>
              <w:t>ará</w:t>
            </w:r>
            <w:r w:rsidR="00450BDD" w:rsidRPr="00CA61A6">
              <w:t xml:space="preserve"> asimismo a la PP-14 y le recom</w:t>
            </w:r>
            <w:r>
              <w:t>endará</w:t>
            </w:r>
            <w:r w:rsidR="00450BDD" w:rsidRPr="00CA61A6">
              <w:t xml:space="preserve"> que la UIT admita la participación </w:t>
            </w:r>
            <w:r w:rsidR="009D6932" w:rsidRPr="00CA61A6">
              <w:t xml:space="preserve">de las </w:t>
            </w:r>
            <w:r w:rsidR="00AD6D25" w:rsidRPr="00CA61A6">
              <w:t xml:space="preserve">Instituciones Académicas </w:t>
            </w:r>
            <w:r w:rsidR="00450BDD" w:rsidRPr="00CA61A6">
              <w:t>con carácter permanente</w:t>
            </w:r>
          </w:p>
        </w:tc>
        <w:tc>
          <w:tcPr>
            <w:tcW w:w="1682" w:type="dxa"/>
            <w:tcBorders>
              <w:top w:val="double" w:sz="4" w:space="0" w:color="auto"/>
            </w:tcBorders>
            <w:shd w:val="clear" w:color="auto" w:fill="auto"/>
            <w:vAlign w:val="center"/>
          </w:tcPr>
          <w:p w:rsidR="00450BDD" w:rsidRPr="00CA61A6" w:rsidRDefault="00456D06" w:rsidP="00334B28">
            <w:pPr>
              <w:pStyle w:val="Tabletext"/>
              <w:jc w:val="center"/>
            </w:pPr>
            <w:r w:rsidRPr="00CA61A6">
              <w:t>Consejo</w:t>
            </w:r>
            <w:r w:rsidR="00450BDD" w:rsidRPr="00CA61A6">
              <w:t xml:space="preserve"> de 2013</w:t>
            </w:r>
          </w:p>
        </w:tc>
        <w:tc>
          <w:tcPr>
            <w:tcW w:w="1224" w:type="dxa"/>
            <w:tcBorders>
              <w:top w:val="double" w:sz="4" w:space="0" w:color="auto"/>
            </w:tcBorders>
            <w:shd w:val="clear" w:color="auto" w:fill="auto"/>
            <w:vAlign w:val="center"/>
          </w:tcPr>
          <w:p w:rsidR="00450BDD" w:rsidRPr="00CA61A6" w:rsidRDefault="00696D73" w:rsidP="00334B28">
            <w:pPr>
              <w:pStyle w:val="Tabletext"/>
              <w:jc w:val="center"/>
            </w:pPr>
            <w:r w:rsidRPr="00CA61A6">
              <w:sym w:font="Wingdings" w:char="F0FC"/>
            </w:r>
          </w:p>
        </w:tc>
        <w:tc>
          <w:tcPr>
            <w:tcW w:w="1261" w:type="dxa"/>
            <w:tcBorders>
              <w:top w:val="double" w:sz="4" w:space="0" w:color="auto"/>
            </w:tcBorders>
            <w:shd w:val="clear" w:color="auto" w:fill="auto"/>
            <w:vAlign w:val="center"/>
          </w:tcPr>
          <w:p w:rsidR="00450BDD" w:rsidRPr="00CA61A6" w:rsidRDefault="00450BDD" w:rsidP="00334B28">
            <w:pPr>
              <w:pStyle w:val="Tabletext"/>
              <w:jc w:val="center"/>
            </w:pPr>
          </w:p>
        </w:tc>
      </w:tr>
      <w:tr w:rsidR="00450BDD" w:rsidRPr="00CA61A6" w:rsidTr="009638E5">
        <w:trPr>
          <w:cantSplit/>
          <w:jc w:val="center"/>
        </w:trPr>
        <w:tc>
          <w:tcPr>
            <w:tcW w:w="917" w:type="dxa"/>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71_02" w:history="1">
              <w:r w:rsidR="00450BDD" w:rsidRPr="00CA61A6">
                <w:rPr>
                  <w:color w:val="0000FF"/>
                  <w:sz w:val="20"/>
                  <w:u w:val="single"/>
                </w:rPr>
                <w:t>71-02</w:t>
              </w:r>
            </w:hyperlink>
          </w:p>
        </w:tc>
        <w:tc>
          <w:tcPr>
            <w:tcW w:w="4748" w:type="dxa"/>
            <w:shd w:val="clear" w:color="auto" w:fill="auto"/>
            <w:hideMark/>
          </w:tcPr>
          <w:p w:rsidR="00450BDD" w:rsidRPr="00CA61A6" w:rsidRDefault="00343F12" w:rsidP="00343F12">
            <w:pPr>
              <w:pStyle w:val="Tabletext"/>
            </w:pPr>
            <w:r>
              <w:t>L</w:t>
            </w:r>
            <w:r w:rsidR="00450BDD" w:rsidRPr="00CA61A6">
              <w:t>a TSB s</w:t>
            </w:r>
            <w:r>
              <w:t>eguirá</w:t>
            </w:r>
            <w:r w:rsidR="00450BDD" w:rsidRPr="00CA61A6">
              <w:t xml:space="preserve"> prestando el apoyo necesario a la participación de las </w:t>
            </w:r>
            <w:r w:rsidR="00AD6D25" w:rsidRPr="00CA61A6">
              <w:t>Instituciones Académicas</w:t>
            </w:r>
          </w:p>
        </w:tc>
        <w:tc>
          <w:tcPr>
            <w:tcW w:w="1682" w:type="dxa"/>
            <w:shd w:val="clear" w:color="auto" w:fill="auto"/>
            <w:vAlign w:val="center"/>
            <w:hideMark/>
          </w:tcPr>
          <w:p w:rsidR="00450BDD" w:rsidRPr="00CA61A6" w:rsidRDefault="00450BDD" w:rsidP="00334B28">
            <w:pPr>
              <w:pStyle w:val="Tabletext"/>
              <w:jc w:val="center"/>
            </w:pPr>
            <w:r w:rsidRPr="00CA61A6">
              <w:t>En curso</w:t>
            </w:r>
          </w:p>
        </w:tc>
        <w:tc>
          <w:tcPr>
            <w:tcW w:w="1224" w:type="dxa"/>
            <w:shd w:val="clear" w:color="auto" w:fill="auto"/>
            <w:vAlign w:val="center"/>
          </w:tcPr>
          <w:p w:rsidR="00450BDD" w:rsidRPr="00CA61A6" w:rsidRDefault="00696D73" w:rsidP="00334B28">
            <w:pPr>
              <w:pStyle w:val="Tabletext"/>
              <w:jc w:val="center"/>
            </w:pPr>
            <w:r w:rsidRPr="00CA61A6">
              <w:sym w:font="Wingdings" w:char="F0FC"/>
            </w:r>
          </w:p>
        </w:tc>
        <w:tc>
          <w:tcPr>
            <w:tcW w:w="1261" w:type="dxa"/>
            <w:shd w:val="clear" w:color="auto" w:fill="auto"/>
            <w:vAlign w:val="center"/>
          </w:tcPr>
          <w:p w:rsidR="00450BDD" w:rsidRPr="00CA61A6" w:rsidRDefault="00450BDD" w:rsidP="00334B28">
            <w:pPr>
              <w:pStyle w:val="Tabletext"/>
              <w:jc w:val="center"/>
            </w:pPr>
          </w:p>
        </w:tc>
      </w:tr>
      <w:tr w:rsidR="00450BDD" w:rsidRPr="00CA61A6" w:rsidTr="009638E5">
        <w:trPr>
          <w:cantSplit/>
          <w:jc w:val="center"/>
        </w:trPr>
        <w:tc>
          <w:tcPr>
            <w:tcW w:w="917" w:type="dxa"/>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71_03" w:history="1">
              <w:r w:rsidR="00450BDD" w:rsidRPr="00CA61A6">
                <w:rPr>
                  <w:color w:val="0000FF"/>
                  <w:sz w:val="20"/>
                  <w:u w:val="single"/>
                </w:rPr>
                <w:t>71-03</w:t>
              </w:r>
            </w:hyperlink>
          </w:p>
        </w:tc>
        <w:tc>
          <w:tcPr>
            <w:tcW w:w="4748" w:type="dxa"/>
            <w:shd w:val="clear" w:color="auto" w:fill="auto"/>
          </w:tcPr>
          <w:p w:rsidR="00450BDD" w:rsidRPr="00CA61A6" w:rsidRDefault="00343F12" w:rsidP="00343F12">
            <w:pPr>
              <w:pStyle w:val="Tabletext"/>
            </w:pPr>
            <w:r>
              <w:t>E</w:t>
            </w:r>
            <w:r w:rsidR="00450BDD" w:rsidRPr="00CA61A6">
              <w:t>l GANT estudi</w:t>
            </w:r>
            <w:r>
              <w:t>ará</w:t>
            </w:r>
            <w:r w:rsidR="00450BDD" w:rsidRPr="00CA61A6">
              <w:t xml:space="preserve"> la necesidad de adoptar otras medidas y/o disposiciones adicionales para facilitar la participación de </w:t>
            </w:r>
            <w:r w:rsidR="00AD6D25" w:rsidRPr="00CA61A6">
              <w:t xml:space="preserve">Instituciones Académicas </w:t>
            </w:r>
            <w:r w:rsidR="00450BDD" w:rsidRPr="00CA61A6">
              <w:t>e inform</w:t>
            </w:r>
            <w:r>
              <w:t>ará</w:t>
            </w:r>
            <w:r w:rsidR="00450BDD" w:rsidRPr="00CA61A6">
              <w:t xml:space="preserve"> de los resultados al Consejo y a la AMNT-16</w:t>
            </w:r>
          </w:p>
        </w:tc>
        <w:tc>
          <w:tcPr>
            <w:tcW w:w="1682" w:type="dxa"/>
            <w:shd w:val="clear" w:color="auto" w:fill="auto"/>
            <w:vAlign w:val="center"/>
          </w:tcPr>
          <w:p w:rsidR="00450BDD" w:rsidRPr="00CA61A6" w:rsidRDefault="00450BDD" w:rsidP="00334B28">
            <w:pPr>
              <w:pStyle w:val="Tabletext"/>
              <w:jc w:val="center"/>
            </w:pPr>
            <w:r w:rsidRPr="00CA61A6">
              <w:t>En curso</w:t>
            </w:r>
          </w:p>
        </w:tc>
        <w:tc>
          <w:tcPr>
            <w:tcW w:w="1224" w:type="dxa"/>
            <w:shd w:val="clear" w:color="auto" w:fill="auto"/>
            <w:vAlign w:val="center"/>
          </w:tcPr>
          <w:p w:rsidR="00450BDD" w:rsidRPr="00CA61A6" w:rsidRDefault="00450BDD" w:rsidP="00334B28">
            <w:pPr>
              <w:pStyle w:val="Tabletext"/>
              <w:jc w:val="center"/>
            </w:pPr>
            <w:r w:rsidRPr="00CA61A6">
              <w:t>×</w:t>
            </w:r>
          </w:p>
        </w:tc>
        <w:tc>
          <w:tcPr>
            <w:tcW w:w="1261" w:type="dxa"/>
            <w:shd w:val="clear" w:color="auto" w:fill="auto"/>
            <w:vAlign w:val="center"/>
          </w:tcPr>
          <w:p w:rsidR="00450BDD" w:rsidRPr="00CA61A6" w:rsidRDefault="00450BDD" w:rsidP="00334B28">
            <w:pPr>
              <w:pStyle w:val="Tabletext"/>
              <w:jc w:val="center"/>
            </w:pPr>
          </w:p>
        </w:tc>
      </w:tr>
      <w:tr w:rsidR="00450BDD" w:rsidRPr="00CA61A6" w:rsidTr="009638E5">
        <w:trPr>
          <w:cantSplit/>
          <w:jc w:val="center"/>
        </w:trPr>
        <w:tc>
          <w:tcPr>
            <w:tcW w:w="917" w:type="dxa"/>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71_04" w:history="1">
              <w:r w:rsidR="00450BDD" w:rsidRPr="00CA61A6">
                <w:rPr>
                  <w:color w:val="0000FF"/>
                  <w:sz w:val="20"/>
                  <w:u w:val="single"/>
                </w:rPr>
                <w:t>71-04</w:t>
              </w:r>
            </w:hyperlink>
          </w:p>
        </w:tc>
        <w:tc>
          <w:tcPr>
            <w:tcW w:w="4748" w:type="dxa"/>
            <w:shd w:val="clear" w:color="auto" w:fill="auto"/>
            <w:hideMark/>
          </w:tcPr>
          <w:p w:rsidR="00450BDD" w:rsidRPr="00CA61A6" w:rsidRDefault="00343F12" w:rsidP="00343F12">
            <w:pPr>
              <w:pStyle w:val="Tabletext"/>
            </w:pPr>
            <w:r>
              <w:t>E</w:t>
            </w:r>
            <w:r w:rsidR="00450BDD" w:rsidRPr="00CA61A6">
              <w:t>l Director de la TSB s</w:t>
            </w:r>
            <w:r>
              <w:t>eguirá</w:t>
            </w:r>
            <w:r w:rsidR="00450BDD" w:rsidRPr="00CA61A6">
              <w:t xml:space="preserve"> explorando y recomendando mecanismos para alentar la cooperación entre el UIT-T y las </w:t>
            </w:r>
            <w:r w:rsidR="00AD6D25" w:rsidRPr="00CA61A6">
              <w:t>Instituciones Académicas</w:t>
            </w:r>
          </w:p>
        </w:tc>
        <w:tc>
          <w:tcPr>
            <w:tcW w:w="1682" w:type="dxa"/>
            <w:shd w:val="clear" w:color="auto" w:fill="auto"/>
            <w:vAlign w:val="center"/>
            <w:hideMark/>
          </w:tcPr>
          <w:p w:rsidR="00450BDD" w:rsidRPr="00CA61A6" w:rsidRDefault="00450BDD" w:rsidP="00334B28">
            <w:pPr>
              <w:pStyle w:val="Tabletext"/>
              <w:jc w:val="center"/>
            </w:pPr>
            <w:r w:rsidRPr="00CA61A6">
              <w:t>En curso</w:t>
            </w:r>
          </w:p>
        </w:tc>
        <w:tc>
          <w:tcPr>
            <w:tcW w:w="1224" w:type="dxa"/>
            <w:shd w:val="clear" w:color="auto" w:fill="auto"/>
            <w:vAlign w:val="center"/>
          </w:tcPr>
          <w:p w:rsidR="00450BDD" w:rsidRPr="00CA61A6" w:rsidRDefault="00696D73" w:rsidP="00334B28">
            <w:pPr>
              <w:pStyle w:val="Tabletext"/>
              <w:jc w:val="center"/>
            </w:pPr>
            <w:r w:rsidRPr="00CA61A6">
              <w:sym w:font="Wingdings" w:char="F0FC"/>
            </w:r>
          </w:p>
        </w:tc>
        <w:tc>
          <w:tcPr>
            <w:tcW w:w="1261" w:type="dxa"/>
            <w:shd w:val="clear" w:color="auto" w:fill="auto"/>
            <w:vAlign w:val="center"/>
          </w:tcPr>
          <w:p w:rsidR="00450BDD" w:rsidRPr="00CA61A6" w:rsidRDefault="00450BDD" w:rsidP="00334B28">
            <w:pPr>
              <w:pStyle w:val="Tabletext"/>
              <w:jc w:val="center"/>
            </w:pPr>
          </w:p>
        </w:tc>
      </w:tr>
      <w:tr w:rsidR="00450BDD" w:rsidRPr="00CA61A6" w:rsidTr="009638E5">
        <w:trPr>
          <w:cantSplit/>
          <w:jc w:val="center"/>
        </w:trPr>
        <w:tc>
          <w:tcPr>
            <w:tcW w:w="917" w:type="dxa"/>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71_05" w:history="1">
              <w:r w:rsidR="00450BDD" w:rsidRPr="00CA61A6">
                <w:rPr>
                  <w:color w:val="0000FF"/>
                  <w:sz w:val="20"/>
                  <w:u w:val="single"/>
                </w:rPr>
                <w:t>71-05</w:t>
              </w:r>
            </w:hyperlink>
          </w:p>
        </w:tc>
        <w:tc>
          <w:tcPr>
            <w:tcW w:w="4748" w:type="dxa"/>
            <w:shd w:val="clear" w:color="auto" w:fill="auto"/>
          </w:tcPr>
          <w:p w:rsidR="00450BDD" w:rsidRPr="00CA61A6" w:rsidRDefault="00343F12" w:rsidP="00343F12">
            <w:pPr>
              <w:pStyle w:val="Tabletext"/>
            </w:pPr>
            <w:r>
              <w:t>E</w:t>
            </w:r>
            <w:r w:rsidR="00450BDD" w:rsidRPr="00CA61A6">
              <w:t>l Director de la TSB s</w:t>
            </w:r>
            <w:r>
              <w:t>eguirá</w:t>
            </w:r>
            <w:r w:rsidR="00450BDD" w:rsidRPr="00CA61A6">
              <w:t xml:space="preserve"> organizando cada año el evento Caleidoscopio</w:t>
            </w:r>
          </w:p>
        </w:tc>
        <w:tc>
          <w:tcPr>
            <w:tcW w:w="1682" w:type="dxa"/>
            <w:shd w:val="clear" w:color="auto" w:fill="auto"/>
            <w:vAlign w:val="center"/>
          </w:tcPr>
          <w:p w:rsidR="00450BDD" w:rsidRPr="00CA61A6" w:rsidRDefault="00450BDD" w:rsidP="00334B28">
            <w:pPr>
              <w:pStyle w:val="Tabletext"/>
              <w:jc w:val="center"/>
            </w:pPr>
            <w:r w:rsidRPr="00CA61A6">
              <w:t>En curso</w:t>
            </w:r>
          </w:p>
        </w:tc>
        <w:tc>
          <w:tcPr>
            <w:tcW w:w="1224" w:type="dxa"/>
            <w:shd w:val="clear" w:color="auto" w:fill="auto"/>
            <w:vAlign w:val="center"/>
          </w:tcPr>
          <w:p w:rsidR="00450BDD" w:rsidRPr="00CA61A6" w:rsidRDefault="00696D73" w:rsidP="00334B28">
            <w:pPr>
              <w:pStyle w:val="Tabletext"/>
              <w:jc w:val="center"/>
            </w:pPr>
            <w:r w:rsidRPr="00CA61A6">
              <w:sym w:font="Wingdings" w:char="F0FC"/>
            </w:r>
          </w:p>
        </w:tc>
        <w:tc>
          <w:tcPr>
            <w:tcW w:w="1261" w:type="dxa"/>
            <w:shd w:val="clear" w:color="auto" w:fill="auto"/>
            <w:vAlign w:val="center"/>
          </w:tcPr>
          <w:p w:rsidR="00450BDD" w:rsidRPr="00CA61A6" w:rsidRDefault="00450BDD" w:rsidP="00334B28">
            <w:pPr>
              <w:pStyle w:val="Tabletext"/>
              <w:jc w:val="center"/>
            </w:pPr>
          </w:p>
        </w:tc>
      </w:tr>
      <w:tr w:rsidR="00450BDD" w:rsidRPr="00CA61A6" w:rsidTr="009638E5">
        <w:trPr>
          <w:cantSplit/>
          <w:jc w:val="center"/>
        </w:trPr>
        <w:tc>
          <w:tcPr>
            <w:tcW w:w="917" w:type="dxa"/>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71_06" w:history="1">
              <w:r w:rsidR="00450BDD" w:rsidRPr="00CA61A6">
                <w:rPr>
                  <w:color w:val="0000FF"/>
                  <w:sz w:val="20"/>
                  <w:u w:val="single"/>
                </w:rPr>
                <w:t>71-06</w:t>
              </w:r>
            </w:hyperlink>
          </w:p>
        </w:tc>
        <w:tc>
          <w:tcPr>
            <w:tcW w:w="4748" w:type="dxa"/>
            <w:shd w:val="clear" w:color="auto" w:fill="auto"/>
          </w:tcPr>
          <w:p w:rsidR="00450BDD" w:rsidRPr="00CA61A6" w:rsidRDefault="00343F12" w:rsidP="00343F12">
            <w:pPr>
              <w:pStyle w:val="Tabletext"/>
            </w:pPr>
            <w:r>
              <w:t>L</w:t>
            </w:r>
            <w:r w:rsidR="00450BDD" w:rsidRPr="00CA61A6">
              <w:t>a TSB colabor</w:t>
            </w:r>
            <w:r>
              <w:t>ará</w:t>
            </w:r>
            <w:r w:rsidR="00450BDD" w:rsidRPr="00CA61A6">
              <w:t xml:space="preserve"> con ITU TELECOM para fomentar la adhesión de </w:t>
            </w:r>
            <w:r w:rsidR="00AD6D25" w:rsidRPr="00CA61A6">
              <w:t xml:space="preserve">Instituciones Académicas </w:t>
            </w:r>
            <w:r w:rsidR="00450BDD" w:rsidRPr="00CA61A6">
              <w:t>al UIT-T</w:t>
            </w:r>
          </w:p>
        </w:tc>
        <w:tc>
          <w:tcPr>
            <w:tcW w:w="1682" w:type="dxa"/>
            <w:shd w:val="clear" w:color="auto" w:fill="auto"/>
            <w:vAlign w:val="center"/>
          </w:tcPr>
          <w:p w:rsidR="00450BDD" w:rsidRPr="00CA61A6" w:rsidRDefault="00450BDD" w:rsidP="00334B28">
            <w:pPr>
              <w:pStyle w:val="Tabletext"/>
              <w:jc w:val="center"/>
            </w:pPr>
            <w:r w:rsidRPr="00CA61A6">
              <w:t>En curso</w:t>
            </w:r>
          </w:p>
        </w:tc>
        <w:tc>
          <w:tcPr>
            <w:tcW w:w="1224" w:type="dxa"/>
            <w:shd w:val="clear" w:color="auto" w:fill="auto"/>
            <w:vAlign w:val="center"/>
          </w:tcPr>
          <w:p w:rsidR="00450BDD" w:rsidRPr="00CA61A6" w:rsidRDefault="00696D73" w:rsidP="00334B28">
            <w:pPr>
              <w:pStyle w:val="Tabletext"/>
              <w:jc w:val="center"/>
            </w:pPr>
            <w:r w:rsidRPr="00CA61A6">
              <w:sym w:font="Wingdings" w:char="F0FC"/>
            </w:r>
          </w:p>
        </w:tc>
        <w:tc>
          <w:tcPr>
            <w:tcW w:w="1261" w:type="dxa"/>
            <w:shd w:val="clear" w:color="auto" w:fill="auto"/>
            <w:vAlign w:val="center"/>
          </w:tcPr>
          <w:p w:rsidR="00450BDD" w:rsidRPr="00CA61A6" w:rsidRDefault="00450BDD" w:rsidP="00334B28">
            <w:pPr>
              <w:pStyle w:val="Tabletext"/>
              <w:jc w:val="center"/>
            </w:pPr>
          </w:p>
        </w:tc>
      </w:tr>
    </w:tbl>
    <w:p w:rsidR="00450BDD" w:rsidRPr="00CA61A6" w:rsidRDefault="00271D7E" w:rsidP="00F33498">
      <w:pPr>
        <w:pStyle w:val="Headingb"/>
        <w:keepLines/>
      </w:pPr>
      <w:bookmarkStart w:id="655" w:name="Item71_01"/>
      <w:r w:rsidRPr="00CA61A6">
        <w:t xml:space="preserve">Acción </w:t>
      </w:r>
      <w:r w:rsidR="00450BDD" w:rsidRPr="00CA61A6">
        <w:t>71-01: TSB</w:t>
      </w:r>
    </w:p>
    <w:bookmarkEnd w:id="655"/>
    <w:p w:rsidR="00450BDD" w:rsidRPr="00CA61A6" w:rsidRDefault="00450BDD" w:rsidP="007B3478">
      <w:pPr>
        <w:rPr>
          <w:rFonts w:eastAsia="SimSun"/>
          <w:szCs w:val="24"/>
          <w:lang w:eastAsia="ja-JP"/>
        </w:rPr>
      </w:pPr>
      <w:r w:rsidRPr="00CA61A6">
        <w:rPr>
          <w:rFonts w:eastAsia="SimSun"/>
          <w:szCs w:val="24"/>
          <w:lang w:eastAsia="ja-JP"/>
        </w:rPr>
        <w:t>En el Informe de actividades de la UIT presentado a la reunión de 2013 del Consejo (</w:t>
      </w:r>
      <w:hyperlink r:id="rId173" w:history="1">
        <w:r w:rsidRPr="00CA61A6">
          <w:rPr>
            <w:rFonts w:eastAsia="SimSun"/>
            <w:color w:val="0000FF"/>
            <w:u w:val="single"/>
            <w:lang w:eastAsia="ja-JP"/>
          </w:rPr>
          <w:t>C13/35</w:t>
        </w:r>
      </w:hyperlink>
      <w:r w:rsidRPr="00CA61A6">
        <w:rPr>
          <w:rFonts w:eastAsia="SimSun"/>
          <w:szCs w:val="24"/>
          <w:lang w:eastAsia="ja-JP"/>
        </w:rPr>
        <w:t xml:space="preserve">), el Director de la TSB informó de que las universidades habían adquirido la condición de </w:t>
      </w:r>
      <w:r w:rsidR="00452886" w:rsidRPr="00CA61A6">
        <w:rPr>
          <w:rFonts w:eastAsia="SimSun"/>
          <w:szCs w:val="24"/>
          <w:lang w:eastAsia="ja-JP"/>
        </w:rPr>
        <w:t xml:space="preserve">Instituciones Académicas </w:t>
      </w:r>
      <w:r w:rsidRPr="00CA61A6">
        <w:rPr>
          <w:rFonts w:eastAsia="SimSun"/>
          <w:szCs w:val="24"/>
          <w:lang w:eastAsia="ja-JP"/>
        </w:rPr>
        <w:t>del UIT-T. En abril de 2014 había 45 universidades miembros en calidad de institución académica.</w:t>
      </w:r>
    </w:p>
    <w:p w:rsidR="00450BDD" w:rsidRPr="00CA61A6" w:rsidRDefault="00450BDD" w:rsidP="007B3478">
      <w:pPr>
        <w:rPr>
          <w:rFonts w:eastAsia="SimSun"/>
          <w:szCs w:val="24"/>
          <w:lang w:eastAsia="ja-JP"/>
        </w:rPr>
      </w:pPr>
      <w:r w:rsidRPr="00CA61A6">
        <w:rPr>
          <w:rFonts w:eastAsia="SimSun"/>
          <w:szCs w:val="24"/>
          <w:lang w:eastAsia="ja-JP"/>
        </w:rPr>
        <w:t xml:space="preserve">El Grupo de Trabajo del Consejo sobre recursos humanos y financieros (GTC-RHF) está tratando de la participación de las </w:t>
      </w:r>
      <w:r w:rsidR="00260A61" w:rsidRPr="00CA61A6">
        <w:rPr>
          <w:rFonts w:eastAsia="SimSun"/>
          <w:szCs w:val="24"/>
          <w:lang w:eastAsia="ja-JP"/>
        </w:rPr>
        <w:t>Instituciones Académicas</w:t>
      </w:r>
      <w:r w:rsidRPr="00CA61A6">
        <w:rPr>
          <w:rFonts w:eastAsia="SimSun"/>
          <w:szCs w:val="24"/>
          <w:lang w:eastAsia="ja-JP"/>
        </w:rPr>
        <w:t xml:space="preserve">. De acuerdo con el Documento </w:t>
      </w:r>
      <w:hyperlink r:id="rId174" w:history="1">
        <w:r w:rsidRPr="00CA61A6">
          <w:rPr>
            <w:rFonts w:eastAsia="SimSun"/>
            <w:color w:val="0000FF"/>
            <w:szCs w:val="24"/>
            <w:u w:val="single"/>
            <w:lang w:eastAsia="ja-JP"/>
          </w:rPr>
          <w:t>CWG-FHR-3/13</w:t>
        </w:r>
      </w:hyperlink>
      <w:r w:rsidRPr="00CA61A6">
        <w:rPr>
          <w:rFonts w:eastAsia="SimSun"/>
          <w:szCs w:val="24"/>
          <w:lang w:eastAsia="ja-JP"/>
        </w:rPr>
        <w:t>, la propuesta que se está considerando es la de alargar el periodo de prueba de participación de las Instituciones Académicas y revisar las condiciones, según el caso, manteniendo las tasas de participación existentes.</w:t>
      </w:r>
    </w:p>
    <w:p w:rsidR="00450BDD" w:rsidRPr="00CA61A6" w:rsidRDefault="00450BDD" w:rsidP="007B3478">
      <w:pPr>
        <w:rPr>
          <w:rFonts w:eastAsia="SimSun"/>
          <w:szCs w:val="24"/>
        </w:rPr>
      </w:pPr>
      <w:r w:rsidRPr="00CA61A6">
        <w:rPr>
          <w:rFonts w:eastAsia="SimSun"/>
          <w:szCs w:val="24"/>
        </w:rPr>
        <w:t xml:space="preserve">La PP-14 examinó la Resolución 169 para mantener la categoría de participación de las Instituciones Académicas, que se estableció para </w:t>
      </w:r>
      <w:r w:rsidR="00B26079" w:rsidRPr="00CA61A6">
        <w:rPr>
          <w:rFonts w:eastAsia="SimSun"/>
          <w:szCs w:val="24"/>
        </w:rPr>
        <w:t>"</w:t>
      </w:r>
      <w:r w:rsidRPr="00CA61A6">
        <w:rPr>
          <w:rFonts w:eastAsia="SimSun"/>
          <w:szCs w:val="24"/>
        </w:rPr>
        <w:t>un periodo de prueba</w:t>
      </w:r>
      <w:r w:rsidR="00B26079" w:rsidRPr="00CA61A6">
        <w:rPr>
          <w:rFonts w:eastAsia="SimSun"/>
          <w:szCs w:val="24"/>
        </w:rPr>
        <w:t>"</w:t>
      </w:r>
      <w:r w:rsidRPr="00CA61A6">
        <w:rPr>
          <w:rFonts w:eastAsia="SimSun"/>
          <w:szCs w:val="24"/>
        </w:rPr>
        <w:t xml:space="preserve"> en la Resolución 169 (Guadalajara, 2010). Además, la PP-14 revisó la Resolución 169 para permitir a las Instituciones Académicas participar en los tres Sectores abonando una única contribución financiera y añadió que se ha de invitar a las Instituciones Académicas a participar en las diversas conferencias mundiales y regionales, los talleres y actividades de la Unión, a excepción de las Conferencias de Plenipotenciarios, las Conferencias Mundiales de Radiocomunicaciones, las Conferencias Mundiales de las Telecomunicaciones Internacionales y las reuniones del Consejo de la UIT.</w:t>
      </w:r>
    </w:p>
    <w:p w:rsidR="00450BDD" w:rsidRPr="00CA61A6" w:rsidRDefault="00450BDD" w:rsidP="007B3478">
      <w:pPr>
        <w:rPr>
          <w:rFonts w:eastAsia="SimSun"/>
          <w:szCs w:val="24"/>
          <w:highlight w:val="yellow"/>
          <w:lang w:eastAsia="ja-JP"/>
        </w:rPr>
      </w:pPr>
      <w:r w:rsidRPr="00CA61A6">
        <w:rPr>
          <w:rFonts w:eastAsia="SimSun"/>
          <w:szCs w:val="24"/>
          <w:lang w:eastAsia="ja-JP"/>
        </w:rPr>
        <w:t xml:space="preserve">La PP-14 </w:t>
      </w:r>
      <w:r w:rsidR="000768A2">
        <w:rPr>
          <w:rFonts w:eastAsia="SimSun"/>
          <w:szCs w:val="24"/>
          <w:lang w:eastAsia="ja-JP"/>
        </w:rPr>
        <w:t xml:space="preserve">de la UIT </w:t>
      </w:r>
      <w:r w:rsidRPr="00CA61A6">
        <w:rPr>
          <w:rFonts w:eastAsia="SimSun"/>
          <w:szCs w:val="24"/>
          <w:lang w:eastAsia="ja-JP"/>
        </w:rPr>
        <w:t xml:space="preserve">adoptó la nueva Resolución 187, </w:t>
      </w:r>
      <w:r w:rsidR="00557F95">
        <w:rPr>
          <w:rFonts w:eastAsia="SimSun"/>
          <w:szCs w:val="24"/>
          <w:lang w:eastAsia="ja-JP"/>
        </w:rPr>
        <w:t>"</w:t>
      </w:r>
      <w:r w:rsidRPr="00CA61A6">
        <w:rPr>
          <w:rFonts w:eastAsia="SimSun"/>
          <w:szCs w:val="24"/>
          <w:lang w:eastAsia="ja-JP"/>
        </w:rPr>
        <w:t>Estudio de los mecanismos actuales de participación de Miembros de Sector, Asociados e Instituciones Académicas en las actividades de la UIT</w:t>
      </w:r>
      <w:r w:rsidR="00557F95">
        <w:rPr>
          <w:rFonts w:eastAsia="SimSun"/>
          <w:szCs w:val="24"/>
          <w:lang w:eastAsia="ja-JP"/>
        </w:rPr>
        <w:t>"</w:t>
      </w:r>
      <w:r w:rsidRPr="00CA61A6">
        <w:rPr>
          <w:rFonts w:eastAsia="SimSun"/>
          <w:szCs w:val="24"/>
          <w:lang w:eastAsia="ja-JP"/>
        </w:rPr>
        <w:t>. El examen y el estudio correspondientes están en curso, dirigidos por el Secretario General de la UIT y con la participación de todos los Sectores de la UIT.</w:t>
      </w:r>
    </w:p>
    <w:p w:rsidR="00450BDD" w:rsidRPr="00CA61A6" w:rsidRDefault="00992A01" w:rsidP="00992A01">
      <w:pPr>
        <w:pStyle w:val="Headingb"/>
        <w:keepLines/>
      </w:pPr>
      <w:bookmarkStart w:id="656" w:name="Item71_02"/>
      <w:r w:rsidRPr="00CA61A6">
        <w:lastRenderedPageBreak/>
        <w:t xml:space="preserve">Acción </w:t>
      </w:r>
      <w:r w:rsidR="00450BDD" w:rsidRPr="00CA61A6">
        <w:t>71-02: TSB</w:t>
      </w:r>
    </w:p>
    <w:bookmarkEnd w:id="656"/>
    <w:p w:rsidR="00450BDD" w:rsidRPr="00CA61A6" w:rsidRDefault="00450BDD" w:rsidP="00900021">
      <w:pPr>
        <w:rPr>
          <w:rFonts w:eastAsia="SimSun"/>
          <w:szCs w:val="24"/>
          <w:lang w:eastAsia="ja-JP"/>
        </w:rPr>
      </w:pPr>
      <w:r w:rsidRPr="00CA61A6">
        <w:rPr>
          <w:rFonts w:eastAsia="SimSun"/>
          <w:szCs w:val="24"/>
          <w:lang w:eastAsia="ja-JP"/>
        </w:rPr>
        <w:t xml:space="preserve">Véase </w:t>
      </w:r>
      <w:r w:rsidR="00900021">
        <w:rPr>
          <w:rFonts w:eastAsia="SimSun"/>
          <w:szCs w:val="24"/>
          <w:lang w:eastAsia="ja-JP"/>
        </w:rPr>
        <w:t>la</w:t>
      </w:r>
      <w:r w:rsidRPr="00CA61A6">
        <w:rPr>
          <w:rFonts w:eastAsia="SimSun"/>
          <w:szCs w:val="24"/>
          <w:lang w:eastAsia="ja-JP"/>
        </w:rPr>
        <w:t xml:space="preserve"> </w:t>
      </w:r>
      <w:hyperlink w:anchor="Item71_04" w:history="1">
        <w:r w:rsidR="00900021">
          <w:rPr>
            <w:rFonts w:eastAsia="SimSun"/>
            <w:color w:val="0000FF"/>
            <w:szCs w:val="24"/>
            <w:u w:val="single"/>
            <w:lang w:eastAsia="ja-JP"/>
          </w:rPr>
          <w:t>Acción</w:t>
        </w:r>
        <w:r w:rsidR="00766BBB" w:rsidRPr="00CA61A6">
          <w:rPr>
            <w:rFonts w:eastAsia="SimSun"/>
            <w:color w:val="0000FF"/>
            <w:szCs w:val="24"/>
            <w:u w:val="single"/>
            <w:lang w:eastAsia="ja-JP"/>
          </w:rPr>
          <w:t xml:space="preserve"> </w:t>
        </w:r>
        <w:r w:rsidRPr="00CA61A6">
          <w:rPr>
            <w:rFonts w:eastAsia="SimSun"/>
            <w:color w:val="0000FF"/>
            <w:szCs w:val="24"/>
            <w:u w:val="single"/>
            <w:lang w:eastAsia="ja-JP"/>
          </w:rPr>
          <w:t>71-04</w:t>
        </w:r>
      </w:hyperlink>
      <w:r w:rsidRPr="00CA61A6">
        <w:rPr>
          <w:rFonts w:eastAsia="SimSun"/>
          <w:szCs w:val="24"/>
          <w:lang w:eastAsia="ja-JP"/>
        </w:rPr>
        <w:t xml:space="preserve"> siguiente.</w:t>
      </w:r>
    </w:p>
    <w:p w:rsidR="00450BDD" w:rsidRPr="00CA61A6" w:rsidRDefault="00043525" w:rsidP="00D06016">
      <w:pPr>
        <w:pStyle w:val="Headingb"/>
        <w:keepLines/>
      </w:pPr>
      <w:bookmarkStart w:id="657" w:name="Item71_03"/>
      <w:r w:rsidRPr="00CA61A6">
        <w:t xml:space="preserve">Acción </w:t>
      </w:r>
      <w:r w:rsidR="00450BDD" w:rsidRPr="00CA61A6">
        <w:t>71-03: GANT</w:t>
      </w:r>
    </w:p>
    <w:bookmarkEnd w:id="657"/>
    <w:p w:rsidR="00450BDD" w:rsidRPr="00CA61A6" w:rsidRDefault="00450BDD" w:rsidP="007B3478">
      <w:pPr>
        <w:rPr>
          <w:rFonts w:eastAsia="SimSun"/>
          <w:szCs w:val="24"/>
          <w:lang w:eastAsia="ja-JP"/>
        </w:rPr>
      </w:pPr>
      <w:r w:rsidRPr="00CA61A6">
        <w:rPr>
          <w:rFonts w:eastAsia="SimSun"/>
          <w:szCs w:val="24"/>
          <w:lang w:eastAsia="ja-JP"/>
        </w:rPr>
        <w:t>No se presentó ninguna contribución solicitando medidas al respecto.</w:t>
      </w:r>
    </w:p>
    <w:p w:rsidR="00450BDD" w:rsidRPr="00CA61A6" w:rsidRDefault="00F12D0B" w:rsidP="00F4070D">
      <w:pPr>
        <w:pStyle w:val="Headingb"/>
        <w:keepLines/>
      </w:pPr>
      <w:bookmarkStart w:id="658" w:name="Item71_04"/>
      <w:r w:rsidRPr="00CA61A6">
        <w:t xml:space="preserve">Acción </w:t>
      </w:r>
      <w:r w:rsidR="00450BDD" w:rsidRPr="00CA61A6">
        <w:t>71-04: TSB</w:t>
      </w:r>
    </w:p>
    <w:bookmarkEnd w:id="658"/>
    <w:p w:rsidR="00450BDD" w:rsidRPr="00CA61A6" w:rsidRDefault="00450BDD" w:rsidP="00881523">
      <w:pPr>
        <w:rPr>
          <w:rFonts w:eastAsia="SimSun"/>
          <w:szCs w:val="24"/>
          <w:lang w:eastAsia="ja-JP"/>
        </w:rPr>
      </w:pPr>
      <w:r w:rsidRPr="00CA61A6">
        <w:rPr>
          <w:rFonts w:eastAsia="SimSun"/>
          <w:szCs w:val="24"/>
          <w:lang w:eastAsia="ja-JP"/>
        </w:rPr>
        <w:t xml:space="preserve">Se han puesto en marcha varias iniciativas para fomentar la cooperación entre el UIT-T y las Instituciones Académicas, entre las que se cuentan la conferencia insignia </w:t>
      </w:r>
      <w:r w:rsidR="00881523">
        <w:rPr>
          <w:rFonts w:eastAsia="SimSun"/>
          <w:szCs w:val="24"/>
          <w:lang w:eastAsia="ja-JP"/>
        </w:rPr>
        <w:t>"</w:t>
      </w:r>
      <w:r w:rsidRPr="00CA61A6">
        <w:rPr>
          <w:rFonts w:eastAsia="SimSun"/>
          <w:szCs w:val="24"/>
          <w:lang w:eastAsia="ja-JP"/>
        </w:rPr>
        <w:t>Caleidoscopio</w:t>
      </w:r>
      <w:r w:rsidR="00881523">
        <w:rPr>
          <w:rFonts w:eastAsia="SimSun"/>
          <w:szCs w:val="24"/>
          <w:lang w:eastAsia="ja-JP"/>
        </w:rPr>
        <w:t>"</w:t>
      </w:r>
      <w:r w:rsidRPr="00CA61A6">
        <w:rPr>
          <w:rFonts w:eastAsia="SimSun"/>
          <w:szCs w:val="24"/>
          <w:lang w:eastAsia="ja-JP"/>
        </w:rPr>
        <w:t xml:space="preserve"> para Instituciones Académicas; visitas de estudiantes universitarios a la Sede de la UIT y a seminarios sobre las actividades del UIT-T; visitas e intervenciones del personal de la TSB en universidades, incluidas las Instituciones miembros; talleres académicos promocionales en paralelo a los eventos de la UIT y el UIT-T; participación del UIT-T en conferencias y cumbres internacionales destinadas a la comunidad académica y presentación de las iniciativas (académicas) del UIT-T; acuerdos de asociación con </w:t>
      </w:r>
      <w:r w:rsidR="00A6388A" w:rsidRPr="00CA61A6">
        <w:rPr>
          <w:rFonts w:eastAsia="SimSun"/>
          <w:szCs w:val="24"/>
          <w:lang w:eastAsia="ja-JP"/>
        </w:rPr>
        <w:t xml:space="preserve">Instituciones Académicas </w:t>
      </w:r>
      <w:r w:rsidRPr="00CA61A6">
        <w:rPr>
          <w:rFonts w:eastAsia="SimSun"/>
          <w:szCs w:val="24"/>
          <w:lang w:eastAsia="ja-JP"/>
        </w:rPr>
        <w:t xml:space="preserve">para estudios/investigaciones de interés común; invitación de las </w:t>
      </w:r>
      <w:r w:rsidR="00A6388A" w:rsidRPr="00CA61A6">
        <w:rPr>
          <w:rFonts w:eastAsia="SimSun"/>
          <w:szCs w:val="24"/>
          <w:lang w:eastAsia="ja-JP"/>
        </w:rPr>
        <w:t xml:space="preserve">Instituciones Académicas </w:t>
      </w:r>
      <w:r w:rsidRPr="00CA61A6">
        <w:rPr>
          <w:rFonts w:eastAsia="SimSun"/>
          <w:szCs w:val="24"/>
          <w:lang w:eastAsia="ja-JP"/>
        </w:rPr>
        <w:t xml:space="preserve">a participar en los eventos del UIT-T, como asistentes u oradores, y a aportar su contribución a las reuniones de los Grupos Temáticos pertinentes; participación a distancia en los principales simposios, seminarios y talleres del UIT-T, lo que permite a las </w:t>
      </w:r>
      <w:r w:rsidR="00A6388A" w:rsidRPr="00CA61A6">
        <w:rPr>
          <w:rFonts w:eastAsia="SimSun"/>
          <w:szCs w:val="24"/>
          <w:lang w:eastAsia="ja-JP"/>
        </w:rPr>
        <w:t xml:space="preserve">Instituciones Académicas </w:t>
      </w:r>
      <w:r w:rsidRPr="00CA61A6">
        <w:rPr>
          <w:rFonts w:eastAsia="SimSun"/>
          <w:szCs w:val="24"/>
          <w:lang w:eastAsia="ja-JP"/>
        </w:rPr>
        <w:t>participar sin incurrir en los costos financieros y medioambientales del viaje.</w:t>
      </w:r>
    </w:p>
    <w:p w:rsidR="00450BDD" w:rsidRPr="00CA61A6" w:rsidRDefault="00450BDD" w:rsidP="007B3478">
      <w:pPr>
        <w:rPr>
          <w:rFonts w:eastAsia="SimSun"/>
          <w:szCs w:val="24"/>
          <w:lang w:eastAsia="ja-JP"/>
        </w:rPr>
      </w:pPr>
      <w:r w:rsidRPr="00CA61A6">
        <w:rPr>
          <w:rFonts w:eastAsia="SimSun"/>
          <w:szCs w:val="24"/>
          <w:lang w:eastAsia="ja-JP"/>
        </w:rPr>
        <w:t xml:space="preserve">En las conferencias académicas Caleidoscopio de la UIT y en los concursos de la TSB, como el Concurso de aplicaciones TVIP de la UIT, se fomenta la presentación de contribuciones de las Instituciones </w:t>
      </w:r>
      <w:r w:rsidR="00EE0000" w:rsidRPr="00CA61A6">
        <w:rPr>
          <w:rFonts w:eastAsia="SimSun"/>
          <w:szCs w:val="24"/>
          <w:lang w:eastAsia="ja-JP"/>
        </w:rPr>
        <w:t xml:space="preserve">Académicas </w:t>
      </w:r>
      <w:r w:rsidRPr="00CA61A6">
        <w:rPr>
          <w:rFonts w:eastAsia="SimSun"/>
          <w:szCs w:val="24"/>
          <w:lang w:eastAsia="ja-JP"/>
        </w:rPr>
        <w:t>y los institutos de investigación.</w:t>
      </w:r>
    </w:p>
    <w:p w:rsidR="00450BDD" w:rsidRPr="00CA61A6" w:rsidRDefault="00450BDD" w:rsidP="007B3478">
      <w:pPr>
        <w:rPr>
          <w:rFonts w:eastAsia="SimSun"/>
          <w:szCs w:val="24"/>
          <w:lang w:eastAsia="ja-JP"/>
        </w:rPr>
      </w:pPr>
      <w:r w:rsidRPr="00CA61A6">
        <w:rPr>
          <w:rFonts w:eastAsia="SimSun"/>
          <w:szCs w:val="24"/>
          <w:lang w:eastAsia="ja-JP"/>
        </w:rPr>
        <w:t xml:space="preserve">El Director de la TSB sigue explorando y recomendando mecanismos para estrechar la cooperación con el mundo académico. La iniciativa </w:t>
      </w:r>
      <w:r w:rsidRPr="00CA61A6">
        <w:rPr>
          <w:rFonts w:eastAsia="SimSun"/>
          <w:i/>
          <w:iCs/>
          <w:szCs w:val="24"/>
          <w:lang w:eastAsia="ja-JP"/>
        </w:rPr>
        <w:t>Lecture Series</w:t>
      </w:r>
      <w:r w:rsidRPr="00CA61A6">
        <w:rPr>
          <w:rFonts w:eastAsia="SimSun"/>
          <w:szCs w:val="24"/>
          <w:lang w:eastAsia="ja-JP"/>
        </w:rPr>
        <w:t xml:space="preserve"> ofrece a las </w:t>
      </w:r>
      <w:r w:rsidR="00280BE2" w:rsidRPr="00CA61A6">
        <w:rPr>
          <w:rFonts w:eastAsia="SimSun"/>
          <w:szCs w:val="24"/>
          <w:lang w:eastAsia="ja-JP"/>
        </w:rPr>
        <w:t xml:space="preserve">Instituciones Académicas </w:t>
      </w:r>
      <w:r w:rsidRPr="00CA61A6">
        <w:rPr>
          <w:rFonts w:eastAsia="SimSun"/>
          <w:szCs w:val="24"/>
          <w:lang w:eastAsia="ja-JP"/>
        </w:rPr>
        <w:t>la oportunidad de introducir en sus programas docentes conferencias impartidas por personal experto de la UIT. La TSB también insiste en invitar a profesores a impartir conferencias en la UIT sobre temas de interés común o a intervenir como oradores en los eventos.</w:t>
      </w:r>
    </w:p>
    <w:p w:rsidR="00450BDD" w:rsidRPr="00CA61A6" w:rsidRDefault="00450BDD" w:rsidP="00CD60CC">
      <w:pPr>
        <w:rPr>
          <w:rFonts w:eastAsia="SimSun"/>
          <w:szCs w:val="24"/>
          <w:lang w:eastAsia="ja-JP"/>
        </w:rPr>
      </w:pPr>
      <w:r w:rsidRPr="00CA61A6">
        <w:rPr>
          <w:rFonts w:eastAsia="SimSun"/>
          <w:szCs w:val="24"/>
          <w:lang w:eastAsia="ja-JP"/>
        </w:rPr>
        <w:t xml:space="preserve">La TSB también colabora con la ISO y la CEI en la organización de semanas y mesas redondas académicas bajo la égida de la Cooperación Mundial sobre Normas (WSC) y participa en los talleres anuales organizados por la International Cooperation for Education about Standardization (ICES). El último </w:t>
      </w:r>
      <w:r w:rsidRPr="00466343">
        <w:rPr>
          <w:rFonts w:eastAsia="SimSun"/>
          <w:szCs w:val="24"/>
          <w:lang w:eastAsia="ja-JP"/>
        </w:rPr>
        <w:t xml:space="preserve">ICES Workshop </w:t>
      </w:r>
      <w:r w:rsidR="00CD60CC" w:rsidRPr="00466343">
        <w:rPr>
          <w:rFonts w:eastAsia="SimSun"/>
          <w:szCs w:val="24"/>
          <w:lang w:eastAsia="ja-JP"/>
        </w:rPr>
        <w:t>y</w:t>
      </w:r>
      <w:r w:rsidRPr="00466343">
        <w:rPr>
          <w:rFonts w:eastAsia="SimSun"/>
          <w:szCs w:val="24"/>
          <w:lang w:eastAsia="ja-JP"/>
        </w:rPr>
        <w:t xml:space="preserve"> WSC Academic Day</w:t>
      </w:r>
      <w:r w:rsidR="004A0D33">
        <w:rPr>
          <w:rFonts w:eastAsia="SimSun"/>
          <w:szCs w:val="24"/>
          <w:lang w:eastAsia="ja-JP"/>
        </w:rPr>
        <w:t xml:space="preserve"> </w:t>
      </w:r>
      <w:r w:rsidR="004A0D33" w:rsidRPr="00CA61A6">
        <w:rPr>
          <w:lang w:eastAsia="ja-JP"/>
        </w:rPr>
        <w:t>(día académico)</w:t>
      </w:r>
      <w:r w:rsidRPr="00CA61A6">
        <w:rPr>
          <w:rFonts w:eastAsia="SimSun"/>
          <w:szCs w:val="24"/>
          <w:lang w:eastAsia="ja-JP"/>
        </w:rPr>
        <w:t xml:space="preserve"> se celebró en </w:t>
      </w:r>
      <w:r w:rsidRPr="00CA61A6">
        <w:rPr>
          <w:szCs w:val="24"/>
          <w:lang w:eastAsia="ja-JP"/>
        </w:rPr>
        <w:t>Incheon, Corea, del 24 al 26 de agosto de 2015. El próximo</w:t>
      </w:r>
      <w:r w:rsidRPr="00CA61A6">
        <w:rPr>
          <w:lang w:eastAsia="ja-JP"/>
        </w:rPr>
        <w:t xml:space="preserve"> </w:t>
      </w:r>
      <w:r w:rsidRPr="00466343">
        <w:rPr>
          <w:lang w:eastAsia="ja-JP"/>
        </w:rPr>
        <w:t>WSC Academic Day</w:t>
      </w:r>
      <w:r w:rsidRPr="00CA61A6">
        <w:rPr>
          <w:lang w:eastAsia="ja-JP"/>
        </w:rPr>
        <w:t xml:space="preserve"> se celebrará del 10 al 12 de octubre en Frankfurt, Alemania. La UIT está coordinando la organización de la próxima mesa redonda, que se celebrará en paralelo a </w:t>
      </w:r>
      <w:r w:rsidR="004B4AD9">
        <w:rPr>
          <w:szCs w:val="24"/>
          <w:lang w:eastAsia="ja-JP"/>
        </w:rPr>
        <w:t xml:space="preserve">ITU Telecom World 2016 y </w:t>
      </w:r>
      <w:r w:rsidR="003C78E7">
        <w:rPr>
          <w:szCs w:val="24"/>
          <w:lang w:eastAsia="ja-JP"/>
        </w:rPr>
        <w:t xml:space="preserve">el </w:t>
      </w:r>
      <w:r w:rsidRPr="00CA61A6">
        <w:rPr>
          <w:szCs w:val="24"/>
          <w:lang w:eastAsia="ja-JP"/>
        </w:rPr>
        <w:t>Caleidoscopio. La última edición de la mesa redonda WSC tuvo lugar en Seattle, WA, Estados Unidos, los días 22 y 23 de enero de 2015</w:t>
      </w:r>
      <w:r w:rsidRPr="00CA61A6">
        <w:rPr>
          <w:rFonts w:eastAsia="SimSun"/>
          <w:szCs w:val="24"/>
          <w:lang w:eastAsia="ja-JP"/>
        </w:rPr>
        <w:t>.</w:t>
      </w:r>
    </w:p>
    <w:p w:rsidR="00450BDD" w:rsidRPr="00CA61A6" w:rsidRDefault="00450BDD" w:rsidP="007B3478">
      <w:pPr>
        <w:rPr>
          <w:lang w:eastAsia="ja-JP"/>
        </w:rPr>
      </w:pPr>
      <w:r w:rsidRPr="00CA61A6">
        <w:rPr>
          <w:lang w:eastAsia="ja-JP"/>
        </w:rPr>
        <w:t>La Secretaría General de la UIT y la TSB celebraron, en el marco del Caleidoscopio 2015, una consulta sobre la colaboración entre la UIT y las Instituciones Académicas, que brindó la oportunidad de intercambiar opiniones sobre qué puede hacer la UIT para atender las necesidades y expectativas de las Instituciones Académicas.</w:t>
      </w:r>
    </w:p>
    <w:p w:rsidR="00450BDD" w:rsidRPr="00CA61A6" w:rsidRDefault="00450BDD" w:rsidP="007B3478">
      <w:pPr>
        <w:rPr>
          <w:rFonts w:eastAsia="SimSun"/>
          <w:szCs w:val="24"/>
          <w:lang w:eastAsia="ja-JP"/>
        </w:rPr>
      </w:pPr>
      <w:r w:rsidRPr="00CA61A6">
        <w:rPr>
          <w:lang w:eastAsia="ja-JP"/>
        </w:rPr>
        <w:t>La siguiente consulta con las Instituciones Académicas del Secretario General de la UIT se celebrará el 13 de noviembre de 2016 en Bangkok, Tailandia, coincidiendo con ITU Telecom y el Caleidoscopio 2016. El principal objetivo es obtener de las Instituciones Académicas información e ideas para nuevas iniciativas de la UIT, incluida la Gaceta de la UIT; reuniones de las Instituciones Académicas con el Secretario General de la UIT, y un mecanismo de consulta para intensificar la cooperación entre la UIT y las universidades.</w:t>
      </w:r>
    </w:p>
    <w:p w:rsidR="00450BDD" w:rsidRPr="00CA61A6" w:rsidRDefault="0023712C" w:rsidP="006316FF">
      <w:pPr>
        <w:pStyle w:val="Headingb"/>
        <w:keepLines/>
      </w:pPr>
      <w:bookmarkStart w:id="659" w:name="Item71_05"/>
      <w:r w:rsidRPr="00CA61A6">
        <w:lastRenderedPageBreak/>
        <w:t xml:space="preserve">Acción </w:t>
      </w:r>
      <w:r w:rsidR="00450BDD" w:rsidRPr="00CA61A6">
        <w:t>71-05: TSB</w:t>
      </w:r>
    </w:p>
    <w:bookmarkEnd w:id="659"/>
    <w:p w:rsidR="00450BDD" w:rsidRPr="00CA61A6" w:rsidRDefault="00450BDD" w:rsidP="007B3478">
      <w:pPr>
        <w:rPr>
          <w:lang w:eastAsia="ja-JP"/>
        </w:rPr>
      </w:pPr>
      <w:r w:rsidRPr="00CA61A6">
        <w:rPr>
          <w:rFonts w:eastAsia="SimSun"/>
          <w:szCs w:val="24"/>
          <w:lang w:eastAsia="ja-JP"/>
        </w:rPr>
        <w:t xml:space="preserve">El Caleidoscopio es un foro de universidades e instituciones industriales y de investigación en diferentes ámbitos que promueve la compartición de conocimientos y la definición de la evolución de las TIC. El Caleidoscopio 2015, </w:t>
      </w:r>
      <w:r w:rsidR="00B26079" w:rsidRPr="00CA61A6">
        <w:rPr>
          <w:rFonts w:eastAsia="SimSun"/>
          <w:szCs w:val="24"/>
          <w:lang w:eastAsia="ja-JP"/>
        </w:rPr>
        <w:t>"</w:t>
      </w:r>
      <w:r w:rsidRPr="00EA7449">
        <w:rPr>
          <w:lang w:eastAsia="ja-JP"/>
        </w:rPr>
        <w:t>Trust in the Information Society</w:t>
      </w:r>
      <w:r w:rsidR="00B26079" w:rsidRPr="00CA61A6">
        <w:rPr>
          <w:rFonts w:eastAsia="SimSun"/>
          <w:szCs w:val="24"/>
          <w:lang w:eastAsia="ja-JP"/>
        </w:rPr>
        <w:t>"</w:t>
      </w:r>
      <w:r w:rsidRPr="00CA61A6">
        <w:rPr>
          <w:rFonts w:eastAsia="SimSun"/>
          <w:szCs w:val="24"/>
          <w:lang w:eastAsia="ja-JP"/>
        </w:rPr>
        <w:t xml:space="preserve">, fue la séptima conferencia de la serie Caleidoscopio y se celebró en </w:t>
      </w:r>
      <w:r w:rsidRPr="00CA61A6">
        <w:rPr>
          <w:lang w:eastAsia="ja-JP"/>
        </w:rPr>
        <w:t>Barcelona, España, del 9 al 11 de diciembre de 20</w:t>
      </w:r>
      <w:r w:rsidR="0034626F">
        <w:rPr>
          <w:lang w:eastAsia="ja-JP"/>
        </w:rPr>
        <w:t>15. Se concedió un premio de 10 </w:t>
      </w:r>
      <w:r w:rsidRPr="00CA61A6">
        <w:rPr>
          <w:lang w:eastAsia="ja-JP"/>
        </w:rPr>
        <w:t>000 USD a los tres mejores artículos, cuya publicación en el Suplemento de normas de comunicaciones de la revista IEEE Communications Magazine se está considerando. Se celebró en esa conferencia una sesión especial, el Rincón de Julio Verne, en el que se preguntó a visionarios que hicieran previsiones sobre el futuro de los datos, explorando las nuevas fronteras que llegarán a nuestro alcance gracias a los adelantos en la recopilación y análisis de datos.</w:t>
      </w:r>
    </w:p>
    <w:p w:rsidR="00450BDD" w:rsidRPr="00CA61A6" w:rsidRDefault="00450BDD" w:rsidP="007B3478">
      <w:pPr>
        <w:rPr>
          <w:rFonts w:eastAsia="SimSun"/>
          <w:szCs w:val="24"/>
          <w:lang w:eastAsia="ja-JP"/>
        </w:rPr>
      </w:pPr>
      <w:r w:rsidRPr="00CA61A6">
        <w:rPr>
          <w:rFonts w:eastAsia="SimSun"/>
          <w:szCs w:val="24"/>
          <w:lang w:eastAsia="ja-JP"/>
        </w:rPr>
        <w:t>Las Instituciones Académicas de la UIT, cuya aparición data de 2011, han reforzado el Caleidoscopio, que cada vez adquiere más importancia a medida que las Instituciones Académicas reafirman su compromiso con el trabajo de la UIT.</w:t>
      </w:r>
    </w:p>
    <w:p w:rsidR="00450BDD" w:rsidRPr="00CA61A6" w:rsidRDefault="00450BDD" w:rsidP="007B3478">
      <w:pPr>
        <w:rPr>
          <w:rFonts w:eastAsia="SimSun"/>
          <w:szCs w:val="24"/>
          <w:lang w:eastAsia="ja-JP"/>
        </w:rPr>
      </w:pPr>
      <w:r w:rsidRPr="00CA61A6">
        <w:rPr>
          <w:rFonts w:eastAsia="SimSun"/>
          <w:szCs w:val="24"/>
          <w:lang w:eastAsia="ja-JP"/>
        </w:rPr>
        <w:t>El próximo evento Caleidoscopio se celebrará coincidiendo con ITU Telecom World 201</w:t>
      </w:r>
      <w:r w:rsidR="00B17140">
        <w:rPr>
          <w:rFonts w:eastAsia="SimSun"/>
          <w:szCs w:val="24"/>
          <w:lang w:eastAsia="ja-JP"/>
        </w:rPr>
        <w:t xml:space="preserve">6 en Bangkok, Tailandia, del 14 al </w:t>
      </w:r>
      <w:r w:rsidRPr="00CA61A6">
        <w:rPr>
          <w:rFonts w:eastAsia="SimSun"/>
          <w:szCs w:val="24"/>
          <w:lang w:eastAsia="ja-JP"/>
        </w:rPr>
        <w:t xml:space="preserve">16 de noviembre de 2016. En la octava conferencia Caleidoscopio, dedicada a </w:t>
      </w:r>
      <w:r w:rsidR="00B26079" w:rsidRPr="00CA61A6">
        <w:rPr>
          <w:rFonts w:eastAsia="SimSun"/>
          <w:szCs w:val="24"/>
          <w:lang w:eastAsia="ja-JP"/>
        </w:rPr>
        <w:t>"</w:t>
      </w:r>
      <w:r w:rsidRPr="008E6420">
        <w:rPr>
          <w:rFonts w:eastAsia="SimSun"/>
          <w:szCs w:val="24"/>
          <w:lang w:eastAsia="ja-JP"/>
        </w:rPr>
        <w:t>ICTs for a Sustainable World</w:t>
      </w:r>
      <w:r w:rsidR="00B26079" w:rsidRPr="00CA61A6">
        <w:rPr>
          <w:rFonts w:eastAsia="SimSun"/>
          <w:szCs w:val="24"/>
          <w:lang w:eastAsia="ja-JP"/>
        </w:rPr>
        <w:t>"</w:t>
      </w:r>
      <w:r w:rsidRPr="00CA61A6">
        <w:rPr>
          <w:rFonts w:eastAsia="SimSun"/>
          <w:szCs w:val="24"/>
          <w:lang w:eastAsia="ja-JP"/>
        </w:rPr>
        <w:t>, se investigará de qué forma las normas de TIC, los adelantos técnicos, las políticas y la reglamentación contribuirán al logro de los objetivos de desarrollo sostenible (ODS) de las Naciones Unidas.</w:t>
      </w:r>
    </w:p>
    <w:p w:rsidR="00450BDD" w:rsidRPr="00CA61A6" w:rsidRDefault="00B7183A" w:rsidP="0020235E">
      <w:pPr>
        <w:pStyle w:val="Headingb"/>
        <w:keepLines/>
      </w:pPr>
      <w:bookmarkStart w:id="660" w:name="Item71_06"/>
      <w:r w:rsidRPr="00CA61A6">
        <w:t xml:space="preserve">Acción </w:t>
      </w:r>
      <w:r w:rsidR="00450BDD" w:rsidRPr="00CA61A6">
        <w:t>71-06: TSB</w:t>
      </w:r>
    </w:p>
    <w:bookmarkEnd w:id="660"/>
    <w:p w:rsidR="00450BDD" w:rsidRPr="00CA61A6" w:rsidRDefault="00450BDD" w:rsidP="007B3478">
      <w:pPr>
        <w:rPr>
          <w:rFonts w:eastAsia="SimSun"/>
          <w:szCs w:val="24"/>
          <w:lang w:eastAsia="ja-JP"/>
        </w:rPr>
      </w:pPr>
      <w:r w:rsidRPr="00CA61A6">
        <w:rPr>
          <w:rFonts w:eastAsia="SimSun"/>
          <w:szCs w:val="24"/>
          <w:lang w:eastAsia="ja-JP"/>
        </w:rPr>
        <w:t xml:space="preserve">Las Instituciones Académicas recibirán una atención especial en la próxima edición de Telecom World y, en particular, en la mesa redonda </w:t>
      </w:r>
      <w:r w:rsidRPr="00F71E63">
        <w:rPr>
          <w:rFonts w:eastAsia="SimSun"/>
          <w:i/>
          <w:iCs/>
          <w:szCs w:val="24"/>
          <w:lang w:eastAsia="ja-JP"/>
        </w:rPr>
        <w:t>WSC academic Roundtable</w:t>
      </w:r>
      <w:r w:rsidRPr="00CA61A6">
        <w:rPr>
          <w:rFonts w:eastAsia="SimSun"/>
          <w:szCs w:val="24"/>
          <w:lang w:eastAsia="ja-JP"/>
        </w:rPr>
        <w:t xml:space="preserve"> y la conferencia Caleidoscopio, que se celebrarán en paralelo a </w:t>
      </w:r>
      <w:r w:rsidR="00DF03BD" w:rsidRPr="00CA61A6">
        <w:rPr>
          <w:rFonts w:eastAsia="SimSun"/>
          <w:szCs w:val="24"/>
          <w:lang w:eastAsia="ja-JP"/>
        </w:rPr>
        <w:t>Telecom.</w:t>
      </w:r>
    </w:p>
    <w:p w:rsidR="00C03BD6" w:rsidRPr="00CA61A6" w:rsidRDefault="00110CAD" w:rsidP="00C03BD6">
      <w:hyperlink w:anchor="Top" w:history="1">
        <w:r w:rsidR="00C03BD6" w:rsidRPr="00CA61A6">
          <w:rPr>
            <w:rStyle w:val="Hyperlink"/>
          </w:rPr>
          <w:t>» Arriba</w:t>
        </w:r>
      </w:hyperlink>
    </w:p>
    <w:p w:rsidR="00450BDD" w:rsidRPr="00CA61A6" w:rsidRDefault="00123190" w:rsidP="00123190">
      <w:pPr>
        <w:pStyle w:val="Heading1"/>
      </w:pPr>
      <w:bookmarkStart w:id="661" w:name="_40_Resolución_72"/>
      <w:bookmarkStart w:id="662" w:name="_Toc463335791"/>
      <w:bookmarkEnd w:id="661"/>
      <w:r w:rsidRPr="00CA61A6">
        <w:t>40</w:t>
      </w:r>
      <w:r w:rsidRPr="00CA61A6">
        <w:tab/>
        <w:t xml:space="preserve">Resolución </w:t>
      </w:r>
      <w:r w:rsidR="00450BDD" w:rsidRPr="00CA61A6">
        <w:t>72</w:t>
      </w:r>
      <w:r w:rsidRPr="00CA61A6">
        <w:t xml:space="preserve"> – </w:t>
      </w:r>
      <w:r w:rsidR="00450BDD" w:rsidRPr="00CA61A6">
        <w:t>Problemas de medición relativos a la exposición de las personas a los campos electromagnéticos</w:t>
      </w:r>
      <w:bookmarkEnd w:id="662"/>
    </w:p>
    <w:p w:rsidR="00E60088" w:rsidRPr="00CA61A6" w:rsidRDefault="00E60088" w:rsidP="00E60088">
      <w:pPr>
        <w:pStyle w:val="Headingb"/>
        <w:keepLines/>
      </w:pPr>
      <w:r w:rsidRPr="00CA61A6">
        <w:t>Resolución 72</w:t>
      </w:r>
    </w:p>
    <w:p w:rsidR="00450BDD" w:rsidRPr="00CA61A6" w:rsidRDefault="00450BDD" w:rsidP="007B3478">
      <w:pPr>
        <w:pStyle w:val="Call"/>
      </w:pPr>
      <w:r w:rsidRPr="00CA61A6">
        <w:t>resuelve</w:t>
      </w:r>
    </w:p>
    <w:p w:rsidR="00450BDD" w:rsidRPr="00CA61A6" w:rsidRDefault="00450BDD" w:rsidP="007B3478">
      <w:r w:rsidRPr="00CA61A6">
        <w:t>invitar al UIT-T, y especialmente a la Comisión de Estudio 5, a que extienda y prosiga su labor en este ámbito, y preste apoyo al respecto, incluyendo, pero sin limitarse a:</w:t>
      </w:r>
    </w:p>
    <w:p w:rsidR="00450BDD" w:rsidRPr="00CA61A6" w:rsidRDefault="00450BDD" w:rsidP="007B3478">
      <w:pPr>
        <w:pStyle w:val="enumlev1"/>
      </w:pPr>
      <w:r w:rsidRPr="00CA61A6">
        <w:t>i)</w:t>
      </w:r>
      <w:r w:rsidRPr="00CA61A6">
        <w:tab/>
        <w:t>la difusión de información relacionada con este tema, organizando talleres y seminarios destinados a organismos reguladores, operadores y cualesquiera otras partes interesadas de los países en desarrollo;</w:t>
      </w:r>
    </w:p>
    <w:p w:rsidR="00450BDD" w:rsidRPr="00CA61A6" w:rsidRDefault="00450BDD" w:rsidP="007B3478">
      <w:pPr>
        <w:pStyle w:val="enumlev1"/>
      </w:pPr>
      <w:r w:rsidRPr="00CA61A6">
        <w:t>ii)</w:t>
      </w:r>
      <w:r w:rsidRPr="00CA61A6">
        <w:tab/>
        <w:t>la continuación de la cooperación y colaboración con otras organizaciones que se ocupan de este tema, y el máximo aprovechamiento de su labor en particular en lo que respecta a la prestación de asistencia a países en desarrollo a elaborar normas y controlar su cumplimiento, sobre todo en lo que respecta a los terminales de telecomunicaciones;</w:t>
      </w:r>
    </w:p>
    <w:p w:rsidR="00450BDD" w:rsidRPr="00CA61A6" w:rsidRDefault="00450BDD" w:rsidP="007B3478">
      <w:pPr>
        <w:pStyle w:val="enumlev1"/>
      </w:pPr>
      <w:r w:rsidRPr="00CA61A6">
        <w:t>iii)</w:t>
      </w:r>
      <w:r w:rsidRPr="00CA61A6">
        <w:tab/>
        <w:t>la cooperación en estas cuestiones con las Comisiones de Estudio 1 y 16 del UIT-R y con la Comisión de Estudio 1 del Sector de Desarrollo de las Telecomunicaciones de la UIT (UIT</w:t>
      </w:r>
      <w:r w:rsidRPr="00CA61A6">
        <w:noBreakHyphen/>
        <w:t>D) en el marco de los trabajos de la Cuestión 23/1;</w:t>
      </w:r>
    </w:p>
    <w:p w:rsidR="00450BDD" w:rsidRPr="00CA61A6" w:rsidRDefault="00450BDD" w:rsidP="007B3478">
      <w:pPr>
        <w:pStyle w:val="enumlev1"/>
      </w:pPr>
      <w:r w:rsidRPr="00CA61A6">
        <w:t>iv)</w:t>
      </w:r>
      <w:r w:rsidRPr="00CA61A6">
        <w:tab/>
        <w:t>el fortalecimiento de la coordinación con la OMS de manera que toda nota descriptiva relativa a la exposición de las personas a los campos electromagnéticos se distribuya a los Estados Miembros en cuanto se publique,</w:t>
      </w:r>
    </w:p>
    <w:p w:rsidR="00450BDD" w:rsidRPr="00CA61A6" w:rsidRDefault="00450BDD" w:rsidP="007B3478">
      <w:pPr>
        <w:pStyle w:val="Call"/>
      </w:pPr>
      <w:r w:rsidRPr="00CA61A6">
        <w:lastRenderedPageBreak/>
        <w:t>encarga al Director de la Oficina de Normalización de las Telecomunicaciones, en estrecha colaboración con los Directores de las otras dos Oficinas y según los recursos financieros disponibles</w:t>
      </w:r>
    </w:p>
    <w:p w:rsidR="00450BDD" w:rsidRPr="00CA61A6" w:rsidRDefault="00450BDD" w:rsidP="007B3478">
      <w:r w:rsidRPr="00CA61A6">
        <w:t>1</w:t>
      </w:r>
      <w:r w:rsidRPr="00CA61A6">
        <w:tab/>
        <w:t>que ayude a preparar informes sobre las necesidades de los países en desarrollo en lo que respecta a la evaluación de la exposición de las personas a los EMF y presente sin dilación los informes a la Comisión de Estudio 5 del UIT-T para que los examine y adopte las medidas oportunas con arreglo a su mandato;</w:t>
      </w:r>
    </w:p>
    <w:p w:rsidR="00450BDD" w:rsidRPr="00CA61A6" w:rsidRDefault="00450BDD" w:rsidP="007B3478">
      <w:r w:rsidRPr="00CA61A6">
        <w:t>2</w:t>
      </w:r>
      <w:r w:rsidRPr="00CA61A6">
        <w:tab/>
        <w:t>que organice talleres en los países en desarrollo con presentaciones y cursos de formación sobre la utilización de equipos utilizados para evaluar la exposición de las personas a la energía de RF;</w:t>
      </w:r>
    </w:p>
    <w:p w:rsidR="00450BDD" w:rsidRPr="00CA61A6" w:rsidRDefault="00450BDD" w:rsidP="007B3478">
      <w:r w:rsidRPr="00CA61A6">
        <w:t>3</w:t>
      </w:r>
      <w:r w:rsidRPr="00CA61A6">
        <w:tab/>
        <w:t>que ayude a los países en desarrollo a establecer centros regionales equipados de bancos de pruebas para el control de la conformidad de los equipos terminales de telecomunicaciones y la exposición de las personas a las ondas electromagnéticas utilizando, entre otras, las modalidades enumeradas en las Resoluciones 44 (Rev. Dubái) y 76 (Rev. Dubái) de la presente Asamblea en el contexto de la creación de centros de prueba regionales y la Resolución 170 (Guadalajara, 2010) de la Conferencia de Plenipotenciarios,</w:t>
      </w:r>
    </w:p>
    <w:p w:rsidR="00450BDD" w:rsidRPr="00CA61A6" w:rsidRDefault="00450BDD" w:rsidP="007B3478">
      <w:pPr>
        <w:pStyle w:val="Call"/>
      </w:pPr>
      <w:r w:rsidRPr="00CA61A6">
        <w:t>invita a los Estados Miembros y Miembros de Sector</w:t>
      </w:r>
    </w:p>
    <w:p w:rsidR="00450BDD" w:rsidRPr="00CA61A6" w:rsidRDefault="00450BDD" w:rsidP="007B3478">
      <w:r w:rsidRPr="00CA61A6">
        <w:t>a contribuir activamente a los trabajos de la Comisión de Estudio 5 aportando información oportuna y de interés para ayudar a los países en desarrollo a resolver los problemas relacionados con la medición de la exposición a la RF y de los campos electromagnéticos,</w:t>
      </w:r>
    </w:p>
    <w:p w:rsidR="00450BDD" w:rsidRPr="00CA61A6" w:rsidRDefault="00450BDD" w:rsidP="007B3478">
      <w:pPr>
        <w:pStyle w:val="Call"/>
      </w:pPr>
      <w:r w:rsidRPr="00CA61A6">
        <w:t>invita además a los Estados Miembros</w:t>
      </w:r>
    </w:p>
    <w:p w:rsidR="00450BDD" w:rsidRPr="00CA61A6" w:rsidRDefault="00450BDD" w:rsidP="00995CEC">
      <w:pPr>
        <w:spacing w:after="120"/>
      </w:pPr>
      <w:r w:rsidRPr="00CA61A6">
        <w:t>a adoptar las medidas adecuadas para garantizar el cumplimiento de las recomendaciones internacionales pertinentes destinadas a proteger la salud contra los efectos nocivos de los EMF.</w:t>
      </w:r>
    </w:p>
    <w:tbl>
      <w:tblPr>
        <w:tblW w:w="9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4891"/>
        <w:gridCol w:w="1594"/>
        <w:gridCol w:w="1170"/>
        <w:gridCol w:w="1261"/>
      </w:tblGrid>
      <w:tr w:rsidR="00450BDD" w:rsidRPr="00CA61A6" w:rsidTr="00722A5F">
        <w:trPr>
          <w:cantSplit/>
          <w:tblHeader/>
          <w:jc w:val="center"/>
        </w:trPr>
        <w:tc>
          <w:tcPr>
            <w:tcW w:w="916" w:type="dxa"/>
            <w:tcBorders>
              <w:bottom w:val="double" w:sz="4" w:space="0" w:color="auto"/>
            </w:tcBorders>
            <w:shd w:val="clear" w:color="auto" w:fill="auto"/>
            <w:vAlign w:val="center"/>
          </w:tcPr>
          <w:p w:rsidR="00450BDD" w:rsidRPr="00CA61A6" w:rsidRDefault="00450BDD" w:rsidP="00A64FBE">
            <w:pPr>
              <w:pStyle w:val="Tablehead"/>
            </w:pPr>
            <w:r w:rsidRPr="00CA61A6">
              <w:t>Número</w:t>
            </w:r>
          </w:p>
        </w:tc>
        <w:tc>
          <w:tcPr>
            <w:tcW w:w="4891" w:type="dxa"/>
            <w:tcBorders>
              <w:bottom w:val="double" w:sz="4" w:space="0" w:color="auto"/>
            </w:tcBorders>
            <w:shd w:val="clear" w:color="auto" w:fill="auto"/>
            <w:vAlign w:val="center"/>
            <w:hideMark/>
          </w:tcPr>
          <w:p w:rsidR="00450BDD" w:rsidRPr="00CA61A6" w:rsidRDefault="00450BDD" w:rsidP="00A64FBE">
            <w:pPr>
              <w:pStyle w:val="Tablehead"/>
            </w:pPr>
            <w:r w:rsidRPr="00CA61A6">
              <w:t>Acción</w:t>
            </w:r>
          </w:p>
        </w:tc>
        <w:tc>
          <w:tcPr>
            <w:tcW w:w="1594" w:type="dxa"/>
            <w:tcBorders>
              <w:bottom w:val="double" w:sz="4" w:space="0" w:color="auto"/>
            </w:tcBorders>
            <w:shd w:val="clear" w:color="auto" w:fill="auto"/>
            <w:vAlign w:val="center"/>
            <w:hideMark/>
          </w:tcPr>
          <w:p w:rsidR="00450BDD" w:rsidRPr="00CA61A6" w:rsidRDefault="00450BDD" w:rsidP="00A64FBE">
            <w:pPr>
              <w:pStyle w:val="Tablehead"/>
            </w:pPr>
            <w:r w:rsidRPr="00CA61A6">
              <w:t>Fecha objetivo</w:t>
            </w:r>
          </w:p>
        </w:tc>
        <w:tc>
          <w:tcPr>
            <w:tcW w:w="1170" w:type="dxa"/>
            <w:tcBorders>
              <w:bottom w:val="double" w:sz="4" w:space="0" w:color="auto"/>
            </w:tcBorders>
            <w:shd w:val="clear" w:color="auto" w:fill="auto"/>
          </w:tcPr>
          <w:p w:rsidR="00450BDD" w:rsidRPr="00CA61A6" w:rsidRDefault="00450BDD" w:rsidP="00A64FBE">
            <w:pPr>
              <w:pStyle w:val="Tablehead"/>
            </w:pPr>
            <w:r w:rsidRPr="00CA61A6">
              <w:t>Objetivos periódicos cumplidos</w:t>
            </w:r>
          </w:p>
        </w:tc>
        <w:tc>
          <w:tcPr>
            <w:tcW w:w="1261" w:type="dxa"/>
            <w:tcBorders>
              <w:bottom w:val="double" w:sz="4" w:space="0" w:color="auto"/>
            </w:tcBorders>
            <w:shd w:val="clear" w:color="auto" w:fill="auto"/>
            <w:vAlign w:val="center"/>
          </w:tcPr>
          <w:p w:rsidR="00450BDD" w:rsidRPr="00CA61A6" w:rsidRDefault="00450BDD" w:rsidP="00A64FBE">
            <w:pPr>
              <w:pStyle w:val="Tablehead"/>
            </w:pPr>
            <w:r w:rsidRPr="00CA61A6">
              <w:t>Completada</w:t>
            </w:r>
          </w:p>
        </w:tc>
      </w:tr>
      <w:tr w:rsidR="00450BDD" w:rsidRPr="00CA61A6" w:rsidTr="00722A5F">
        <w:trPr>
          <w:cantSplit/>
          <w:jc w:val="center"/>
        </w:trPr>
        <w:tc>
          <w:tcPr>
            <w:tcW w:w="916" w:type="dxa"/>
            <w:tcBorders>
              <w:top w:val="double" w:sz="4" w:space="0" w:color="auto"/>
            </w:tcBorders>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72_01" w:history="1">
              <w:r w:rsidR="00450BDD" w:rsidRPr="00CA61A6">
                <w:rPr>
                  <w:color w:val="0000FF"/>
                  <w:sz w:val="20"/>
                  <w:u w:val="single"/>
                </w:rPr>
                <w:t>72-01</w:t>
              </w:r>
            </w:hyperlink>
          </w:p>
        </w:tc>
        <w:tc>
          <w:tcPr>
            <w:tcW w:w="4891" w:type="dxa"/>
            <w:tcBorders>
              <w:top w:val="double" w:sz="4" w:space="0" w:color="auto"/>
            </w:tcBorders>
            <w:shd w:val="clear" w:color="auto" w:fill="auto"/>
            <w:hideMark/>
          </w:tcPr>
          <w:p w:rsidR="00450BDD" w:rsidRPr="00CA61A6" w:rsidRDefault="00343F12" w:rsidP="00343F12">
            <w:pPr>
              <w:pStyle w:val="Tabletext"/>
            </w:pPr>
            <w:r>
              <w:t>L</w:t>
            </w:r>
            <w:r w:rsidR="00450BDD" w:rsidRPr="00CA61A6">
              <w:t>a TSB/CE</w:t>
            </w:r>
            <w:r w:rsidR="008B5B32" w:rsidRPr="00CA61A6">
              <w:t> </w:t>
            </w:r>
            <w:r w:rsidR="00450BDD" w:rsidRPr="00CA61A6">
              <w:t>5 organi</w:t>
            </w:r>
            <w:r>
              <w:t>zará</w:t>
            </w:r>
            <w:r w:rsidR="00450BDD" w:rsidRPr="00CA61A6">
              <w:t xml:space="preserve"> talleres y seminarios sobre EMF destinados a los reguladores, operadores, etc. de los países en desarrollo</w:t>
            </w:r>
          </w:p>
        </w:tc>
        <w:tc>
          <w:tcPr>
            <w:tcW w:w="1594" w:type="dxa"/>
            <w:tcBorders>
              <w:top w:val="double" w:sz="4" w:space="0" w:color="auto"/>
            </w:tcBorders>
            <w:shd w:val="clear" w:color="auto" w:fill="auto"/>
            <w:vAlign w:val="center"/>
          </w:tcPr>
          <w:p w:rsidR="00450BDD" w:rsidRPr="00CA61A6" w:rsidRDefault="00450BDD" w:rsidP="00A64FBE">
            <w:pPr>
              <w:pStyle w:val="Tabletext"/>
              <w:jc w:val="center"/>
            </w:pPr>
            <w:r w:rsidRPr="00CA61A6">
              <w:t>En curso</w:t>
            </w:r>
          </w:p>
        </w:tc>
        <w:tc>
          <w:tcPr>
            <w:tcW w:w="1170" w:type="dxa"/>
            <w:tcBorders>
              <w:top w:val="double" w:sz="4" w:space="0" w:color="auto"/>
            </w:tcBorders>
            <w:shd w:val="clear" w:color="auto" w:fill="auto"/>
            <w:vAlign w:val="center"/>
          </w:tcPr>
          <w:p w:rsidR="00450BDD" w:rsidRPr="00CA61A6" w:rsidRDefault="00CC2ABB" w:rsidP="00A64FBE">
            <w:pPr>
              <w:pStyle w:val="Tabletext"/>
              <w:jc w:val="center"/>
            </w:pPr>
            <w:r w:rsidRPr="00CA61A6">
              <w:sym w:font="Wingdings" w:char="F0FC"/>
            </w:r>
          </w:p>
        </w:tc>
        <w:tc>
          <w:tcPr>
            <w:tcW w:w="1261" w:type="dxa"/>
            <w:tcBorders>
              <w:top w:val="double" w:sz="4" w:space="0" w:color="auto"/>
            </w:tcBorders>
            <w:shd w:val="clear" w:color="auto" w:fill="auto"/>
            <w:vAlign w:val="center"/>
          </w:tcPr>
          <w:p w:rsidR="00450BDD" w:rsidRPr="00CA61A6" w:rsidRDefault="00450BDD" w:rsidP="00A64FBE">
            <w:pPr>
              <w:pStyle w:val="Tabletext"/>
              <w:jc w:val="center"/>
            </w:pPr>
          </w:p>
        </w:tc>
      </w:tr>
      <w:tr w:rsidR="00450BDD" w:rsidRPr="00CA61A6" w:rsidTr="00722A5F">
        <w:trPr>
          <w:cantSplit/>
          <w:jc w:val="center"/>
        </w:trPr>
        <w:tc>
          <w:tcPr>
            <w:tcW w:w="916" w:type="dxa"/>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72_02" w:history="1">
              <w:r w:rsidR="00450BDD" w:rsidRPr="00CA61A6">
                <w:rPr>
                  <w:color w:val="0000FF"/>
                  <w:sz w:val="20"/>
                  <w:u w:val="single"/>
                </w:rPr>
                <w:t>72-02</w:t>
              </w:r>
            </w:hyperlink>
          </w:p>
        </w:tc>
        <w:tc>
          <w:tcPr>
            <w:tcW w:w="4891" w:type="dxa"/>
            <w:shd w:val="clear" w:color="auto" w:fill="auto"/>
            <w:hideMark/>
          </w:tcPr>
          <w:p w:rsidR="00450BDD" w:rsidRPr="00CA61A6" w:rsidRDefault="00343F12" w:rsidP="00343F12">
            <w:pPr>
              <w:pStyle w:val="Tabletext"/>
            </w:pPr>
            <w:r>
              <w:t>L</w:t>
            </w:r>
            <w:r w:rsidR="00450BDD" w:rsidRPr="00CA61A6">
              <w:t>a CE</w:t>
            </w:r>
            <w:r w:rsidR="008B5B32" w:rsidRPr="00CA61A6">
              <w:t> </w:t>
            </w:r>
            <w:r w:rsidR="00450BDD" w:rsidRPr="00CA61A6">
              <w:t>5 se coordin</w:t>
            </w:r>
            <w:r>
              <w:t>ará</w:t>
            </w:r>
            <w:r w:rsidR="00450BDD" w:rsidRPr="00CA61A6">
              <w:t xml:space="preserve"> con la OMS a fin de que toda nota descriptiva relativa a la exposición de las personas a los campos electromagnéticos se distribuya a los Estados Miembros en cuanto se publique</w:t>
            </w:r>
          </w:p>
        </w:tc>
        <w:tc>
          <w:tcPr>
            <w:tcW w:w="1594" w:type="dxa"/>
            <w:shd w:val="clear" w:color="auto" w:fill="auto"/>
            <w:vAlign w:val="center"/>
          </w:tcPr>
          <w:p w:rsidR="00450BDD" w:rsidRPr="00CA61A6" w:rsidRDefault="00450BDD" w:rsidP="00A64FBE">
            <w:pPr>
              <w:pStyle w:val="Tabletext"/>
              <w:jc w:val="center"/>
            </w:pPr>
            <w:r w:rsidRPr="00CA61A6">
              <w:t>En curso</w:t>
            </w:r>
          </w:p>
        </w:tc>
        <w:tc>
          <w:tcPr>
            <w:tcW w:w="1170" w:type="dxa"/>
            <w:shd w:val="clear" w:color="auto" w:fill="auto"/>
            <w:vAlign w:val="center"/>
          </w:tcPr>
          <w:p w:rsidR="00450BDD" w:rsidRPr="00CA61A6" w:rsidRDefault="00CC2ABB" w:rsidP="00A64FBE">
            <w:pPr>
              <w:pStyle w:val="Tabletext"/>
              <w:jc w:val="center"/>
            </w:pPr>
            <w:r w:rsidRPr="00CA61A6">
              <w:sym w:font="Wingdings" w:char="F0FC"/>
            </w:r>
          </w:p>
        </w:tc>
        <w:tc>
          <w:tcPr>
            <w:tcW w:w="1261" w:type="dxa"/>
            <w:shd w:val="clear" w:color="auto" w:fill="auto"/>
            <w:vAlign w:val="center"/>
          </w:tcPr>
          <w:p w:rsidR="00450BDD" w:rsidRPr="00CA61A6" w:rsidRDefault="00450BDD" w:rsidP="00A64FBE">
            <w:pPr>
              <w:pStyle w:val="Tabletext"/>
              <w:jc w:val="center"/>
            </w:pPr>
          </w:p>
        </w:tc>
      </w:tr>
      <w:tr w:rsidR="00450BDD" w:rsidRPr="00CA61A6" w:rsidTr="00722A5F">
        <w:trPr>
          <w:cantSplit/>
          <w:jc w:val="center"/>
        </w:trPr>
        <w:tc>
          <w:tcPr>
            <w:tcW w:w="916" w:type="dxa"/>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72_03" w:history="1">
              <w:r w:rsidR="00450BDD" w:rsidRPr="00CA61A6">
                <w:rPr>
                  <w:color w:val="0000FF"/>
                  <w:sz w:val="20"/>
                  <w:u w:val="single"/>
                </w:rPr>
                <w:t>72-03</w:t>
              </w:r>
            </w:hyperlink>
          </w:p>
        </w:tc>
        <w:tc>
          <w:tcPr>
            <w:tcW w:w="4891" w:type="dxa"/>
            <w:shd w:val="clear" w:color="auto" w:fill="auto"/>
            <w:hideMark/>
          </w:tcPr>
          <w:p w:rsidR="00450BDD" w:rsidRPr="00CA61A6" w:rsidRDefault="00343F12" w:rsidP="00343F12">
            <w:pPr>
              <w:pStyle w:val="Tabletext"/>
            </w:pPr>
            <w:r>
              <w:t>E</w:t>
            </w:r>
            <w:r w:rsidR="00450BDD" w:rsidRPr="00CA61A6">
              <w:t>l Director, en colaboración con los demás Directores, ayud</w:t>
            </w:r>
            <w:r>
              <w:t>ará</w:t>
            </w:r>
            <w:r w:rsidR="00450BDD" w:rsidRPr="00CA61A6">
              <w:t xml:space="preserve"> a preparar informes sobre las necesidades de los países en desarrollo para su consideración por la CE</w:t>
            </w:r>
            <w:r w:rsidR="008B5B32" w:rsidRPr="00CA61A6">
              <w:t> </w:t>
            </w:r>
            <w:r w:rsidR="00450BDD" w:rsidRPr="00CA61A6">
              <w:t>5 del UIT-T</w:t>
            </w:r>
          </w:p>
        </w:tc>
        <w:tc>
          <w:tcPr>
            <w:tcW w:w="1594" w:type="dxa"/>
            <w:shd w:val="clear" w:color="auto" w:fill="auto"/>
            <w:vAlign w:val="center"/>
          </w:tcPr>
          <w:p w:rsidR="00450BDD" w:rsidRPr="00CA61A6" w:rsidRDefault="00450BDD" w:rsidP="00A64FBE">
            <w:pPr>
              <w:pStyle w:val="Tabletext"/>
              <w:jc w:val="center"/>
            </w:pPr>
            <w:r w:rsidRPr="00CA61A6">
              <w:t>En curso</w:t>
            </w:r>
          </w:p>
        </w:tc>
        <w:tc>
          <w:tcPr>
            <w:tcW w:w="1170" w:type="dxa"/>
            <w:shd w:val="clear" w:color="auto" w:fill="auto"/>
            <w:vAlign w:val="center"/>
          </w:tcPr>
          <w:p w:rsidR="00450BDD" w:rsidRPr="00CA61A6" w:rsidRDefault="00CC2ABB" w:rsidP="00A64FBE">
            <w:pPr>
              <w:pStyle w:val="Tabletext"/>
              <w:jc w:val="center"/>
            </w:pPr>
            <w:r w:rsidRPr="00CA61A6">
              <w:sym w:font="Wingdings" w:char="F0FC"/>
            </w:r>
          </w:p>
        </w:tc>
        <w:tc>
          <w:tcPr>
            <w:tcW w:w="1261" w:type="dxa"/>
            <w:shd w:val="clear" w:color="auto" w:fill="auto"/>
            <w:vAlign w:val="center"/>
          </w:tcPr>
          <w:p w:rsidR="00450BDD" w:rsidRPr="00CA61A6" w:rsidRDefault="00450BDD" w:rsidP="00A64FBE">
            <w:pPr>
              <w:pStyle w:val="Tabletext"/>
              <w:jc w:val="center"/>
            </w:pPr>
          </w:p>
        </w:tc>
      </w:tr>
      <w:tr w:rsidR="00450BDD" w:rsidRPr="00CA61A6" w:rsidTr="00722A5F">
        <w:trPr>
          <w:cantSplit/>
          <w:jc w:val="center"/>
        </w:trPr>
        <w:tc>
          <w:tcPr>
            <w:tcW w:w="916" w:type="dxa"/>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72_04" w:history="1">
              <w:r w:rsidR="00450BDD" w:rsidRPr="00CA61A6">
                <w:rPr>
                  <w:color w:val="0000FF"/>
                  <w:sz w:val="20"/>
                  <w:u w:val="single"/>
                </w:rPr>
                <w:t>72-04</w:t>
              </w:r>
            </w:hyperlink>
          </w:p>
        </w:tc>
        <w:tc>
          <w:tcPr>
            <w:tcW w:w="4891" w:type="dxa"/>
            <w:shd w:val="clear" w:color="auto" w:fill="auto"/>
          </w:tcPr>
          <w:p w:rsidR="00450BDD" w:rsidRPr="00CA61A6" w:rsidRDefault="00343F12" w:rsidP="00343F12">
            <w:pPr>
              <w:pStyle w:val="Tabletext"/>
            </w:pPr>
            <w:r>
              <w:t>E</w:t>
            </w:r>
            <w:r w:rsidR="00450BDD" w:rsidRPr="00CA61A6">
              <w:t>l Director, en colaboración con los demás Directores, ayud</w:t>
            </w:r>
            <w:r>
              <w:t>ará</w:t>
            </w:r>
            <w:r w:rsidR="00450BDD" w:rsidRPr="00CA61A6">
              <w:t xml:space="preserve"> a los países en desarrollo a establecer centros de pruebas regionales (véase también la </w:t>
            </w:r>
            <w:hyperlink w:anchor="_44_Resolución_76" w:history="1">
              <w:r w:rsidR="00450BDD" w:rsidRPr="00CA61A6">
                <w:rPr>
                  <w:color w:val="0000FF"/>
                  <w:u w:val="single"/>
                </w:rPr>
                <w:t>Resolución 76</w:t>
              </w:r>
            </w:hyperlink>
            <w:r w:rsidR="00450BDD" w:rsidRPr="00CA61A6">
              <w:t>)</w:t>
            </w:r>
          </w:p>
        </w:tc>
        <w:tc>
          <w:tcPr>
            <w:tcW w:w="1594" w:type="dxa"/>
            <w:shd w:val="clear" w:color="auto" w:fill="auto"/>
            <w:vAlign w:val="center"/>
          </w:tcPr>
          <w:p w:rsidR="00450BDD" w:rsidRPr="00CA61A6" w:rsidRDefault="00450BDD" w:rsidP="00A64FBE">
            <w:pPr>
              <w:pStyle w:val="Tabletext"/>
              <w:jc w:val="center"/>
            </w:pPr>
            <w:r w:rsidRPr="00CA61A6">
              <w:t>En curso</w:t>
            </w:r>
          </w:p>
        </w:tc>
        <w:tc>
          <w:tcPr>
            <w:tcW w:w="1170" w:type="dxa"/>
            <w:shd w:val="clear" w:color="auto" w:fill="auto"/>
            <w:vAlign w:val="center"/>
          </w:tcPr>
          <w:p w:rsidR="00450BDD" w:rsidRPr="00CA61A6" w:rsidRDefault="00CC2ABB" w:rsidP="00A64FBE">
            <w:pPr>
              <w:pStyle w:val="Tabletext"/>
              <w:jc w:val="center"/>
            </w:pPr>
            <w:r w:rsidRPr="00CA61A6">
              <w:sym w:font="Wingdings" w:char="F0FC"/>
            </w:r>
          </w:p>
        </w:tc>
        <w:tc>
          <w:tcPr>
            <w:tcW w:w="1261" w:type="dxa"/>
            <w:shd w:val="clear" w:color="auto" w:fill="auto"/>
            <w:vAlign w:val="center"/>
          </w:tcPr>
          <w:p w:rsidR="00450BDD" w:rsidRPr="00CA61A6" w:rsidRDefault="00450BDD" w:rsidP="00A64FBE">
            <w:pPr>
              <w:pStyle w:val="Tabletext"/>
              <w:jc w:val="center"/>
            </w:pPr>
          </w:p>
        </w:tc>
      </w:tr>
      <w:tr w:rsidR="00450BDD" w:rsidRPr="00CA61A6" w:rsidTr="00722A5F">
        <w:trPr>
          <w:cantSplit/>
          <w:jc w:val="center"/>
        </w:trPr>
        <w:tc>
          <w:tcPr>
            <w:tcW w:w="916" w:type="dxa"/>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72_05" w:history="1">
              <w:r w:rsidR="00450BDD" w:rsidRPr="00CA61A6">
                <w:rPr>
                  <w:color w:val="0000FF"/>
                  <w:sz w:val="20"/>
                  <w:u w:val="single"/>
                </w:rPr>
                <w:t>72-05</w:t>
              </w:r>
            </w:hyperlink>
          </w:p>
        </w:tc>
        <w:tc>
          <w:tcPr>
            <w:tcW w:w="4891" w:type="dxa"/>
            <w:shd w:val="clear" w:color="auto" w:fill="auto"/>
          </w:tcPr>
          <w:p w:rsidR="00450BDD" w:rsidRPr="00CA61A6" w:rsidRDefault="00343F12" w:rsidP="00343F12">
            <w:pPr>
              <w:pStyle w:val="Tabletext"/>
            </w:pPr>
            <w:r>
              <w:t>L</w:t>
            </w:r>
            <w:r w:rsidR="00450BDD" w:rsidRPr="00CA61A6">
              <w:t>a TSB/CE</w:t>
            </w:r>
            <w:r w:rsidR="008B5B32" w:rsidRPr="00CA61A6">
              <w:t> </w:t>
            </w:r>
            <w:r w:rsidR="00450BDD" w:rsidRPr="00CA61A6">
              <w:t>5 s</w:t>
            </w:r>
            <w:r>
              <w:t>eguirá</w:t>
            </w:r>
            <w:r w:rsidR="00450BDD" w:rsidRPr="00CA61A6">
              <w:t xml:space="preserve"> divulgando información sobre la exposición a los campos electromagnéticos</w:t>
            </w:r>
          </w:p>
        </w:tc>
        <w:tc>
          <w:tcPr>
            <w:tcW w:w="1594" w:type="dxa"/>
            <w:shd w:val="clear" w:color="auto" w:fill="auto"/>
            <w:vAlign w:val="center"/>
          </w:tcPr>
          <w:p w:rsidR="00450BDD" w:rsidRPr="00CA61A6" w:rsidRDefault="00450BDD" w:rsidP="00A64FBE">
            <w:pPr>
              <w:pStyle w:val="Tabletext"/>
              <w:jc w:val="center"/>
            </w:pPr>
            <w:r w:rsidRPr="00CA61A6">
              <w:t xml:space="preserve">En curso </w:t>
            </w:r>
          </w:p>
        </w:tc>
        <w:tc>
          <w:tcPr>
            <w:tcW w:w="1170" w:type="dxa"/>
            <w:shd w:val="clear" w:color="auto" w:fill="auto"/>
            <w:vAlign w:val="center"/>
          </w:tcPr>
          <w:p w:rsidR="00450BDD" w:rsidRPr="00CA61A6" w:rsidRDefault="00CC2ABB" w:rsidP="00A64FBE">
            <w:pPr>
              <w:pStyle w:val="Tabletext"/>
              <w:jc w:val="center"/>
            </w:pPr>
            <w:r w:rsidRPr="00CA61A6">
              <w:sym w:font="Wingdings" w:char="F0FC"/>
            </w:r>
          </w:p>
        </w:tc>
        <w:tc>
          <w:tcPr>
            <w:tcW w:w="1261" w:type="dxa"/>
            <w:shd w:val="clear" w:color="auto" w:fill="auto"/>
            <w:vAlign w:val="center"/>
          </w:tcPr>
          <w:p w:rsidR="00450BDD" w:rsidRPr="00CA61A6" w:rsidRDefault="00450BDD" w:rsidP="00A64FBE">
            <w:pPr>
              <w:pStyle w:val="Tabletext"/>
              <w:jc w:val="center"/>
            </w:pPr>
          </w:p>
        </w:tc>
      </w:tr>
    </w:tbl>
    <w:p w:rsidR="00450BDD" w:rsidRPr="00CA61A6" w:rsidRDefault="00B93836" w:rsidP="0037256C">
      <w:pPr>
        <w:pStyle w:val="Headingb"/>
        <w:keepLines/>
      </w:pPr>
      <w:bookmarkStart w:id="663" w:name="Item72_01"/>
      <w:r w:rsidRPr="00CA61A6">
        <w:lastRenderedPageBreak/>
        <w:t xml:space="preserve">Acción </w:t>
      </w:r>
      <w:r w:rsidR="00450BDD" w:rsidRPr="00CA61A6">
        <w:t>72-01: TSB/</w:t>
      </w:r>
      <w:r w:rsidR="0037256C" w:rsidRPr="00CA61A6">
        <w:t>CE </w:t>
      </w:r>
      <w:r w:rsidR="00450BDD" w:rsidRPr="00CA61A6">
        <w:t>5</w:t>
      </w:r>
    </w:p>
    <w:bookmarkEnd w:id="663"/>
    <w:p w:rsidR="00450BDD" w:rsidRPr="00CA61A6" w:rsidRDefault="00450BDD" w:rsidP="00D67AE8">
      <w:pPr>
        <w:rPr>
          <w:rFonts w:eastAsia="SimSun"/>
          <w:szCs w:val="24"/>
          <w:lang w:eastAsia="ja-JP"/>
        </w:rPr>
      </w:pPr>
      <w:r w:rsidRPr="00CA61A6">
        <w:rPr>
          <w:rFonts w:eastAsia="SimSun"/>
          <w:szCs w:val="24"/>
          <w:lang w:eastAsia="ja-JP"/>
        </w:rPr>
        <w:t xml:space="preserve">El </w:t>
      </w:r>
      <w:r w:rsidR="00A518A6" w:rsidRPr="00CA61A6">
        <w:rPr>
          <w:rFonts w:eastAsia="SimSun"/>
          <w:szCs w:val="24"/>
          <w:lang w:eastAsia="ja-JP"/>
        </w:rPr>
        <w:t xml:space="preserve">taller </w:t>
      </w:r>
      <w:r w:rsidR="00D67AE8">
        <w:rPr>
          <w:rFonts w:eastAsia="SimSun"/>
          <w:szCs w:val="24"/>
          <w:lang w:eastAsia="ja-JP"/>
        </w:rPr>
        <w:t>de la UIT s</w:t>
      </w:r>
      <w:r w:rsidRPr="00CA61A6">
        <w:rPr>
          <w:rFonts w:eastAsia="SimSun"/>
          <w:szCs w:val="24"/>
          <w:lang w:eastAsia="ja-JP"/>
        </w:rPr>
        <w:t>obre la exposición de las personas a los campos electromagnéticos (EMF)</w:t>
      </w:r>
      <w:r w:rsidR="00104844" w:rsidRPr="00CA61A6">
        <w:rPr>
          <w:rStyle w:val="FootnoteReference"/>
          <w:rFonts w:eastAsia="SimSun"/>
          <w:szCs w:val="24"/>
          <w:lang w:eastAsia="ja-JP"/>
        </w:rPr>
        <w:footnoteReference w:customMarkFollows="1" w:id="8"/>
        <w:t>4</w:t>
      </w:r>
      <w:r w:rsidRPr="00CA61A6">
        <w:rPr>
          <w:rFonts w:eastAsia="SimSun"/>
          <w:szCs w:val="24"/>
          <w:lang w:eastAsia="ja-JP"/>
        </w:rPr>
        <w:t>, organizado en colaboración con el Ministerio de Desarrollo Económico de Italia, se celebró el 9 de mayo de 2013 en Turín, Italia, por invitación de Telecom Italia.</w:t>
      </w:r>
    </w:p>
    <w:p w:rsidR="00450BDD" w:rsidRPr="00CA61A6" w:rsidRDefault="00450BDD" w:rsidP="007B3478">
      <w:pPr>
        <w:rPr>
          <w:rFonts w:eastAsia="SimSun"/>
          <w:szCs w:val="24"/>
          <w:lang w:eastAsia="ja-JP"/>
        </w:rPr>
      </w:pPr>
      <w:r w:rsidRPr="00CA61A6">
        <w:rPr>
          <w:rFonts w:eastAsia="SimSun"/>
          <w:szCs w:val="24"/>
          <w:lang w:eastAsia="ja-JP"/>
        </w:rPr>
        <w:t xml:space="preserve">Ese </w:t>
      </w:r>
      <w:r w:rsidR="00A518A6" w:rsidRPr="00CA61A6">
        <w:rPr>
          <w:rFonts w:eastAsia="SimSun"/>
          <w:szCs w:val="24"/>
          <w:lang w:eastAsia="ja-JP"/>
        </w:rPr>
        <w:t xml:space="preserve">taller </w:t>
      </w:r>
      <w:r w:rsidRPr="00CA61A6">
        <w:rPr>
          <w:rFonts w:eastAsia="SimSun"/>
          <w:szCs w:val="24"/>
          <w:lang w:eastAsia="ja-JP"/>
        </w:rPr>
        <w:t xml:space="preserve">concluyó con un </w:t>
      </w:r>
      <w:hyperlink r:id="rId175" w:history="1">
        <w:r w:rsidRPr="00CA61A6">
          <w:rPr>
            <w:rFonts w:eastAsia="SimSun"/>
            <w:color w:val="0000FF"/>
            <w:szCs w:val="24"/>
            <w:u w:val="single"/>
            <w:lang w:eastAsia="ja-JP"/>
          </w:rPr>
          <w:t>Llamamiento a la acción</w:t>
        </w:r>
      </w:hyperlink>
      <w:r w:rsidRPr="00CA61A6">
        <w:rPr>
          <w:rFonts w:eastAsia="SimSun"/>
          <w:szCs w:val="24"/>
          <w:lang w:eastAsia="ja-JP"/>
        </w:rPr>
        <w:t>, en el que se insta a la CE</w:t>
      </w:r>
      <w:r w:rsidR="008B5B32" w:rsidRPr="00CA61A6">
        <w:rPr>
          <w:rFonts w:eastAsia="SimSun"/>
          <w:szCs w:val="24"/>
          <w:lang w:eastAsia="ja-JP"/>
        </w:rPr>
        <w:t> </w:t>
      </w:r>
      <w:r w:rsidRPr="00CA61A6">
        <w:rPr>
          <w:rFonts w:eastAsia="SimSun"/>
          <w:szCs w:val="24"/>
          <w:lang w:eastAsia="ja-JP"/>
        </w:rPr>
        <w:t>5 del UIT-T a seguir liderando la cooperación entre organismos de normalización en pro de la armonización internacional de las normas sobre EMF. En concreto, pide al UIT-T que amplíe su trabajo sobre la exposición de las personas a los campos electromagnéticos mediante la creación y promoción de recursos informativos y docentes sobre EMF accesibles para todos; creando programas de evaluación y acreditación en materia de EMF especializados para los países en desarrollo; y fomentando la utilización de sistemas de información y cumplimiento en línea abiertos, así como la elaboración de un sistema en línea normalizado para demostrar el cumplimiento de las normas internacionales sobre EMF.</w:t>
      </w:r>
    </w:p>
    <w:p w:rsidR="00450BDD" w:rsidRPr="00CA61A6" w:rsidRDefault="00450BDD" w:rsidP="007B3478">
      <w:pPr>
        <w:rPr>
          <w:rFonts w:eastAsia="SimSun"/>
          <w:szCs w:val="24"/>
          <w:lang w:eastAsia="ja-JP"/>
        </w:rPr>
      </w:pPr>
      <w:r w:rsidRPr="00CA61A6">
        <w:rPr>
          <w:rFonts w:eastAsia="SimSun"/>
          <w:szCs w:val="24"/>
          <w:lang w:eastAsia="ja-JP"/>
        </w:rPr>
        <w:t>Los días 21 y 22 de mayo de 2013, el Vicepresidente del Grupo de Trabajo 2 de la Comisión de Estudio 5 del UIT-T impartió una Sesión de formación sobre las Recomendaciones UIT-T (UIT-T K.52, K.61, K.62, K.70, K.83, K.90 y</w:t>
      </w:r>
      <w:r w:rsidR="00431DED" w:rsidRPr="00CA61A6">
        <w:rPr>
          <w:rFonts w:eastAsia="SimSun"/>
          <w:szCs w:val="24"/>
          <w:lang w:eastAsia="ja-JP"/>
        </w:rPr>
        <w:t xml:space="preserve"> K.91).</w:t>
      </w:r>
    </w:p>
    <w:p w:rsidR="00450BDD" w:rsidRPr="00CA61A6" w:rsidRDefault="00450BDD" w:rsidP="007B3478">
      <w:pPr>
        <w:rPr>
          <w:rFonts w:eastAsia="SimSun"/>
          <w:szCs w:val="24"/>
          <w:lang w:eastAsia="ja-JP"/>
        </w:rPr>
      </w:pPr>
      <w:r w:rsidRPr="00CA61A6">
        <w:rPr>
          <w:rFonts w:eastAsia="SimSun"/>
          <w:szCs w:val="24"/>
          <w:lang w:eastAsia="ja-JP"/>
        </w:rPr>
        <w:t xml:space="preserve">El 14 de agosto de 2013 se celebró en Quito, Ecuador, un </w:t>
      </w:r>
      <w:r w:rsidR="00A518A6" w:rsidRPr="00CA61A6">
        <w:rPr>
          <w:rFonts w:eastAsia="SimSun"/>
          <w:szCs w:val="24"/>
          <w:lang w:eastAsia="ja-JP"/>
        </w:rPr>
        <w:t xml:space="preserve">taller </w:t>
      </w:r>
      <w:r w:rsidR="00923CB1">
        <w:rPr>
          <w:rFonts w:eastAsia="SimSun"/>
          <w:szCs w:val="24"/>
          <w:lang w:eastAsia="ja-JP"/>
        </w:rPr>
        <w:t xml:space="preserve">de la UIT </w:t>
      </w:r>
      <w:r w:rsidRPr="00CA61A6">
        <w:rPr>
          <w:rFonts w:eastAsia="SimSun"/>
          <w:szCs w:val="24"/>
          <w:lang w:eastAsia="ja-JP"/>
        </w:rPr>
        <w:t>sobre la exposición de las personas a los campos electromagnéticos en América Latina, amablemente organizado por Telefónica. El evento concluyó con un Documento Final en el que se pide a los Gobiernos de América latina y a la industria de las TIC que intensifiquen sus trabajos sobre EMF, salud y medio ambiente para facilitar la implantación de redes inalámbricas con la participación de</w:t>
      </w:r>
      <w:r w:rsidR="00C40F8F">
        <w:rPr>
          <w:rFonts w:eastAsia="SimSun"/>
          <w:szCs w:val="24"/>
          <w:lang w:eastAsia="ja-JP"/>
        </w:rPr>
        <w:t xml:space="preserve"> l</w:t>
      </w:r>
      <w:r w:rsidRPr="00CA61A6">
        <w:rPr>
          <w:rFonts w:eastAsia="SimSun"/>
          <w:szCs w:val="24"/>
          <w:lang w:eastAsia="ja-JP"/>
        </w:rPr>
        <w:t>a población, protegiendo el medio ambiente, el patrimonio urbano y la salud de las personas dentro del marco de las Recomendaciones de la UIT y de la OMS.</w:t>
      </w:r>
    </w:p>
    <w:p w:rsidR="00450BDD" w:rsidRPr="00CA61A6" w:rsidRDefault="00450BDD" w:rsidP="007B3478">
      <w:pPr>
        <w:rPr>
          <w:rFonts w:eastAsia="SimSun"/>
          <w:szCs w:val="24"/>
          <w:lang w:eastAsia="ja-JP"/>
        </w:rPr>
      </w:pPr>
      <w:r w:rsidRPr="00CA61A6">
        <w:rPr>
          <w:rFonts w:eastAsia="SimSun"/>
          <w:szCs w:val="24"/>
          <w:lang w:eastAsia="ja-JP"/>
        </w:rPr>
        <w:t>El 10 de diciembre de 2013 se celebró el Lima</w:t>
      </w:r>
      <w:r w:rsidR="009166E8">
        <w:rPr>
          <w:rFonts w:eastAsia="SimSun"/>
          <w:szCs w:val="24"/>
          <w:lang w:eastAsia="ja-JP"/>
        </w:rPr>
        <w:t>,</w:t>
      </w:r>
      <w:r w:rsidRPr="00CA61A6">
        <w:rPr>
          <w:rFonts w:eastAsia="SimSun"/>
          <w:szCs w:val="24"/>
          <w:lang w:eastAsia="ja-JP"/>
        </w:rPr>
        <w:t xml:space="preserve"> Perú, el </w:t>
      </w:r>
      <w:r w:rsidR="00A518A6" w:rsidRPr="00CA61A6">
        <w:rPr>
          <w:rFonts w:eastAsia="SimSun"/>
          <w:szCs w:val="24"/>
          <w:lang w:eastAsia="ja-JP"/>
        </w:rPr>
        <w:t xml:space="preserve">taller </w:t>
      </w:r>
      <w:r w:rsidRPr="00CA61A6">
        <w:rPr>
          <w:rFonts w:eastAsia="SimSun"/>
          <w:szCs w:val="24"/>
          <w:lang w:eastAsia="ja-JP"/>
        </w:rPr>
        <w:t>de la UIT "Con las TIC por todas partes ¿Hasta qué punto son seguros los EMF en América Latina?"</w:t>
      </w:r>
    </w:p>
    <w:p w:rsidR="00450BDD" w:rsidRPr="00CA61A6" w:rsidRDefault="00450BDD" w:rsidP="007B3478">
      <w:pPr>
        <w:rPr>
          <w:rFonts w:eastAsia="SimSun"/>
          <w:szCs w:val="24"/>
          <w:lang w:eastAsia="ja-JP"/>
        </w:rPr>
      </w:pPr>
      <w:r w:rsidRPr="00CA61A6">
        <w:rPr>
          <w:rFonts w:eastAsia="SimSun"/>
          <w:szCs w:val="24"/>
          <w:lang w:eastAsia="ja-JP"/>
        </w:rPr>
        <w:t xml:space="preserve">Un </w:t>
      </w:r>
      <w:r w:rsidR="006624E1" w:rsidRPr="00CA61A6">
        <w:rPr>
          <w:rFonts w:eastAsia="SimSun"/>
          <w:szCs w:val="24"/>
          <w:lang w:eastAsia="ja-JP"/>
        </w:rPr>
        <w:t xml:space="preserve">Foro </w:t>
      </w:r>
      <w:r w:rsidRPr="00CA61A6">
        <w:rPr>
          <w:rFonts w:eastAsia="SimSun"/>
          <w:szCs w:val="24"/>
          <w:lang w:eastAsia="ja-JP"/>
        </w:rPr>
        <w:t>sobre el tema "Exposición de las personas a los campos electromagné</w:t>
      </w:r>
      <w:r w:rsidR="00C23C3B" w:rsidRPr="00CA61A6">
        <w:rPr>
          <w:rFonts w:eastAsia="SimSun"/>
          <w:szCs w:val="24"/>
          <w:lang w:eastAsia="ja-JP"/>
        </w:rPr>
        <w:t>ticos (EMF) en América Latina</w:t>
      </w:r>
      <w:r w:rsidRPr="00CA61A6">
        <w:rPr>
          <w:rFonts w:eastAsia="SimSun"/>
          <w:szCs w:val="24"/>
          <w:lang w:eastAsia="ja-JP"/>
        </w:rPr>
        <w:t>" se celebró el 13 de marzo de 2014 en Montevideo, Uruguay.</w:t>
      </w:r>
    </w:p>
    <w:p w:rsidR="00450BDD" w:rsidRPr="00CA61A6" w:rsidRDefault="000942B0" w:rsidP="007B3478">
      <w:pPr>
        <w:rPr>
          <w:rFonts w:eastAsia="SimSun"/>
          <w:szCs w:val="24"/>
          <w:lang w:eastAsia="ja-JP"/>
        </w:rPr>
      </w:pPr>
      <w:r>
        <w:rPr>
          <w:rFonts w:eastAsia="SimSun"/>
          <w:szCs w:val="24"/>
          <w:lang w:eastAsia="ja-JP"/>
        </w:rPr>
        <w:t>Se celebró un Foro sobre</w:t>
      </w:r>
      <w:r w:rsidR="00E439D9">
        <w:rPr>
          <w:rFonts w:eastAsia="SimSun"/>
          <w:szCs w:val="24"/>
          <w:lang w:eastAsia="ja-JP"/>
        </w:rPr>
        <w:t xml:space="preserve"> "Campos electromagnéticos </w:t>
      </w:r>
      <w:r w:rsidR="00450BDD" w:rsidRPr="00CA61A6">
        <w:rPr>
          <w:rFonts w:eastAsia="SimSun"/>
          <w:szCs w:val="24"/>
          <w:lang w:eastAsia="ja-JP"/>
        </w:rPr>
        <w:t>¿Qué significa realmente?" el 4 de septiembre de 2014 en Santo Domingo, República Dominicana.</w:t>
      </w:r>
    </w:p>
    <w:p w:rsidR="00450BDD" w:rsidRPr="00CA61A6" w:rsidRDefault="00450BDD" w:rsidP="007B3478">
      <w:pPr>
        <w:rPr>
          <w:rFonts w:eastAsia="SimSun"/>
          <w:szCs w:val="24"/>
          <w:lang w:eastAsia="ja-JP"/>
        </w:rPr>
      </w:pPr>
      <w:r w:rsidRPr="00CA61A6">
        <w:rPr>
          <w:rFonts w:eastAsia="SimSun"/>
          <w:szCs w:val="24"/>
          <w:lang w:eastAsia="ja-JP"/>
        </w:rPr>
        <w:t xml:space="preserve">El Foro </w:t>
      </w:r>
      <w:r w:rsidR="00B26079" w:rsidRPr="00CA61A6">
        <w:rPr>
          <w:rFonts w:eastAsia="SimSun"/>
          <w:szCs w:val="24"/>
          <w:lang w:eastAsia="ja-JP"/>
        </w:rPr>
        <w:t>"</w:t>
      </w:r>
      <w:r w:rsidRPr="00CA61A6">
        <w:rPr>
          <w:rFonts w:eastAsia="SimSun"/>
          <w:szCs w:val="24"/>
          <w:lang w:eastAsia="ja-JP"/>
        </w:rPr>
        <w:t>Aprovechar los CEM para lograr la ciudad más inteligente y sostenible</w:t>
      </w:r>
      <w:r w:rsidR="00B26079" w:rsidRPr="00CA61A6">
        <w:rPr>
          <w:rFonts w:eastAsia="SimSun"/>
          <w:szCs w:val="24"/>
          <w:lang w:eastAsia="ja-JP"/>
        </w:rPr>
        <w:t>"</w:t>
      </w:r>
      <w:r w:rsidRPr="00CA61A6">
        <w:rPr>
          <w:rFonts w:ascii="Calibri" w:eastAsia="SimSun" w:hAnsi="Calibri"/>
          <w:b/>
          <w:color w:val="800000"/>
          <w:szCs w:val="24"/>
          <w:lang w:eastAsia="ja-JP"/>
        </w:rPr>
        <w:t xml:space="preserve"> </w:t>
      </w:r>
      <w:r w:rsidRPr="00CA61A6">
        <w:rPr>
          <w:rFonts w:eastAsia="SimSun"/>
          <w:szCs w:val="24"/>
          <w:lang w:eastAsia="ja-JP"/>
        </w:rPr>
        <w:t>se celebró el 26 de septiembre de 2014 en Beijing, China, seguido de la Reunión regional del Grupo Regional de la Comisión de Estudio 5 del UIT-T para Asia y el Pacífico (GRCE5-AP).</w:t>
      </w:r>
    </w:p>
    <w:p w:rsidR="00450BDD" w:rsidRPr="00CA61A6" w:rsidRDefault="00450BDD" w:rsidP="007B3478">
      <w:pPr>
        <w:rPr>
          <w:rFonts w:eastAsia="SimSun"/>
          <w:szCs w:val="24"/>
          <w:lang w:eastAsia="ja-JP"/>
        </w:rPr>
      </w:pPr>
      <w:r w:rsidRPr="00CA61A6">
        <w:rPr>
          <w:rFonts w:eastAsia="SimSun"/>
          <w:szCs w:val="24"/>
          <w:lang w:eastAsia="ja-JP"/>
        </w:rPr>
        <w:t>El Foro "Exposición de las personas a los campos electromagnéticos en India" tuvo lugar el 15 de diciembre de 2014 en Kochi, India.</w:t>
      </w:r>
    </w:p>
    <w:p w:rsidR="00450BDD" w:rsidRPr="00CA61A6" w:rsidRDefault="00FB2A9A" w:rsidP="00C417AC">
      <w:pPr>
        <w:pStyle w:val="Headingb"/>
        <w:keepLines/>
      </w:pPr>
      <w:bookmarkStart w:id="664" w:name="Item72_02"/>
      <w:r w:rsidRPr="00CA61A6">
        <w:t xml:space="preserve">Acción </w:t>
      </w:r>
      <w:r w:rsidR="00450BDD" w:rsidRPr="00CA61A6">
        <w:t xml:space="preserve">72-02: </w:t>
      </w:r>
      <w:r w:rsidR="00370E2C" w:rsidRPr="00CA61A6">
        <w:t>CE </w:t>
      </w:r>
      <w:r w:rsidR="00450BDD" w:rsidRPr="00CA61A6">
        <w:t>5</w:t>
      </w:r>
    </w:p>
    <w:bookmarkEnd w:id="664"/>
    <w:p w:rsidR="00450BDD" w:rsidRPr="00CA61A6" w:rsidRDefault="00450BDD" w:rsidP="007B3478">
      <w:pPr>
        <w:rPr>
          <w:rFonts w:eastAsia="SimSun"/>
          <w:szCs w:val="24"/>
          <w:lang w:eastAsia="ja-JP"/>
        </w:rPr>
      </w:pPr>
      <w:r w:rsidRPr="00CA61A6">
        <w:rPr>
          <w:rFonts w:eastAsia="SimSun"/>
          <w:szCs w:val="24"/>
          <w:lang w:eastAsia="ja-JP"/>
        </w:rPr>
        <w:t>Representantes de la OMS participan regularmente en las reuniones de la CE</w:t>
      </w:r>
      <w:r w:rsidR="008B5B32" w:rsidRPr="00CA61A6">
        <w:rPr>
          <w:rFonts w:eastAsia="SimSun"/>
          <w:szCs w:val="24"/>
          <w:lang w:eastAsia="ja-JP"/>
        </w:rPr>
        <w:t> </w:t>
      </w:r>
      <w:r w:rsidRPr="00CA61A6">
        <w:rPr>
          <w:rFonts w:eastAsia="SimSun"/>
          <w:szCs w:val="24"/>
          <w:lang w:eastAsia="ja-JP"/>
        </w:rPr>
        <w:t>5 del UIT-T dedicadas a este tema y periódicamente distribuyen las notas explicativas de la OMS más recientes y comunican información al respecto.</w:t>
      </w:r>
    </w:p>
    <w:p w:rsidR="00450BDD" w:rsidRPr="00CA61A6" w:rsidRDefault="00C417AC" w:rsidP="00C417AC">
      <w:pPr>
        <w:pStyle w:val="Headingb"/>
        <w:keepLines/>
      </w:pPr>
      <w:bookmarkStart w:id="665" w:name="Item72_03"/>
      <w:r w:rsidRPr="00CA61A6">
        <w:t xml:space="preserve">Acción </w:t>
      </w:r>
      <w:r w:rsidR="00450BDD" w:rsidRPr="00CA61A6">
        <w:t>72-03: TSB</w:t>
      </w:r>
    </w:p>
    <w:bookmarkEnd w:id="665"/>
    <w:p w:rsidR="00450BDD" w:rsidRPr="00CA61A6" w:rsidRDefault="00450BDD" w:rsidP="007B3478">
      <w:pPr>
        <w:rPr>
          <w:rFonts w:eastAsia="SimSun"/>
          <w:szCs w:val="24"/>
          <w:lang w:eastAsia="ja-JP"/>
        </w:rPr>
      </w:pPr>
      <w:r w:rsidRPr="00CA61A6">
        <w:rPr>
          <w:rFonts w:eastAsia="SimSun"/>
          <w:szCs w:val="24"/>
          <w:lang w:eastAsia="ja-JP"/>
        </w:rPr>
        <w:t xml:space="preserve">La TSB ha elaborado una </w:t>
      </w:r>
      <w:hyperlink r:id="rId176" w:history="1">
        <w:r w:rsidRPr="00CA61A6">
          <w:rPr>
            <w:rFonts w:eastAsia="SimSun"/>
            <w:color w:val="0000FF"/>
            <w:szCs w:val="24"/>
            <w:u w:val="single"/>
            <w:lang w:eastAsia="ja-JP"/>
          </w:rPr>
          <w:t>aplicación móvil sobre EMF</w:t>
        </w:r>
      </w:hyperlink>
      <w:r w:rsidRPr="00CA61A6">
        <w:rPr>
          <w:rFonts w:eastAsia="SimSun"/>
          <w:szCs w:val="24"/>
          <w:lang w:eastAsia="ja-JP"/>
        </w:rPr>
        <w:t xml:space="preserve"> con el apoyo de Tel</w:t>
      </w:r>
      <w:r w:rsidR="00F33AC6">
        <w:rPr>
          <w:rFonts w:eastAsia="SimSun"/>
          <w:szCs w:val="24"/>
          <w:lang w:eastAsia="ja-JP"/>
        </w:rPr>
        <w:t>stra y la colaboración de la OMS</w:t>
      </w:r>
      <w:r w:rsidRPr="00CA61A6">
        <w:rPr>
          <w:rFonts w:eastAsia="SimSun"/>
          <w:szCs w:val="24"/>
          <w:lang w:eastAsia="ja-JP"/>
        </w:rPr>
        <w:t xml:space="preserve">. Los principales destinatarios de la aplicación móvil son el público en general, los </w:t>
      </w:r>
      <w:r w:rsidRPr="00CA61A6">
        <w:rPr>
          <w:rFonts w:eastAsia="SimSun"/>
          <w:szCs w:val="24"/>
          <w:lang w:eastAsia="ja-JP"/>
        </w:rPr>
        <w:lastRenderedPageBreak/>
        <w:t>representantes municipales, funcionarios públicos, legisladores y personas que desean que se les explique de manera sencilla que son los EMF, incluso mediante un apartado de preguntas más frecuentes. La aplicación se puso en marcha en noviembre de 2015 en español</w:t>
      </w:r>
      <w:r w:rsidR="008D07E8">
        <w:rPr>
          <w:rFonts w:eastAsia="SimSun"/>
          <w:szCs w:val="24"/>
          <w:lang w:eastAsia="ja-JP"/>
        </w:rPr>
        <w:t>, árabe, ruso, chino y francés.</w:t>
      </w:r>
    </w:p>
    <w:p w:rsidR="00450BDD" w:rsidRPr="00CA61A6" w:rsidRDefault="006A3EE6" w:rsidP="007E2AF6">
      <w:pPr>
        <w:pStyle w:val="Headingb"/>
        <w:keepLines/>
      </w:pPr>
      <w:bookmarkStart w:id="666" w:name="Item72_04"/>
      <w:r w:rsidRPr="00CA61A6">
        <w:t xml:space="preserve">Acción </w:t>
      </w:r>
      <w:r w:rsidR="00450BDD" w:rsidRPr="00CA61A6">
        <w:t>72-04: TSB</w:t>
      </w:r>
    </w:p>
    <w:bookmarkEnd w:id="666"/>
    <w:p w:rsidR="00450BDD" w:rsidRPr="00CA61A6" w:rsidRDefault="00450BDD" w:rsidP="007B3478">
      <w:pPr>
        <w:rPr>
          <w:rFonts w:eastAsia="SimSun"/>
          <w:szCs w:val="24"/>
          <w:lang w:eastAsia="ja-JP"/>
        </w:rPr>
      </w:pPr>
      <w:r w:rsidRPr="00CA61A6">
        <w:rPr>
          <w:rFonts w:eastAsia="SimSun"/>
          <w:szCs w:val="24"/>
          <w:lang w:eastAsia="ja-JP"/>
        </w:rPr>
        <w:t xml:space="preserve">Véase la </w:t>
      </w:r>
      <w:hyperlink w:anchor="_44_Resolución_76" w:history="1">
        <w:r w:rsidRPr="00CA61A6">
          <w:rPr>
            <w:rFonts w:eastAsia="SimSun"/>
            <w:color w:val="0000FF"/>
            <w:szCs w:val="24"/>
            <w:u w:val="single"/>
            <w:lang w:eastAsia="ja-JP"/>
          </w:rPr>
          <w:t>Resolución 76</w:t>
        </w:r>
      </w:hyperlink>
      <w:r w:rsidRPr="00CA61A6">
        <w:rPr>
          <w:rFonts w:eastAsia="SimSun"/>
          <w:szCs w:val="24"/>
          <w:lang w:eastAsia="ja-JP"/>
        </w:rPr>
        <w:t>.</w:t>
      </w:r>
    </w:p>
    <w:p w:rsidR="00450BDD" w:rsidRPr="00CA61A6" w:rsidRDefault="006A3EE6" w:rsidP="007E2AF6">
      <w:pPr>
        <w:pStyle w:val="Headingb"/>
        <w:keepLines/>
      </w:pPr>
      <w:bookmarkStart w:id="667" w:name="Item72_05"/>
      <w:r w:rsidRPr="00CA61A6">
        <w:t xml:space="preserve">Acción </w:t>
      </w:r>
      <w:r w:rsidR="00450BDD" w:rsidRPr="00CA61A6">
        <w:t>72-05: TSB</w:t>
      </w:r>
    </w:p>
    <w:bookmarkEnd w:id="667"/>
    <w:p w:rsidR="00450BDD" w:rsidRPr="00CA61A6" w:rsidRDefault="00450BDD" w:rsidP="007B3478">
      <w:pPr>
        <w:rPr>
          <w:rFonts w:eastAsia="SimSun"/>
          <w:szCs w:val="24"/>
          <w:lang w:eastAsia="ja-JP"/>
        </w:rPr>
      </w:pPr>
      <w:r w:rsidRPr="00CA61A6">
        <w:rPr>
          <w:rFonts w:eastAsia="SimSun"/>
          <w:szCs w:val="24"/>
          <w:lang w:eastAsia="ja-JP"/>
        </w:rPr>
        <w:t>Se ha creado un sitio web con información sobre las actividades de la UIT, incluidas las de la CE</w:t>
      </w:r>
      <w:r w:rsidR="008B5B32" w:rsidRPr="00CA61A6">
        <w:rPr>
          <w:rFonts w:eastAsia="SimSun"/>
          <w:szCs w:val="24"/>
          <w:lang w:eastAsia="ja-JP"/>
        </w:rPr>
        <w:t> </w:t>
      </w:r>
      <w:r w:rsidRPr="00CA61A6">
        <w:rPr>
          <w:rFonts w:eastAsia="SimSun"/>
          <w:szCs w:val="24"/>
          <w:lang w:eastAsia="ja-JP"/>
        </w:rPr>
        <w:t xml:space="preserve">5 del UIT-T, sobre exposición de las personas a los campos electromagnéticos (EMF) creados por sistemas de radiocomunicaciones y equipos móviles, que se actualiza periódicamente y puede encontrarse en la dirección: </w:t>
      </w:r>
      <w:hyperlink r:id="rId177" w:history="1">
        <w:r w:rsidRPr="00CA61A6">
          <w:rPr>
            <w:rFonts w:eastAsia="SimSun"/>
            <w:color w:val="0000FF"/>
            <w:szCs w:val="24"/>
            <w:u w:val="single"/>
            <w:lang w:eastAsia="ja-JP"/>
          </w:rPr>
          <w:t>http://www.itu.int/en/ITU-T/emf/Pages/default.aspx</w:t>
        </w:r>
      </w:hyperlink>
      <w:r w:rsidR="00D93BB6" w:rsidRPr="00CA61A6">
        <w:rPr>
          <w:rFonts w:eastAsia="SimSun"/>
          <w:szCs w:val="24"/>
          <w:lang w:eastAsia="ja-JP"/>
        </w:rPr>
        <w:t>.</w:t>
      </w:r>
    </w:p>
    <w:p w:rsidR="00450BDD" w:rsidRPr="00CA61A6" w:rsidRDefault="00450BDD" w:rsidP="007B3478">
      <w:pPr>
        <w:rPr>
          <w:rFonts w:eastAsia="SimSun"/>
        </w:rPr>
      </w:pPr>
      <w:r w:rsidRPr="00CA61A6">
        <w:rPr>
          <w:rFonts w:eastAsia="SimSun"/>
          <w:szCs w:val="24"/>
          <w:lang w:eastAsia="ja-JP"/>
        </w:rPr>
        <w:t xml:space="preserve">Puede consultarse el folleto sobre </w:t>
      </w:r>
      <w:r w:rsidR="00620EAD" w:rsidRPr="00CA61A6">
        <w:rPr>
          <w:rFonts w:eastAsia="SimSun"/>
          <w:szCs w:val="24"/>
          <w:lang w:eastAsia="ja-JP"/>
        </w:rPr>
        <w:t xml:space="preserve">actividades </w:t>
      </w:r>
      <w:r w:rsidRPr="00CA61A6">
        <w:rPr>
          <w:rFonts w:eastAsia="SimSun"/>
          <w:szCs w:val="24"/>
          <w:lang w:eastAsia="ja-JP"/>
        </w:rPr>
        <w:t>de</w:t>
      </w:r>
      <w:r w:rsidR="00620EAD">
        <w:rPr>
          <w:rFonts w:eastAsia="SimSun"/>
          <w:szCs w:val="24"/>
          <w:lang w:eastAsia="ja-JP"/>
        </w:rPr>
        <w:t xml:space="preserve"> </w:t>
      </w:r>
      <w:r w:rsidRPr="00CA61A6">
        <w:rPr>
          <w:rFonts w:eastAsia="SimSun"/>
          <w:szCs w:val="24"/>
          <w:lang w:eastAsia="ja-JP"/>
        </w:rPr>
        <w:t>l</w:t>
      </w:r>
      <w:r w:rsidR="00620EAD">
        <w:rPr>
          <w:rFonts w:eastAsia="SimSun"/>
          <w:szCs w:val="24"/>
          <w:lang w:eastAsia="ja-JP"/>
        </w:rPr>
        <w:t>a CE 5 del</w:t>
      </w:r>
      <w:r w:rsidRPr="00CA61A6">
        <w:rPr>
          <w:rFonts w:eastAsia="SimSun"/>
          <w:szCs w:val="24"/>
          <w:lang w:eastAsia="ja-JP"/>
        </w:rPr>
        <w:t xml:space="preserve"> UIT-T sobre la exposición de las personas a los campos electromagnéticos (EMF) causados por sistemas de radiocomunicaciones y equipos móviles</w:t>
      </w:r>
      <w:r w:rsidRPr="0059052E">
        <w:rPr>
          <w:rFonts w:eastAsia="SimSun"/>
          <w:szCs w:val="24"/>
          <w:lang w:eastAsia="ja-JP"/>
        </w:rPr>
        <w:t xml:space="preserve"> </w:t>
      </w:r>
      <w:r w:rsidRPr="00CA61A6">
        <w:rPr>
          <w:rFonts w:eastAsia="SimSun"/>
          <w:szCs w:val="24"/>
          <w:lang w:eastAsia="ja-JP"/>
        </w:rPr>
        <w:t xml:space="preserve">en la dirección: </w:t>
      </w:r>
      <w:hyperlink r:id="rId178" w:history="1">
        <w:r w:rsidRPr="00CA61A6">
          <w:rPr>
            <w:rFonts w:eastAsia="SimSun"/>
            <w:color w:val="0000FF"/>
            <w:szCs w:val="24"/>
            <w:u w:val="single"/>
            <w:lang w:eastAsia="ja-JP"/>
          </w:rPr>
          <w:t>http://www.itu.int/en/ITU-T/emf/Documents/EMF-flyer.pdf</w:t>
        </w:r>
      </w:hyperlink>
      <w:r w:rsidRPr="00CA61A6">
        <w:rPr>
          <w:rFonts w:eastAsia="SimSun"/>
          <w:szCs w:val="24"/>
          <w:lang w:eastAsia="ja-JP"/>
        </w:rPr>
        <w:t>.</w:t>
      </w:r>
    </w:p>
    <w:p w:rsidR="007974AF" w:rsidRPr="00CA61A6" w:rsidRDefault="00110CAD" w:rsidP="007974AF">
      <w:hyperlink w:anchor="Top" w:history="1">
        <w:r w:rsidR="007974AF" w:rsidRPr="00CA61A6">
          <w:rPr>
            <w:rStyle w:val="Hyperlink"/>
          </w:rPr>
          <w:t>» Arriba</w:t>
        </w:r>
      </w:hyperlink>
    </w:p>
    <w:p w:rsidR="00450BDD" w:rsidRPr="00CA61A6" w:rsidRDefault="00CC6C18" w:rsidP="00CC6C18">
      <w:pPr>
        <w:pStyle w:val="Heading1"/>
      </w:pPr>
      <w:bookmarkStart w:id="668" w:name="_41_Resolución_73"/>
      <w:bookmarkStart w:id="669" w:name="_Toc463335792"/>
      <w:bookmarkEnd w:id="668"/>
      <w:r w:rsidRPr="00CA61A6">
        <w:t>41</w:t>
      </w:r>
      <w:r w:rsidRPr="00CA61A6">
        <w:tab/>
        <w:t xml:space="preserve">Resolución </w:t>
      </w:r>
      <w:r w:rsidR="00450BDD" w:rsidRPr="00CA61A6">
        <w:t>73</w:t>
      </w:r>
      <w:r w:rsidRPr="00CA61A6">
        <w:t xml:space="preserve"> – </w:t>
      </w:r>
      <w:r w:rsidR="00450BDD" w:rsidRPr="00CA61A6">
        <w:t>Tecnologías de la información y la comunicación, medio ambiente y cambio climático</w:t>
      </w:r>
      <w:bookmarkEnd w:id="669"/>
    </w:p>
    <w:p w:rsidR="00B47D10" w:rsidRPr="00CA61A6" w:rsidRDefault="00B47D10" w:rsidP="00B47D10">
      <w:pPr>
        <w:pStyle w:val="Headingb"/>
        <w:keepLines/>
      </w:pPr>
      <w:r w:rsidRPr="00CA61A6">
        <w:t>Resolución 73</w:t>
      </w:r>
    </w:p>
    <w:p w:rsidR="00450BDD" w:rsidRPr="00CA61A6" w:rsidRDefault="00450BDD" w:rsidP="007B3478">
      <w:pPr>
        <w:pStyle w:val="Call"/>
      </w:pPr>
      <w:r w:rsidRPr="00CA61A6">
        <w:t>resuelve</w:t>
      </w:r>
    </w:p>
    <w:p w:rsidR="00450BDD" w:rsidRPr="00CA61A6" w:rsidRDefault="00450BDD" w:rsidP="007B3478">
      <w:r w:rsidRPr="00CA61A6">
        <w:t>1</w:t>
      </w:r>
      <w:r w:rsidRPr="00CA61A6">
        <w:tab/>
        <w:t>continuar y avanzar en el desarrollo del programa de trabajo del UIT</w:t>
      </w:r>
      <w:r w:rsidRPr="00CA61A6">
        <w:noBreakHyphen/>
        <w:t>T sobre las TIC y el cambio climático iniciado en diciembre de 2007, otorgándole un carácter prioritario, para contribuir a los esfuerzos generalizados, que se realizan en todo el mundo para moderar el cambio climático, como parte de los procesos de las Naciones Unidas;</w:t>
      </w:r>
    </w:p>
    <w:p w:rsidR="00450BDD" w:rsidRPr="00CA61A6" w:rsidRDefault="00450BDD" w:rsidP="007B3478">
      <w:r w:rsidRPr="00CA61A6">
        <w:t>2</w:t>
      </w:r>
      <w:r w:rsidRPr="00CA61A6">
        <w:tab/>
        <w:t>tener en cuenta los progresos que ya se han logrado en los Simposios internacionales sobre las TIC, el medio ambiente y el cambio climático celebrados en diversas partes del mundo</w:t>
      </w:r>
      <w:r w:rsidRPr="00CA61A6">
        <w:rPr>
          <w:rStyle w:val="FootnoteReference"/>
        </w:rPr>
        <w:footnoteReference w:customMarkFollows="1" w:id="9"/>
        <w:t>2</w:t>
      </w:r>
      <w:r w:rsidRPr="00CA61A6">
        <w:t>, divulgando al máximo las conclusiones de los mismos;</w:t>
      </w:r>
    </w:p>
    <w:p w:rsidR="00450BDD" w:rsidRPr="00CA61A6" w:rsidRDefault="00450BDD" w:rsidP="007B3478">
      <w:r w:rsidRPr="00CA61A6">
        <w:t>3</w:t>
      </w:r>
      <w:r w:rsidRPr="00CA61A6">
        <w:tab/>
        <w:t>seguir manteniendo al día y actualizado el Portal Global del UIT-T sobre las TIC, el medio ambiente y el cambio climático, ampliando sus funciones mediante el desarrollo de un foro electrónico e interactivo donde intercambiar información y divulgar ideas, experiencias, normas y prácticas idóneas sobre la relación entre las TIC y la sostenibilidad medioambiental, así como experiencias y prácticas sobre divulgación, programas de etiquetado e instalaciones de reciclaje;</w:t>
      </w:r>
    </w:p>
    <w:p w:rsidR="00450BDD" w:rsidRPr="00CA61A6" w:rsidRDefault="00450BDD" w:rsidP="007B3478">
      <w:r w:rsidRPr="00CA61A6">
        <w:t>4</w:t>
      </w:r>
      <w:r w:rsidRPr="00CA61A6">
        <w:tab/>
        <w:t>fomentar la adopción de Recomendaciones destinadas a mejorar la utilización de las TIC como un instrumento poderoso y de alcance intersectorial para la evaluación y reducción de las emisiones de GEI, la optimización del consumo de agua y energía, la minimización de los residuos electrónicos y la mejora de su gestión en todas las actividades económicas y sociales;</w:t>
      </w:r>
    </w:p>
    <w:p w:rsidR="00450BDD" w:rsidRPr="00CA61A6" w:rsidRDefault="00450BDD" w:rsidP="007B3478">
      <w:r w:rsidRPr="00CA61A6">
        <w:lastRenderedPageBreak/>
        <w:t>5</w:t>
      </w:r>
      <w:r w:rsidRPr="00CA61A6">
        <w:tab/>
        <w:t>fomentar la sensibilización y promover el intercambio de información en lo que concierne al papel que desempeñan las TIC en la mejora de la sostenibilidad ambiental, en especial a través de la promoción del uso de dispositivos y redes que utilicen de modo más eficaz la energía</w:t>
      </w:r>
      <w:r w:rsidRPr="00CA61A6">
        <w:rPr>
          <w:rStyle w:val="FootnoteReference"/>
        </w:rPr>
        <w:footnoteReference w:customMarkFollows="1" w:id="10"/>
        <w:t>3</w:t>
      </w:r>
      <w:r w:rsidRPr="00CA61A6">
        <w:t xml:space="preserve"> y del establecimiento de métodos de trabajo más eficaces, así como unas TIC que puedan aprovecharse para sustituir o desplazar a otras tecnologías y usos que consumen más energía;</w:t>
      </w:r>
    </w:p>
    <w:p w:rsidR="00450BDD" w:rsidRPr="00CA61A6" w:rsidRDefault="00450BDD" w:rsidP="007B3478">
      <w:r w:rsidRPr="00CA61A6">
        <w:t>6</w:t>
      </w:r>
      <w:r w:rsidRPr="00CA61A6">
        <w:tab/>
        <w:t>esforzarse para lograr la reducción de las emisiones de gases de efecto invernadero derivadas de la utilización de las TIC que se requiere para alcanzar las metas de la CMNUCC;</w:t>
      </w:r>
    </w:p>
    <w:p w:rsidR="00450BDD" w:rsidRPr="00CA61A6" w:rsidRDefault="00450BDD" w:rsidP="007B3478">
      <w:r w:rsidRPr="00CA61A6">
        <w:t>7</w:t>
      </w:r>
      <w:r w:rsidRPr="00CA61A6">
        <w:tab/>
        <w:t>esforzarse por reducir los efectos negativos sobre el medio ambiente de los materiales contaminantes utilizados en productos de TIC;</w:t>
      </w:r>
    </w:p>
    <w:p w:rsidR="00450BDD" w:rsidRPr="00CA61A6" w:rsidRDefault="00450BDD" w:rsidP="007B3478">
      <w:r w:rsidRPr="00CA61A6">
        <w:t>8</w:t>
      </w:r>
      <w:r w:rsidRPr="00CA61A6">
        <w:tab/>
        <w:t>reducir la brecha de normalización mediante la prestación de asistencia técnica a países en el desarrollo de sus Planes de Acción nacionales sobre TIC ecológicas y elaborar un mecanismo de notificación para ayudar a los países a poner en práctica su Plan;</w:t>
      </w:r>
    </w:p>
    <w:p w:rsidR="00450BDD" w:rsidRPr="00CA61A6" w:rsidRDefault="00450BDD" w:rsidP="007B3478">
      <w:r w:rsidRPr="00CA61A6">
        <w:t>9</w:t>
      </w:r>
      <w:r w:rsidRPr="00CA61A6">
        <w:tab/>
        <w:t>crear programas de teleaprendizaje sobre Recomendaciones relativas a las TIC, el medio ambiente y el cambio climático,</w:t>
      </w:r>
    </w:p>
    <w:p w:rsidR="00450BDD" w:rsidRPr="00CA61A6" w:rsidRDefault="00450BDD" w:rsidP="007B3478">
      <w:pPr>
        <w:pStyle w:val="Call"/>
      </w:pPr>
      <w:r w:rsidRPr="00CA61A6">
        <w:t>encarga al Grupo Asesor de Normalización de las Telecomunicaciones</w:t>
      </w:r>
    </w:p>
    <w:p w:rsidR="00450BDD" w:rsidRPr="00CA61A6" w:rsidRDefault="00450BDD" w:rsidP="007B3478">
      <w:r w:rsidRPr="00CA61A6">
        <w:t>1</w:t>
      </w:r>
      <w:r w:rsidRPr="00CA61A6">
        <w:tab/>
        <w:t>que coordine las actividades de las Comisiones de Estudio del UIT-T en lo que respecta al examen de actividades de normalización pertinentes de otras organizaciones de normalización y facilite la colaboración entre la UIT y dichas organizaciones de normalización para evitar la duplicación o el solapamiento de normas internacionales, en particular a través de la JCA sobre las TIC y Cambio Climático;</w:t>
      </w:r>
    </w:p>
    <w:p w:rsidR="00450BDD" w:rsidRPr="00CA61A6" w:rsidRDefault="00450BDD" w:rsidP="007B3478">
      <w:r w:rsidRPr="00CA61A6">
        <w:t>2</w:t>
      </w:r>
      <w:r w:rsidRPr="00CA61A6">
        <w:tab/>
        <w:t>que se asegure de que las Comisiones de Estudio efectúan un análisis de las correspondientes Recomendaciones del UIT</w:t>
      </w:r>
      <w:r w:rsidRPr="00CA61A6">
        <w:noBreakHyphen/>
        <w:t>T en vigor y de todas las futuras Recomendaciones, para evaluar sus repercusiones y la aplicación de prácticas idóneas en función de la protección del medio ambiente y el cambio climático;</w:t>
      </w:r>
    </w:p>
    <w:p w:rsidR="00450BDD" w:rsidRPr="00CA61A6" w:rsidRDefault="00450BDD" w:rsidP="007B3478">
      <w:r w:rsidRPr="00CA61A6">
        <w:t>3</w:t>
      </w:r>
      <w:r w:rsidRPr="00CA61A6">
        <w:tab/>
        <w:t>que estudie la posibilidad de incorporar nuevas modificaciones a los procedimientos de trabajo a fin de cumplir los objetivos de la presente, incluida una mayor utilización de métodos de trabajo electrónicos para reducir los efectos del cambio climático, como por ejemplo la organización de reuniones sin papel, conferencias virtuales y teletrabajo, etc.,</w:t>
      </w:r>
    </w:p>
    <w:p w:rsidR="00450BDD" w:rsidRPr="00CA61A6" w:rsidRDefault="00450BDD" w:rsidP="007B3478">
      <w:pPr>
        <w:pStyle w:val="Call"/>
      </w:pPr>
      <w:r w:rsidRPr="00CA61A6">
        <w:t>encarga a todas las Comisiones de Estudio del UIT</w:t>
      </w:r>
      <w:r w:rsidRPr="00CA61A6">
        <w:noBreakHyphen/>
        <w:t>T</w:t>
      </w:r>
    </w:p>
    <w:p w:rsidR="00450BDD" w:rsidRPr="00CA61A6" w:rsidRDefault="00450BDD" w:rsidP="007B3478">
      <w:r w:rsidRPr="00CA61A6">
        <w:t>1</w:t>
      </w:r>
      <w:r w:rsidRPr="00CA61A6">
        <w:tab/>
        <w:t>que cooperen con la Comisión de Estudio 5 en la elaboración, dentro del mandato y la competencia del UIT-T, las correspondientes Recomendaciones sobre cuestiones relacionadas con las TIC, el medio ambiente y el cambio climático, incluidas las redes de telecomunicaciones utilizadas para el seguimiento del cambio climático y la adaptación al mismo, por ejemplo los aspectos relacionados con la preparación en caso de catástrofe, la señalización y la calidad de servicio, teniendo en cuenta cualquier efecto económico en todos los países y, en particular, en los países en desarrollo;</w:t>
      </w:r>
    </w:p>
    <w:p w:rsidR="00450BDD" w:rsidRPr="00CA61A6" w:rsidRDefault="00450BDD" w:rsidP="007B3478">
      <w:r w:rsidRPr="00CA61A6">
        <w:t>2</w:t>
      </w:r>
      <w:r w:rsidRPr="00CA61A6">
        <w:tab/>
        <w:t>que definan prácticas idóneas y oportunidades para nuevas aplicaciones que utilicen las TIC a fin de promover la sostenibilidad medioambiental y que determinen las acciones oportunas;</w:t>
      </w:r>
    </w:p>
    <w:p w:rsidR="00450BDD" w:rsidRPr="00CA61A6" w:rsidRDefault="00450BDD" w:rsidP="007B3478">
      <w:r w:rsidRPr="00CA61A6">
        <w:t>3</w:t>
      </w:r>
      <w:r w:rsidRPr="00CA61A6">
        <w:tab/>
        <w:t>que se encarguen de la coordinación con las Comisiones de Estudio pertinentes del UIT</w:t>
      </w:r>
      <w:r w:rsidRPr="00CA61A6">
        <w:noBreakHyphen/>
        <w:t xml:space="preserve">R y el UIT-D, y que fomenten la coordinación con otras organizaciones y foros de </w:t>
      </w:r>
      <w:r w:rsidRPr="00CA61A6">
        <w:lastRenderedPageBreak/>
        <w:t>normalización para evitar la duplicación del trabajo y optimizar la utilización de los recursos y acelerar la disponibilidad de normas mundiales,</w:t>
      </w:r>
    </w:p>
    <w:p w:rsidR="00450BDD" w:rsidRPr="00CA61A6" w:rsidRDefault="00450BDD" w:rsidP="007B3478">
      <w:pPr>
        <w:pStyle w:val="Call"/>
      </w:pPr>
      <w:r w:rsidRPr="00CA61A6">
        <w:t>encarga al Director de la Oficina de Normalización de las Telecomunicaciones en colaboración con los Directores de las demás Oficinas</w:t>
      </w:r>
    </w:p>
    <w:p w:rsidR="00450BDD" w:rsidRPr="00CA61A6" w:rsidRDefault="00450BDD" w:rsidP="007B3478">
      <w:r w:rsidRPr="00CA61A6">
        <w:t>1</w:t>
      </w:r>
      <w:r w:rsidRPr="00CA61A6">
        <w:tab/>
        <w:t>que informe al Consejo de la UIT cada año, y a la Asamblea Mundial de Normalización de las Telecomunicaciones de 2016, sobre los progresos logrados en cuanto a la aplicación de esta Resolución;</w:t>
      </w:r>
    </w:p>
    <w:p w:rsidR="00450BDD" w:rsidRPr="00CA61A6" w:rsidRDefault="00450BDD" w:rsidP="007B3478">
      <w:r w:rsidRPr="00CA61A6">
        <w:t>2</w:t>
      </w:r>
      <w:r w:rsidRPr="00CA61A6">
        <w:tab/>
        <w:t>que mantenga actualizado un calendario de eventos relacionados con las TIC, el medio ambiente y el cambio climático a partir de las propuestas del GANT y en estrecha colaboración con los otros dos Sectores;</w:t>
      </w:r>
    </w:p>
    <w:p w:rsidR="00450BDD" w:rsidRPr="00CA61A6" w:rsidRDefault="00450BDD" w:rsidP="007B3478">
      <w:r w:rsidRPr="00CA61A6">
        <w:t>3</w:t>
      </w:r>
      <w:r w:rsidRPr="00CA61A6">
        <w:tab/>
        <w:t>que realice proyectos piloto destinados al cierre de la brecha de normalización en lo que respecta a la sostenibilidad medioambiental, en particular en los países en desarrollo;</w:t>
      </w:r>
    </w:p>
    <w:p w:rsidR="00450BDD" w:rsidRPr="00CA61A6" w:rsidRDefault="00450BDD" w:rsidP="007B3478">
      <w:r w:rsidRPr="00CA61A6">
        <w:t>4</w:t>
      </w:r>
      <w:r w:rsidRPr="00CA61A6">
        <w:tab/>
        <w:t xml:space="preserve">que apoye la elaboración de informes sobre las TIC, el medio ambiente y el cambio climático basados en los estudios pertinentes y el trabajo en curso en la Comisión de Estudio 5 del UIT-T, en particular sobre cuestiones relacionadas, entre otros, con </w:t>
      </w:r>
      <w:r w:rsidRPr="00CA61A6">
        <w:rPr>
          <w:color w:val="000000"/>
        </w:rPr>
        <w:t>centros de datos ecológicos, edificios inteligentes, adquisición de TIC ecológicas, computación en la nube, eficiencia energética, transporte inteligente, logística inteligente, redes eléctricas inteligentes, gestión de recursos hidrológicos, adaptación al cambio climático y preparación para catástrofes, y cómo contribuye el sector de las TIC a la reducción anual de emisiones de GEI y presente los informes a la Comisión de Estudio 5 a la mayor brevedad posible para que esta proceda a su examen;</w:t>
      </w:r>
    </w:p>
    <w:p w:rsidR="00450BDD" w:rsidRPr="00CA61A6" w:rsidRDefault="00450BDD" w:rsidP="007B3478">
      <w:r w:rsidRPr="00CA61A6">
        <w:t>5</w:t>
      </w:r>
      <w:r w:rsidRPr="00CA61A6">
        <w:tab/>
        <w:t>que organice talleres y seminarios para los países en desarrollo, con el fin de fomentar la sensibilización y determinar sus necesidades concretas y los retos en materia de cuestiones relacionadas con el medio ambiente y el cambio climático;</w:t>
      </w:r>
    </w:p>
    <w:p w:rsidR="00450BDD" w:rsidRPr="00CA61A6" w:rsidRDefault="00450BDD" w:rsidP="007B3478">
      <w:r w:rsidRPr="00CA61A6">
        <w:t>6</w:t>
      </w:r>
      <w:r w:rsidRPr="00CA61A6">
        <w:tab/>
        <w:t>que informe sobre los progresos logrados por el Grupo Especial UIT/OMM/COI de la UNESCO en la investigación de la posibilidad de utilizar cables de telecomunicaciones submarinos para la supervisión de los océanos y el clima, así como la alerta en caso de catástrofe;</w:t>
      </w:r>
    </w:p>
    <w:p w:rsidR="00450BDD" w:rsidRPr="00CA61A6" w:rsidRDefault="00450BDD" w:rsidP="007B3478">
      <w:r w:rsidRPr="00CA61A6">
        <w:t>7</w:t>
      </w:r>
      <w:r w:rsidRPr="00CA61A6">
        <w:tab/>
        <w:t>que promueva el Portal Global del UIT-T sobre las TIC, el medio ambiente y el cambio climático y su utilización como foro electrónico para el intercambio y la difusión de ideas, experiencia y prácticas óptimas sobre las TIC, el medio ambiente y el cambio climático;</w:t>
      </w:r>
    </w:p>
    <w:p w:rsidR="00450BDD" w:rsidRPr="00CA61A6" w:rsidRDefault="00450BDD" w:rsidP="007B3478">
      <w:r w:rsidRPr="00CA61A6">
        <w:t>8</w:t>
      </w:r>
      <w:r w:rsidRPr="00CA61A6">
        <w:tab/>
        <w:t xml:space="preserve">que informe al GANT acerca del cumplimiento de las disposiciones del </w:t>
      </w:r>
      <w:r w:rsidRPr="00CA61A6">
        <w:rPr>
          <w:i/>
          <w:iCs/>
        </w:rPr>
        <w:t>invita al Secretario General</w:t>
      </w:r>
      <w:r w:rsidRPr="00CA61A6">
        <w:t xml:space="preserve"> siguiente,</w:t>
      </w:r>
    </w:p>
    <w:p w:rsidR="00450BDD" w:rsidRPr="00CA61A6" w:rsidRDefault="00450BDD" w:rsidP="007B3478">
      <w:pPr>
        <w:pStyle w:val="Call"/>
      </w:pPr>
      <w:r w:rsidRPr="00CA61A6">
        <w:t>invita al Secretario General</w:t>
      </w:r>
    </w:p>
    <w:p w:rsidR="00450BDD" w:rsidRPr="00CA61A6" w:rsidRDefault="00450BDD" w:rsidP="007B3478">
      <w:r w:rsidRPr="00CA61A6">
        <w:t>a seguir cooperando y colaborando con otras entidades, dentro del sistema de las Naciones Unidas, para la definición de futuras actividades internacionales destinadas a hacer frente con eficacia al cambio climático,</w:t>
      </w:r>
    </w:p>
    <w:p w:rsidR="00450BDD" w:rsidRPr="00CA61A6" w:rsidRDefault="00450BDD" w:rsidP="007B3478">
      <w:pPr>
        <w:pStyle w:val="Call"/>
      </w:pPr>
      <w:r w:rsidRPr="00CA61A6">
        <w:t>invita a los Estados Miembros, los Miembros de Sector y los Asociados</w:t>
      </w:r>
    </w:p>
    <w:p w:rsidR="00450BDD" w:rsidRPr="00CA61A6" w:rsidRDefault="00450BDD" w:rsidP="007B3478">
      <w:r w:rsidRPr="00CA61A6">
        <w:t>1</w:t>
      </w:r>
      <w:r w:rsidRPr="00CA61A6">
        <w:tab/>
        <w:t>a seguir contribuyendo activamente a la Comisión de Estudio 5 y a otras Comisiones de Estudio del UIT</w:t>
      </w:r>
      <w:r w:rsidRPr="00CA61A6">
        <w:noBreakHyphen/>
        <w:t>T sobre las TIC, el medio ambiente y el cambio climático;</w:t>
      </w:r>
    </w:p>
    <w:p w:rsidR="00450BDD" w:rsidRPr="00CA61A6" w:rsidRDefault="00450BDD" w:rsidP="007B3478">
      <w:r w:rsidRPr="00CA61A6">
        <w:t>2</w:t>
      </w:r>
      <w:r w:rsidRPr="00CA61A6">
        <w:tab/>
        <w:t>a proseguir o iniciar programas públicos y privados en los que se contemple la cuestión de las TIC, el medio ambiente y el cambio climático, prestando la debida atención a las Recomendaciones correspondientes del UIT</w:t>
      </w:r>
      <w:r w:rsidRPr="00CA61A6">
        <w:noBreakHyphen/>
        <w:t>T y a los trabajos pertinentes;</w:t>
      </w:r>
    </w:p>
    <w:p w:rsidR="00450BDD" w:rsidRPr="00CA61A6" w:rsidRDefault="00450BDD" w:rsidP="007B3478">
      <w:r w:rsidRPr="00CA61A6">
        <w:t>3</w:t>
      </w:r>
      <w:r w:rsidRPr="00CA61A6">
        <w:tab/>
        <w:t>a compartir prácticas idóneas y a dar a conocer las ventajas de utilizar las TIC ecológicas, de conformidad con las Recomendaciones de la UIT sobre dicha cuestión;</w:t>
      </w:r>
    </w:p>
    <w:p w:rsidR="00450BDD" w:rsidRPr="00CA61A6" w:rsidRDefault="00450BDD" w:rsidP="007B3478">
      <w:r w:rsidRPr="00CA61A6">
        <w:lastRenderedPageBreak/>
        <w:t>4</w:t>
      </w:r>
      <w:r w:rsidRPr="00CA61A6">
        <w:tab/>
        <w:t>a fomentar la integración de políticas en materia de TIC, clima, medio ambiente y energía para mejorar el rendimiento ambiental, la eficiencia energética y la gestión de recursos;</w:t>
      </w:r>
    </w:p>
    <w:p w:rsidR="00450BDD" w:rsidRPr="00CA61A6" w:rsidRDefault="00450BDD" w:rsidP="007B3478">
      <w:r w:rsidRPr="00CA61A6">
        <w:t>5</w:t>
      </w:r>
      <w:r w:rsidRPr="00CA61A6">
        <w:tab/>
        <w:t>a integrar la utilización de las TIC en los planes nacionales de adaptación para utilizar las TIC como instrumento para abordar los efectos del cambio climático;</w:t>
      </w:r>
    </w:p>
    <w:p w:rsidR="00450BDD" w:rsidRPr="00CA61A6" w:rsidRDefault="00450BDD" w:rsidP="000B1306">
      <w:pPr>
        <w:spacing w:after="120"/>
      </w:pPr>
      <w:r w:rsidRPr="00CA61A6">
        <w:t>6</w:t>
      </w:r>
      <w:r w:rsidRPr="00CA61A6">
        <w:tab/>
        <w:t>a coordinarse con sus homólogos nacionales responsables de asuntos medioambientales a fin de apoyar y contribuir al proceso general de las Naciones Unidas sobre el cambio climático facilitando información y elaborando propuestas comunes sobre el papel de las telecomunicaciones/TIC en la mitigación de los efectos del cambio climático y la adaptación a los mismos, de modo que puedan ser tenidas en consideración en el seno de la CMNUCC.</w:t>
      </w:r>
    </w:p>
    <w:tbl>
      <w:tblPr>
        <w:tblW w:w="9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5033"/>
        <w:gridCol w:w="1474"/>
        <w:gridCol w:w="1148"/>
        <w:gridCol w:w="1261"/>
      </w:tblGrid>
      <w:tr w:rsidR="00450BDD" w:rsidRPr="00CA61A6" w:rsidTr="00722A5F">
        <w:trPr>
          <w:cantSplit/>
          <w:tblHeader/>
          <w:jc w:val="center"/>
        </w:trPr>
        <w:tc>
          <w:tcPr>
            <w:tcW w:w="916" w:type="dxa"/>
            <w:tcBorders>
              <w:bottom w:val="double" w:sz="4" w:space="0" w:color="auto"/>
            </w:tcBorders>
            <w:shd w:val="clear" w:color="auto" w:fill="auto"/>
            <w:vAlign w:val="center"/>
          </w:tcPr>
          <w:p w:rsidR="00450BDD" w:rsidRPr="00CA61A6" w:rsidRDefault="00450BDD" w:rsidP="00A26938">
            <w:pPr>
              <w:pStyle w:val="Tablehead"/>
            </w:pPr>
            <w:r w:rsidRPr="00CA61A6">
              <w:t>Número</w:t>
            </w:r>
          </w:p>
        </w:tc>
        <w:tc>
          <w:tcPr>
            <w:tcW w:w="5033" w:type="dxa"/>
            <w:tcBorders>
              <w:bottom w:val="double" w:sz="4" w:space="0" w:color="auto"/>
            </w:tcBorders>
            <w:shd w:val="clear" w:color="auto" w:fill="auto"/>
            <w:vAlign w:val="center"/>
            <w:hideMark/>
          </w:tcPr>
          <w:p w:rsidR="00450BDD" w:rsidRPr="00CA61A6" w:rsidRDefault="00450BDD" w:rsidP="00A26938">
            <w:pPr>
              <w:pStyle w:val="Tablehead"/>
            </w:pPr>
            <w:r w:rsidRPr="00CA61A6">
              <w:t>Acción</w:t>
            </w:r>
          </w:p>
        </w:tc>
        <w:tc>
          <w:tcPr>
            <w:tcW w:w="1474" w:type="dxa"/>
            <w:tcBorders>
              <w:bottom w:val="double" w:sz="4" w:space="0" w:color="auto"/>
            </w:tcBorders>
            <w:shd w:val="clear" w:color="auto" w:fill="auto"/>
            <w:vAlign w:val="center"/>
            <w:hideMark/>
          </w:tcPr>
          <w:p w:rsidR="00450BDD" w:rsidRPr="00CA61A6" w:rsidRDefault="00450BDD" w:rsidP="00A26938">
            <w:pPr>
              <w:pStyle w:val="Tablehead"/>
            </w:pPr>
            <w:r w:rsidRPr="00CA61A6">
              <w:t>Fecha objetivo</w:t>
            </w:r>
          </w:p>
        </w:tc>
        <w:tc>
          <w:tcPr>
            <w:tcW w:w="1148" w:type="dxa"/>
            <w:tcBorders>
              <w:bottom w:val="double" w:sz="4" w:space="0" w:color="auto"/>
            </w:tcBorders>
            <w:shd w:val="clear" w:color="auto" w:fill="auto"/>
          </w:tcPr>
          <w:p w:rsidR="00450BDD" w:rsidRPr="00CA61A6" w:rsidRDefault="00450BDD" w:rsidP="00A26938">
            <w:pPr>
              <w:pStyle w:val="Tablehead"/>
            </w:pPr>
            <w:r w:rsidRPr="00CA61A6">
              <w:t>Objetivos periódicos cumplidos</w:t>
            </w:r>
          </w:p>
        </w:tc>
        <w:tc>
          <w:tcPr>
            <w:tcW w:w="1261" w:type="dxa"/>
            <w:tcBorders>
              <w:bottom w:val="double" w:sz="4" w:space="0" w:color="auto"/>
            </w:tcBorders>
            <w:shd w:val="clear" w:color="auto" w:fill="auto"/>
            <w:vAlign w:val="center"/>
          </w:tcPr>
          <w:p w:rsidR="00450BDD" w:rsidRPr="00CA61A6" w:rsidRDefault="00450BDD" w:rsidP="00A26938">
            <w:pPr>
              <w:pStyle w:val="Tablehead"/>
            </w:pPr>
            <w:r w:rsidRPr="00CA61A6">
              <w:t>Completada</w:t>
            </w:r>
          </w:p>
        </w:tc>
      </w:tr>
      <w:tr w:rsidR="00450BDD" w:rsidRPr="00CA61A6" w:rsidTr="00722A5F">
        <w:trPr>
          <w:cantSplit/>
          <w:jc w:val="center"/>
        </w:trPr>
        <w:tc>
          <w:tcPr>
            <w:tcW w:w="916" w:type="dxa"/>
            <w:tcBorders>
              <w:top w:val="double" w:sz="4" w:space="0" w:color="auto"/>
            </w:tcBorders>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73_01" w:history="1">
              <w:r w:rsidR="00450BDD" w:rsidRPr="00CA61A6">
                <w:rPr>
                  <w:color w:val="0000FF"/>
                  <w:sz w:val="20"/>
                  <w:u w:val="single"/>
                </w:rPr>
                <w:t>73-01</w:t>
              </w:r>
            </w:hyperlink>
          </w:p>
        </w:tc>
        <w:tc>
          <w:tcPr>
            <w:tcW w:w="5033" w:type="dxa"/>
            <w:tcBorders>
              <w:top w:val="double" w:sz="4" w:space="0" w:color="auto"/>
            </w:tcBorders>
            <w:shd w:val="clear" w:color="auto" w:fill="auto"/>
            <w:hideMark/>
          </w:tcPr>
          <w:p w:rsidR="00450BDD" w:rsidRPr="00CA61A6" w:rsidRDefault="00343F12" w:rsidP="00343F12">
            <w:pPr>
              <w:pStyle w:val="Tabletext"/>
            </w:pPr>
            <w:r>
              <w:t>E</w:t>
            </w:r>
            <w:r w:rsidR="00450BDD" w:rsidRPr="00CA61A6">
              <w:t>l Director contin</w:t>
            </w:r>
            <w:r>
              <w:t>uará</w:t>
            </w:r>
            <w:r w:rsidR="00450BDD" w:rsidRPr="00CA61A6">
              <w:t xml:space="preserve"> y avan</w:t>
            </w:r>
            <w:r>
              <w:t>zará</w:t>
            </w:r>
            <w:r w:rsidR="00450BDD" w:rsidRPr="00CA61A6">
              <w:t xml:space="preserve"> en el desarrollo del programa de trabajo del UIT-T sobre las TIC y el cambio climático</w:t>
            </w:r>
          </w:p>
        </w:tc>
        <w:tc>
          <w:tcPr>
            <w:tcW w:w="1474" w:type="dxa"/>
            <w:tcBorders>
              <w:top w:val="double" w:sz="4" w:space="0" w:color="auto"/>
            </w:tcBorders>
            <w:shd w:val="clear" w:color="auto" w:fill="auto"/>
            <w:vAlign w:val="center"/>
            <w:hideMark/>
          </w:tcPr>
          <w:p w:rsidR="00450BDD" w:rsidRPr="00CA61A6" w:rsidRDefault="00450BDD" w:rsidP="008D484B">
            <w:pPr>
              <w:pStyle w:val="Tabletext"/>
              <w:jc w:val="center"/>
            </w:pPr>
            <w:r w:rsidRPr="00CA61A6">
              <w:t>En curso</w:t>
            </w:r>
          </w:p>
        </w:tc>
        <w:tc>
          <w:tcPr>
            <w:tcW w:w="1148" w:type="dxa"/>
            <w:tcBorders>
              <w:top w:val="double" w:sz="4" w:space="0" w:color="auto"/>
            </w:tcBorders>
            <w:shd w:val="clear" w:color="auto" w:fill="auto"/>
            <w:vAlign w:val="center"/>
          </w:tcPr>
          <w:p w:rsidR="00450BDD" w:rsidRPr="00CA61A6" w:rsidRDefault="006B3C6B" w:rsidP="008D484B">
            <w:pPr>
              <w:pStyle w:val="Tabletext"/>
              <w:jc w:val="center"/>
            </w:pPr>
            <w:r w:rsidRPr="00CA61A6">
              <w:sym w:font="Wingdings" w:char="F0FC"/>
            </w:r>
          </w:p>
        </w:tc>
        <w:tc>
          <w:tcPr>
            <w:tcW w:w="1261" w:type="dxa"/>
            <w:tcBorders>
              <w:top w:val="double" w:sz="4" w:space="0" w:color="auto"/>
            </w:tcBorders>
            <w:shd w:val="clear" w:color="auto" w:fill="auto"/>
            <w:vAlign w:val="center"/>
          </w:tcPr>
          <w:p w:rsidR="00450BDD" w:rsidRPr="00CA61A6" w:rsidRDefault="00450BDD" w:rsidP="008D484B">
            <w:pPr>
              <w:pStyle w:val="Tabletext"/>
              <w:jc w:val="center"/>
            </w:pPr>
          </w:p>
        </w:tc>
      </w:tr>
      <w:tr w:rsidR="00450BDD" w:rsidRPr="00CA61A6" w:rsidTr="00722A5F">
        <w:trPr>
          <w:cantSplit/>
          <w:jc w:val="center"/>
        </w:trPr>
        <w:tc>
          <w:tcPr>
            <w:tcW w:w="916" w:type="dxa"/>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73_02" w:history="1">
              <w:r w:rsidR="00450BDD" w:rsidRPr="00CA61A6">
                <w:rPr>
                  <w:color w:val="0000FF"/>
                  <w:sz w:val="20"/>
                  <w:u w:val="single"/>
                </w:rPr>
                <w:t>73-02</w:t>
              </w:r>
            </w:hyperlink>
          </w:p>
        </w:tc>
        <w:tc>
          <w:tcPr>
            <w:tcW w:w="5033" w:type="dxa"/>
            <w:shd w:val="clear" w:color="auto" w:fill="auto"/>
          </w:tcPr>
          <w:p w:rsidR="00450BDD" w:rsidRPr="00CA61A6" w:rsidRDefault="00343F12" w:rsidP="00343F12">
            <w:pPr>
              <w:pStyle w:val="Tabletext"/>
            </w:pPr>
            <w:r>
              <w:t>L</w:t>
            </w:r>
            <w:r w:rsidR="00450BDD" w:rsidRPr="00CA61A6">
              <w:t>a TSB s</w:t>
            </w:r>
            <w:r>
              <w:t>eguirá</w:t>
            </w:r>
            <w:r w:rsidR="00450BDD" w:rsidRPr="00CA61A6">
              <w:t xml:space="preserve"> manteniendo al día y actualiza</w:t>
            </w:r>
            <w:r w:rsidR="001D1626">
              <w:t>n</w:t>
            </w:r>
            <w:r w:rsidR="00450BDD" w:rsidRPr="00CA61A6">
              <w:t>do el Portal Global del UIT-T sobre las TIC, el medio amb</w:t>
            </w:r>
            <w:r w:rsidR="00731EDE">
              <w:t xml:space="preserve">iente y el cambio climático, y </w:t>
            </w:r>
            <w:r w:rsidR="00450BDD" w:rsidRPr="00CA61A6">
              <w:t>lo desarroll</w:t>
            </w:r>
            <w:r>
              <w:t>ará y promoverá</w:t>
            </w:r>
          </w:p>
        </w:tc>
        <w:tc>
          <w:tcPr>
            <w:tcW w:w="1474" w:type="dxa"/>
            <w:shd w:val="clear" w:color="auto" w:fill="auto"/>
            <w:vAlign w:val="center"/>
          </w:tcPr>
          <w:p w:rsidR="00450BDD" w:rsidRPr="00CA61A6" w:rsidRDefault="00450BDD" w:rsidP="008D484B">
            <w:pPr>
              <w:pStyle w:val="Tabletext"/>
              <w:jc w:val="center"/>
            </w:pPr>
            <w:r w:rsidRPr="00CA61A6">
              <w:t>En curso</w:t>
            </w:r>
          </w:p>
        </w:tc>
        <w:tc>
          <w:tcPr>
            <w:tcW w:w="1148" w:type="dxa"/>
            <w:shd w:val="clear" w:color="auto" w:fill="auto"/>
            <w:vAlign w:val="center"/>
          </w:tcPr>
          <w:p w:rsidR="00450BDD" w:rsidRPr="00CA61A6" w:rsidRDefault="006B3C6B" w:rsidP="008D484B">
            <w:pPr>
              <w:pStyle w:val="Tabletext"/>
              <w:jc w:val="center"/>
            </w:pPr>
            <w:r w:rsidRPr="00CA61A6">
              <w:sym w:font="Wingdings" w:char="F0FC"/>
            </w:r>
          </w:p>
        </w:tc>
        <w:tc>
          <w:tcPr>
            <w:tcW w:w="1261" w:type="dxa"/>
            <w:shd w:val="clear" w:color="auto" w:fill="auto"/>
            <w:vAlign w:val="center"/>
          </w:tcPr>
          <w:p w:rsidR="00450BDD" w:rsidRPr="00CA61A6" w:rsidRDefault="00450BDD" w:rsidP="008D484B">
            <w:pPr>
              <w:pStyle w:val="Tabletext"/>
              <w:jc w:val="center"/>
            </w:pPr>
          </w:p>
        </w:tc>
      </w:tr>
      <w:tr w:rsidR="00450BDD" w:rsidRPr="00CA61A6" w:rsidTr="00722A5F">
        <w:trPr>
          <w:cantSplit/>
          <w:jc w:val="center"/>
        </w:trPr>
        <w:tc>
          <w:tcPr>
            <w:tcW w:w="916" w:type="dxa"/>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73_03" w:history="1">
              <w:r w:rsidR="00450BDD" w:rsidRPr="00CA61A6">
                <w:rPr>
                  <w:color w:val="0000FF"/>
                  <w:sz w:val="20"/>
                  <w:u w:val="single"/>
                </w:rPr>
                <w:t>73-03</w:t>
              </w:r>
            </w:hyperlink>
          </w:p>
        </w:tc>
        <w:tc>
          <w:tcPr>
            <w:tcW w:w="5033" w:type="dxa"/>
            <w:shd w:val="clear" w:color="auto" w:fill="auto"/>
          </w:tcPr>
          <w:p w:rsidR="00450BDD" w:rsidRPr="00CA61A6" w:rsidRDefault="00343F12" w:rsidP="00343F12">
            <w:pPr>
              <w:pStyle w:val="Tabletext"/>
            </w:pPr>
            <w:r>
              <w:t>L</w:t>
            </w:r>
            <w:r w:rsidR="00450BDD" w:rsidRPr="00CA61A6">
              <w:t>a TSB foment</w:t>
            </w:r>
            <w:r>
              <w:t>ará</w:t>
            </w:r>
            <w:r w:rsidR="00450BDD" w:rsidRPr="00CA61A6">
              <w:t xml:space="preserve"> la adopción de Recomendaciones UIT-T como un instrumento poderoso y de alcance intersectorial para la evaluación y reducción de las emisiones de GEI, la optimización del consumo de agua y energía, la minimización de los residuos electrónicos, etc., dando a conocer el papel de las TIC en la mejora de la sostenibilidad medioambiental</w:t>
            </w:r>
          </w:p>
        </w:tc>
        <w:tc>
          <w:tcPr>
            <w:tcW w:w="1474" w:type="dxa"/>
            <w:shd w:val="clear" w:color="auto" w:fill="auto"/>
            <w:vAlign w:val="center"/>
          </w:tcPr>
          <w:p w:rsidR="00450BDD" w:rsidRPr="00CA61A6" w:rsidRDefault="00450BDD" w:rsidP="008D484B">
            <w:pPr>
              <w:pStyle w:val="Tabletext"/>
              <w:jc w:val="center"/>
            </w:pPr>
            <w:r w:rsidRPr="00CA61A6">
              <w:t>En curso</w:t>
            </w:r>
          </w:p>
        </w:tc>
        <w:tc>
          <w:tcPr>
            <w:tcW w:w="1148" w:type="dxa"/>
            <w:shd w:val="clear" w:color="auto" w:fill="auto"/>
            <w:vAlign w:val="center"/>
          </w:tcPr>
          <w:p w:rsidR="00450BDD" w:rsidRPr="00CA61A6" w:rsidRDefault="006B3C6B" w:rsidP="008D484B">
            <w:pPr>
              <w:pStyle w:val="Tabletext"/>
              <w:jc w:val="center"/>
            </w:pPr>
            <w:r w:rsidRPr="00CA61A6">
              <w:sym w:font="Wingdings" w:char="F0FC"/>
            </w:r>
          </w:p>
        </w:tc>
        <w:tc>
          <w:tcPr>
            <w:tcW w:w="1261" w:type="dxa"/>
            <w:shd w:val="clear" w:color="auto" w:fill="auto"/>
            <w:vAlign w:val="center"/>
          </w:tcPr>
          <w:p w:rsidR="00450BDD" w:rsidRPr="00CA61A6" w:rsidRDefault="00450BDD" w:rsidP="008D484B">
            <w:pPr>
              <w:pStyle w:val="Tabletext"/>
              <w:jc w:val="center"/>
            </w:pPr>
          </w:p>
        </w:tc>
      </w:tr>
      <w:tr w:rsidR="00450BDD" w:rsidRPr="00CA61A6" w:rsidTr="00722A5F">
        <w:trPr>
          <w:cantSplit/>
          <w:jc w:val="center"/>
        </w:trPr>
        <w:tc>
          <w:tcPr>
            <w:tcW w:w="916" w:type="dxa"/>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73_04" w:history="1">
              <w:r w:rsidR="00450BDD" w:rsidRPr="00CA61A6">
                <w:rPr>
                  <w:color w:val="0000FF"/>
                  <w:sz w:val="20"/>
                  <w:u w:val="single"/>
                </w:rPr>
                <w:t>73-04</w:t>
              </w:r>
            </w:hyperlink>
          </w:p>
        </w:tc>
        <w:tc>
          <w:tcPr>
            <w:tcW w:w="5033" w:type="dxa"/>
            <w:shd w:val="clear" w:color="auto" w:fill="auto"/>
          </w:tcPr>
          <w:p w:rsidR="00450BDD" w:rsidRPr="00CA61A6" w:rsidRDefault="001742A6" w:rsidP="001742A6">
            <w:pPr>
              <w:pStyle w:val="Tabletext"/>
            </w:pPr>
            <w:r>
              <w:t>L</w:t>
            </w:r>
            <w:r w:rsidR="00450BDD" w:rsidRPr="00CA61A6">
              <w:t>a TSB prest</w:t>
            </w:r>
            <w:r>
              <w:t>ará</w:t>
            </w:r>
            <w:r w:rsidR="00450BDD" w:rsidRPr="00CA61A6">
              <w:t xml:space="preserve"> asistencia técnica para la elaboración de Planes de Acción nacionales sobre TIC ecológicas y elabor</w:t>
            </w:r>
            <w:r>
              <w:t>ará</w:t>
            </w:r>
            <w:r w:rsidR="00450BDD" w:rsidRPr="00CA61A6">
              <w:t xml:space="preserve"> un mecanismo de notificación para ayudar a los países a poner en práctica su Plan</w:t>
            </w:r>
          </w:p>
        </w:tc>
        <w:tc>
          <w:tcPr>
            <w:tcW w:w="1474" w:type="dxa"/>
            <w:shd w:val="clear" w:color="auto" w:fill="auto"/>
            <w:vAlign w:val="center"/>
          </w:tcPr>
          <w:p w:rsidR="00450BDD" w:rsidRPr="00CA61A6" w:rsidRDefault="00450BDD" w:rsidP="008D484B">
            <w:pPr>
              <w:pStyle w:val="Tabletext"/>
              <w:jc w:val="center"/>
            </w:pPr>
            <w:r w:rsidRPr="00CA61A6">
              <w:t>En curso</w:t>
            </w:r>
          </w:p>
        </w:tc>
        <w:tc>
          <w:tcPr>
            <w:tcW w:w="1148" w:type="dxa"/>
            <w:shd w:val="clear" w:color="auto" w:fill="auto"/>
            <w:vAlign w:val="center"/>
          </w:tcPr>
          <w:p w:rsidR="00450BDD" w:rsidRPr="00CA61A6" w:rsidRDefault="006B3C6B" w:rsidP="008D484B">
            <w:pPr>
              <w:pStyle w:val="Tabletext"/>
              <w:jc w:val="center"/>
            </w:pPr>
            <w:r w:rsidRPr="00CA61A6">
              <w:sym w:font="Wingdings" w:char="F0FC"/>
            </w:r>
          </w:p>
        </w:tc>
        <w:tc>
          <w:tcPr>
            <w:tcW w:w="1261" w:type="dxa"/>
            <w:shd w:val="clear" w:color="auto" w:fill="auto"/>
            <w:vAlign w:val="center"/>
          </w:tcPr>
          <w:p w:rsidR="00450BDD" w:rsidRPr="00CA61A6" w:rsidRDefault="00450BDD" w:rsidP="008D484B">
            <w:pPr>
              <w:pStyle w:val="Tabletext"/>
              <w:jc w:val="center"/>
            </w:pPr>
          </w:p>
        </w:tc>
      </w:tr>
      <w:tr w:rsidR="00450BDD" w:rsidRPr="00CA61A6" w:rsidTr="00722A5F">
        <w:trPr>
          <w:cantSplit/>
          <w:jc w:val="center"/>
        </w:trPr>
        <w:tc>
          <w:tcPr>
            <w:tcW w:w="916" w:type="dxa"/>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73_05" w:history="1">
              <w:r w:rsidR="00450BDD" w:rsidRPr="00CA61A6">
                <w:rPr>
                  <w:color w:val="0000FF"/>
                  <w:sz w:val="20"/>
                  <w:u w:val="single"/>
                </w:rPr>
                <w:t>73-05</w:t>
              </w:r>
            </w:hyperlink>
          </w:p>
        </w:tc>
        <w:tc>
          <w:tcPr>
            <w:tcW w:w="5033" w:type="dxa"/>
            <w:shd w:val="clear" w:color="auto" w:fill="auto"/>
          </w:tcPr>
          <w:p w:rsidR="00450BDD" w:rsidRPr="00CA61A6" w:rsidRDefault="001742A6" w:rsidP="001742A6">
            <w:pPr>
              <w:pStyle w:val="Tabletext"/>
            </w:pPr>
            <w:r>
              <w:t>L</w:t>
            </w:r>
            <w:r w:rsidR="00450BDD" w:rsidRPr="00CA61A6">
              <w:t>a TSB cre</w:t>
            </w:r>
            <w:r>
              <w:t>ará</w:t>
            </w:r>
            <w:r w:rsidR="00450BDD" w:rsidRPr="00CA61A6">
              <w:t xml:space="preserve"> programas de teleaprendizaje sobre Recomendaciones relativas a las TIC, el medio ambiente y el cambio climático</w:t>
            </w:r>
          </w:p>
        </w:tc>
        <w:tc>
          <w:tcPr>
            <w:tcW w:w="1474" w:type="dxa"/>
            <w:shd w:val="clear" w:color="auto" w:fill="auto"/>
            <w:vAlign w:val="center"/>
          </w:tcPr>
          <w:p w:rsidR="00450BDD" w:rsidRPr="00CA61A6" w:rsidRDefault="00450BDD" w:rsidP="008D484B">
            <w:pPr>
              <w:pStyle w:val="Tabletext"/>
              <w:jc w:val="center"/>
            </w:pPr>
            <w:r w:rsidRPr="00CA61A6">
              <w:t>En curso</w:t>
            </w:r>
          </w:p>
        </w:tc>
        <w:tc>
          <w:tcPr>
            <w:tcW w:w="1148" w:type="dxa"/>
            <w:shd w:val="clear" w:color="auto" w:fill="auto"/>
            <w:vAlign w:val="center"/>
          </w:tcPr>
          <w:p w:rsidR="00450BDD" w:rsidRPr="00CA61A6" w:rsidRDefault="006B3C6B" w:rsidP="008D484B">
            <w:pPr>
              <w:pStyle w:val="Tabletext"/>
              <w:jc w:val="center"/>
            </w:pPr>
            <w:r w:rsidRPr="00CA61A6">
              <w:sym w:font="Wingdings" w:char="F0FC"/>
            </w:r>
          </w:p>
        </w:tc>
        <w:tc>
          <w:tcPr>
            <w:tcW w:w="1261" w:type="dxa"/>
            <w:shd w:val="clear" w:color="auto" w:fill="auto"/>
            <w:vAlign w:val="center"/>
          </w:tcPr>
          <w:p w:rsidR="00450BDD" w:rsidRPr="00CA61A6" w:rsidRDefault="00450BDD" w:rsidP="008D484B">
            <w:pPr>
              <w:pStyle w:val="Tabletext"/>
              <w:jc w:val="center"/>
            </w:pPr>
          </w:p>
        </w:tc>
      </w:tr>
      <w:tr w:rsidR="00450BDD" w:rsidRPr="00CA61A6" w:rsidTr="00722A5F">
        <w:trPr>
          <w:cantSplit/>
          <w:jc w:val="center"/>
        </w:trPr>
        <w:tc>
          <w:tcPr>
            <w:tcW w:w="916" w:type="dxa"/>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73_06" w:history="1">
              <w:r w:rsidR="00450BDD" w:rsidRPr="00CA61A6">
                <w:rPr>
                  <w:color w:val="0000FF"/>
                  <w:sz w:val="20"/>
                  <w:u w:val="single"/>
                </w:rPr>
                <w:t>73-06</w:t>
              </w:r>
            </w:hyperlink>
          </w:p>
        </w:tc>
        <w:tc>
          <w:tcPr>
            <w:tcW w:w="5033" w:type="dxa"/>
            <w:shd w:val="clear" w:color="auto" w:fill="auto"/>
            <w:hideMark/>
          </w:tcPr>
          <w:p w:rsidR="00450BDD" w:rsidRPr="00CA61A6" w:rsidRDefault="001742A6" w:rsidP="001742A6">
            <w:pPr>
              <w:pStyle w:val="Tabletext"/>
            </w:pPr>
            <w:r>
              <w:t>E</w:t>
            </w:r>
            <w:r w:rsidR="00450BDD" w:rsidRPr="00CA61A6">
              <w:t>l GANT, a través de la JCA-TIC y cambio climático, coordin</w:t>
            </w:r>
            <w:r>
              <w:t>ará</w:t>
            </w:r>
            <w:r w:rsidR="00450BDD" w:rsidRPr="00CA61A6">
              <w:t xml:space="preserve"> las CE del UIT-T y se asegur</w:t>
            </w:r>
            <w:r>
              <w:t>ará</w:t>
            </w:r>
            <w:r w:rsidR="00450BDD" w:rsidRPr="00CA61A6">
              <w:t xml:space="preserve"> de que las Comisiones de Estudio efectúan un análisis de las correspondientes Recomendaciones del UIT-T en vigor y de todas las futuras Recomendaciones, para evaluar sus repercusiones y la aplicación de prácticas idóneas en función de la protección del medio ambiente y el cambio climático</w:t>
            </w:r>
          </w:p>
        </w:tc>
        <w:tc>
          <w:tcPr>
            <w:tcW w:w="1474" w:type="dxa"/>
            <w:shd w:val="clear" w:color="auto" w:fill="auto"/>
            <w:vAlign w:val="center"/>
          </w:tcPr>
          <w:p w:rsidR="00450BDD" w:rsidRPr="00CA61A6" w:rsidRDefault="00450BDD" w:rsidP="008D484B">
            <w:pPr>
              <w:pStyle w:val="Tabletext"/>
              <w:jc w:val="center"/>
            </w:pPr>
            <w:r w:rsidRPr="00CA61A6">
              <w:t>En curso</w:t>
            </w:r>
          </w:p>
        </w:tc>
        <w:tc>
          <w:tcPr>
            <w:tcW w:w="1148" w:type="dxa"/>
            <w:shd w:val="clear" w:color="auto" w:fill="auto"/>
            <w:vAlign w:val="center"/>
          </w:tcPr>
          <w:p w:rsidR="00450BDD" w:rsidRPr="00CA61A6" w:rsidRDefault="006B3C6B" w:rsidP="008D484B">
            <w:pPr>
              <w:pStyle w:val="Tabletext"/>
              <w:jc w:val="center"/>
            </w:pPr>
            <w:r w:rsidRPr="00CA61A6">
              <w:sym w:font="Wingdings" w:char="F0FC"/>
            </w:r>
          </w:p>
        </w:tc>
        <w:tc>
          <w:tcPr>
            <w:tcW w:w="1261" w:type="dxa"/>
            <w:shd w:val="clear" w:color="auto" w:fill="auto"/>
            <w:vAlign w:val="center"/>
          </w:tcPr>
          <w:p w:rsidR="00450BDD" w:rsidRPr="00CA61A6" w:rsidRDefault="00450BDD" w:rsidP="008D484B">
            <w:pPr>
              <w:pStyle w:val="Tabletext"/>
              <w:jc w:val="center"/>
            </w:pPr>
          </w:p>
        </w:tc>
      </w:tr>
      <w:tr w:rsidR="00450BDD" w:rsidRPr="00CA61A6" w:rsidTr="00722A5F">
        <w:trPr>
          <w:cantSplit/>
          <w:jc w:val="center"/>
        </w:trPr>
        <w:tc>
          <w:tcPr>
            <w:tcW w:w="916" w:type="dxa"/>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73_07" w:history="1">
              <w:r w:rsidR="00450BDD" w:rsidRPr="00CA61A6">
                <w:rPr>
                  <w:color w:val="0000FF"/>
                  <w:sz w:val="20"/>
                  <w:u w:val="single"/>
                </w:rPr>
                <w:t>73-07</w:t>
              </w:r>
            </w:hyperlink>
          </w:p>
        </w:tc>
        <w:tc>
          <w:tcPr>
            <w:tcW w:w="5033" w:type="dxa"/>
            <w:shd w:val="clear" w:color="auto" w:fill="auto"/>
            <w:hideMark/>
          </w:tcPr>
          <w:p w:rsidR="00450BDD" w:rsidRPr="00CA61A6" w:rsidRDefault="001742A6" w:rsidP="001742A6">
            <w:pPr>
              <w:pStyle w:val="Tabletext"/>
            </w:pPr>
            <w:r>
              <w:t>E</w:t>
            </w:r>
            <w:r w:rsidR="00450BDD" w:rsidRPr="00CA61A6">
              <w:t>l GANT consider</w:t>
            </w:r>
            <w:r>
              <w:t>ará</w:t>
            </w:r>
            <w:r w:rsidR="00450BDD" w:rsidRPr="00CA61A6">
              <w:t xml:space="preserve"> la posibilidad de revisar los métodos de trabajo para reducir los efectos del cambio climático</w:t>
            </w:r>
          </w:p>
        </w:tc>
        <w:tc>
          <w:tcPr>
            <w:tcW w:w="1474" w:type="dxa"/>
            <w:shd w:val="clear" w:color="auto" w:fill="auto"/>
            <w:vAlign w:val="center"/>
          </w:tcPr>
          <w:p w:rsidR="00450BDD" w:rsidRPr="00CA61A6" w:rsidRDefault="00450BDD" w:rsidP="008D484B">
            <w:pPr>
              <w:pStyle w:val="Tabletext"/>
              <w:jc w:val="center"/>
            </w:pPr>
            <w:r w:rsidRPr="00CA61A6">
              <w:t>En curso</w:t>
            </w:r>
          </w:p>
        </w:tc>
        <w:tc>
          <w:tcPr>
            <w:tcW w:w="1148" w:type="dxa"/>
            <w:shd w:val="clear" w:color="auto" w:fill="auto"/>
            <w:vAlign w:val="center"/>
          </w:tcPr>
          <w:p w:rsidR="00450BDD" w:rsidRPr="00CA61A6" w:rsidRDefault="006B3C6B" w:rsidP="008D484B">
            <w:pPr>
              <w:pStyle w:val="Tabletext"/>
              <w:jc w:val="center"/>
            </w:pPr>
            <w:r w:rsidRPr="00CA61A6">
              <w:sym w:font="Wingdings" w:char="F0FC"/>
            </w:r>
          </w:p>
        </w:tc>
        <w:tc>
          <w:tcPr>
            <w:tcW w:w="1261" w:type="dxa"/>
            <w:shd w:val="clear" w:color="auto" w:fill="auto"/>
            <w:vAlign w:val="center"/>
          </w:tcPr>
          <w:p w:rsidR="00450BDD" w:rsidRPr="00CA61A6" w:rsidRDefault="00450BDD" w:rsidP="008D484B">
            <w:pPr>
              <w:pStyle w:val="Tabletext"/>
              <w:jc w:val="center"/>
            </w:pPr>
          </w:p>
        </w:tc>
      </w:tr>
      <w:tr w:rsidR="00450BDD" w:rsidRPr="00CA61A6" w:rsidTr="00722A5F">
        <w:trPr>
          <w:cantSplit/>
          <w:jc w:val="center"/>
        </w:trPr>
        <w:tc>
          <w:tcPr>
            <w:tcW w:w="916" w:type="dxa"/>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73_08" w:history="1">
              <w:r w:rsidR="00450BDD" w:rsidRPr="00CA61A6">
                <w:rPr>
                  <w:color w:val="0000FF"/>
                  <w:sz w:val="20"/>
                  <w:u w:val="single"/>
                </w:rPr>
                <w:t>73-08</w:t>
              </w:r>
            </w:hyperlink>
          </w:p>
        </w:tc>
        <w:tc>
          <w:tcPr>
            <w:tcW w:w="5033" w:type="dxa"/>
            <w:shd w:val="clear" w:color="auto" w:fill="auto"/>
          </w:tcPr>
          <w:p w:rsidR="00450BDD" w:rsidRPr="00CA61A6" w:rsidRDefault="001742A6" w:rsidP="001742A6">
            <w:pPr>
              <w:pStyle w:val="Tabletext"/>
            </w:pPr>
            <w:r>
              <w:t>L</w:t>
            </w:r>
            <w:r w:rsidR="00450BDD" w:rsidRPr="00CA61A6">
              <w:t>as Comisiones de Estudio, en particular la CE</w:t>
            </w:r>
            <w:r w:rsidR="008B5B32" w:rsidRPr="00CA61A6">
              <w:t> </w:t>
            </w:r>
            <w:r w:rsidR="00450BDD" w:rsidRPr="00CA61A6">
              <w:t>5, elabor</w:t>
            </w:r>
            <w:r>
              <w:t>arán</w:t>
            </w:r>
            <w:r w:rsidR="00450BDD" w:rsidRPr="00CA61A6">
              <w:t xml:space="preserve"> Recomendaciones sobre TIC, el medio ambiente y el cambio climático</w:t>
            </w:r>
          </w:p>
        </w:tc>
        <w:tc>
          <w:tcPr>
            <w:tcW w:w="1474" w:type="dxa"/>
            <w:shd w:val="clear" w:color="auto" w:fill="auto"/>
            <w:vAlign w:val="center"/>
          </w:tcPr>
          <w:p w:rsidR="00450BDD" w:rsidRPr="00CA61A6" w:rsidRDefault="00450BDD" w:rsidP="008D484B">
            <w:pPr>
              <w:pStyle w:val="Tabletext"/>
              <w:jc w:val="center"/>
            </w:pPr>
            <w:r w:rsidRPr="00CA61A6">
              <w:t>En curso</w:t>
            </w:r>
          </w:p>
        </w:tc>
        <w:tc>
          <w:tcPr>
            <w:tcW w:w="1148" w:type="dxa"/>
            <w:shd w:val="clear" w:color="auto" w:fill="auto"/>
            <w:vAlign w:val="center"/>
          </w:tcPr>
          <w:p w:rsidR="00450BDD" w:rsidRPr="00CA61A6" w:rsidRDefault="006B3C6B" w:rsidP="008D484B">
            <w:pPr>
              <w:pStyle w:val="Tabletext"/>
              <w:jc w:val="center"/>
            </w:pPr>
            <w:r w:rsidRPr="00CA61A6">
              <w:sym w:font="Wingdings" w:char="F0FC"/>
            </w:r>
          </w:p>
        </w:tc>
        <w:tc>
          <w:tcPr>
            <w:tcW w:w="1261" w:type="dxa"/>
            <w:shd w:val="clear" w:color="auto" w:fill="auto"/>
            <w:vAlign w:val="center"/>
          </w:tcPr>
          <w:p w:rsidR="00450BDD" w:rsidRPr="00CA61A6" w:rsidRDefault="00450BDD" w:rsidP="008D484B">
            <w:pPr>
              <w:pStyle w:val="Tabletext"/>
              <w:jc w:val="center"/>
            </w:pPr>
          </w:p>
        </w:tc>
      </w:tr>
      <w:tr w:rsidR="00450BDD" w:rsidRPr="00CA61A6" w:rsidTr="00722A5F">
        <w:trPr>
          <w:cantSplit/>
          <w:jc w:val="center"/>
        </w:trPr>
        <w:tc>
          <w:tcPr>
            <w:tcW w:w="916" w:type="dxa"/>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73_09" w:history="1">
              <w:r w:rsidR="00450BDD" w:rsidRPr="00CA61A6">
                <w:rPr>
                  <w:color w:val="0000FF"/>
                  <w:sz w:val="20"/>
                  <w:u w:val="single"/>
                </w:rPr>
                <w:t>73-09</w:t>
              </w:r>
            </w:hyperlink>
          </w:p>
        </w:tc>
        <w:tc>
          <w:tcPr>
            <w:tcW w:w="5033" w:type="dxa"/>
            <w:shd w:val="clear" w:color="auto" w:fill="auto"/>
          </w:tcPr>
          <w:p w:rsidR="00450BDD" w:rsidRPr="00CA61A6" w:rsidRDefault="001742A6" w:rsidP="001742A6">
            <w:pPr>
              <w:pStyle w:val="Tabletext"/>
            </w:pPr>
            <w:r>
              <w:t>E</w:t>
            </w:r>
            <w:r w:rsidR="00450BDD" w:rsidRPr="00CA61A6">
              <w:t>l Director, en colaboración con los demás Directores, manten</w:t>
            </w:r>
            <w:r>
              <w:t>drá</w:t>
            </w:r>
            <w:r w:rsidR="00450BDD" w:rsidRPr="00CA61A6">
              <w:t xml:space="preserve"> actualizado un calendario de eventos relacionados con las TIC, el medio ambiente y el cambio climático</w:t>
            </w:r>
          </w:p>
        </w:tc>
        <w:tc>
          <w:tcPr>
            <w:tcW w:w="1474" w:type="dxa"/>
            <w:shd w:val="clear" w:color="auto" w:fill="auto"/>
            <w:vAlign w:val="center"/>
          </w:tcPr>
          <w:p w:rsidR="00450BDD" w:rsidRPr="00CA61A6" w:rsidRDefault="00450BDD" w:rsidP="008D484B">
            <w:pPr>
              <w:pStyle w:val="Tabletext"/>
              <w:jc w:val="center"/>
            </w:pPr>
            <w:r w:rsidRPr="00CA61A6">
              <w:t>En curso</w:t>
            </w:r>
          </w:p>
        </w:tc>
        <w:tc>
          <w:tcPr>
            <w:tcW w:w="1148" w:type="dxa"/>
            <w:shd w:val="clear" w:color="auto" w:fill="auto"/>
            <w:vAlign w:val="center"/>
          </w:tcPr>
          <w:p w:rsidR="00450BDD" w:rsidRPr="00CA61A6" w:rsidRDefault="006B3C6B" w:rsidP="008D484B">
            <w:pPr>
              <w:pStyle w:val="Tabletext"/>
              <w:jc w:val="center"/>
            </w:pPr>
            <w:r w:rsidRPr="00CA61A6">
              <w:sym w:font="Wingdings" w:char="F0FC"/>
            </w:r>
          </w:p>
        </w:tc>
        <w:tc>
          <w:tcPr>
            <w:tcW w:w="1261" w:type="dxa"/>
            <w:shd w:val="clear" w:color="auto" w:fill="auto"/>
            <w:vAlign w:val="center"/>
          </w:tcPr>
          <w:p w:rsidR="00450BDD" w:rsidRPr="00CA61A6" w:rsidRDefault="00450BDD" w:rsidP="008D484B">
            <w:pPr>
              <w:pStyle w:val="Tabletext"/>
              <w:jc w:val="center"/>
            </w:pPr>
          </w:p>
        </w:tc>
      </w:tr>
      <w:tr w:rsidR="00450BDD" w:rsidRPr="00CA61A6" w:rsidTr="00722A5F">
        <w:trPr>
          <w:cantSplit/>
          <w:jc w:val="center"/>
        </w:trPr>
        <w:tc>
          <w:tcPr>
            <w:tcW w:w="916" w:type="dxa"/>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73_10" w:history="1">
              <w:r w:rsidR="00450BDD" w:rsidRPr="00CA61A6">
                <w:rPr>
                  <w:color w:val="0000FF"/>
                  <w:sz w:val="20"/>
                  <w:u w:val="single"/>
                </w:rPr>
                <w:t>73-10</w:t>
              </w:r>
            </w:hyperlink>
          </w:p>
        </w:tc>
        <w:tc>
          <w:tcPr>
            <w:tcW w:w="5033" w:type="dxa"/>
            <w:shd w:val="clear" w:color="auto" w:fill="auto"/>
          </w:tcPr>
          <w:p w:rsidR="00450BDD" w:rsidRPr="00CA61A6" w:rsidRDefault="001742A6" w:rsidP="001742A6">
            <w:pPr>
              <w:pStyle w:val="Tabletext"/>
            </w:pPr>
            <w:r>
              <w:t>E</w:t>
            </w:r>
            <w:r w:rsidR="00450BDD" w:rsidRPr="00CA61A6">
              <w:t>l Director, en colaboración con los demás Directores, reali</w:t>
            </w:r>
            <w:r>
              <w:t>zará</w:t>
            </w:r>
            <w:r w:rsidR="00450BDD" w:rsidRPr="00CA61A6">
              <w:t xml:space="preserve"> proyectos piloto destinados al cierre de la brecha de normalización en lo que respecta a la sostenibilidad medioambiental, en particular en los países en desarrollo</w:t>
            </w:r>
          </w:p>
        </w:tc>
        <w:tc>
          <w:tcPr>
            <w:tcW w:w="1474" w:type="dxa"/>
            <w:shd w:val="clear" w:color="auto" w:fill="auto"/>
            <w:vAlign w:val="center"/>
          </w:tcPr>
          <w:p w:rsidR="00450BDD" w:rsidRPr="00CA61A6" w:rsidRDefault="00450BDD" w:rsidP="008D484B">
            <w:pPr>
              <w:pStyle w:val="Tabletext"/>
              <w:jc w:val="center"/>
            </w:pPr>
            <w:r w:rsidRPr="00CA61A6">
              <w:t>En curso</w:t>
            </w:r>
          </w:p>
        </w:tc>
        <w:tc>
          <w:tcPr>
            <w:tcW w:w="1148" w:type="dxa"/>
            <w:shd w:val="clear" w:color="auto" w:fill="auto"/>
            <w:vAlign w:val="center"/>
          </w:tcPr>
          <w:p w:rsidR="00450BDD" w:rsidRPr="00CA61A6" w:rsidRDefault="006B3C6B" w:rsidP="008D484B">
            <w:pPr>
              <w:pStyle w:val="Tabletext"/>
              <w:jc w:val="center"/>
            </w:pPr>
            <w:r w:rsidRPr="00CA61A6">
              <w:sym w:font="Wingdings" w:char="F0FC"/>
            </w:r>
          </w:p>
        </w:tc>
        <w:tc>
          <w:tcPr>
            <w:tcW w:w="1261" w:type="dxa"/>
            <w:shd w:val="clear" w:color="auto" w:fill="auto"/>
            <w:vAlign w:val="center"/>
          </w:tcPr>
          <w:p w:rsidR="00450BDD" w:rsidRPr="00CA61A6" w:rsidRDefault="00450BDD" w:rsidP="008D484B">
            <w:pPr>
              <w:pStyle w:val="Tabletext"/>
              <w:jc w:val="center"/>
            </w:pPr>
          </w:p>
        </w:tc>
      </w:tr>
      <w:tr w:rsidR="00450BDD" w:rsidRPr="00CA61A6" w:rsidTr="00855570">
        <w:trPr>
          <w:cantSplit/>
          <w:jc w:val="center"/>
        </w:trPr>
        <w:tc>
          <w:tcPr>
            <w:tcW w:w="916" w:type="dxa"/>
            <w:tcBorders>
              <w:top w:val="single" w:sz="4" w:space="0" w:color="auto"/>
            </w:tcBorders>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73_11" w:history="1">
              <w:r w:rsidR="00450BDD" w:rsidRPr="00CA61A6">
                <w:rPr>
                  <w:color w:val="0000FF"/>
                  <w:sz w:val="20"/>
                  <w:u w:val="single"/>
                </w:rPr>
                <w:t>73-11</w:t>
              </w:r>
            </w:hyperlink>
          </w:p>
        </w:tc>
        <w:tc>
          <w:tcPr>
            <w:tcW w:w="5033" w:type="dxa"/>
            <w:shd w:val="clear" w:color="auto" w:fill="auto"/>
          </w:tcPr>
          <w:p w:rsidR="00450BDD" w:rsidRPr="00CA61A6" w:rsidRDefault="001742A6" w:rsidP="001742A6">
            <w:pPr>
              <w:pStyle w:val="Tabletext"/>
            </w:pPr>
            <w:r>
              <w:t>E</w:t>
            </w:r>
            <w:r w:rsidR="00450BDD" w:rsidRPr="00CA61A6">
              <w:t>l Director, en colaboración con los demás Directores, apoy</w:t>
            </w:r>
            <w:r>
              <w:t>ará</w:t>
            </w:r>
            <w:r w:rsidR="00450BDD" w:rsidRPr="00CA61A6">
              <w:t xml:space="preserve"> la elaboración de informes sobre las TIC, el medio ambiente y el cambio climático, en particular relacio</w:t>
            </w:r>
            <w:r w:rsidR="003429CC">
              <w:t>nados con el trabajo en curso de</w:t>
            </w:r>
            <w:r w:rsidR="00450BDD" w:rsidRPr="00CA61A6">
              <w:t xml:space="preserve"> la CE</w:t>
            </w:r>
            <w:r w:rsidR="008B5B32" w:rsidRPr="00CA61A6">
              <w:t> </w:t>
            </w:r>
            <w:r w:rsidR="00450BDD" w:rsidRPr="00CA61A6">
              <w:t>5</w:t>
            </w:r>
          </w:p>
        </w:tc>
        <w:tc>
          <w:tcPr>
            <w:tcW w:w="1474" w:type="dxa"/>
            <w:shd w:val="clear" w:color="auto" w:fill="auto"/>
            <w:vAlign w:val="center"/>
          </w:tcPr>
          <w:p w:rsidR="00450BDD" w:rsidRPr="00CA61A6" w:rsidRDefault="00450BDD" w:rsidP="008D484B">
            <w:pPr>
              <w:pStyle w:val="Tabletext"/>
              <w:jc w:val="center"/>
            </w:pPr>
            <w:r w:rsidRPr="00CA61A6">
              <w:t>En curso</w:t>
            </w:r>
          </w:p>
        </w:tc>
        <w:tc>
          <w:tcPr>
            <w:tcW w:w="1148" w:type="dxa"/>
            <w:shd w:val="clear" w:color="auto" w:fill="auto"/>
            <w:vAlign w:val="center"/>
          </w:tcPr>
          <w:p w:rsidR="00450BDD" w:rsidRPr="00CA61A6" w:rsidRDefault="006B3C6B" w:rsidP="008D484B">
            <w:pPr>
              <w:pStyle w:val="Tabletext"/>
              <w:jc w:val="center"/>
            </w:pPr>
            <w:r w:rsidRPr="00CA61A6">
              <w:sym w:font="Wingdings" w:char="F0FC"/>
            </w:r>
          </w:p>
        </w:tc>
        <w:tc>
          <w:tcPr>
            <w:tcW w:w="1261" w:type="dxa"/>
            <w:shd w:val="clear" w:color="auto" w:fill="auto"/>
            <w:vAlign w:val="center"/>
          </w:tcPr>
          <w:p w:rsidR="00450BDD" w:rsidRPr="00CA61A6" w:rsidRDefault="00450BDD" w:rsidP="008D484B">
            <w:pPr>
              <w:pStyle w:val="Tabletext"/>
              <w:jc w:val="center"/>
            </w:pPr>
          </w:p>
        </w:tc>
      </w:tr>
      <w:tr w:rsidR="00450BDD" w:rsidRPr="00CA61A6" w:rsidTr="00722A5F">
        <w:trPr>
          <w:cantSplit/>
          <w:jc w:val="center"/>
        </w:trPr>
        <w:tc>
          <w:tcPr>
            <w:tcW w:w="916" w:type="dxa"/>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73_12" w:history="1">
              <w:r w:rsidR="00450BDD" w:rsidRPr="00CA61A6">
                <w:rPr>
                  <w:color w:val="0000FF"/>
                  <w:sz w:val="20"/>
                  <w:u w:val="single"/>
                </w:rPr>
                <w:t>73-12</w:t>
              </w:r>
            </w:hyperlink>
          </w:p>
        </w:tc>
        <w:tc>
          <w:tcPr>
            <w:tcW w:w="5033" w:type="dxa"/>
            <w:shd w:val="clear" w:color="auto" w:fill="auto"/>
          </w:tcPr>
          <w:p w:rsidR="00450BDD" w:rsidRPr="00CA61A6" w:rsidRDefault="001742A6" w:rsidP="001742A6">
            <w:pPr>
              <w:pStyle w:val="Tabletext"/>
            </w:pPr>
            <w:r>
              <w:t>E</w:t>
            </w:r>
            <w:r w:rsidR="00450BDD" w:rsidRPr="00CA61A6">
              <w:t>l Director, en colaboración con los demás Directores, organi</w:t>
            </w:r>
            <w:r>
              <w:t>zará</w:t>
            </w:r>
            <w:r w:rsidR="00450BDD" w:rsidRPr="00CA61A6">
              <w:t xml:space="preserve"> talleres y seminarios para los países en desarrollo, con el fin de fomentar la sensibilización y determinar sus necesidades</w:t>
            </w:r>
          </w:p>
        </w:tc>
        <w:tc>
          <w:tcPr>
            <w:tcW w:w="1474" w:type="dxa"/>
            <w:shd w:val="clear" w:color="auto" w:fill="auto"/>
            <w:vAlign w:val="center"/>
          </w:tcPr>
          <w:p w:rsidR="00450BDD" w:rsidRPr="00CA61A6" w:rsidRDefault="00450BDD" w:rsidP="008D484B">
            <w:pPr>
              <w:pStyle w:val="Tabletext"/>
              <w:jc w:val="center"/>
            </w:pPr>
            <w:r w:rsidRPr="00CA61A6">
              <w:t>En curso</w:t>
            </w:r>
          </w:p>
        </w:tc>
        <w:tc>
          <w:tcPr>
            <w:tcW w:w="1148" w:type="dxa"/>
            <w:shd w:val="clear" w:color="auto" w:fill="auto"/>
            <w:vAlign w:val="center"/>
          </w:tcPr>
          <w:p w:rsidR="00450BDD" w:rsidRPr="00CA61A6" w:rsidRDefault="006B3C6B" w:rsidP="008D484B">
            <w:pPr>
              <w:pStyle w:val="Tabletext"/>
              <w:jc w:val="center"/>
            </w:pPr>
            <w:r w:rsidRPr="00CA61A6">
              <w:sym w:font="Wingdings" w:char="F0FC"/>
            </w:r>
          </w:p>
        </w:tc>
        <w:tc>
          <w:tcPr>
            <w:tcW w:w="1261" w:type="dxa"/>
            <w:shd w:val="clear" w:color="auto" w:fill="auto"/>
            <w:vAlign w:val="center"/>
          </w:tcPr>
          <w:p w:rsidR="00450BDD" w:rsidRPr="00CA61A6" w:rsidRDefault="00450BDD" w:rsidP="008D484B">
            <w:pPr>
              <w:pStyle w:val="Tabletext"/>
              <w:jc w:val="center"/>
            </w:pPr>
          </w:p>
        </w:tc>
      </w:tr>
      <w:tr w:rsidR="00450BDD" w:rsidRPr="00CA61A6" w:rsidTr="00722A5F">
        <w:trPr>
          <w:cantSplit/>
          <w:jc w:val="center"/>
        </w:trPr>
        <w:tc>
          <w:tcPr>
            <w:tcW w:w="916" w:type="dxa"/>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73_13" w:history="1">
              <w:r w:rsidR="00450BDD" w:rsidRPr="00CA61A6">
                <w:rPr>
                  <w:color w:val="0000FF"/>
                  <w:sz w:val="20"/>
                  <w:u w:val="single"/>
                </w:rPr>
                <w:t>73-13</w:t>
              </w:r>
            </w:hyperlink>
          </w:p>
        </w:tc>
        <w:tc>
          <w:tcPr>
            <w:tcW w:w="5033" w:type="dxa"/>
            <w:shd w:val="clear" w:color="auto" w:fill="auto"/>
          </w:tcPr>
          <w:p w:rsidR="00450BDD" w:rsidRPr="00CA61A6" w:rsidRDefault="001742A6" w:rsidP="001742A6">
            <w:pPr>
              <w:pStyle w:val="Tabletext"/>
            </w:pPr>
            <w:r>
              <w:t>E</w:t>
            </w:r>
            <w:r w:rsidR="00450BDD" w:rsidRPr="00CA61A6">
              <w:t>l Director inform</w:t>
            </w:r>
            <w:r>
              <w:t>ará</w:t>
            </w:r>
            <w:r w:rsidR="00450BDD" w:rsidRPr="00CA61A6">
              <w:t xml:space="preserve"> sobre los progresos logrados por el Grupo Especial UIT/OMM/COI de la UNESCO en la investigación de la posibilidad de utilizar cables de telecomunicaciones submarinos para la supervisión de los océanos y el clima, así como la alerta en caso de catástrofe</w:t>
            </w:r>
          </w:p>
        </w:tc>
        <w:tc>
          <w:tcPr>
            <w:tcW w:w="1474" w:type="dxa"/>
            <w:shd w:val="clear" w:color="auto" w:fill="auto"/>
            <w:vAlign w:val="center"/>
          </w:tcPr>
          <w:p w:rsidR="00450BDD" w:rsidRPr="00CA61A6" w:rsidRDefault="00450BDD" w:rsidP="008D484B">
            <w:pPr>
              <w:pStyle w:val="Tabletext"/>
              <w:jc w:val="center"/>
            </w:pPr>
            <w:r w:rsidRPr="00CA61A6">
              <w:t>En curso</w:t>
            </w:r>
          </w:p>
        </w:tc>
        <w:tc>
          <w:tcPr>
            <w:tcW w:w="1148" w:type="dxa"/>
            <w:shd w:val="clear" w:color="auto" w:fill="auto"/>
            <w:vAlign w:val="center"/>
          </w:tcPr>
          <w:p w:rsidR="00450BDD" w:rsidRPr="00CA61A6" w:rsidRDefault="006B3C6B" w:rsidP="008D484B">
            <w:pPr>
              <w:pStyle w:val="Tabletext"/>
              <w:jc w:val="center"/>
            </w:pPr>
            <w:r w:rsidRPr="00CA61A6">
              <w:sym w:font="Wingdings" w:char="F0FC"/>
            </w:r>
          </w:p>
        </w:tc>
        <w:tc>
          <w:tcPr>
            <w:tcW w:w="1261" w:type="dxa"/>
            <w:shd w:val="clear" w:color="auto" w:fill="auto"/>
            <w:vAlign w:val="center"/>
          </w:tcPr>
          <w:p w:rsidR="00450BDD" w:rsidRPr="00CA61A6" w:rsidRDefault="00450BDD" w:rsidP="008D484B">
            <w:pPr>
              <w:pStyle w:val="Tabletext"/>
              <w:jc w:val="center"/>
            </w:pPr>
          </w:p>
        </w:tc>
      </w:tr>
      <w:tr w:rsidR="00450BDD" w:rsidRPr="00CA61A6" w:rsidTr="00722A5F">
        <w:trPr>
          <w:cantSplit/>
          <w:jc w:val="center"/>
        </w:trPr>
        <w:tc>
          <w:tcPr>
            <w:tcW w:w="916" w:type="dxa"/>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73_14" w:history="1">
              <w:r w:rsidR="00450BDD" w:rsidRPr="00CA61A6">
                <w:rPr>
                  <w:color w:val="0000FF"/>
                  <w:sz w:val="20"/>
                  <w:u w:val="single"/>
                </w:rPr>
                <w:t>73-14</w:t>
              </w:r>
            </w:hyperlink>
          </w:p>
        </w:tc>
        <w:tc>
          <w:tcPr>
            <w:tcW w:w="5033" w:type="dxa"/>
            <w:shd w:val="clear" w:color="auto" w:fill="auto"/>
          </w:tcPr>
          <w:p w:rsidR="00450BDD" w:rsidRPr="00CA61A6" w:rsidRDefault="001742A6" w:rsidP="001742A6">
            <w:pPr>
              <w:pStyle w:val="Tabletext"/>
            </w:pPr>
            <w:r>
              <w:t>E</w:t>
            </w:r>
            <w:r w:rsidR="00450BDD" w:rsidRPr="00CA61A6">
              <w:t>l Secretario General s</w:t>
            </w:r>
            <w:r>
              <w:t>eguirá</w:t>
            </w:r>
            <w:r w:rsidR="00450BDD" w:rsidRPr="00CA61A6">
              <w:t xml:space="preserve"> cooperando y colaborando con otras entidades de las Naciones Unidas</w:t>
            </w:r>
          </w:p>
        </w:tc>
        <w:tc>
          <w:tcPr>
            <w:tcW w:w="1474" w:type="dxa"/>
            <w:shd w:val="clear" w:color="auto" w:fill="auto"/>
            <w:vAlign w:val="center"/>
          </w:tcPr>
          <w:p w:rsidR="00450BDD" w:rsidRPr="00CA61A6" w:rsidRDefault="00450BDD" w:rsidP="008D484B">
            <w:pPr>
              <w:pStyle w:val="Tabletext"/>
              <w:jc w:val="center"/>
            </w:pPr>
            <w:r w:rsidRPr="00CA61A6">
              <w:t>En curso</w:t>
            </w:r>
          </w:p>
        </w:tc>
        <w:tc>
          <w:tcPr>
            <w:tcW w:w="1148" w:type="dxa"/>
            <w:shd w:val="clear" w:color="auto" w:fill="auto"/>
            <w:vAlign w:val="center"/>
          </w:tcPr>
          <w:p w:rsidR="00450BDD" w:rsidRPr="00CA61A6" w:rsidRDefault="006B3C6B" w:rsidP="008D484B">
            <w:pPr>
              <w:pStyle w:val="Tabletext"/>
              <w:jc w:val="center"/>
            </w:pPr>
            <w:r w:rsidRPr="00CA61A6">
              <w:sym w:font="Wingdings" w:char="F0FC"/>
            </w:r>
          </w:p>
        </w:tc>
        <w:tc>
          <w:tcPr>
            <w:tcW w:w="1261" w:type="dxa"/>
            <w:shd w:val="clear" w:color="auto" w:fill="auto"/>
            <w:vAlign w:val="center"/>
          </w:tcPr>
          <w:p w:rsidR="00450BDD" w:rsidRPr="00CA61A6" w:rsidRDefault="00450BDD" w:rsidP="008D484B">
            <w:pPr>
              <w:pStyle w:val="Tabletext"/>
              <w:jc w:val="center"/>
            </w:pPr>
          </w:p>
        </w:tc>
      </w:tr>
      <w:tr w:rsidR="00450BDD" w:rsidRPr="00CA61A6" w:rsidTr="00722A5F">
        <w:trPr>
          <w:cantSplit/>
          <w:jc w:val="center"/>
        </w:trPr>
        <w:tc>
          <w:tcPr>
            <w:tcW w:w="916" w:type="dxa"/>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73_15" w:history="1">
              <w:r w:rsidR="00450BDD" w:rsidRPr="00CA61A6">
                <w:rPr>
                  <w:color w:val="0000FF"/>
                  <w:sz w:val="20"/>
                  <w:u w:val="single"/>
                </w:rPr>
                <w:t>73-15</w:t>
              </w:r>
            </w:hyperlink>
          </w:p>
        </w:tc>
        <w:tc>
          <w:tcPr>
            <w:tcW w:w="5033" w:type="dxa"/>
            <w:shd w:val="clear" w:color="auto" w:fill="auto"/>
          </w:tcPr>
          <w:p w:rsidR="00450BDD" w:rsidRPr="00CA61A6" w:rsidRDefault="001742A6" w:rsidP="001742A6">
            <w:pPr>
              <w:pStyle w:val="Tabletext"/>
            </w:pPr>
            <w:r>
              <w:t>E</w:t>
            </w:r>
            <w:r w:rsidR="00450BDD" w:rsidRPr="00CA61A6">
              <w:t>l Director inform</w:t>
            </w:r>
            <w:r>
              <w:t>ará</w:t>
            </w:r>
            <w:r w:rsidR="00450BDD" w:rsidRPr="00CA61A6">
              <w:t xml:space="preserve"> al GANT de los avances en la cooperación con otras entidades de las Naciones Unidas. Véase </w:t>
            </w:r>
            <w:hyperlink w:anchor="Item73_14" w:history="1">
              <w:r w:rsidR="00450BDD" w:rsidRPr="00CA61A6">
                <w:rPr>
                  <w:color w:val="0000FF"/>
                  <w:u w:val="single"/>
                </w:rPr>
                <w:t>73-14</w:t>
              </w:r>
            </w:hyperlink>
          </w:p>
        </w:tc>
        <w:tc>
          <w:tcPr>
            <w:tcW w:w="1474" w:type="dxa"/>
            <w:shd w:val="clear" w:color="auto" w:fill="auto"/>
            <w:vAlign w:val="center"/>
          </w:tcPr>
          <w:p w:rsidR="00450BDD" w:rsidRPr="00CA61A6" w:rsidRDefault="00450BDD" w:rsidP="008D484B">
            <w:pPr>
              <w:pStyle w:val="Tabletext"/>
              <w:jc w:val="center"/>
            </w:pPr>
            <w:r w:rsidRPr="00CA61A6">
              <w:t>En curso</w:t>
            </w:r>
          </w:p>
        </w:tc>
        <w:tc>
          <w:tcPr>
            <w:tcW w:w="1148" w:type="dxa"/>
            <w:shd w:val="clear" w:color="auto" w:fill="auto"/>
            <w:vAlign w:val="center"/>
          </w:tcPr>
          <w:p w:rsidR="00450BDD" w:rsidRPr="00CA61A6" w:rsidRDefault="006B3C6B" w:rsidP="008D484B">
            <w:pPr>
              <w:pStyle w:val="Tabletext"/>
              <w:jc w:val="center"/>
            </w:pPr>
            <w:r w:rsidRPr="00CA61A6">
              <w:sym w:font="Wingdings" w:char="F0FC"/>
            </w:r>
          </w:p>
        </w:tc>
        <w:tc>
          <w:tcPr>
            <w:tcW w:w="1261" w:type="dxa"/>
            <w:shd w:val="clear" w:color="auto" w:fill="auto"/>
            <w:vAlign w:val="center"/>
          </w:tcPr>
          <w:p w:rsidR="00450BDD" w:rsidRPr="00CA61A6" w:rsidRDefault="00450BDD" w:rsidP="008D484B">
            <w:pPr>
              <w:pStyle w:val="Tabletext"/>
              <w:jc w:val="center"/>
            </w:pPr>
          </w:p>
        </w:tc>
      </w:tr>
    </w:tbl>
    <w:p w:rsidR="00450BDD" w:rsidRPr="00CA61A6" w:rsidRDefault="009C58B2" w:rsidP="003D3454">
      <w:pPr>
        <w:pStyle w:val="Headingb"/>
        <w:keepLines/>
      </w:pPr>
      <w:bookmarkStart w:id="670" w:name="Item73_01"/>
      <w:r w:rsidRPr="00CA61A6">
        <w:t xml:space="preserve">Acción </w:t>
      </w:r>
      <w:r w:rsidR="00450BDD" w:rsidRPr="00CA61A6">
        <w:t>73-01: TSB</w:t>
      </w:r>
    </w:p>
    <w:bookmarkEnd w:id="670"/>
    <w:p w:rsidR="00450BDD" w:rsidRPr="00CA61A6" w:rsidRDefault="00450BDD" w:rsidP="007B3478">
      <w:pPr>
        <w:rPr>
          <w:rFonts w:eastAsia="SimSun"/>
          <w:szCs w:val="24"/>
          <w:lang w:eastAsia="ja-JP"/>
        </w:rPr>
      </w:pPr>
      <w:r w:rsidRPr="00CA61A6">
        <w:rPr>
          <w:rFonts w:eastAsia="SimSun"/>
          <w:szCs w:val="24"/>
          <w:lang w:eastAsia="ja-JP"/>
        </w:rPr>
        <w:t>Véase el programa de trabajo de la CE</w:t>
      </w:r>
      <w:r w:rsidR="008B5B32" w:rsidRPr="00CA61A6">
        <w:rPr>
          <w:rFonts w:eastAsia="SimSun"/>
          <w:szCs w:val="24"/>
          <w:lang w:eastAsia="ja-JP"/>
        </w:rPr>
        <w:t> </w:t>
      </w:r>
      <w:r w:rsidRPr="00CA61A6">
        <w:rPr>
          <w:rFonts w:eastAsia="SimSun"/>
          <w:szCs w:val="24"/>
          <w:lang w:eastAsia="ja-JP"/>
        </w:rPr>
        <w:t xml:space="preserve">5 en: </w:t>
      </w:r>
      <w:hyperlink r:id="rId179" w:history="1">
        <w:r w:rsidRPr="00CA61A6">
          <w:rPr>
            <w:rFonts w:eastAsia="SimSun"/>
            <w:color w:val="0000FF"/>
            <w:szCs w:val="24"/>
            <w:u w:val="single"/>
            <w:lang w:eastAsia="ja-JP"/>
          </w:rPr>
          <w:t>http://handle.itu.int/11.1002/db/wp-sg5</w:t>
        </w:r>
      </w:hyperlink>
      <w:r w:rsidR="003D3454" w:rsidRPr="00CA61A6">
        <w:rPr>
          <w:rFonts w:eastAsia="SimSun"/>
          <w:szCs w:val="24"/>
          <w:lang w:eastAsia="ja-JP"/>
        </w:rPr>
        <w:t>.</w:t>
      </w:r>
    </w:p>
    <w:p w:rsidR="00450BDD" w:rsidRPr="00CA61A6" w:rsidRDefault="009C58B2" w:rsidP="003D3454">
      <w:pPr>
        <w:pStyle w:val="Headingb"/>
        <w:keepLines/>
      </w:pPr>
      <w:bookmarkStart w:id="671" w:name="Item73_02"/>
      <w:r w:rsidRPr="00CA61A6">
        <w:t xml:space="preserve">Acción </w:t>
      </w:r>
      <w:r w:rsidR="00450BDD" w:rsidRPr="00CA61A6">
        <w:t>73-02: TSB</w:t>
      </w:r>
    </w:p>
    <w:bookmarkEnd w:id="671"/>
    <w:p w:rsidR="00450BDD" w:rsidRPr="00CA61A6" w:rsidRDefault="00450BDD" w:rsidP="007B3478">
      <w:pPr>
        <w:rPr>
          <w:rFonts w:eastAsia="SimSun"/>
          <w:szCs w:val="24"/>
          <w:lang w:eastAsia="ja-JP"/>
        </w:rPr>
      </w:pPr>
      <w:r w:rsidRPr="00CA61A6">
        <w:rPr>
          <w:rFonts w:eastAsia="SimSun"/>
          <w:szCs w:val="24"/>
          <w:lang w:eastAsia="ja-JP"/>
        </w:rPr>
        <w:t xml:space="preserve">En febrero de 2014 la TSB abrió el Portal mundial sobre TIC, medio ambiente y cambio climático, al que se puede acceder desde: </w:t>
      </w:r>
      <w:hyperlink r:id="rId180" w:history="1">
        <w:r w:rsidRPr="00CA61A6">
          <w:rPr>
            <w:rFonts w:eastAsia="SimSun"/>
            <w:color w:val="0000FF"/>
            <w:szCs w:val="24"/>
            <w:u w:val="single"/>
            <w:lang w:eastAsia="ja-JP"/>
          </w:rPr>
          <w:t>http://itu.int/en/ITU-T/climatechange/resources</w:t>
        </w:r>
      </w:hyperlink>
      <w:r w:rsidR="003D3454" w:rsidRPr="00CA61A6">
        <w:rPr>
          <w:rFonts w:eastAsia="SimSun"/>
          <w:szCs w:val="24"/>
          <w:lang w:eastAsia="ja-JP"/>
        </w:rPr>
        <w:t>.</w:t>
      </w:r>
    </w:p>
    <w:p w:rsidR="00450BDD" w:rsidRPr="00CA61A6" w:rsidRDefault="009C58B2" w:rsidP="003D3454">
      <w:pPr>
        <w:pStyle w:val="Headingb"/>
        <w:keepLines/>
      </w:pPr>
      <w:bookmarkStart w:id="672" w:name="Item73_03"/>
      <w:r w:rsidRPr="00CA61A6">
        <w:t xml:space="preserve">Acción </w:t>
      </w:r>
      <w:r w:rsidR="00450BDD" w:rsidRPr="00CA61A6">
        <w:t>73-03: TSB</w:t>
      </w:r>
    </w:p>
    <w:bookmarkEnd w:id="672"/>
    <w:p w:rsidR="00450BDD" w:rsidRPr="00CA61A6" w:rsidRDefault="00450BDD" w:rsidP="007B3478">
      <w:pPr>
        <w:rPr>
          <w:rFonts w:eastAsia="SimSun"/>
          <w:szCs w:val="24"/>
          <w:lang w:eastAsia="ja-JP"/>
        </w:rPr>
      </w:pPr>
      <w:r w:rsidRPr="00CA61A6">
        <w:rPr>
          <w:rFonts w:eastAsia="SimSun"/>
          <w:szCs w:val="24"/>
          <w:lang w:eastAsia="ja-JP"/>
        </w:rPr>
        <w:t>La TSB sigue trabajando con los países y la industria de las TIC a fin de aplicar las Recomendaciones UIT-T sobr</w:t>
      </w:r>
      <w:r w:rsidR="00011226" w:rsidRPr="00CA61A6">
        <w:rPr>
          <w:rFonts w:eastAsia="SimSun"/>
          <w:szCs w:val="24"/>
          <w:lang w:eastAsia="ja-JP"/>
        </w:rPr>
        <w:t>e medio ambiente.</w:t>
      </w:r>
    </w:p>
    <w:p w:rsidR="00450BDD" w:rsidRPr="00CA61A6" w:rsidRDefault="00450BDD" w:rsidP="007B3478">
      <w:pPr>
        <w:rPr>
          <w:rFonts w:eastAsia="SimSun"/>
          <w:szCs w:val="24"/>
          <w:lang w:eastAsia="ja-JP"/>
        </w:rPr>
      </w:pPr>
      <w:r w:rsidRPr="00CA61A6">
        <w:rPr>
          <w:rFonts w:eastAsia="SimSun"/>
          <w:szCs w:val="24"/>
          <w:lang w:eastAsia="ja-JP"/>
        </w:rPr>
        <w:t>Entre las 10 metodologías internacionales empleadas para evaluar las consecuencias medioambientales de las TIC en el marco de una prueba piloto europea destinada a crear un marco internacional común convergente para la determinación de la huella energética y de las emisiones del sector de las TIC se cuentan las Recomendaciones UIT-T L.1410 y UIT-T L.1420.</w:t>
      </w:r>
    </w:p>
    <w:p w:rsidR="00450BDD" w:rsidRPr="00CA61A6" w:rsidRDefault="00450BDD" w:rsidP="007B3478">
      <w:pPr>
        <w:rPr>
          <w:rFonts w:eastAsia="SimSun"/>
          <w:szCs w:val="24"/>
          <w:lang w:eastAsia="ja-JP"/>
        </w:rPr>
      </w:pPr>
      <w:r w:rsidRPr="00CA61A6">
        <w:rPr>
          <w:rFonts w:eastAsia="SimSun"/>
          <w:szCs w:val="24"/>
          <w:lang w:eastAsia="ja-JP"/>
        </w:rPr>
        <w:t>En un estudio dirigido por la Comisión Europea, 27 asociaciones y empresas punteras del ámbito de las TIC se comprometieron a probar, durante diez meses, las metodologías de medición desarrolladas por organizaciones de normalización, entre ellas el UIT-</w:t>
      </w:r>
      <w:r w:rsidR="00127BB1">
        <w:rPr>
          <w:rFonts w:eastAsia="SimSun"/>
          <w:szCs w:val="24"/>
          <w:lang w:eastAsia="ja-JP"/>
        </w:rPr>
        <w:t>T, la ISO, la CEI, el ETSI y el </w:t>
      </w:r>
      <w:r w:rsidRPr="00CA61A6">
        <w:rPr>
          <w:rFonts w:eastAsia="SimSun"/>
          <w:szCs w:val="24"/>
          <w:lang w:eastAsia="ja-JP"/>
        </w:rPr>
        <w:t>GHG Protocol.</w:t>
      </w:r>
    </w:p>
    <w:p w:rsidR="00450BDD" w:rsidRPr="00CA61A6" w:rsidRDefault="00450BDD" w:rsidP="005C2A64">
      <w:pPr>
        <w:rPr>
          <w:rFonts w:eastAsia="SimSun"/>
          <w:szCs w:val="24"/>
          <w:lang w:eastAsia="ja-JP"/>
        </w:rPr>
      </w:pPr>
      <w:r w:rsidRPr="00CA61A6">
        <w:rPr>
          <w:rFonts w:eastAsia="SimSun"/>
          <w:szCs w:val="24"/>
          <w:lang w:eastAsia="ja-JP"/>
        </w:rPr>
        <w:t xml:space="preserve">En las pruebas piloto se constató que la </w:t>
      </w:r>
      <w:r w:rsidR="00933415" w:rsidRPr="00CA61A6">
        <w:rPr>
          <w:rFonts w:eastAsia="SimSun"/>
          <w:szCs w:val="24"/>
          <w:lang w:eastAsia="ja-JP"/>
        </w:rPr>
        <w:t xml:space="preserve">Recomendación </w:t>
      </w:r>
      <w:r w:rsidRPr="00CA61A6">
        <w:rPr>
          <w:rFonts w:eastAsia="SimSun"/>
          <w:szCs w:val="24"/>
          <w:lang w:eastAsia="ja-JP"/>
        </w:rPr>
        <w:t>L.1420 del UIT-T es la única metodología disponible a escala internacional para la presentación de informes que permit</w:t>
      </w:r>
      <w:r w:rsidR="005C2A64">
        <w:rPr>
          <w:rFonts w:eastAsia="SimSun"/>
          <w:szCs w:val="24"/>
          <w:lang w:eastAsia="ja-JP"/>
        </w:rPr>
        <w:t>an</w:t>
      </w:r>
      <w:r w:rsidRPr="00CA61A6">
        <w:rPr>
          <w:rFonts w:eastAsia="SimSun"/>
          <w:szCs w:val="24"/>
          <w:lang w:eastAsia="ja-JP"/>
        </w:rPr>
        <w:t xml:space="preserve"> evaluar el consumo de energía y/o las emisiones de gases de efecto invernadero relacionadas con las TIC, tanto en las organizaciones que trabajan en la esfera de las TIC como en las organizaciones ajenas a dicho ámbito.</w:t>
      </w:r>
    </w:p>
    <w:p w:rsidR="00450BDD" w:rsidRPr="00343F12" w:rsidRDefault="00450BDD" w:rsidP="007B3478">
      <w:pPr>
        <w:rPr>
          <w:rFonts w:eastAsia="SimSun"/>
          <w:szCs w:val="24"/>
          <w:lang w:val="en-US" w:eastAsia="ja-JP"/>
        </w:rPr>
      </w:pPr>
      <w:r w:rsidRPr="00CA61A6">
        <w:rPr>
          <w:rFonts w:eastAsia="SimSun"/>
          <w:szCs w:val="24"/>
          <w:lang w:eastAsia="ja-JP"/>
        </w:rPr>
        <w:lastRenderedPageBreak/>
        <w:t xml:space="preserve">La Comisión de Estudio 5 del UIT-T y el ETSI EE elaboraron conjuntamente una norma técnicamente armonizada para evaluar el efecto directo de los bienes, redes y servicios de las TIC en el medio ambiente, así como su efecto indirecto en las emisiones de gases de efecto invernadero (GEI) de sectores que no guardan relación con las TIC. </w:t>
      </w:r>
      <w:r w:rsidRPr="00343F12">
        <w:rPr>
          <w:rFonts w:eastAsia="SimSun"/>
          <w:szCs w:val="24"/>
          <w:lang w:val="en-US" w:eastAsia="ja-JP"/>
        </w:rPr>
        <w:t xml:space="preserve">(Recomendación UIT-T L.1410: </w:t>
      </w:r>
      <w:r w:rsidRPr="00960A8F">
        <w:rPr>
          <w:rFonts w:eastAsia="SimSun"/>
          <w:szCs w:val="24"/>
          <w:lang w:val="en-US" w:eastAsia="ja-JP"/>
        </w:rPr>
        <w:t>Methodology for Environmental Life Cycle Assessment (LCA) of ICT goods, networks and services</w:t>
      </w:r>
      <w:r w:rsidRPr="00343F12">
        <w:rPr>
          <w:rFonts w:eastAsia="SimSun"/>
          <w:szCs w:val="24"/>
          <w:lang w:val="en-US" w:eastAsia="ja-JP"/>
        </w:rPr>
        <w:t>).</w:t>
      </w:r>
    </w:p>
    <w:p w:rsidR="00450BDD" w:rsidRPr="00CA61A6" w:rsidRDefault="00450BDD" w:rsidP="00ED6140">
      <w:pPr>
        <w:rPr>
          <w:rFonts w:eastAsia="SimSun"/>
          <w:szCs w:val="24"/>
          <w:lang w:eastAsia="ja-JP"/>
        </w:rPr>
      </w:pPr>
      <w:r w:rsidRPr="00CA61A6">
        <w:rPr>
          <w:rFonts w:eastAsia="SimSun"/>
          <w:szCs w:val="24"/>
          <w:lang w:eastAsia="ja-JP"/>
        </w:rPr>
        <w:t>Además, el ETSI EE y la CE</w:t>
      </w:r>
      <w:r w:rsidR="008B5B32" w:rsidRPr="00CA61A6">
        <w:rPr>
          <w:rFonts w:eastAsia="SimSun"/>
          <w:szCs w:val="24"/>
          <w:lang w:eastAsia="ja-JP"/>
        </w:rPr>
        <w:t> </w:t>
      </w:r>
      <w:r w:rsidRPr="00CA61A6">
        <w:rPr>
          <w:rFonts w:eastAsia="SimSun"/>
          <w:szCs w:val="24"/>
          <w:lang w:eastAsia="ja-JP"/>
        </w:rPr>
        <w:t>5 del UIT-T elaboraron una nueva norma de medición de la eficiencia energética de las redes de acceso radioeléctrico móvil (RAN), es decir, las redes inalámbricas que conectan el equipo del usuario final con el núcleo de red.</w:t>
      </w:r>
      <w:r w:rsidR="00ED6140">
        <w:rPr>
          <w:rFonts w:eastAsia="SimSun"/>
          <w:szCs w:val="24"/>
          <w:lang w:eastAsia="ja-JP"/>
        </w:rPr>
        <w:t xml:space="preserve"> La norma, la Recomendación UIT</w:t>
      </w:r>
      <w:r w:rsidR="00ED6140">
        <w:rPr>
          <w:rFonts w:eastAsia="SimSun"/>
          <w:szCs w:val="24"/>
          <w:lang w:eastAsia="ja-JP"/>
        </w:rPr>
        <w:noBreakHyphen/>
        <w:t>T </w:t>
      </w:r>
      <w:r w:rsidRPr="00CA61A6">
        <w:rPr>
          <w:rFonts w:eastAsia="SimSun"/>
          <w:szCs w:val="24"/>
          <w:lang w:eastAsia="ja-JP"/>
        </w:rPr>
        <w:t>L.1330, es la primera en definir métricas y métodos de medición de la eficiencia energética de las redes de acceso radioeléctrico (RAN) en servicio, al proporcionar una referencia común para la evaluación de su rendimiento. Su aplicación aportará uniformidad a las metodologías utilizadas en dichas evaluaciones, además de establecer una base común para la interpretación de los resultados. En octubre de 2015 la Comisión de Estudio 5 del UIT-T aprobó la Recomendación UIT</w:t>
      </w:r>
      <w:r w:rsidR="00ED6140">
        <w:rPr>
          <w:rFonts w:eastAsia="SimSun"/>
          <w:szCs w:val="24"/>
          <w:lang w:eastAsia="ja-JP"/>
        </w:rPr>
        <w:noBreakHyphen/>
        <w:t>T </w:t>
      </w:r>
      <w:r w:rsidRPr="00CA61A6">
        <w:rPr>
          <w:rFonts w:eastAsia="SimSun"/>
          <w:szCs w:val="24"/>
          <w:lang w:eastAsia="ja-JP"/>
        </w:rPr>
        <w:t xml:space="preserve">L.1440, </w:t>
      </w:r>
      <w:r w:rsidR="00101B29">
        <w:rPr>
          <w:rFonts w:eastAsia="SimSun"/>
          <w:szCs w:val="24"/>
          <w:lang w:eastAsia="ja-JP"/>
        </w:rPr>
        <w:t>"</w:t>
      </w:r>
      <w:r w:rsidRPr="00CA61A6">
        <w:rPr>
          <w:rFonts w:eastAsia="SimSun"/>
          <w:szCs w:val="24"/>
          <w:lang w:eastAsia="ja-JP"/>
        </w:rPr>
        <w:t>Metodología para evaluar los efectos medioambientales de las tecnologías de la información y la comunicación en el medio urbano</w:t>
      </w:r>
      <w:r w:rsidR="00101B29">
        <w:rPr>
          <w:rFonts w:eastAsia="SimSun"/>
          <w:szCs w:val="24"/>
          <w:lang w:eastAsia="ja-JP"/>
        </w:rPr>
        <w:t>"</w:t>
      </w:r>
      <w:r w:rsidRPr="00CA61A6">
        <w:rPr>
          <w:rFonts w:eastAsia="SimSun"/>
          <w:szCs w:val="24"/>
          <w:lang w:eastAsia="ja-JP"/>
        </w:rPr>
        <w:t>, que se preparó en estrecha colaboración con la Comisión Europea, que asumió la función de editor. La Recomendación UIT-T L.1440 ofrece orientaciones generales sobre las evaluaciones medioambientales en el medio urbano relacionadas con las TIC y facilita una descripción de los métodos que han de utilizarse para la evaluación de las consecuencias medioambientales de las TIC en las ciudades. La Recomendación se divide en dos partes: la Parte I se refiere a los efectos de primer orden derivados de la utilización de dispositivos y redes de TIC en los organismos y hogares de una ciudad. La Parte II se refiere a los efectos de primer y segundo orden ligados a los proyectos y servicios de TIC aplicados en la ciudad.</w:t>
      </w:r>
    </w:p>
    <w:p w:rsidR="00450BDD" w:rsidRPr="00CA61A6" w:rsidRDefault="00082CD2" w:rsidP="00E9594D">
      <w:pPr>
        <w:pStyle w:val="Headingb"/>
        <w:keepLines/>
      </w:pPr>
      <w:bookmarkStart w:id="673" w:name="Item73_04"/>
      <w:r w:rsidRPr="00CA61A6">
        <w:t xml:space="preserve">Acción </w:t>
      </w:r>
      <w:r w:rsidR="00450BDD" w:rsidRPr="00CA61A6">
        <w:t>73-04: TSB</w:t>
      </w:r>
    </w:p>
    <w:bookmarkEnd w:id="673"/>
    <w:p w:rsidR="00450BDD" w:rsidRPr="00CA61A6" w:rsidRDefault="00450BDD" w:rsidP="007B3478">
      <w:pPr>
        <w:rPr>
          <w:rFonts w:eastAsia="SimSun"/>
          <w:szCs w:val="24"/>
          <w:lang w:eastAsia="ja-JP"/>
        </w:rPr>
      </w:pPr>
      <w:r w:rsidRPr="00CA61A6">
        <w:rPr>
          <w:rFonts w:eastAsia="SimSun"/>
          <w:szCs w:val="24"/>
          <w:lang w:eastAsia="ja-JP"/>
        </w:rPr>
        <w:t xml:space="preserve">En 2013 la UIT y 50 de sus socios elaboraron el Informe </w:t>
      </w:r>
      <w:r w:rsidR="00B26079" w:rsidRPr="00CA61A6">
        <w:rPr>
          <w:rFonts w:eastAsia="SimSun"/>
          <w:szCs w:val="24"/>
          <w:lang w:eastAsia="ja-JP"/>
        </w:rPr>
        <w:t>"</w:t>
      </w:r>
      <w:r w:rsidRPr="001E2F64">
        <w:rPr>
          <w:rFonts w:eastAsia="SimSun"/>
          <w:szCs w:val="24"/>
          <w:lang w:eastAsia="ja-JP"/>
        </w:rPr>
        <w:t>End of Life Management for ICT Equipment</w:t>
      </w:r>
      <w:r w:rsidR="00B26079" w:rsidRPr="00CA61A6">
        <w:rPr>
          <w:rFonts w:eastAsia="SimSun"/>
          <w:szCs w:val="24"/>
          <w:lang w:eastAsia="ja-JP"/>
        </w:rPr>
        <w:t>"</w:t>
      </w:r>
      <w:r w:rsidRPr="00CA61A6">
        <w:rPr>
          <w:rFonts w:eastAsia="SimSun"/>
          <w:szCs w:val="24"/>
          <w:lang w:eastAsia="ja-JP"/>
        </w:rPr>
        <w:t>, que trata de las diversas fases del final de la vida útil y la legislación correspondiente. También se dan argumentos para la creación de un marco de gestión ecológica de los equipos de TIC al final de su vida útil que los países puedan utilizar.</w:t>
      </w:r>
    </w:p>
    <w:p w:rsidR="00450BDD" w:rsidRPr="00CA61A6" w:rsidRDefault="00450BDD" w:rsidP="007B3478">
      <w:pPr>
        <w:rPr>
          <w:rFonts w:eastAsia="SimSun"/>
          <w:szCs w:val="24"/>
          <w:lang w:eastAsia="ja-JP"/>
        </w:rPr>
      </w:pPr>
      <w:r w:rsidRPr="00CA61A6">
        <w:rPr>
          <w:rFonts w:eastAsia="SimSun"/>
          <w:szCs w:val="24"/>
          <w:lang w:eastAsia="ja-JP"/>
        </w:rPr>
        <w:t xml:space="preserve">En 2013 se publicó el </w:t>
      </w:r>
      <w:r w:rsidR="001A717E" w:rsidRPr="00CA61A6">
        <w:rPr>
          <w:rFonts w:eastAsia="SimSun"/>
          <w:szCs w:val="24"/>
          <w:lang w:eastAsia="ja-JP"/>
        </w:rPr>
        <w:t xml:space="preserve">Informe </w:t>
      </w:r>
      <w:r w:rsidRPr="00CA61A6">
        <w:rPr>
          <w:rFonts w:eastAsia="SimSun"/>
          <w:szCs w:val="24"/>
          <w:lang w:eastAsia="ja-JP"/>
        </w:rPr>
        <w:t xml:space="preserve">titulado </w:t>
      </w:r>
      <w:r w:rsidR="00B26079" w:rsidRPr="00CA61A6">
        <w:rPr>
          <w:rFonts w:eastAsia="SimSun"/>
          <w:szCs w:val="24"/>
          <w:lang w:eastAsia="ja-JP"/>
        </w:rPr>
        <w:t>"</w:t>
      </w:r>
      <w:r w:rsidRPr="001E2F64">
        <w:rPr>
          <w:rFonts w:eastAsia="SimSun"/>
          <w:szCs w:val="24"/>
          <w:lang w:eastAsia="ja-JP"/>
        </w:rPr>
        <w:t>The case of Korea: the quantification of GHG reduction effects achieved by ICTs</w:t>
      </w:r>
      <w:r w:rsidR="00B26079" w:rsidRPr="00CA61A6">
        <w:rPr>
          <w:rFonts w:eastAsia="SimSun"/>
          <w:szCs w:val="24"/>
          <w:lang w:eastAsia="ja-JP"/>
        </w:rPr>
        <w:t>"</w:t>
      </w:r>
      <w:r w:rsidRPr="00CA61A6">
        <w:rPr>
          <w:rFonts w:eastAsia="SimSun"/>
          <w:szCs w:val="24"/>
          <w:lang w:eastAsia="ja-JP"/>
        </w:rPr>
        <w:t xml:space="preserve">, cuya finalidad es demostrar el potencial de los servicios de las TIC para reducir las emisiones de gases de efecto invernadero, estimar el volumen reducido de este tipo de emisiones e identificar las principales herramientas de las TIC para reducir estas emisiones en Corea. El </w:t>
      </w:r>
      <w:r w:rsidR="0040641D" w:rsidRPr="00CA61A6">
        <w:rPr>
          <w:rFonts w:eastAsia="SimSun"/>
          <w:szCs w:val="24"/>
          <w:lang w:eastAsia="ja-JP"/>
        </w:rPr>
        <w:t xml:space="preserve">Informe </w:t>
      </w:r>
      <w:r w:rsidRPr="00CA61A6">
        <w:rPr>
          <w:rFonts w:eastAsia="SimSun"/>
          <w:szCs w:val="24"/>
          <w:lang w:eastAsia="ja-JP"/>
        </w:rPr>
        <w:t xml:space="preserve">se rige por la metodología descrita en </w:t>
      </w:r>
      <w:r w:rsidR="00B90B81">
        <w:rPr>
          <w:rFonts w:eastAsia="SimSun"/>
          <w:szCs w:val="24"/>
          <w:lang w:eastAsia="ja-JP"/>
        </w:rPr>
        <w:t>la Recomendación L.1410 del UIT</w:t>
      </w:r>
      <w:r w:rsidR="00B90B81">
        <w:rPr>
          <w:rFonts w:eastAsia="SimSun"/>
          <w:szCs w:val="24"/>
          <w:lang w:eastAsia="ja-JP"/>
        </w:rPr>
        <w:noBreakHyphen/>
      </w:r>
      <w:r w:rsidRPr="00CA61A6">
        <w:rPr>
          <w:rFonts w:eastAsia="SimSun"/>
          <w:szCs w:val="24"/>
          <w:lang w:eastAsia="ja-JP"/>
        </w:rPr>
        <w:t xml:space="preserve">T e incluye un examen de más de 30 servicios de TIC a través de un estudio de los casos publicados y una comparación a escala mundial. Este </w:t>
      </w:r>
      <w:r w:rsidR="007B20EB" w:rsidRPr="00CA61A6">
        <w:rPr>
          <w:rFonts w:eastAsia="SimSun"/>
          <w:szCs w:val="24"/>
          <w:lang w:eastAsia="ja-JP"/>
        </w:rPr>
        <w:t xml:space="preserve">Informe </w:t>
      </w:r>
      <w:r w:rsidRPr="00CA61A6">
        <w:rPr>
          <w:rFonts w:eastAsia="SimSun"/>
          <w:szCs w:val="24"/>
          <w:lang w:eastAsia="ja-JP"/>
        </w:rPr>
        <w:t>sirve de ejemplo para los demás países</w:t>
      </w:r>
      <w:r w:rsidR="00BB66C2" w:rsidRPr="00CA61A6">
        <w:rPr>
          <w:rFonts w:eastAsia="SimSun"/>
          <w:szCs w:val="24"/>
          <w:lang w:eastAsia="ja-JP"/>
        </w:rPr>
        <w:t>.</w:t>
      </w:r>
    </w:p>
    <w:p w:rsidR="00450BDD" w:rsidRPr="00CA61A6" w:rsidRDefault="00082CD2" w:rsidP="00E9594D">
      <w:pPr>
        <w:pStyle w:val="Headingb"/>
        <w:keepLines/>
      </w:pPr>
      <w:bookmarkStart w:id="674" w:name="Item73_05"/>
      <w:r w:rsidRPr="00CA61A6">
        <w:t xml:space="preserve">Acción </w:t>
      </w:r>
      <w:r w:rsidR="00450BDD" w:rsidRPr="00CA61A6">
        <w:t>73-05: TSB</w:t>
      </w:r>
    </w:p>
    <w:bookmarkEnd w:id="674"/>
    <w:p w:rsidR="00450BDD" w:rsidRPr="00CA61A6" w:rsidRDefault="00450BDD" w:rsidP="007B3478">
      <w:pPr>
        <w:rPr>
          <w:rFonts w:eastAsia="SimSun"/>
          <w:szCs w:val="24"/>
          <w:lang w:eastAsia="ja-JP"/>
        </w:rPr>
      </w:pPr>
      <w:r w:rsidRPr="00CA61A6">
        <w:rPr>
          <w:rFonts w:eastAsia="SimSun"/>
          <w:szCs w:val="24"/>
          <w:lang w:eastAsia="ja-JP"/>
        </w:rPr>
        <w:t>La TSB preparó una serie de libros animados sobre "Gestión sostenible de residuos de equipos eléctricos y electrónicos en América Latina", que se publicaron en inglés y español en mayo de 2016, y otro libro sobre "Configurar ciudades más inteligentes y más sostenibles: esforzarse por los objetivos de desarrollo sostenible", donde se hace un repaso completo de lo que son las ciudades inteligentes y sostenibles y se incluyen los 21 Informes Técnicos y especificaciones preparadas por el Grupo Temático sobre ciudades sostenibles e inteligentes (FG-SSC).</w:t>
      </w:r>
    </w:p>
    <w:p w:rsidR="00450BDD" w:rsidRPr="00CA61A6" w:rsidRDefault="00DB08F3" w:rsidP="008C5B1C">
      <w:pPr>
        <w:pStyle w:val="Headingb"/>
        <w:keepLines/>
      </w:pPr>
      <w:bookmarkStart w:id="675" w:name="Item73_06"/>
      <w:r w:rsidRPr="00CA61A6">
        <w:t xml:space="preserve">Acción </w:t>
      </w:r>
      <w:r w:rsidR="00450BDD" w:rsidRPr="00CA61A6">
        <w:t xml:space="preserve">73-06: </w:t>
      </w:r>
      <w:r w:rsidR="008C5B1C" w:rsidRPr="00CA61A6">
        <w:t>GANT</w:t>
      </w:r>
    </w:p>
    <w:bookmarkEnd w:id="675"/>
    <w:p w:rsidR="00450BDD" w:rsidRPr="00CA61A6" w:rsidRDefault="00450BDD" w:rsidP="007B3478">
      <w:pPr>
        <w:rPr>
          <w:rFonts w:eastAsia="SimSun"/>
          <w:szCs w:val="24"/>
          <w:lang w:eastAsia="ja-JP"/>
        </w:rPr>
      </w:pPr>
      <w:r w:rsidRPr="00CA61A6">
        <w:rPr>
          <w:rFonts w:eastAsia="SimSun"/>
          <w:szCs w:val="24"/>
          <w:lang w:eastAsia="ja-JP"/>
        </w:rPr>
        <w:t>La JCA ICT&amp;CC celebró su 17ª y última reunión el 14 de octubre de 2015 tras haber completado c</w:t>
      </w:r>
      <w:r w:rsidR="00A00050" w:rsidRPr="00CA61A6">
        <w:rPr>
          <w:rFonts w:eastAsia="SimSun"/>
          <w:szCs w:val="24"/>
          <w:lang w:eastAsia="ja-JP"/>
        </w:rPr>
        <w:t>on éxito su mandato.</w:t>
      </w:r>
    </w:p>
    <w:p w:rsidR="00450BDD" w:rsidRPr="00343F12" w:rsidRDefault="00450BDD" w:rsidP="007B3478">
      <w:pPr>
        <w:rPr>
          <w:rFonts w:eastAsia="SimSun"/>
          <w:szCs w:val="24"/>
          <w:lang w:val="en-US" w:eastAsia="ja-JP"/>
        </w:rPr>
      </w:pPr>
      <w:r w:rsidRPr="00CA61A6">
        <w:rPr>
          <w:rFonts w:eastAsia="SimSun"/>
          <w:szCs w:val="24"/>
          <w:lang w:eastAsia="ja-JP"/>
        </w:rPr>
        <w:lastRenderedPageBreak/>
        <w:t xml:space="preserve">A lo largo de su existencia, la JCA ICT&amp;CC pudo coordinar con éxito las actividades relacionadas con las TIC y el cambio climático entre las distintas Comisiones de Estudio del UIT-T, el UIT-R y el UIT-D. </w:t>
      </w:r>
      <w:r w:rsidRPr="00343F12">
        <w:rPr>
          <w:rFonts w:eastAsia="SimSun"/>
          <w:szCs w:val="24"/>
          <w:lang w:val="en-US" w:eastAsia="ja-JP"/>
        </w:rPr>
        <w:t xml:space="preserve">La JCA ICT&amp;CC también se puso en contacto con otras organizaciones, entre las que se cuentan GeSI, EC, EC-JRC, UNFCCC, Green Digital Charter, Green Touch, BBC, Telefónica, EBU, The Climate Group, Goal Zero, Partnership for Sustainable Development, CITEL, Green ICT Forum, IEA, Universities of Cyprus, University of Bath and University of Manchester, </w:t>
      </w:r>
      <w:r w:rsidR="00B26079" w:rsidRPr="00343F12">
        <w:rPr>
          <w:rFonts w:eastAsia="SimSun"/>
          <w:szCs w:val="24"/>
          <w:lang w:val="en-US" w:eastAsia="ja-JP"/>
        </w:rPr>
        <w:t>"</w:t>
      </w:r>
      <w:r w:rsidRPr="00343F12">
        <w:rPr>
          <w:rFonts w:eastAsia="SimSun"/>
          <w:szCs w:val="24"/>
          <w:lang w:val="en-US" w:eastAsia="ja-JP"/>
        </w:rPr>
        <w:t>EARTH</w:t>
      </w:r>
      <w:r w:rsidR="00B26079" w:rsidRPr="00343F12">
        <w:rPr>
          <w:rFonts w:eastAsia="SimSun"/>
          <w:szCs w:val="24"/>
          <w:lang w:val="en-US" w:eastAsia="ja-JP"/>
        </w:rPr>
        <w:t>"</w:t>
      </w:r>
      <w:r w:rsidRPr="00343F12">
        <w:rPr>
          <w:rFonts w:eastAsia="SimSun"/>
          <w:szCs w:val="24"/>
          <w:lang w:val="en-US" w:eastAsia="ja-JP"/>
        </w:rPr>
        <w:t xml:space="preserve"> Project, </w:t>
      </w:r>
      <w:r w:rsidR="00B26079" w:rsidRPr="00343F12">
        <w:rPr>
          <w:rFonts w:eastAsia="SimSun"/>
          <w:szCs w:val="24"/>
          <w:lang w:val="en-US" w:eastAsia="ja-JP"/>
        </w:rPr>
        <w:t>"</w:t>
      </w:r>
      <w:r w:rsidRPr="00343F12">
        <w:rPr>
          <w:rFonts w:eastAsia="SimSun"/>
          <w:szCs w:val="24"/>
          <w:lang w:val="en-US" w:eastAsia="ja-JP"/>
        </w:rPr>
        <w:t>Operanet</w:t>
      </w:r>
      <w:r w:rsidR="00B26079" w:rsidRPr="00343F12">
        <w:rPr>
          <w:rFonts w:eastAsia="SimSun"/>
          <w:szCs w:val="24"/>
          <w:lang w:val="en-US" w:eastAsia="ja-JP"/>
        </w:rPr>
        <w:t>"</w:t>
      </w:r>
      <w:r w:rsidRPr="00343F12">
        <w:rPr>
          <w:rFonts w:eastAsia="SimSun"/>
          <w:szCs w:val="24"/>
          <w:lang w:val="en-US" w:eastAsia="ja-JP"/>
        </w:rPr>
        <w:t xml:space="preserve"> Project y Mandat International.</w:t>
      </w:r>
    </w:p>
    <w:p w:rsidR="00450BDD" w:rsidRPr="00CA61A6" w:rsidRDefault="00450BDD" w:rsidP="007B3478">
      <w:pPr>
        <w:rPr>
          <w:rFonts w:eastAsia="SimSun"/>
          <w:szCs w:val="24"/>
          <w:lang w:eastAsia="ja-JP"/>
        </w:rPr>
      </w:pPr>
      <w:r w:rsidRPr="00CA61A6">
        <w:rPr>
          <w:rFonts w:eastAsia="SimSun"/>
          <w:szCs w:val="24"/>
          <w:lang w:eastAsia="ja-JP"/>
        </w:rPr>
        <w:t>En la última reunión de la JCA ICT&amp;CC se dijo que muchos organismos de normalización conocen ahora a la CE</w:t>
      </w:r>
      <w:r w:rsidR="008B5B32" w:rsidRPr="00CA61A6">
        <w:rPr>
          <w:rFonts w:eastAsia="SimSun"/>
          <w:szCs w:val="24"/>
          <w:lang w:eastAsia="ja-JP"/>
        </w:rPr>
        <w:t> </w:t>
      </w:r>
      <w:r w:rsidRPr="00CA61A6">
        <w:rPr>
          <w:rFonts w:eastAsia="SimSun"/>
          <w:szCs w:val="24"/>
          <w:lang w:eastAsia="ja-JP"/>
        </w:rPr>
        <w:t>5 del UIT-T y que, gracias al proceso de coordinación, se han establecido muchos vínculos, motivo por el cual cesaron las actividades de esa JCA al haberse logrado los principales objetivos.</w:t>
      </w:r>
    </w:p>
    <w:p w:rsidR="00450BDD" w:rsidRPr="00CA61A6" w:rsidRDefault="00450BDD" w:rsidP="007B3478">
      <w:pPr>
        <w:rPr>
          <w:rFonts w:eastAsia="SimSun"/>
          <w:szCs w:val="24"/>
          <w:lang w:eastAsia="ja-JP"/>
        </w:rPr>
      </w:pPr>
      <w:r w:rsidRPr="00CA61A6">
        <w:rPr>
          <w:rFonts w:eastAsia="SimSun"/>
          <w:szCs w:val="24"/>
          <w:lang w:eastAsia="ja-JP"/>
        </w:rPr>
        <w:t>La coordinación en la esfera de las TIC y el cambio climático seguirá efectuándose mediante acuerdos de coordinación</w:t>
      </w:r>
      <w:r w:rsidR="00FB36D2" w:rsidRPr="00CA61A6">
        <w:rPr>
          <w:rFonts w:eastAsia="SimSun"/>
          <w:szCs w:val="24"/>
          <w:lang w:eastAsia="ja-JP"/>
        </w:rPr>
        <w:t>.</w:t>
      </w:r>
    </w:p>
    <w:p w:rsidR="00450BDD" w:rsidRPr="00CA61A6" w:rsidRDefault="00873CD1" w:rsidP="00873CD1">
      <w:pPr>
        <w:pStyle w:val="Headingb"/>
        <w:keepLines/>
      </w:pPr>
      <w:bookmarkStart w:id="676" w:name="Item73_07"/>
      <w:r w:rsidRPr="00CA61A6">
        <w:t xml:space="preserve">Acción </w:t>
      </w:r>
      <w:r w:rsidR="00450BDD" w:rsidRPr="00CA61A6">
        <w:t>73-07: GANT</w:t>
      </w:r>
    </w:p>
    <w:bookmarkEnd w:id="676"/>
    <w:p w:rsidR="00450BDD" w:rsidRPr="00CA61A6" w:rsidRDefault="00450BDD" w:rsidP="007B3478">
      <w:pPr>
        <w:rPr>
          <w:rFonts w:eastAsia="SimSun"/>
          <w:szCs w:val="24"/>
          <w:lang w:eastAsia="ja-JP"/>
        </w:rPr>
      </w:pPr>
      <w:r w:rsidRPr="00CA61A6">
        <w:rPr>
          <w:rFonts w:eastAsia="SimSun"/>
          <w:szCs w:val="24"/>
          <w:lang w:eastAsia="ja-JP"/>
        </w:rPr>
        <w:t xml:space="preserve">Véase la </w:t>
      </w:r>
      <w:hyperlink w:anchor="_10_Resolución_32" w:history="1">
        <w:r w:rsidRPr="00CA61A6">
          <w:rPr>
            <w:rFonts w:eastAsia="SimSun"/>
            <w:color w:val="0000FF"/>
            <w:szCs w:val="24"/>
            <w:u w:val="single"/>
            <w:lang w:eastAsia="ja-JP"/>
          </w:rPr>
          <w:t>Resolución 32</w:t>
        </w:r>
      </w:hyperlink>
      <w:r w:rsidRPr="00CA61A6">
        <w:rPr>
          <w:rFonts w:eastAsia="SimSun"/>
          <w:szCs w:val="24"/>
          <w:lang w:eastAsia="ja-JP"/>
        </w:rPr>
        <w:t xml:space="preserve"> anterior sobre los métodos de trabajo electrónico</w:t>
      </w:r>
      <w:r w:rsidR="00932229" w:rsidRPr="00CA61A6">
        <w:rPr>
          <w:rFonts w:eastAsia="SimSun"/>
          <w:szCs w:val="24"/>
          <w:lang w:eastAsia="ja-JP"/>
        </w:rPr>
        <w:t>.</w:t>
      </w:r>
    </w:p>
    <w:p w:rsidR="00450BDD" w:rsidRPr="00CA61A6" w:rsidRDefault="00873CD1" w:rsidP="00873CD1">
      <w:pPr>
        <w:pStyle w:val="Headingb"/>
        <w:keepLines/>
      </w:pPr>
      <w:bookmarkStart w:id="677" w:name="Item73_08"/>
      <w:r w:rsidRPr="00CA61A6">
        <w:t xml:space="preserve">Acción </w:t>
      </w:r>
      <w:r w:rsidR="00450BDD" w:rsidRPr="00CA61A6">
        <w:t>73-08: CE</w:t>
      </w:r>
      <w:r w:rsidRPr="00CA61A6">
        <w:t> </w:t>
      </w:r>
      <w:r w:rsidR="00450BDD" w:rsidRPr="00CA61A6">
        <w:t>5</w:t>
      </w:r>
    </w:p>
    <w:bookmarkEnd w:id="677"/>
    <w:p w:rsidR="00450BDD" w:rsidRPr="00CA61A6" w:rsidRDefault="00450BDD" w:rsidP="007B3478">
      <w:pPr>
        <w:rPr>
          <w:rFonts w:eastAsia="SimSun"/>
          <w:szCs w:val="24"/>
          <w:lang w:eastAsia="ja-JP"/>
        </w:rPr>
      </w:pPr>
      <w:r w:rsidRPr="00CA61A6">
        <w:rPr>
          <w:rFonts w:eastAsia="SimSun"/>
          <w:szCs w:val="24"/>
          <w:lang w:eastAsia="ja-JP"/>
        </w:rPr>
        <w:t>Además de la CE</w:t>
      </w:r>
      <w:r w:rsidR="008B5B32" w:rsidRPr="00CA61A6">
        <w:rPr>
          <w:rFonts w:eastAsia="SimSun"/>
          <w:szCs w:val="24"/>
          <w:lang w:eastAsia="ja-JP"/>
        </w:rPr>
        <w:t> </w:t>
      </w:r>
      <w:r w:rsidRPr="00CA61A6">
        <w:rPr>
          <w:rFonts w:eastAsia="SimSun"/>
          <w:szCs w:val="24"/>
          <w:lang w:eastAsia="ja-JP"/>
        </w:rPr>
        <w:t>5 del UIT-T, muchas Cuestiones de diversas Comisiones de Estudio (por ejemplo, la CE</w:t>
      </w:r>
      <w:r w:rsidR="008B5B32" w:rsidRPr="00CA61A6">
        <w:rPr>
          <w:rFonts w:eastAsia="SimSun"/>
          <w:szCs w:val="24"/>
          <w:lang w:eastAsia="ja-JP"/>
        </w:rPr>
        <w:t> </w:t>
      </w:r>
      <w:r w:rsidRPr="00CA61A6">
        <w:rPr>
          <w:rFonts w:eastAsia="SimSun"/>
          <w:szCs w:val="24"/>
          <w:lang w:eastAsia="ja-JP"/>
        </w:rPr>
        <w:t>16 y la CE</w:t>
      </w:r>
      <w:r w:rsidR="008B5B32" w:rsidRPr="00CA61A6">
        <w:rPr>
          <w:rFonts w:eastAsia="SimSun"/>
          <w:szCs w:val="24"/>
          <w:lang w:eastAsia="ja-JP"/>
        </w:rPr>
        <w:t> </w:t>
      </w:r>
      <w:r w:rsidRPr="00CA61A6">
        <w:rPr>
          <w:rFonts w:eastAsia="SimSun"/>
          <w:szCs w:val="24"/>
          <w:lang w:eastAsia="ja-JP"/>
        </w:rPr>
        <w:t>17) abordan en algún momento el cambio climático.</w:t>
      </w:r>
    </w:p>
    <w:p w:rsidR="00450BDD" w:rsidRPr="00CA61A6" w:rsidRDefault="00873CD1" w:rsidP="00873CD1">
      <w:pPr>
        <w:pStyle w:val="Headingb"/>
        <w:keepLines/>
      </w:pPr>
      <w:bookmarkStart w:id="678" w:name="Item73_09"/>
      <w:r w:rsidRPr="00CA61A6">
        <w:t xml:space="preserve">Acción </w:t>
      </w:r>
      <w:r w:rsidR="00450BDD" w:rsidRPr="00CA61A6">
        <w:t>73-09: TSB</w:t>
      </w:r>
    </w:p>
    <w:bookmarkEnd w:id="678"/>
    <w:p w:rsidR="00450BDD" w:rsidRPr="00CA61A6" w:rsidRDefault="00450BDD" w:rsidP="007B3478">
      <w:pPr>
        <w:rPr>
          <w:rFonts w:eastAsia="SimSun"/>
          <w:szCs w:val="24"/>
          <w:lang w:eastAsia="ja-JP"/>
        </w:rPr>
      </w:pPr>
      <w:r w:rsidRPr="00CA61A6">
        <w:rPr>
          <w:rFonts w:eastAsia="SimSun"/>
          <w:szCs w:val="24"/>
          <w:lang w:eastAsia="ja-JP"/>
        </w:rPr>
        <w:t xml:space="preserve">La TSB mantiene actualizado el calendario de eventos, que puede consultarse en: </w:t>
      </w:r>
      <w:hyperlink r:id="rId181" w:history="1">
        <w:r w:rsidRPr="00CA61A6">
          <w:rPr>
            <w:rFonts w:eastAsia="SimSun"/>
            <w:color w:val="0000FF"/>
            <w:szCs w:val="24"/>
            <w:u w:val="single"/>
            <w:lang w:eastAsia="ja-JP"/>
          </w:rPr>
          <w:t>http://www.itu.int/en/ITU-T/climatechange/resources/Pages/default.aspx</w:t>
        </w:r>
      </w:hyperlink>
      <w:r w:rsidR="001120E3" w:rsidRPr="00CA61A6">
        <w:rPr>
          <w:rFonts w:eastAsia="SimSun"/>
          <w:szCs w:val="24"/>
          <w:lang w:eastAsia="ja-JP"/>
        </w:rPr>
        <w:t>.</w:t>
      </w:r>
    </w:p>
    <w:p w:rsidR="00450BDD" w:rsidRPr="00CA61A6" w:rsidRDefault="00873CD1" w:rsidP="00873CD1">
      <w:pPr>
        <w:pStyle w:val="Headingb"/>
        <w:keepLines/>
      </w:pPr>
      <w:bookmarkStart w:id="679" w:name="Item73_10"/>
      <w:r w:rsidRPr="00CA61A6">
        <w:t xml:space="preserve">Acción </w:t>
      </w:r>
      <w:r w:rsidR="00450BDD" w:rsidRPr="00CA61A6">
        <w:t>73-10: TSB</w:t>
      </w:r>
    </w:p>
    <w:bookmarkEnd w:id="679"/>
    <w:p w:rsidR="00450BDD" w:rsidRPr="00CA61A6" w:rsidRDefault="00450BDD" w:rsidP="007B3478">
      <w:pPr>
        <w:rPr>
          <w:rFonts w:eastAsia="SimSun"/>
          <w:szCs w:val="24"/>
          <w:lang w:eastAsia="ja-JP"/>
        </w:rPr>
      </w:pPr>
      <w:r w:rsidRPr="00CA61A6">
        <w:rPr>
          <w:rFonts w:eastAsia="SimSun"/>
          <w:szCs w:val="24"/>
          <w:lang w:eastAsia="ja-JP"/>
        </w:rPr>
        <w:t>La UIT y la CEPENU han lanzado la iniciativa mundial Unidos por las Ciudades Inteligentes y Sostenibles (U4SSC). Esta iniciativa generará directrices para la integración de las TIC en el funcionamiento urbano a partir de las Recomendaciones de la UIT existentes y de los indicadores fundamentales de rendimiento de las ciudades inteligentes y sostenibles. En la iniciativa U4SSC pueden participar todos los organismos de las Naciones Unidas, municipios, entidades industriales, instituciones académicas y demás interesados.</w:t>
      </w:r>
    </w:p>
    <w:p w:rsidR="00450BDD" w:rsidRPr="00CA61A6" w:rsidRDefault="00450BDD" w:rsidP="007B3478">
      <w:pPr>
        <w:rPr>
          <w:rFonts w:eastAsia="SimSun"/>
          <w:szCs w:val="24"/>
          <w:lang w:eastAsia="ja-JP"/>
        </w:rPr>
      </w:pPr>
      <w:r w:rsidRPr="00CA61A6">
        <w:rPr>
          <w:rFonts w:eastAsia="SimSun"/>
          <w:szCs w:val="24"/>
          <w:lang w:eastAsia="ja-JP"/>
        </w:rPr>
        <w:t>Esta iniciativa ayudará a atender la Meta 11 de los Objetivos de Desarrollo Sostenible (ODS) de las Naciones Unidas: "Lograr que las ciudades y los asentamientos humanos sean inclusivos, seguros, resilientes y sostenibles".</w:t>
      </w:r>
    </w:p>
    <w:p w:rsidR="00450BDD" w:rsidRPr="00CA61A6" w:rsidRDefault="00450BDD" w:rsidP="007B3478">
      <w:pPr>
        <w:rPr>
          <w:rFonts w:eastAsia="SimSun"/>
          <w:szCs w:val="24"/>
          <w:lang w:eastAsia="ja-JP"/>
        </w:rPr>
      </w:pPr>
      <w:r w:rsidRPr="00CA61A6">
        <w:rPr>
          <w:rFonts w:eastAsia="SimSun"/>
          <w:szCs w:val="24"/>
          <w:lang w:eastAsia="ja-JP"/>
        </w:rPr>
        <w:t>La iniciativa U4SSC celebró su primera reunión los días 21 y 22 de julio de 2016 en Ginebra.</w:t>
      </w:r>
    </w:p>
    <w:p w:rsidR="00450BDD" w:rsidRPr="00CA61A6" w:rsidRDefault="00A60AE9" w:rsidP="00E2662F">
      <w:pPr>
        <w:pStyle w:val="Headingb"/>
        <w:keepLines/>
      </w:pPr>
      <w:bookmarkStart w:id="680" w:name="Item73_11"/>
      <w:r w:rsidRPr="00CA61A6">
        <w:t xml:space="preserve">Acción </w:t>
      </w:r>
      <w:r w:rsidR="00450BDD" w:rsidRPr="00CA61A6">
        <w:t>73-11: TSB</w:t>
      </w:r>
    </w:p>
    <w:bookmarkEnd w:id="680"/>
    <w:p w:rsidR="00450BDD" w:rsidRPr="00CA61A6" w:rsidRDefault="00450BDD" w:rsidP="007B3478">
      <w:pPr>
        <w:rPr>
          <w:rFonts w:eastAsia="SimSun"/>
          <w:szCs w:val="24"/>
          <w:lang w:eastAsia="ja-JP"/>
        </w:rPr>
      </w:pPr>
      <w:r w:rsidRPr="00CA61A6">
        <w:rPr>
          <w:rFonts w:eastAsia="SimSun"/>
          <w:szCs w:val="24"/>
          <w:lang w:eastAsia="ja-JP"/>
        </w:rPr>
        <w:t>En un nuevo informe sobre gestión inteligente del agua se analiza las posibilidades que ofrecen las TIC para mejorar la sostenibilidad, accesibilidad y eficiencia de nuestra utilización de los recursos hídricos.</w:t>
      </w:r>
    </w:p>
    <w:p w:rsidR="00450BDD" w:rsidRPr="00CA61A6" w:rsidRDefault="00450BDD" w:rsidP="007B3478">
      <w:pPr>
        <w:rPr>
          <w:rFonts w:eastAsia="SimSun"/>
          <w:szCs w:val="24"/>
          <w:lang w:eastAsia="ja-JP"/>
        </w:rPr>
      </w:pPr>
      <w:r w:rsidRPr="00CA61A6">
        <w:rPr>
          <w:rFonts w:eastAsia="SimSun"/>
          <w:szCs w:val="24"/>
          <w:lang w:eastAsia="ja-JP"/>
        </w:rPr>
        <w:t xml:space="preserve">El </w:t>
      </w:r>
      <w:r w:rsidR="00C962D3" w:rsidRPr="00CA61A6">
        <w:rPr>
          <w:rFonts w:eastAsia="SimSun"/>
          <w:szCs w:val="24"/>
          <w:lang w:eastAsia="ja-JP"/>
        </w:rPr>
        <w:t xml:space="preserve">Informe </w:t>
      </w:r>
      <w:r w:rsidRPr="00CA61A6">
        <w:rPr>
          <w:rFonts w:eastAsia="SimSun"/>
          <w:szCs w:val="24"/>
          <w:lang w:eastAsia="ja-JP"/>
        </w:rPr>
        <w:t>"</w:t>
      </w:r>
      <w:r w:rsidRPr="003A55E1">
        <w:rPr>
          <w:rFonts w:eastAsia="SimSun"/>
          <w:szCs w:val="24"/>
          <w:lang w:eastAsia="ja-JP"/>
        </w:rPr>
        <w:t>Partnering for solutions: ICTs in Smart Water Management (SWM)</w:t>
      </w:r>
      <w:r w:rsidRPr="00CA61A6">
        <w:rPr>
          <w:rFonts w:eastAsia="SimSun"/>
          <w:szCs w:val="24"/>
          <w:lang w:eastAsia="ja-JP"/>
        </w:rPr>
        <w:t>" es el resultado de la colaboración entre la UIT y la Organización de las Naciones Unidas para la Educación, la Ciencia y la Cultura (UNESCO).</w:t>
      </w:r>
    </w:p>
    <w:p w:rsidR="00450BDD" w:rsidRPr="00CA61A6" w:rsidRDefault="00450BDD" w:rsidP="007B3478">
      <w:pPr>
        <w:rPr>
          <w:rFonts w:eastAsia="SimSun"/>
          <w:szCs w:val="24"/>
          <w:lang w:eastAsia="ja-JP"/>
        </w:rPr>
      </w:pPr>
      <w:r w:rsidRPr="00CA61A6">
        <w:rPr>
          <w:rFonts w:eastAsia="SimSun"/>
          <w:szCs w:val="24"/>
          <w:lang w:eastAsia="ja-JP"/>
        </w:rPr>
        <w:t xml:space="preserve">El Informe se presentó en el marco de los eventos que del 11 al 14 de marzo de 2014 organizaron la UIT y la UNESCO sobre </w:t>
      </w:r>
      <w:r w:rsidR="00B26079" w:rsidRPr="00CA61A6">
        <w:rPr>
          <w:rFonts w:eastAsia="SimSun"/>
          <w:szCs w:val="24"/>
          <w:lang w:eastAsia="ja-JP"/>
        </w:rPr>
        <w:t>"</w:t>
      </w:r>
      <w:r w:rsidRPr="00CA61A6">
        <w:rPr>
          <w:rFonts w:eastAsia="SimSun"/>
          <w:szCs w:val="24"/>
          <w:lang w:eastAsia="ja-JP"/>
        </w:rPr>
        <w:t>Ciudades inteligentes y sostenibles</w:t>
      </w:r>
      <w:r w:rsidR="00B26079" w:rsidRPr="00CA61A6">
        <w:rPr>
          <w:rFonts w:eastAsia="SimSun"/>
          <w:szCs w:val="24"/>
          <w:lang w:eastAsia="ja-JP"/>
        </w:rPr>
        <w:t>"</w:t>
      </w:r>
      <w:r w:rsidRPr="00CA61A6">
        <w:rPr>
          <w:rFonts w:eastAsia="SimSun"/>
          <w:szCs w:val="24"/>
          <w:lang w:eastAsia="ja-JP"/>
        </w:rPr>
        <w:t xml:space="preserve"> en Montevideo, Uruguay.</w:t>
      </w:r>
    </w:p>
    <w:p w:rsidR="00450BDD" w:rsidRPr="00CA61A6" w:rsidRDefault="00450BDD" w:rsidP="007B3478">
      <w:pPr>
        <w:rPr>
          <w:rFonts w:eastAsia="SimSun"/>
          <w:szCs w:val="24"/>
          <w:lang w:eastAsia="ja-JP"/>
        </w:rPr>
      </w:pPr>
      <w:r w:rsidRPr="00CA61A6">
        <w:rPr>
          <w:rFonts w:eastAsia="SimSun"/>
          <w:szCs w:val="24"/>
          <w:lang w:eastAsia="ja-JP"/>
        </w:rPr>
        <w:lastRenderedPageBreak/>
        <w:t>En el Informe</w:t>
      </w:r>
      <w:r w:rsidR="00AE7B71" w:rsidRPr="00CA61A6">
        <w:rPr>
          <w:rFonts w:eastAsia="SimSun"/>
          <w:szCs w:val="24"/>
          <w:lang w:eastAsia="ja-JP"/>
        </w:rPr>
        <w:t xml:space="preserve"> </w:t>
      </w:r>
      <w:r w:rsidR="00B26079" w:rsidRPr="00CA61A6">
        <w:rPr>
          <w:rFonts w:eastAsia="SimSun"/>
          <w:szCs w:val="24"/>
          <w:lang w:eastAsia="ja-JP"/>
        </w:rPr>
        <w:t>"</w:t>
      </w:r>
      <w:r w:rsidRPr="003A55E1">
        <w:rPr>
          <w:rFonts w:eastAsia="SimSun"/>
          <w:szCs w:val="24"/>
          <w:lang w:eastAsia="ja-JP"/>
        </w:rPr>
        <w:t>Resilient pathways: the adaptation of the ICT sector to climate change</w:t>
      </w:r>
      <w:r w:rsidR="00B26079" w:rsidRPr="00CA61A6">
        <w:rPr>
          <w:rFonts w:eastAsia="SimSun"/>
          <w:szCs w:val="24"/>
          <w:lang w:eastAsia="ja-JP"/>
        </w:rPr>
        <w:t>"</w:t>
      </w:r>
      <w:r w:rsidRPr="00CA61A6">
        <w:rPr>
          <w:rFonts w:eastAsia="SimSun"/>
          <w:szCs w:val="24"/>
          <w:lang w:eastAsia="ja-JP"/>
        </w:rPr>
        <w:t xml:space="preserve"> se exploran las consecuencias del cambio climático en el sector de las TIC y las posibilidades de adaptación, insistiendo en la necesidad de iniciar vías sólidas de acción, de crear entornos propicios y nuevas normas que propicien la adaptación del sector. Este </w:t>
      </w:r>
      <w:r w:rsidR="00E33C8E" w:rsidRPr="00CA61A6">
        <w:rPr>
          <w:rFonts w:eastAsia="SimSun"/>
          <w:szCs w:val="24"/>
          <w:lang w:eastAsia="ja-JP"/>
        </w:rPr>
        <w:t xml:space="preserve">Informe </w:t>
      </w:r>
      <w:r w:rsidRPr="00CA61A6">
        <w:rPr>
          <w:rFonts w:eastAsia="SimSun"/>
          <w:szCs w:val="24"/>
          <w:lang w:eastAsia="ja-JP"/>
        </w:rPr>
        <w:t>fue elaborado por la UIT, la UNESC</w:t>
      </w:r>
      <w:r w:rsidR="00E61BC9" w:rsidRPr="00CA61A6">
        <w:rPr>
          <w:rFonts w:eastAsia="SimSun"/>
          <w:szCs w:val="24"/>
          <w:lang w:eastAsia="ja-JP"/>
        </w:rPr>
        <w:t>O y la CMNUCC en abril de 2014.</w:t>
      </w:r>
    </w:p>
    <w:p w:rsidR="00450BDD" w:rsidRPr="00CA61A6" w:rsidRDefault="00450BDD" w:rsidP="007B3478">
      <w:pPr>
        <w:rPr>
          <w:rFonts w:eastAsia="SimSun"/>
          <w:szCs w:val="24"/>
          <w:lang w:eastAsia="ja-JP"/>
        </w:rPr>
      </w:pPr>
      <w:r w:rsidRPr="00CA61A6">
        <w:rPr>
          <w:rFonts w:eastAsia="SimSun"/>
          <w:szCs w:val="24"/>
          <w:lang w:eastAsia="ja-JP"/>
        </w:rPr>
        <w:t xml:space="preserve">El Grupo Temático del UIT-T sobre Ciudades sostenibles </w:t>
      </w:r>
      <w:r w:rsidR="00AD51D8">
        <w:rPr>
          <w:rFonts w:eastAsia="SimSun"/>
          <w:szCs w:val="24"/>
          <w:lang w:eastAsia="ja-JP"/>
        </w:rPr>
        <w:t>e inteligentes (FG</w:t>
      </w:r>
      <w:r w:rsidR="00AD51D8">
        <w:rPr>
          <w:rFonts w:eastAsia="SimSun"/>
          <w:szCs w:val="24"/>
          <w:lang w:eastAsia="ja-JP"/>
        </w:rPr>
        <w:noBreakHyphen/>
      </w:r>
      <w:r w:rsidRPr="00CA61A6">
        <w:rPr>
          <w:rFonts w:eastAsia="SimSun"/>
          <w:szCs w:val="24"/>
          <w:lang w:eastAsia="ja-JP"/>
        </w:rPr>
        <w:t>SSC) acordó la definición de ciudad sostenible e inteligente y terminó sus trabajos en mayo de 2015 con la finalización de 21 especificaciones técnicas e informes sobre, entre otros asuntos, la adaptación al cambio climático, consideraciones sobre los campos electromagnéticos, indicadores fundamentales de rendimiento para ciudades sostenibles e inteligentes, ciberseguridad y gestión inteligente del agua. Dubái fue la primera ciudad en utilizar los IFR de las Recomendaciones UIT-T L.1601 y</w:t>
      </w:r>
      <w:r w:rsidR="00A4183F">
        <w:rPr>
          <w:rFonts w:eastAsia="SimSun"/>
          <w:szCs w:val="24"/>
          <w:lang w:eastAsia="ja-JP"/>
        </w:rPr>
        <w:t> </w:t>
      </w:r>
      <w:r w:rsidR="00235AE7">
        <w:rPr>
          <w:rFonts w:eastAsia="SimSun"/>
          <w:szCs w:val="24"/>
          <w:lang w:eastAsia="ja-JP"/>
        </w:rPr>
        <w:t>UIT</w:t>
      </w:r>
      <w:r w:rsidR="00235AE7">
        <w:rPr>
          <w:rFonts w:eastAsia="SimSun"/>
          <w:szCs w:val="24"/>
          <w:lang w:eastAsia="ja-JP"/>
        </w:rPr>
        <w:noBreakHyphen/>
      </w:r>
      <w:r w:rsidRPr="00CA61A6">
        <w:rPr>
          <w:rFonts w:eastAsia="SimSun"/>
          <w:szCs w:val="24"/>
          <w:lang w:eastAsia="ja-JP"/>
        </w:rPr>
        <w:t>T L.1602, basadas en los trabajos del FG-SSC. Esos IFR ayudan a las ciudades a medir sus progresos, documentar políticas de desarrollo urbano y evaluar la eficiencia y sostenibilidad de sus operaciones. Esos IFR se están utilizando en diversas ciudades de todo el mundo.</w:t>
      </w:r>
    </w:p>
    <w:p w:rsidR="00450BDD" w:rsidRPr="00CA61A6" w:rsidRDefault="006A652B" w:rsidP="00CA4039">
      <w:pPr>
        <w:pStyle w:val="Headingb"/>
        <w:keepLines/>
      </w:pPr>
      <w:bookmarkStart w:id="681" w:name="Item73_12"/>
      <w:r w:rsidRPr="00CA61A6">
        <w:t xml:space="preserve">Acción </w:t>
      </w:r>
      <w:r w:rsidR="00450BDD" w:rsidRPr="00CA61A6">
        <w:t>73-12: TSB y CE</w:t>
      </w:r>
    </w:p>
    <w:bookmarkEnd w:id="681"/>
    <w:p w:rsidR="00450BDD" w:rsidRPr="00CA61A6" w:rsidRDefault="00450BDD" w:rsidP="007B3478">
      <w:pPr>
        <w:rPr>
          <w:rFonts w:eastAsia="SimSun"/>
          <w:szCs w:val="24"/>
          <w:lang w:eastAsia="ja-JP"/>
        </w:rPr>
      </w:pPr>
      <w:r w:rsidRPr="00CA61A6">
        <w:rPr>
          <w:rFonts w:eastAsia="SimSun"/>
          <w:szCs w:val="24"/>
          <w:lang w:eastAsia="ja-JP"/>
        </w:rPr>
        <w:t xml:space="preserve">En respuesta a la Resolución 73, la TSB ha organizado 60 eventos, entre los que se cuentan talleres y foros, a lo largo de este periodo de estudios. Puede encontrarse la lista completa de eventos relacionados con el cambio climático en: </w:t>
      </w:r>
      <w:hyperlink r:id="rId182" w:history="1">
        <w:r w:rsidRPr="00CA61A6">
          <w:rPr>
            <w:rFonts w:eastAsia="SimSun"/>
            <w:color w:val="0000FF"/>
            <w:szCs w:val="24"/>
            <w:u w:val="single"/>
            <w:lang w:eastAsia="ja-JP"/>
          </w:rPr>
          <w:t>http://www.itu.int/en/ITU-T/climatechange/Pages/events.aspx</w:t>
        </w:r>
      </w:hyperlink>
      <w:r w:rsidR="00CA4039" w:rsidRPr="00CA61A6">
        <w:rPr>
          <w:rFonts w:eastAsia="SimSun"/>
          <w:szCs w:val="24"/>
          <w:lang w:eastAsia="ja-JP"/>
        </w:rPr>
        <w:t>.</w:t>
      </w:r>
    </w:p>
    <w:p w:rsidR="00450BDD" w:rsidRPr="00CA61A6" w:rsidRDefault="00450BDD" w:rsidP="007B3478">
      <w:pPr>
        <w:rPr>
          <w:rFonts w:eastAsia="SimSun"/>
          <w:szCs w:val="24"/>
          <w:lang w:eastAsia="ja-JP"/>
        </w:rPr>
      </w:pPr>
      <w:r w:rsidRPr="00CA61A6">
        <w:rPr>
          <w:rFonts w:eastAsia="SimSun"/>
          <w:szCs w:val="24"/>
          <w:lang w:eastAsia="ja-JP"/>
        </w:rPr>
        <w:t>En el marco de Habitat III Process, la UIT/TSB organizó un evento paralelo sobre "Configuración de las ciudades inteligentes y sostenibles para la nueva agenda urbana" en Praga, República Checa.</w:t>
      </w:r>
    </w:p>
    <w:p w:rsidR="00450BDD" w:rsidRPr="00CA61A6" w:rsidRDefault="00450BDD" w:rsidP="007B3478">
      <w:pPr>
        <w:rPr>
          <w:rFonts w:eastAsia="SimSun"/>
          <w:szCs w:val="24"/>
          <w:lang w:eastAsia="ja-JP"/>
        </w:rPr>
      </w:pPr>
      <w:r w:rsidRPr="00CA61A6">
        <w:rPr>
          <w:rFonts w:eastAsia="SimSun"/>
          <w:szCs w:val="24"/>
          <w:lang w:eastAsia="ja-JP"/>
        </w:rPr>
        <w:t xml:space="preserve">La TSB también organizó con la CEPENU una reunión de expertos pluridisciplinares sobre </w:t>
      </w:r>
      <w:r w:rsidR="00B26079" w:rsidRPr="00CA61A6">
        <w:rPr>
          <w:rFonts w:eastAsia="SimSun"/>
          <w:szCs w:val="24"/>
          <w:lang w:eastAsia="ja-JP"/>
        </w:rPr>
        <w:t>"</w:t>
      </w:r>
      <w:r w:rsidRPr="00CA61A6">
        <w:rPr>
          <w:rFonts w:eastAsia="SimSun"/>
          <w:szCs w:val="24"/>
          <w:lang w:eastAsia="ja-JP"/>
        </w:rPr>
        <w:t>Driving Smart Sustainable Cities Worldwide</w:t>
      </w:r>
      <w:r w:rsidR="00B26079" w:rsidRPr="00CA61A6">
        <w:rPr>
          <w:rFonts w:eastAsia="SimSun"/>
          <w:szCs w:val="24"/>
          <w:lang w:eastAsia="ja-JP"/>
        </w:rPr>
        <w:t>"</w:t>
      </w:r>
      <w:r w:rsidRPr="00CA61A6">
        <w:rPr>
          <w:rFonts w:eastAsia="SimSun"/>
          <w:szCs w:val="24"/>
          <w:lang w:eastAsia="ja-JP"/>
        </w:rPr>
        <w:t xml:space="preserve"> el 21 de julio, de las 9.00 a las 17.00 horas en Ginebra.</w:t>
      </w:r>
    </w:p>
    <w:p w:rsidR="00450BDD" w:rsidRPr="00CA61A6" w:rsidRDefault="00450BDD" w:rsidP="007B3478">
      <w:pPr>
        <w:rPr>
          <w:rFonts w:eastAsia="SimSun"/>
          <w:szCs w:val="24"/>
          <w:lang w:eastAsia="ja-JP"/>
        </w:rPr>
      </w:pPr>
      <w:r w:rsidRPr="00CA61A6">
        <w:rPr>
          <w:rFonts w:eastAsia="SimSun"/>
          <w:szCs w:val="24"/>
          <w:lang w:eastAsia="ja-JP"/>
        </w:rPr>
        <w:t>La TSB coorganizó con la CEI y la ISO el World Smart City Forum, celebrado en Singapur el 13 de julio de 2016.</w:t>
      </w:r>
    </w:p>
    <w:p w:rsidR="00450BDD" w:rsidRPr="00CA61A6" w:rsidRDefault="00450BDD" w:rsidP="007B3478">
      <w:pPr>
        <w:rPr>
          <w:rFonts w:eastAsia="SimSun"/>
          <w:szCs w:val="24"/>
          <w:lang w:eastAsia="ja-JP"/>
        </w:rPr>
      </w:pPr>
      <w:r w:rsidRPr="00CA61A6">
        <w:rPr>
          <w:rFonts w:eastAsia="SimSun"/>
          <w:szCs w:val="24"/>
          <w:lang w:eastAsia="ja-JP"/>
        </w:rPr>
        <w:t>La UIT y la CEPENU organizaron el Foro "Configurar ciudades más inteligentes y más sostenibles: esforzarse por los objetivos de desarrollo sostenible", cuyo resultado fue la Declaración de Roma, en la que se fomenta la adopción mundial de la iniciativa U4SSC y tiene por objetivo facilitar la transición hacia ciudades inteligentes y sostenibles en todo el mundo.</w:t>
      </w:r>
    </w:p>
    <w:p w:rsidR="00450BDD" w:rsidRPr="00CA61A6" w:rsidRDefault="00450BDD" w:rsidP="007B3478">
      <w:pPr>
        <w:rPr>
          <w:rFonts w:eastAsia="SimSun"/>
          <w:szCs w:val="24"/>
          <w:lang w:eastAsia="ja-JP"/>
        </w:rPr>
      </w:pPr>
      <w:r w:rsidRPr="00CA61A6">
        <w:rPr>
          <w:rFonts w:eastAsia="SimSun"/>
          <w:szCs w:val="24"/>
          <w:lang w:eastAsia="ja-JP"/>
        </w:rPr>
        <w:t xml:space="preserve">La UIT y la CEPENU también organizaron una sesión dedicada a </w:t>
      </w:r>
      <w:r w:rsidR="00B26079" w:rsidRPr="00CA61A6">
        <w:rPr>
          <w:rFonts w:eastAsia="SimSun"/>
          <w:szCs w:val="24"/>
          <w:lang w:eastAsia="ja-JP"/>
        </w:rPr>
        <w:t>"</w:t>
      </w:r>
      <w:r w:rsidRPr="00CA61A6">
        <w:rPr>
          <w:rFonts w:eastAsia="SimSun"/>
          <w:szCs w:val="24"/>
          <w:lang w:eastAsia="ja-JP"/>
        </w:rPr>
        <w:t>Laying the Foundation for Sustainable Development Goals: Role of Smart Sustainable Cities</w:t>
      </w:r>
      <w:r w:rsidR="00B26079" w:rsidRPr="00CA61A6">
        <w:rPr>
          <w:rFonts w:eastAsia="SimSun"/>
          <w:szCs w:val="24"/>
          <w:lang w:eastAsia="ja-JP"/>
        </w:rPr>
        <w:t>"</w:t>
      </w:r>
      <w:r w:rsidRPr="00CA61A6">
        <w:rPr>
          <w:rFonts w:eastAsia="SimSun"/>
          <w:szCs w:val="24"/>
          <w:lang w:eastAsia="ja-JP"/>
        </w:rPr>
        <w:t xml:space="preserve"> en el marco de la CMSI 2016.</w:t>
      </w:r>
    </w:p>
    <w:p w:rsidR="00450BDD" w:rsidRPr="00CA61A6" w:rsidRDefault="00450BDD" w:rsidP="007B3478">
      <w:pPr>
        <w:rPr>
          <w:rFonts w:eastAsia="SimSun"/>
          <w:szCs w:val="24"/>
          <w:lang w:eastAsia="ja-JP"/>
        </w:rPr>
      </w:pPr>
      <w:r w:rsidRPr="00CA61A6">
        <w:rPr>
          <w:rFonts w:eastAsia="SimSun"/>
          <w:szCs w:val="24"/>
          <w:lang w:eastAsia="ja-JP"/>
        </w:rPr>
        <w:t>La Semana de las Normas Verdes sirve como plataforma mundial para el debate y el intercambio de conocimientos a fin de lograr una mayor sensibilización respecto de la importancia y las oportunidades que entraña el uso de las TIC para acelerar la transición a las ciudades inteligentes y sostenibles y garantizar un futuro sostenible.</w:t>
      </w:r>
    </w:p>
    <w:p w:rsidR="00450BDD" w:rsidRPr="00CA61A6" w:rsidRDefault="00450BDD" w:rsidP="007B3478">
      <w:pPr>
        <w:rPr>
          <w:rFonts w:eastAsia="SimSun"/>
          <w:szCs w:val="24"/>
          <w:lang w:eastAsia="ja-JP"/>
        </w:rPr>
      </w:pPr>
      <w:r w:rsidRPr="00CA61A6">
        <w:rPr>
          <w:rFonts w:eastAsia="SimSun"/>
          <w:szCs w:val="24"/>
          <w:lang w:eastAsia="ja-JP"/>
        </w:rPr>
        <w:t>La Semana de las Normas Verdes reúne a grandes especialistas en este campo, desde altos responsables políticos hasta ingenieros, conceptores, planificadores, funcionarios públicos, organismos reguladores, expertos en normalización y otros.</w:t>
      </w:r>
    </w:p>
    <w:p w:rsidR="00450BDD" w:rsidRPr="00CA61A6" w:rsidRDefault="00450BDD" w:rsidP="007B3478">
      <w:pPr>
        <w:rPr>
          <w:rFonts w:eastAsia="SimSun"/>
          <w:szCs w:val="24"/>
          <w:u w:val="single"/>
          <w:lang w:eastAsia="ja-JP"/>
        </w:rPr>
      </w:pPr>
      <w:r w:rsidRPr="00CA61A6">
        <w:rPr>
          <w:rFonts w:eastAsia="SimSun"/>
          <w:szCs w:val="24"/>
          <w:u w:val="single"/>
          <w:lang w:eastAsia="ja-JP"/>
        </w:rPr>
        <w:t>6ª Semana de la</w:t>
      </w:r>
      <w:r w:rsidR="00537342">
        <w:rPr>
          <w:rFonts w:eastAsia="SimSun"/>
          <w:szCs w:val="24"/>
          <w:u w:val="single"/>
          <w:lang w:eastAsia="ja-JP"/>
        </w:rPr>
        <w:t>s Normas Verdes de la UIT, 5-</w:t>
      </w:r>
      <w:r w:rsidRPr="00CA61A6">
        <w:rPr>
          <w:rFonts w:eastAsia="SimSun"/>
          <w:szCs w:val="24"/>
          <w:u w:val="single"/>
          <w:lang w:eastAsia="ja-JP"/>
        </w:rPr>
        <w:t>9 de septiemb</w:t>
      </w:r>
      <w:r w:rsidR="00283E72" w:rsidRPr="00CA61A6">
        <w:rPr>
          <w:rFonts w:eastAsia="SimSun"/>
          <w:szCs w:val="24"/>
          <w:u w:val="single"/>
          <w:lang w:eastAsia="ja-JP"/>
        </w:rPr>
        <w:t>re de 2016, Montevideo, Uruguay</w:t>
      </w:r>
    </w:p>
    <w:p w:rsidR="00450BDD" w:rsidRPr="00CA61A6" w:rsidRDefault="00450BDD" w:rsidP="007B3478">
      <w:pPr>
        <w:rPr>
          <w:rFonts w:eastAsia="SimSun"/>
          <w:szCs w:val="24"/>
          <w:u w:val="single"/>
          <w:lang w:eastAsia="ja-JP"/>
        </w:rPr>
      </w:pPr>
      <w:r w:rsidRPr="00CA61A6">
        <w:rPr>
          <w:rFonts w:eastAsia="SimSun"/>
          <w:szCs w:val="24"/>
          <w:u w:val="single"/>
          <w:lang w:eastAsia="ja-JP"/>
        </w:rPr>
        <w:t>5ª Semana de las Normas Verdes de la UIT, 14-18 de diciembre de 2015, Nassau, Bahamas</w:t>
      </w:r>
    </w:p>
    <w:p w:rsidR="00450BDD" w:rsidRPr="00CA61A6" w:rsidRDefault="00450BDD" w:rsidP="007B3478">
      <w:pPr>
        <w:rPr>
          <w:rFonts w:eastAsia="SimSun"/>
          <w:szCs w:val="24"/>
          <w:u w:val="single"/>
          <w:lang w:eastAsia="ja-JP"/>
        </w:rPr>
      </w:pPr>
      <w:r w:rsidRPr="00CA61A6">
        <w:rPr>
          <w:rFonts w:eastAsia="SimSun"/>
          <w:szCs w:val="24"/>
          <w:u w:val="single"/>
          <w:lang w:eastAsia="ja-JP"/>
        </w:rPr>
        <w:t>4ª Semana de las Normas Verdes de la UIT, 22-26 de septiembre de 2014, Beijing, China</w:t>
      </w:r>
    </w:p>
    <w:p w:rsidR="00450BDD" w:rsidRPr="00CA61A6" w:rsidRDefault="00450BDD" w:rsidP="007B3478">
      <w:pPr>
        <w:rPr>
          <w:rFonts w:eastAsia="SimSun"/>
          <w:szCs w:val="24"/>
          <w:u w:val="single"/>
          <w:lang w:eastAsia="ja-JP"/>
        </w:rPr>
      </w:pPr>
      <w:r w:rsidRPr="00CA61A6">
        <w:rPr>
          <w:rFonts w:eastAsia="SimSun"/>
          <w:szCs w:val="24"/>
          <w:u w:val="single"/>
          <w:lang w:eastAsia="ja-JP"/>
        </w:rPr>
        <w:t>3ª Semana de las Normas Verdes de la UIT, 16-20 de septiembre de 2013, Madrid, España</w:t>
      </w:r>
    </w:p>
    <w:p w:rsidR="00450BDD" w:rsidRPr="00CA61A6" w:rsidRDefault="00F75015" w:rsidP="00796462">
      <w:pPr>
        <w:pStyle w:val="Headingb"/>
        <w:keepLines/>
      </w:pPr>
      <w:bookmarkStart w:id="682" w:name="Item73_13"/>
      <w:r w:rsidRPr="00CA61A6">
        <w:lastRenderedPageBreak/>
        <w:t xml:space="preserve">Acción </w:t>
      </w:r>
      <w:r w:rsidR="00450BDD" w:rsidRPr="00CA61A6">
        <w:t>73-13: TSB</w:t>
      </w:r>
    </w:p>
    <w:bookmarkEnd w:id="682"/>
    <w:p w:rsidR="00450BDD" w:rsidRPr="00CA61A6" w:rsidRDefault="00450BDD" w:rsidP="007B3478">
      <w:pPr>
        <w:rPr>
          <w:rFonts w:eastAsia="SimSun"/>
          <w:szCs w:val="24"/>
          <w:lang w:eastAsia="ja-JP"/>
        </w:rPr>
      </w:pPr>
      <w:r w:rsidRPr="00CA61A6">
        <w:rPr>
          <w:rFonts w:eastAsia="SimSun"/>
          <w:szCs w:val="24"/>
          <w:lang w:eastAsia="ja-JP"/>
        </w:rPr>
        <w:t>La TSB apoya los trabajos del Grupo Especial Mixto sobre sistemas de cable SMART (Supervisión Científica y Telecomunicaciones Resilientes) desde su creación en septiembre de 2011 en colaboración con la OMM (Organización</w:t>
      </w:r>
      <w:r w:rsidR="005167FB">
        <w:rPr>
          <w:rFonts w:eastAsia="SimSun"/>
          <w:szCs w:val="24"/>
          <w:lang w:eastAsia="ja-JP"/>
        </w:rPr>
        <w:t xml:space="preserve"> Meteorológica Mundial) y la COI</w:t>
      </w:r>
      <w:r w:rsidRPr="00CA61A6">
        <w:rPr>
          <w:rFonts w:eastAsia="SimSun"/>
          <w:szCs w:val="24"/>
          <w:lang w:eastAsia="ja-JP"/>
        </w:rPr>
        <w:t xml:space="preserve"> de la UNESCO (Comisión Oceanográfica Intergubernamental de la Organización de las Naciones Unidas para la Educación, la Ciencia y la Cultura).</w:t>
      </w:r>
      <w:r w:rsidRPr="00CA61A6">
        <w:t xml:space="preserve"> </w:t>
      </w:r>
      <w:r w:rsidRPr="00CA61A6">
        <w:rPr>
          <w:rFonts w:eastAsia="SimSun"/>
          <w:szCs w:val="24"/>
          <w:lang w:eastAsia="ja-JP"/>
        </w:rPr>
        <w:t>El Grupo Especial Mixto ha recibido por misión la elaboración de una estrategia y una hoja de ruta que podría resultar en la posibilidad de disponer de repetidores submarinos equipados con sensores científicos se encuentren disponibles para vigilar el clima y el océano y reducir el riesgo de catástrofes (los tsunamis).</w:t>
      </w:r>
    </w:p>
    <w:p w:rsidR="00450BDD" w:rsidRPr="00CA61A6" w:rsidRDefault="00450BDD" w:rsidP="007B3478">
      <w:pPr>
        <w:rPr>
          <w:rFonts w:eastAsia="SimSun"/>
          <w:szCs w:val="24"/>
          <w:lang w:eastAsia="ja-JP"/>
        </w:rPr>
      </w:pPr>
      <w:r w:rsidRPr="00CA61A6">
        <w:rPr>
          <w:rFonts w:eastAsia="SimSun"/>
          <w:szCs w:val="24"/>
          <w:lang w:eastAsia="ja-JP"/>
        </w:rPr>
        <w:t>En este Grupo Especial Mixto participan más de 100 expertos de ámb</w:t>
      </w:r>
      <w:r w:rsidR="007D3C81">
        <w:rPr>
          <w:rFonts w:eastAsia="SimSun"/>
          <w:szCs w:val="24"/>
          <w:lang w:eastAsia="ja-JP"/>
        </w:rPr>
        <w:t>itos relacionados, incluidos 20 </w:t>
      </w:r>
      <w:r w:rsidRPr="00CA61A6">
        <w:rPr>
          <w:rFonts w:eastAsia="SimSun"/>
          <w:szCs w:val="24"/>
          <w:lang w:eastAsia="ja-JP"/>
        </w:rPr>
        <w:t>actores fundamentales. Los debates se celebran en teleconferencias mensuales y en los eventos presenciales que se indican a continuación:</w:t>
      </w:r>
    </w:p>
    <w:p w:rsidR="00450BDD" w:rsidRPr="00CA61A6" w:rsidRDefault="00D04152" w:rsidP="00D04152">
      <w:pPr>
        <w:pStyle w:val="enumlev1"/>
        <w:rPr>
          <w:rFonts w:eastAsia="SimSun"/>
          <w:lang w:eastAsia="ja-JP"/>
        </w:rPr>
      </w:pPr>
      <w:r w:rsidRPr="00CA61A6">
        <w:rPr>
          <w:rFonts w:eastAsia="SimSun"/>
          <w:lang w:eastAsia="ja-JP"/>
        </w:rPr>
        <w:t>•</w:t>
      </w:r>
      <w:r w:rsidRPr="00CA61A6">
        <w:rPr>
          <w:rFonts w:eastAsia="SimSun"/>
          <w:lang w:eastAsia="ja-JP"/>
        </w:rPr>
        <w:tab/>
      </w:r>
      <w:r w:rsidR="00450BDD" w:rsidRPr="00CA61A6">
        <w:rPr>
          <w:rFonts w:eastAsia="SimSun"/>
          <w:lang w:eastAsia="ja-JP"/>
        </w:rPr>
        <w:t xml:space="preserve">5º </w:t>
      </w:r>
      <w:r w:rsidR="00A518A6" w:rsidRPr="00CA61A6">
        <w:rPr>
          <w:rFonts w:eastAsia="SimSun"/>
          <w:lang w:eastAsia="ja-JP"/>
        </w:rPr>
        <w:t xml:space="preserve">taller </w:t>
      </w:r>
      <w:r w:rsidR="00450BDD" w:rsidRPr="00CA61A6">
        <w:rPr>
          <w:rFonts w:eastAsia="SimSun"/>
          <w:lang w:eastAsia="ja-JP"/>
        </w:rPr>
        <w:t>sobre sistemas de cable submarino SMART (Supervisión Científica y Telecomunicaciones Fiables), 17-18 de abril de 2016, Dubái, EAU</w:t>
      </w:r>
      <w:r w:rsidR="00112408" w:rsidRPr="00CA61A6">
        <w:rPr>
          <w:rFonts w:eastAsia="SimSun"/>
          <w:lang w:eastAsia="ja-JP"/>
        </w:rPr>
        <w:t>.</w:t>
      </w:r>
    </w:p>
    <w:p w:rsidR="00450BDD" w:rsidRPr="00CA61A6" w:rsidRDefault="00D04152" w:rsidP="00D04152">
      <w:pPr>
        <w:pStyle w:val="enumlev1"/>
        <w:rPr>
          <w:rFonts w:eastAsia="SimSun"/>
          <w:lang w:eastAsia="ja-JP"/>
        </w:rPr>
      </w:pPr>
      <w:r w:rsidRPr="00CA61A6">
        <w:rPr>
          <w:rFonts w:eastAsia="SimSun"/>
          <w:lang w:eastAsia="ja-JP"/>
        </w:rPr>
        <w:t>•</w:t>
      </w:r>
      <w:r w:rsidRPr="00CA61A6">
        <w:rPr>
          <w:rFonts w:eastAsia="SimSun"/>
          <w:lang w:eastAsia="ja-JP"/>
        </w:rPr>
        <w:tab/>
      </w:r>
      <w:r w:rsidR="00450BDD" w:rsidRPr="00CA61A6">
        <w:rPr>
          <w:rFonts w:eastAsia="SimSun"/>
          <w:lang w:eastAsia="ja-JP"/>
        </w:rPr>
        <w:t xml:space="preserve">4º </w:t>
      </w:r>
      <w:r w:rsidR="00A518A6" w:rsidRPr="00CA61A6">
        <w:rPr>
          <w:rFonts w:eastAsia="SimSun"/>
          <w:lang w:eastAsia="ja-JP"/>
        </w:rPr>
        <w:t xml:space="preserve">taller </w:t>
      </w:r>
      <w:r w:rsidR="00450BDD" w:rsidRPr="00CA61A6">
        <w:rPr>
          <w:rFonts w:eastAsia="SimSun"/>
          <w:lang w:eastAsia="ja-JP"/>
        </w:rPr>
        <w:t>sobre sistemas de cable ecológicos: novedades</w:t>
      </w:r>
      <w:r w:rsidR="00374CBF">
        <w:rPr>
          <w:rFonts w:eastAsia="SimSun"/>
          <w:lang w:eastAsia="ja-JP"/>
        </w:rPr>
        <w:t xml:space="preserve"> y proyecto Demonstrator, 16</w:t>
      </w:r>
      <w:r w:rsidR="00374CBF">
        <w:rPr>
          <w:rFonts w:eastAsia="SimSun"/>
          <w:lang w:eastAsia="ja-JP"/>
        </w:rPr>
        <w:noBreakHyphen/>
        <w:t>17 </w:t>
      </w:r>
      <w:r w:rsidR="00450BDD" w:rsidRPr="00CA61A6">
        <w:rPr>
          <w:rFonts w:eastAsia="SimSun"/>
          <w:lang w:eastAsia="ja-JP"/>
        </w:rPr>
        <w:t>de octubre de 2014, Singapur</w:t>
      </w:r>
      <w:r w:rsidR="00112408" w:rsidRPr="00CA61A6">
        <w:rPr>
          <w:rFonts w:eastAsia="SimSun"/>
          <w:lang w:eastAsia="ja-JP"/>
        </w:rPr>
        <w:t>.</w:t>
      </w:r>
    </w:p>
    <w:p w:rsidR="00450BDD" w:rsidRPr="00CA61A6" w:rsidRDefault="00D04152" w:rsidP="00D04152">
      <w:pPr>
        <w:pStyle w:val="enumlev1"/>
        <w:rPr>
          <w:rFonts w:eastAsia="SimSun"/>
          <w:lang w:eastAsia="ja-JP"/>
        </w:rPr>
      </w:pPr>
      <w:r w:rsidRPr="00CA61A6">
        <w:rPr>
          <w:rFonts w:eastAsia="SimSun"/>
          <w:lang w:eastAsia="ja-JP"/>
        </w:rPr>
        <w:t>•</w:t>
      </w:r>
      <w:r w:rsidRPr="00CA61A6">
        <w:rPr>
          <w:rFonts w:eastAsia="SimSun"/>
          <w:lang w:eastAsia="ja-JP"/>
        </w:rPr>
        <w:tab/>
      </w:r>
      <w:r w:rsidR="00450BDD" w:rsidRPr="00CA61A6">
        <w:rPr>
          <w:rFonts w:eastAsia="SimSun"/>
          <w:lang w:eastAsia="ja-JP"/>
        </w:rPr>
        <w:t xml:space="preserve">3er </w:t>
      </w:r>
      <w:r w:rsidR="00A518A6" w:rsidRPr="00CA61A6">
        <w:rPr>
          <w:rFonts w:eastAsia="SimSun"/>
          <w:lang w:eastAsia="ja-JP"/>
        </w:rPr>
        <w:t xml:space="preserve">taller </w:t>
      </w:r>
      <w:r w:rsidR="00450BDD" w:rsidRPr="00CA61A6">
        <w:rPr>
          <w:rFonts w:eastAsia="SimSun"/>
          <w:lang w:eastAsia="ja-JP"/>
        </w:rPr>
        <w:t>sobre el impulso de un proyecto piloto sobre cables ecológicos, 19-20 de septiembre de 2013, Madrid, España.</w:t>
      </w:r>
    </w:p>
    <w:p w:rsidR="00450BDD" w:rsidRPr="00CA61A6" w:rsidRDefault="00450BDD" w:rsidP="007B3478">
      <w:pPr>
        <w:rPr>
          <w:rFonts w:eastAsia="SimSun"/>
          <w:szCs w:val="24"/>
          <w:lang w:eastAsia="ja-JP"/>
        </w:rPr>
      </w:pPr>
      <w:r w:rsidRPr="00CA61A6">
        <w:rPr>
          <w:rFonts w:eastAsia="SimSun"/>
          <w:szCs w:val="24"/>
          <w:lang w:eastAsia="ja-JP"/>
        </w:rPr>
        <w:t>Además, la NASA organizó dos talleres s</w:t>
      </w:r>
      <w:r w:rsidR="00A64356">
        <w:rPr>
          <w:rFonts w:eastAsia="SimSun"/>
          <w:szCs w:val="24"/>
          <w:lang w:eastAsia="ja-JP"/>
        </w:rPr>
        <w:t>obre sistemas de cable SMART (9-</w:t>
      </w:r>
      <w:r w:rsidRPr="00CA61A6">
        <w:rPr>
          <w:rFonts w:eastAsia="SimSun"/>
          <w:szCs w:val="24"/>
          <w:lang w:eastAsia="ja-JP"/>
        </w:rPr>
        <w:t xml:space="preserve">10 de octubre de 2014, Pasadena, </w:t>
      </w:r>
      <w:r w:rsidR="00B051C0">
        <w:rPr>
          <w:rFonts w:eastAsia="SimSun"/>
          <w:szCs w:val="24"/>
          <w:lang w:eastAsia="ja-JP"/>
        </w:rPr>
        <w:t>CA, Estados Unidos, y 26-</w:t>
      </w:r>
      <w:r w:rsidRPr="00CA61A6">
        <w:rPr>
          <w:rFonts w:eastAsia="SimSun"/>
          <w:szCs w:val="24"/>
          <w:lang w:eastAsia="ja-JP"/>
        </w:rPr>
        <w:t>28 de mayo de 2015, Honolulu, HI, Estados Unidos).</w:t>
      </w:r>
    </w:p>
    <w:p w:rsidR="00450BDD" w:rsidRPr="00CA61A6" w:rsidRDefault="00450BDD" w:rsidP="007B3478">
      <w:pPr>
        <w:rPr>
          <w:rFonts w:eastAsia="SimSun"/>
          <w:szCs w:val="24"/>
          <w:lang w:eastAsia="ja-JP"/>
        </w:rPr>
      </w:pPr>
      <w:r w:rsidRPr="00CA61A6">
        <w:rPr>
          <w:rFonts w:eastAsia="SimSun"/>
          <w:szCs w:val="24"/>
          <w:lang w:eastAsia="ja-JP"/>
        </w:rPr>
        <w:t>El Grupo Especial Mixto ha publicado los siguientes documentos:</w:t>
      </w:r>
    </w:p>
    <w:p w:rsidR="00450BDD" w:rsidRPr="00343F12" w:rsidRDefault="00807682" w:rsidP="00807682">
      <w:pPr>
        <w:pStyle w:val="enumlev1"/>
        <w:rPr>
          <w:rFonts w:eastAsia="SimSun"/>
          <w:lang w:val="en-US" w:eastAsia="ja-JP"/>
        </w:rPr>
      </w:pPr>
      <w:r w:rsidRPr="00343F12">
        <w:rPr>
          <w:rFonts w:eastAsia="SimSun"/>
          <w:lang w:val="en-US" w:eastAsia="ja-JP"/>
        </w:rPr>
        <w:t>•</w:t>
      </w:r>
      <w:r w:rsidRPr="00343F12">
        <w:rPr>
          <w:rFonts w:eastAsia="SimSun"/>
          <w:lang w:val="en-US" w:eastAsia="ja-JP"/>
        </w:rPr>
        <w:tab/>
      </w:r>
      <w:r w:rsidR="00450BDD" w:rsidRPr="00343F12">
        <w:rPr>
          <w:rFonts w:eastAsia="SimSun"/>
          <w:lang w:val="en-US" w:eastAsia="ja-JP"/>
        </w:rPr>
        <w:t>Green Cables Funding Study (2016)</w:t>
      </w:r>
      <w:r w:rsidR="007739CD">
        <w:rPr>
          <w:rFonts w:eastAsia="SimSun"/>
          <w:lang w:val="en-US" w:eastAsia="ja-JP"/>
        </w:rPr>
        <w:t>.</w:t>
      </w:r>
    </w:p>
    <w:p w:rsidR="00450BDD" w:rsidRPr="00343F12" w:rsidRDefault="00807682" w:rsidP="00807682">
      <w:pPr>
        <w:pStyle w:val="enumlev1"/>
        <w:rPr>
          <w:rFonts w:eastAsia="SimSun"/>
          <w:lang w:val="en-US" w:eastAsia="ja-JP"/>
        </w:rPr>
      </w:pPr>
      <w:r w:rsidRPr="00343F12">
        <w:rPr>
          <w:rFonts w:eastAsia="SimSun"/>
          <w:lang w:val="en-US" w:eastAsia="ja-JP"/>
        </w:rPr>
        <w:t>•</w:t>
      </w:r>
      <w:r w:rsidRPr="00343F12">
        <w:rPr>
          <w:rFonts w:eastAsia="SimSun"/>
          <w:lang w:val="en-US" w:eastAsia="ja-JP"/>
        </w:rPr>
        <w:tab/>
      </w:r>
      <w:r w:rsidR="00450BDD" w:rsidRPr="00343F12">
        <w:rPr>
          <w:rFonts w:eastAsia="SimSun"/>
          <w:lang w:val="en-US" w:eastAsia="ja-JP"/>
        </w:rPr>
        <w:t>JTF 2015 Annual Report (2016)</w:t>
      </w:r>
      <w:r w:rsidR="007739CD">
        <w:rPr>
          <w:rFonts w:eastAsia="SimSun"/>
          <w:lang w:val="en-US" w:eastAsia="ja-JP"/>
        </w:rPr>
        <w:t>.</w:t>
      </w:r>
    </w:p>
    <w:p w:rsidR="00450BDD" w:rsidRPr="00343F12" w:rsidRDefault="00807682" w:rsidP="00807682">
      <w:pPr>
        <w:pStyle w:val="enumlev1"/>
        <w:rPr>
          <w:rFonts w:eastAsia="SimSun"/>
          <w:lang w:val="en-US" w:eastAsia="ja-JP"/>
        </w:rPr>
      </w:pPr>
      <w:r w:rsidRPr="00343F12">
        <w:rPr>
          <w:rFonts w:eastAsia="SimSun"/>
          <w:lang w:val="en-US" w:eastAsia="ja-JP"/>
        </w:rPr>
        <w:t>•</w:t>
      </w:r>
      <w:r w:rsidRPr="00343F12">
        <w:rPr>
          <w:rFonts w:eastAsia="SimSun"/>
          <w:lang w:val="en-US" w:eastAsia="ja-JP"/>
        </w:rPr>
        <w:tab/>
      </w:r>
      <w:r w:rsidR="00450BDD" w:rsidRPr="00343F12">
        <w:rPr>
          <w:rFonts w:eastAsia="SimSun"/>
          <w:lang w:val="en-US" w:eastAsia="ja-JP"/>
        </w:rPr>
        <w:t>From space to the deep seafloor: Using SMART submarine cable systems in the ocean observing system, Report of NASA Workshops (2015)</w:t>
      </w:r>
      <w:r w:rsidR="007739CD">
        <w:rPr>
          <w:rFonts w:eastAsia="SimSun"/>
          <w:lang w:val="en-US" w:eastAsia="ja-JP"/>
        </w:rPr>
        <w:t>.</w:t>
      </w:r>
    </w:p>
    <w:p w:rsidR="00450BDD" w:rsidRPr="00343F12" w:rsidRDefault="00807682" w:rsidP="00807682">
      <w:pPr>
        <w:pStyle w:val="enumlev1"/>
        <w:rPr>
          <w:rFonts w:eastAsia="SimSun"/>
          <w:lang w:val="en-US" w:eastAsia="ja-JP"/>
        </w:rPr>
      </w:pPr>
      <w:r w:rsidRPr="00343F12">
        <w:rPr>
          <w:rFonts w:eastAsia="SimSun"/>
          <w:lang w:val="en-US" w:eastAsia="ja-JP"/>
        </w:rPr>
        <w:t>•</w:t>
      </w:r>
      <w:r w:rsidRPr="00343F12">
        <w:rPr>
          <w:rFonts w:eastAsia="SimSun"/>
          <w:lang w:val="en-US" w:eastAsia="ja-JP"/>
        </w:rPr>
        <w:tab/>
      </w:r>
      <w:r w:rsidR="00450BDD" w:rsidRPr="00343F12">
        <w:rPr>
          <w:rFonts w:eastAsia="SimSun"/>
          <w:lang w:val="en-US" w:eastAsia="ja-JP"/>
        </w:rPr>
        <w:t>Scope document and budgetary cost estimate for a wet test to demonstrate the feasibility of installing sensors external to the repeater and to provide data from such sensors for evaluation (2015)</w:t>
      </w:r>
      <w:r w:rsidR="007739CD">
        <w:rPr>
          <w:rFonts w:eastAsia="SimSun"/>
          <w:lang w:val="en-US" w:eastAsia="ja-JP"/>
        </w:rPr>
        <w:t>.</w:t>
      </w:r>
    </w:p>
    <w:p w:rsidR="00450BDD" w:rsidRPr="00343F12" w:rsidRDefault="00807682" w:rsidP="00807682">
      <w:pPr>
        <w:pStyle w:val="enumlev1"/>
        <w:rPr>
          <w:rFonts w:eastAsia="SimSun"/>
          <w:lang w:val="en-US" w:eastAsia="ja-JP"/>
        </w:rPr>
      </w:pPr>
      <w:r w:rsidRPr="00343F12">
        <w:rPr>
          <w:rFonts w:eastAsia="SimSun"/>
          <w:lang w:val="en-US" w:eastAsia="ja-JP"/>
        </w:rPr>
        <w:t>•</w:t>
      </w:r>
      <w:r w:rsidRPr="00343F12">
        <w:rPr>
          <w:rFonts w:eastAsia="SimSun"/>
          <w:lang w:val="en-US" w:eastAsia="ja-JP"/>
        </w:rPr>
        <w:tab/>
      </w:r>
      <w:r w:rsidR="00450BDD" w:rsidRPr="00343F12">
        <w:rPr>
          <w:rFonts w:eastAsia="SimSun"/>
          <w:lang w:val="en-US" w:eastAsia="ja-JP"/>
        </w:rPr>
        <w:t xml:space="preserve">Functional requirements of </w:t>
      </w:r>
      <w:r w:rsidR="00B26079" w:rsidRPr="00343F12">
        <w:rPr>
          <w:rFonts w:eastAsia="SimSun"/>
          <w:lang w:val="en-US" w:eastAsia="ja-JP"/>
        </w:rPr>
        <w:t>"</w:t>
      </w:r>
      <w:r w:rsidR="00450BDD" w:rsidRPr="00343F12">
        <w:rPr>
          <w:rFonts w:eastAsia="SimSun"/>
          <w:lang w:val="en-US" w:eastAsia="ja-JP"/>
        </w:rPr>
        <w:t>green</w:t>
      </w:r>
      <w:r w:rsidR="00B26079" w:rsidRPr="00343F12">
        <w:rPr>
          <w:rFonts w:eastAsia="SimSun"/>
          <w:lang w:val="en-US" w:eastAsia="ja-JP"/>
        </w:rPr>
        <w:t>"</w:t>
      </w:r>
      <w:r w:rsidR="00450BDD" w:rsidRPr="00343F12">
        <w:rPr>
          <w:rFonts w:eastAsia="SimSun"/>
          <w:lang w:val="en-US" w:eastAsia="ja-JP"/>
        </w:rPr>
        <w:t xml:space="preserve"> submarine cable systems (2015)</w:t>
      </w:r>
      <w:r w:rsidR="007739CD">
        <w:rPr>
          <w:rFonts w:eastAsia="SimSun"/>
          <w:lang w:val="en-US" w:eastAsia="ja-JP"/>
        </w:rPr>
        <w:t>.</w:t>
      </w:r>
    </w:p>
    <w:p w:rsidR="00450BDD" w:rsidRPr="00343F12" w:rsidRDefault="00807682" w:rsidP="00807682">
      <w:pPr>
        <w:pStyle w:val="enumlev1"/>
        <w:rPr>
          <w:rFonts w:eastAsia="SimSun"/>
          <w:lang w:val="en-US" w:eastAsia="ja-JP"/>
        </w:rPr>
      </w:pPr>
      <w:r w:rsidRPr="00343F12">
        <w:rPr>
          <w:rFonts w:eastAsia="SimSun"/>
          <w:lang w:val="en-US" w:eastAsia="ja-JP"/>
        </w:rPr>
        <w:t>•</w:t>
      </w:r>
      <w:r w:rsidRPr="00343F12">
        <w:rPr>
          <w:rFonts w:eastAsia="SimSun"/>
          <w:lang w:val="en-US" w:eastAsia="ja-JP"/>
        </w:rPr>
        <w:tab/>
      </w:r>
      <w:r w:rsidR="00450BDD" w:rsidRPr="00343F12">
        <w:rPr>
          <w:rFonts w:eastAsia="SimSun"/>
          <w:lang w:val="en-US" w:eastAsia="ja-JP"/>
        </w:rPr>
        <w:t>JTF 2014 Annual Report (2015)</w:t>
      </w:r>
      <w:r w:rsidR="007739CD">
        <w:rPr>
          <w:rFonts w:eastAsia="SimSun"/>
          <w:lang w:val="en-US" w:eastAsia="ja-JP"/>
        </w:rPr>
        <w:t>.</w:t>
      </w:r>
    </w:p>
    <w:p w:rsidR="00450BDD" w:rsidRPr="00343F12" w:rsidRDefault="00807682" w:rsidP="00807682">
      <w:pPr>
        <w:pStyle w:val="enumlev1"/>
        <w:rPr>
          <w:rFonts w:eastAsia="SimSun"/>
          <w:lang w:val="en-US" w:eastAsia="ja-JP"/>
        </w:rPr>
      </w:pPr>
      <w:r w:rsidRPr="00343F12">
        <w:rPr>
          <w:rFonts w:eastAsia="SimSun"/>
          <w:lang w:val="en-US" w:eastAsia="ja-JP"/>
        </w:rPr>
        <w:t>•</w:t>
      </w:r>
      <w:r w:rsidRPr="00343F12">
        <w:rPr>
          <w:rFonts w:eastAsia="SimSun"/>
          <w:lang w:val="en-US" w:eastAsia="ja-JP"/>
        </w:rPr>
        <w:tab/>
      </w:r>
      <w:r w:rsidR="00450BDD" w:rsidRPr="00343F12">
        <w:rPr>
          <w:rFonts w:eastAsia="SimSun"/>
          <w:lang w:val="en-US" w:eastAsia="ja-JP"/>
        </w:rPr>
        <w:t>The scientific and societal case for the integration of environmental sensors into new submarine telecommunication cables (2014)</w:t>
      </w:r>
      <w:r w:rsidR="007739CD">
        <w:rPr>
          <w:rFonts w:eastAsia="SimSun"/>
          <w:lang w:val="en-US" w:eastAsia="ja-JP"/>
        </w:rPr>
        <w:t>.</w:t>
      </w:r>
    </w:p>
    <w:p w:rsidR="00450BDD" w:rsidRPr="00CA61A6" w:rsidRDefault="00DC093E" w:rsidP="00807682">
      <w:pPr>
        <w:pStyle w:val="enumlev1"/>
        <w:rPr>
          <w:rFonts w:eastAsia="SimSun"/>
          <w:lang w:eastAsia="ja-JP"/>
        </w:rPr>
      </w:pPr>
      <w:r w:rsidRPr="00CA61A6">
        <w:rPr>
          <w:rFonts w:eastAsia="SimSun"/>
          <w:lang w:eastAsia="ja-JP"/>
        </w:rPr>
        <w:t>•</w:t>
      </w:r>
      <w:r w:rsidRPr="00CA61A6">
        <w:rPr>
          <w:rFonts w:eastAsia="SimSun"/>
          <w:lang w:eastAsia="ja-JP"/>
        </w:rPr>
        <w:tab/>
      </w:r>
      <w:r w:rsidR="00450BDD" w:rsidRPr="00CA61A6">
        <w:rPr>
          <w:rFonts w:eastAsia="SimSun"/>
          <w:lang w:eastAsia="ja-JP"/>
        </w:rPr>
        <w:t>JTF 2013 Annual Report (2014)</w:t>
      </w:r>
      <w:r w:rsidR="007739CD">
        <w:rPr>
          <w:rFonts w:eastAsia="SimSun"/>
          <w:lang w:eastAsia="ja-JP"/>
        </w:rPr>
        <w:t>.</w:t>
      </w:r>
    </w:p>
    <w:p w:rsidR="00450BDD" w:rsidRPr="00CA61A6" w:rsidRDefault="00450BDD" w:rsidP="007B3478">
      <w:pPr>
        <w:rPr>
          <w:rFonts w:eastAsia="SimSun"/>
          <w:szCs w:val="24"/>
          <w:lang w:eastAsia="ja-JP"/>
        </w:rPr>
      </w:pPr>
      <w:r w:rsidRPr="00CA61A6">
        <w:rPr>
          <w:rFonts w:eastAsia="SimSun"/>
          <w:szCs w:val="24"/>
          <w:lang w:eastAsia="ja-JP"/>
        </w:rPr>
        <w:t xml:space="preserve">Gracias a las actividades realizadas, el Grupo Especial Mixto ha podido identificar diversos problemas. En la actualidad, se dedica a dar a conocer el concepto en las conferencias sobre el tema y a preparar una propuesta a fin de demostrar la viabilidad del </w:t>
      </w:r>
      <w:r w:rsidR="00B26079" w:rsidRPr="00CA61A6">
        <w:rPr>
          <w:rFonts w:eastAsia="SimSun"/>
          <w:szCs w:val="24"/>
          <w:lang w:eastAsia="ja-JP"/>
        </w:rPr>
        <w:t>"</w:t>
      </w:r>
      <w:r w:rsidRPr="00CA61A6">
        <w:rPr>
          <w:rFonts w:eastAsia="SimSun"/>
          <w:szCs w:val="24"/>
          <w:lang w:eastAsia="ja-JP"/>
        </w:rPr>
        <w:t>Wet Demonstrator</w:t>
      </w:r>
      <w:r w:rsidR="00B26079" w:rsidRPr="00CA61A6">
        <w:rPr>
          <w:rFonts w:eastAsia="SimSun"/>
          <w:szCs w:val="24"/>
          <w:lang w:eastAsia="ja-JP"/>
        </w:rPr>
        <w:t>"</w:t>
      </w:r>
      <w:r w:rsidRPr="00CA61A6">
        <w:rPr>
          <w:rFonts w:eastAsia="SimSun"/>
          <w:szCs w:val="24"/>
          <w:lang w:eastAsia="ja-JP"/>
        </w:rPr>
        <w:t xml:space="preserve"> y recabar el apoyo de otras organizaciones (gobiernos, organismos de las Naciones Unidas, instituciones, empresas, etc.).</w:t>
      </w:r>
    </w:p>
    <w:p w:rsidR="00450BDD" w:rsidRPr="00CA61A6" w:rsidRDefault="00A734BF" w:rsidP="00CC452F">
      <w:pPr>
        <w:pStyle w:val="Headingb"/>
        <w:keepLines/>
      </w:pPr>
      <w:bookmarkStart w:id="683" w:name="Item73_14"/>
      <w:r w:rsidRPr="00CA61A6">
        <w:t xml:space="preserve">Acción </w:t>
      </w:r>
      <w:r w:rsidR="00450BDD" w:rsidRPr="00CA61A6">
        <w:t>73-14: Secretario General de la UIT</w:t>
      </w:r>
    </w:p>
    <w:bookmarkEnd w:id="683"/>
    <w:p w:rsidR="00450BDD" w:rsidRPr="00CA61A6" w:rsidRDefault="00450BDD" w:rsidP="00900021">
      <w:pPr>
        <w:rPr>
          <w:rFonts w:eastAsia="SimSun"/>
          <w:szCs w:val="24"/>
          <w:lang w:eastAsia="ja-JP"/>
        </w:rPr>
      </w:pPr>
      <w:r w:rsidRPr="00CA61A6">
        <w:rPr>
          <w:rFonts w:eastAsia="SimSun"/>
          <w:szCs w:val="24"/>
          <w:lang w:eastAsia="ja-JP"/>
        </w:rPr>
        <w:t xml:space="preserve">Véase </w:t>
      </w:r>
      <w:r w:rsidR="00900021">
        <w:rPr>
          <w:rFonts w:eastAsia="SimSun"/>
          <w:szCs w:val="24"/>
          <w:lang w:eastAsia="ja-JP"/>
        </w:rPr>
        <w:t>la</w:t>
      </w:r>
      <w:r w:rsidRPr="00CA61A6">
        <w:rPr>
          <w:rFonts w:eastAsia="SimSun"/>
          <w:szCs w:val="24"/>
          <w:lang w:eastAsia="ja-JP"/>
        </w:rPr>
        <w:t xml:space="preserve"> </w:t>
      </w:r>
      <w:hyperlink w:anchor="Item73_15" w:history="1">
        <w:r w:rsidR="00900021" w:rsidRPr="00522C19">
          <w:rPr>
            <w:rStyle w:val="Hyperlink"/>
            <w:rFonts w:eastAsia="SimSun"/>
            <w:szCs w:val="24"/>
            <w:lang w:eastAsia="ja-JP"/>
          </w:rPr>
          <w:t>Acción</w:t>
        </w:r>
        <w:r w:rsidR="00BB1BFC" w:rsidRPr="00522C19">
          <w:rPr>
            <w:rStyle w:val="Hyperlink"/>
            <w:rFonts w:eastAsia="SimSun"/>
            <w:szCs w:val="24"/>
            <w:lang w:eastAsia="ja-JP"/>
          </w:rPr>
          <w:t xml:space="preserve"> 73-15</w:t>
        </w:r>
      </w:hyperlink>
      <w:r w:rsidR="00BB1BFC" w:rsidRPr="00CA61A6">
        <w:rPr>
          <w:rFonts w:eastAsia="SimSun"/>
          <w:szCs w:val="24"/>
          <w:lang w:eastAsia="ja-JP"/>
        </w:rPr>
        <w:t>.</w:t>
      </w:r>
    </w:p>
    <w:p w:rsidR="00450BDD" w:rsidRPr="00CA61A6" w:rsidRDefault="00C15FB5" w:rsidP="002B3CA4">
      <w:pPr>
        <w:pStyle w:val="Headingb"/>
        <w:keepLines/>
      </w:pPr>
      <w:bookmarkStart w:id="684" w:name="Item73_15"/>
      <w:r w:rsidRPr="00CA61A6">
        <w:lastRenderedPageBreak/>
        <w:t xml:space="preserve">Acción </w:t>
      </w:r>
      <w:r w:rsidR="00450BDD" w:rsidRPr="00CA61A6">
        <w:t>73-15: TSB</w:t>
      </w:r>
    </w:p>
    <w:bookmarkEnd w:id="684"/>
    <w:p w:rsidR="00450BDD" w:rsidRPr="00CA61A6" w:rsidRDefault="00450BDD" w:rsidP="007B3478">
      <w:pPr>
        <w:rPr>
          <w:rFonts w:eastAsia="SimSun"/>
          <w:szCs w:val="24"/>
          <w:lang w:eastAsia="ja-JP"/>
        </w:rPr>
      </w:pPr>
      <w:r w:rsidRPr="00CA61A6">
        <w:rPr>
          <w:rFonts w:eastAsia="SimSun"/>
          <w:szCs w:val="24"/>
          <w:lang w:eastAsia="ja-JP"/>
        </w:rPr>
        <w:t>La TSB y la CE</w:t>
      </w:r>
      <w:r w:rsidR="008B5B32" w:rsidRPr="00CA61A6">
        <w:rPr>
          <w:rFonts w:eastAsia="SimSun"/>
          <w:szCs w:val="24"/>
          <w:lang w:eastAsia="ja-JP"/>
        </w:rPr>
        <w:t> </w:t>
      </w:r>
      <w:r w:rsidRPr="00CA61A6">
        <w:rPr>
          <w:rFonts w:eastAsia="SimSun"/>
          <w:szCs w:val="24"/>
          <w:lang w:eastAsia="ja-JP"/>
        </w:rPr>
        <w:t>5 del UIT-T están colaborando estrechamente con CELAC, OMC,</w:t>
      </w:r>
      <w:r w:rsidR="00974F3B">
        <w:rPr>
          <w:rFonts w:eastAsia="SimSun"/>
          <w:szCs w:val="24"/>
          <w:lang w:eastAsia="ja-JP"/>
        </w:rPr>
        <w:t xml:space="preserve"> FAO,</w:t>
      </w:r>
      <w:r w:rsidRPr="00CA61A6">
        <w:rPr>
          <w:rFonts w:eastAsia="SimSun"/>
          <w:szCs w:val="24"/>
          <w:lang w:eastAsia="ja-JP"/>
        </w:rPr>
        <w:t xml:space="preserve"> ONUDI, Convención de Basilea, CEPENU, OMPI, PNUMA, UNU, UNESCO, CMNUCC, UN-Habitat, OMM y OMS</w:t>
      </w:r>
      <w:r w:rsidR="0064550C" w:rsidRPr="00CA61A6">
        <w:rPr>
          <w:rFonts w:eastAsia="SimSun"/>
          <w:szCs w:val="24"/>
          <w:lang w:eastAsia="ja-JP"/>
        </w:rPr>
        <w:t>.</w:t>
      </w:r>
    </w:p>
    <w:p w:rsidR="00511B02" w:rsidRPr="00CA61A6" w:rsidRDefault="00110CAD" w:rsidP="00511B02">
      <w:hyperlink w:anchor="Top" w:history="1">
        <w:r w:rsidR="00511B02" w:rsidRPr="00CA61A6">
          <w:rPr>
            <w:rStyle w:val="Hyperlink"/>
          </w:rPr>
          <w:t>» Arriba</w:t>
        </w:r>
      </w:hyperlink>
    </w:p>
    <w:p w:rsidR="00450BDD" w:rsidRPr="00CA61A6" w:rsidRDefault="001368D1" w:rsidP="00F54269">
      <w:pPr>
        <w:pStyle w:val="Heading1"/>
      </w:pPr>
      <w:bookmarkStart w:id="685" w:name="_42_Resolución_74"/>
      <w:bookmarkStart w:id="686" w:name="_Toc463335793"/>
      <w:bookmarkEnd w:id="685"/>
      <w:r w:rsidRPr="00CA61A6">
        <w:t>42</w:t>
      </w:r>
      <w:r w:rsidRPr="00CA61A6">
        <w:tab/>
      </w:r>
      <w:r w:rsidR="00F54269" w:rsidRPr="00CA61A6">
        <w:t xml:space="preserve">Resolución </w:t>
      </w:r>
      <w:r w:rsidR="00450BDD" w:rsidRPr="00CA61A6">
        <w:t>74</w:t>
      </w:r>
      <w:r w:rsidR="00F54269" w:rsidRPr="00CA61A6">
        <w:t xml:space="preserve"> – </w:t>
      </w:r>
      <w:r w:rsidR="00450BDD" w:rsidRPr="00CA61A6">
        <w:t>Admisión de Miembros de Sector de los países en desarrollo en la labor del Sector de Normalización de las Telecomunicaciones de la UIT</w:t>
      </w:r>
      <w:bookmarkEnd w:id="686"/>
    </w:p>
    <w:p w:rsidR="00264C52" w:rsidRPr="00CA61A6" w:rsidRDefault="00264C52" w:rsidP="00264C52">
      <w:pPr>
        <w:pStyle w:val="Headingb"/>
        <w:keepLines/>
      </w:pPr>
      <w:r w:rsidRPr="00CA61A6">
        <w:t>Resolución 74</w:t>
      </w:r>
    </w:p>
    <w:p w:rsidR="00450BDD" w:rsidRPr="00CA61A6" w:rsidRDefault="00450BDD" w:rsidP="007B3478">
      <w:pPr>
        <w:pStyle w:val="Call"/>
        <w:rPr>
          <w:lang w:eastAsia="ar-SA"/>
        </w:rPr>
      </w:pPr>
      <w:r w:rsidRPr="00CA61A6">
        <w:rPr>
          <w:lang w:eastAsia="ar-SA"/>
        </w:rPr>
        <w:t>resuelve</w:t>
      </w:r>
    </w:p>
    <w:p w:rsidR="00450BDD" w:rsidRPr="00CA61A6" w:rsidRDefault="00450BDD" w:rsidP="0091743C">
      <w:pPr>
        <w:spacing w:after="120"/>
      </w:pPr>
      <w:r w:rsidRPr="00CA61A6">
        <w:t>alentar la adopción de las medidas necesarias para que los nuevos miembros de los países en desarrollo se incorporen al UIT</w:t>
      </w:r>
      <w:r w:rsidRPr="00CA61A6">
        <w:noBreakHyphen/>
        <w:t>T y tengan derecho a participar en la labor de las Comisiones de Estudio y de otros grupos del UIT</w:t>
      </w:r>
      <w:r w:rsidRPr="00CA61A6">
        <w:noBreakHyphen/>
        <w:t>T, teniendo en cuenta unos niveles de contribución financiera equivalentes a los que se aplican a los países en desarrollo para su admisión en las Comisiones de Estudio del Sector de Desarrollo de las Telecomunicaciones (UIT-D).</w:t>
      </w:r>
    </w:p>
    <w:tbl>
      <w:tblPr>
        <w:tblW w:w="9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4749"/>
        <w:gridCol w:w="1594"/>
        <w:gridCol w:w="1172"/>
        <w:gridCol w:w="1261"/>
      </w:tblGrid>
      <w:tr w:rsidR="00450BDD" w:rsidRPr="00CA61A6" w:rsidTr="00722A5F">
        <w:trPr>
          <w:cantSplit/>
          <w:tblHeader/>
          <w:jc w:val="center"/>
        </w:trPr>
        <w:tc>
          <w:tcPr>
            <w:tcW w:w="916" w:type="dxa"/>
            <w:tcBorders>
              <w:bottom w:val="double" w:sz="4" w:space="0" w:color="auto"/>
            </w:tcBorders>
            <w:shd w:val="clear" w:color="auto" w:fill="auto"/>
            <w:vAlign w:val="center"/>
          </w:tcPr>
          <w:p w:rsidR="00450BDD" w:rsidRPr="00CA61A6" w:rsidRDefault="00450BDD" w:rsidP="008B593D">
            <w:pPr>
              <w:pStyle w:val="Tablehead"/>
            </w:pPr>
            <w:r w:rsidRPr="00CA61A6">
              <w:t>Número</w:t>
            </w:r>
          </w:p>
        </w:tc>
        <w:tc>
          <w:tcPr>
            <w:tcW w:w="4749" w:type="dxa"/>
            <w:tcBorders>
              <w:bottom w:val="double" w:sz="4" w:space="0" w:color="auto"/>
            </w:tcBorders>
            <w:shd w:val="clear" w:color="auto" w:fill="auto"/>
            <w:vAlign w:val="center"/>
            <w:hideMark/>
          </w:tcPr>
          <w:p w:rsidR="00450BDD" w:rsidRPr="00CA61A6" w:rsidRDefault="00450BDD" w:rsidP="008B593D">
            <w:pPr>
              <w:pStyle w:val="Tablehead"/>
            </w:pPr>
            <w:r w:rsidRPr="00CA61A6">
              <w:t>Acción</w:t>
            </w:r>
          </w:p>
        </w:tc>
        <w:tc>
          <w:tcPr>
            <w:tcW w:w="1594" w:type="dxa"/>
            <w:tcBorders>
              <w:bottom w:val="double" w:sz="4" w:space="0" w:color="auto"/>
            </w:tcBorders>
            <w:shd w:val="clear" w:color="auto" w:fill="auto"/>
            <w:vAlign w:val="center"/>
            <w:hideMark/>
          </w:tcPr>
          <w:p w:rsidR="00450BDD" w:rsidRPr="00CA61A6" w:rsidRDefault="00450BDD" w:rsidP="008B593D">
            <w:pPr>
              <w:pStyle w:val="Tablehead"/>
            </w:pPr>
            <w:r w:rsidRPr="00CA61A6">
              <w:t>Fecha objetivo</w:t>
            </w:r>
          </w:p>
        </w:tc>
        <w:tc>
          <w:tcPr>
            <w:tcW w:w="1172" w:type="dxa"/>
            <w:tcBorders>
              <w:bottom w:val="double" w:sz="4" w:space="0" w:color="auto"/>
            </w:tcBorders>
            <w:shd w:val="clear" w:color="auto" w:fill="auto"/>
          </w:tcPr>
          <w:p w:rsidR="00450BDD" w:rsidRPr="00CA61A6" w:rsidRDefault="00450BDD" w:rsidP="008B593D">
            <w:pPr>
              <w:pStyle w:val="Tablehead"/>
            </w:pPr>
            <w:r w:rsidRPr="00CA61A6">
              <w:t>Objetivos periódicos cumplidos</w:t>
            </w:r>
          </w:p>
        </w:tc>
        <w:tc>
          <w:tcPr>
            <w:tcW w:w="1261" w:type="dxa"/>
            <w:tcBorders>
              <w:bottom w:val="double" w:sz="4" w:space="0" w:color="auto"/>
            </w:tcBorders>
            <w:shd w:val="clear" w:color="auto" w:fill="auto"/>
            <w:vAlign w:val="center"/>
          </w:tcPr>
          <w:p w:rsidR="00450BDD" w:rsidRPr="00CA61A6" w:rsidRDefault="00450BDD" w:rsidP="008B593D">
            <w:pPr>
              <w:pStyle w:val="Tablehead"/>
            </w:pPr>
            <w:r w:rsidRPr="00CA61A6">
              <w:t>Completada</w:t>
            </w:r>
          </w:p>
        </w:tc>
      </w:tr>
      <w:tr w:rsidR="00450BDD" w:rsidRPr="00CA61A6" w:rsidTr="00722A5F">
        <w:trPr>
          <w:cantSplit/>
          <w:jc w:val="center"/>
        </w:trPr>
        <w:tc>
          <w:tcPr>
            <w:tcW w:w="916" w:type="dxa"/>
            <w:tcBorders>
              <w:top w:val="double" w:sz="4" w:space="0" w:color="auto"/>
            </w:tcBorders>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74_01" w:history="1">
              <w:r w:rsidR="00450BDD" w:rsidRPr="00CA61A6">
                <w:rPr>
                  <w:color w:val="0000FF"/>
                  <w:sz w:val="20"/>
                  <w:u w:val="single"/>
                </w:rPr>
                <w:t>74-01</w:t>
              </w:r>
            </w:hyperlink>
          </w:p>
        </w:tc>
        <w:tc>
          <w:tcPr>
            <w:tcW w:w="4749" w:type="dxa"/>
            <w:tcBorders>
              <w:top w:val="double" w:sz="4" w:space="0" w:color="auto"/>
            </w:tcBorders>
            <w:shd w:val="clear" w:color="auto" w:fill="auto"/>
          </w:tcPr>
          <w:p w:rsidR="00450BDD" w:rsidRPr="00CA61A6" w:rsidRDefault="001742A6" w:rsidP="001742A6">
            <w:pPr>
              <w:pStyle w:val="Tabletext"/>
            </w:pPr>
            <w:r>
              <w:t>E</w:t>
            </w:r>
            <w:r w:rsidR="00450BDD" w:rsidRPr="00CA61A6">
              <w:t>l Director señal</w:t>
            </w:r>
            <w:r>
              <w:t>ará</w:t>
            </w:r>
            <w:r w:rsidR="00450BDD" w:rsidRPr="00CA61A6">
              <w:t xml:space="preserve"> a la atención del Consejo la adición de </w:t>
            </w:r>
            <w:r w:rsidR="00B26079" w:rsidRPr="00CA61A6">
              <w:t>"</w:t>
            </w:r>
            <w:r w:rsidR="00450BDD" w:rsidRPr="00CA61A6">
              <w:t>países en desarrollo sin litoral</w:t>
            </w:r>
            <w:r w:rsidR="00B26079" w:rsidRPr="00CA61A6">
              <w:t>"</w:t>
            </w:r>
            <w:r w:rsidR="00450BDD" w:rsidRPr="00CA61A6">
              <w:t xml:space="preserve"> en la Resolución 74</w:t>
            </w:r>
          </w:p>
        </w:tc>
        <w:tc>
          <w:tcPr>
            <w:tcW w:w="1594" w:type="dxa"/>
            <w:tcBorders>
              <w:top w:val="double" w:sz="4" w:space="0" w:color="auto"/>
            </w:tcBorders>
            <w:shd w:val="clear" w:color="auto" w:fill="auto"/>
            <w:vAlign w:val="center"/>
          </w:tcPr>
          <w:p w:rsidR="00450BDD" w:rsidRPr="00CA61A6" w:rsidRDefault="00450BDD" w:rsidP="008337D6">
            <w:pPr>
              <w:pStyle w:val="Tabletext"/>
              <w:jc w:val="center"/>
            </w:pPr>
            <w:r w:rsidRPr="00CA61A6">
              <w:t xml:space="preserve">Consejo </w:t>
            </w:r>
            <w:r w:rsidR="00553D6C">
              <w:t xml:space="preserve">de </w:t>
            </w:r>
            <w:r w:rsidRPr="00CA61A6">
              <w:t>2013</w:t>
            </w:r>
          </w:p>
        </w:tc>
        <w:tc>
          <w:tcPr>
            <w:tcW w:w="1172" w:type="dxa"/>
            <w:tcBorders>
              <w:top w:val="double" w:sz="4" w:space="0" w:color="auto"/>
            </w:tcBorders>
            <w:shd w:val="clear" w:color="auto" w:fill="auto"/>
            <w:vAlign w:val="center"/>
          </w:tcPr>
          <w:p w:rsidR="00450BDD" w:rsidRPr="00CA61A6" w:rsidRDefault="00450BDD" w:rsidP="008337D6">
            <w:pPr>
              <w:pStyle w:val="Tabletext"/>
              <w:jc w:val="center"/>
            </w:pPr>
          </w:p>
        </w:tc>
        <w:tc>
          <w:tcPr>
            <w:tcW w:w="1261" w:type="dxa"/>
            <w:tcBorders>
              <w:top w:val="double" w:sz="4" w:space="0" w:color="auto"/>
            </w:tcBorders>
            <w:shd w:val="clear" w:color="auto" w:fill="auto"/>
            <w:vAlign w:val="center"/>
          </w:tcPr>
          <w:p w:rsidR="00450BDD" w:rsidRPr="00CA61A6" w:rsidRDefault="008B593D" w:rsidP="008337D6">
            <w:pPr>
              <w:pStyle w:val="Tabletext"/>
              <w:jc w:val="center"/>
            </w:pPr>
            <w:r w:rsidRPr="00CA61A6">
              <w:sym w:font="Wingdings" w:char="F0FC"/>
            </w:r>
          </w:p>
        </w:tc>
      </w:tr>
    </w:tbl>
    <w:p w:rsidR="00450BDD" w:rsidRPr="00CA61A6" w:rsidRDefault="002D0B2B" w:rsidP="00A22D66">
      <w:pPr>
        <w:pStyle w:val="Headingb"/>
        <w:keepLines/>
      </w:pPr>
      <w:bookmarkStart w:id="687" w:name="Item74_01"/>
      <w:r w:rsidRPr="00CA61A6">
        <w:t xml:space="preserve">Acción </w:t>
      </w:r>
      <w:r w:rsidR="00450BDD" w:rsidRPr="00CA61A6">
        <w:t>74-01: TSB</w:t>
      </w:r>
    </w:p>
    <w:bookmarkEnd w:id="687"/>
    <w:p w:rsidR="00450BDD" w:rsidRPr="00CA61A6" w:rsidRDefault="00450BDD" w:rsidP="007B3478">
      <w:pPr>
        <w:rPr>
          <w:rFonts w:eastAsia="SimSun"/>
          <w:szCs w:val="24"/>
          <w:lang w:eastAsia="ja-JP"/>
        </w:rPr>
      </w:pPr>
      <w:r w:rsidRPr="00CA61A6">
        <w:rPr>
          <w:rFonts w:eastAsia="SimSun"/>
          <w:szCs w:val="24"/>
          <w:lang w:eastAsia="ja-JP"/>
        </w:rPr>
        <w:t>Se han puesto en conocimiento del Grupo de Trabajo del Consejo sobre recursos humanos y financieros (GTC-RHF) las necesidades de los Miembros de Sector de los países en desarrollo (incluidos los países menos adelantados, los pequeños Estados insulares en desarrollo, los países en desarrollo sin litoral y los países con economías en transición).</w:t>
      </w:r>
    </w:p>
    <w:p w:rsidR="00450BDD" w:rsidRPr="00CA61A6" w:rsidRDefault="00450BDD" w:rsidP="007B3478">
      <w:pPr>
        <w:rPr>
          <w:rFonts w:eastAsia="SimSun"/>
          <w:szCs w:val="24"/>
          <w:lang w:eastAsia="ja-JP"/>
        </w:rPr>
      </w:pPr>
      <w:r w:rsidRPr="00CA61A6">
        <w:rPr>
          <w:rFonts w:eastAsia="SimSun"/>
          <w:szCs w:val="24"/>
        </w:rPr>
        <w:t>Al 31 de diciembre de 2015, cuatro Miembros optaron por abonar la tasa reducida establecida por la PP-10 para los nuevos Miembros del Sector UIT-T procedentes de países en desarrollo.</w:t>
      </w:r>
    </w:p>
    <w:bookmarkStart w:id="688" w:name="Resolution_75"/>
    <w:bookmarkEnd w:id="688"/>
    <w:p w:rsidR="00DA3596" w:rsidRPr="00CA61A6" w:rsidRDefault="00DA3596" w:rsidP="00DA3596">
      <w:r w:rsidRPr="00CA61A6">
        <w:fldChar w:fldCharType="begin"/>
      </w:r>
      <w:r w:rsidRPr="00CA61A6">
        <w:instrText xml:space="preserve"> HYPERLINK \l "Top" </w:instrText>
      </w:r>
      <w:r w:rsidRPr="00CA61A6">
        <w:fldChar w:fldCharType="separate"/>
      </w:r>
      <w:r w:rsidRPr="00CA61A6">
        <w:rPr>
          <w:rStyle w:val="Hyperlink"/>
        </w:rPr>
        <w:t>» Arriba</w:t>
      </w:r>
      <w:r w:rsidRPr="00CA61A6">
        <w:rPr>
          <w:rStyle w:val="Hyperlink"/>
        </w:rPr>
        <w:fldChar w:fldCharType="end"/>
      </w:r>
    </w:p>
    <w:p w:rsidR="00450BDD" w:rsidRPr="00CA61A6" w:rsidRDefault="00D850DD" w:rsidP="005C6F90">
      <w:pPr>
        <w:pStyle w:val="Heading1"/>
      </w:pPr>
      <w:bookmarkStart w:id="689" w:name="_43_Resolución_75"/>
      <w:bookmarkStart w:id="690" w:name="_Toc463335794"/>
      <w:bookmarkEnd w:id="689"/>
      <w:r w:rsidRPr="00CA61A6">
        <w:t>43</w:t>
      </w:r>
      <w:r w:rsidRPr="00CA61A6">
        <w:tab/>
      </w:r>
      <w:r w:rsidR="00F675C7" w:rsidRPr="00CA61A6">
        <w:t xml:space="preserve">Resolución </w:t>
      </w:r>
      <w:r w:rsidR="00450BDD" w:rsidRPr="00CA61A6">
        <w:t>75</w:t>
      </w:r>
      <w:r w:rsidR="005C6F90" w:rsidRPr="00CA61A6">
        <w:t xml:space="preserve"> – </w:t>
      </w:r>
      <w:r w:rsidR="00450BDD" w:rsidRPr="00CA61A6">
        <w:t>Contribución del Sector de Normalización de las Telecomunicaciones de la UIT a la puesta en práctica de los resultados de la Cumbre Mundial sobre la Sociedad de la Información</w:t>
      </w:r>
      <w:bookmarkEnd w:id="690"/>
    </w:p>
    <w:p w:rsidR="00500339" w:rsidRPr="00CA61A6" w:rsidRDefault="00500339" w:rsidP="00500339">
      <w:pPr>
        <w:pStyle w:val="Headingb"/>
        <w:keepLines/>
      </w:pPr>
      <w:r w:rsidRPr="00CA61A6">
        <w:t>Resolución 7</w:t>
      </w:r>
      <w:r w:rsidR="00737D63" w:rsidRPr="00CA61A6">
        <w:t>5</w:t>
      </w:r>
    </w:p>
    <w:p w:rsidR="00450BDD" w:rsidRPr="00CA61A6" w:rsidRDefault="00450BDD" w:rsidP="007B3478">
      <w:pPr>
        <w:pStyle w:val="Call"/>
      </w:pPr>
      <w:r w:rsidRPr="00CA61A6">
        <w:t>resuelve</w:t>
      </w:r>
    </w:p>
    <w:p w:rsidR="00450BDD" w:rsidRPr="00CA61A6" w:rsidRDefault="00450BDD" w:rsidP="007B3478">
      <w:r w:rsidRPr="00CA61A6">
        <w:t>1</w:t>
      </w:r>
      <w:r w:rsidRPr="00CA61A6">
        <w:tab/>
        <w:t>que prosigan los trabajos del UIT</w:t>
      </w:r>
      <w:r w:rsidRPr="00CA61A6">
        <w:noBreakHyphen/>
        <w:t>T sobre la puesta en práctica de los resultados de la CMSI y las actividades de seguimiento correspondientes a su mandato;</w:t>
      </w:r>
    </w:p>
    <w:p w:rsidR="00450BDD" w:rsidRPr="00CA61A6" w:rsidRDefault="00450BDD" w:rsidP="007B3478">
      <w:r w:rsidRPr="00CA61A6">
        <w:t>2</w:t>
      </w:r>
      <w:r w:rsidRPr="00CA61A6">
        <w:tab/>
        <w:t>que el UIT</w:t>
      </w:r>
      <w:r w:rsidRPr="00CA61A6">
        <w:noBreakHyphen/>
        <w:t>T lleve a cabo aquellas actividades que se correspondan con su mandato y participe con otras partes interesadas, según corresponda, para la aplicación de todas las líneas de acción pertinentes y demás resultados de la CMSI;</w:t>
      </w:r>
    </w:p>
    <w:p w:rsidR="00450BDD" w:rsidRPr="00CA61A6" w:rsidRDefault="00450BDD" w:rsidP="007B3478">
      <w:r w:rsidRPr="00CA61A6">
        <w:lastRenderedPageBreak/>
        <w:t>3</w:t>
      </w:r>
      <w:r w:rsidRPr="00CA61A6">
        <w:tab/>
        <w:t>que las Comisiones de Estudio del UIT-T competentes consideren en sus estudios los resultados del Grupo de Trabajo del Consejo sobre cuestiones de política pública internacional relacionadas con Internet,</w:t>
      </w:r>
    </w:p>
    <w:p w:rsidR="00450BDD" w:rsidRPr="00CA61A6" w:rsidRDefault="00450BDD" w:rsidP="007B3478">
      <w:pPr>
        <w:pStyle w:val="Call"/>
      </w:pPr>
      <w:r w:rsidRPr="00CA61A6">
        <w:t>encarga al Director de la Oficina de Normalización de las Telecomunicaciones</w:t>
      </w:r>
    </w:p>
    <w:p w:rsidR="00450BDD" w:rsidRPr="00CA61A6" w:rsidRDefault="00450BDD" w:rsidP="007B3478">
      <w:r w:rsidRPr="00CA61A6">
        <w:t>1</w:t>
      </w:r>
      <w:r w:rsidRPr="00CA61A6">
        <w:tab/>
        <w:t>que proporcione al GT-CMSI un resumen exhaustivo de las actividades del UIT-T en materia de aplicación de los resultados de la CMSI;</w:t>
      </w:r>
    </w:p>
    <w:p w:rsidR="00450BDD" w:rsidRPr="00CA61A6" w:rsidRDefault="00450BDD" w:rsidP="007B3478">
      <w:r w:rsidRPr="00CA61A6">
        <w:t>2</w:t>
      </w:r>
      <w:r w:rsidRPr="00CA61A6">
        <w:tab/>
        <w:t>que vele por que los objetivos específicos y los plazos de las actividades de la CMSI se cumplan y queden reflejados en los planes operacionales del UIT-T con arreglo a la Resolución 140 (Rev. Guadalajara, 2010);</w:t>
      </w:r>
    </w:p>
    <w:p w:rsidR="00450BDD" w:rsidRPr="00CA61A6" w:rsidRDefault="00450BDD" w:rsidP="007B3478">
      <w:r w:rsidRPr="00CA61A6">
        <w:t>3</w:t>
      </w:r>
      <w:r w:rsidRPr="00CA61A6">
        <w:tab/>
        <w:t>que aporte información sobre nuevas tendencias basada en las actividades del UIT-T;</w:t>
      </w:r>
    </w:p>
    <w:p w:rsidR="00450BDD" w:rsidRPr="00CA61A6" w:rsidRDefault="00450BDD" w:rsidP="007B3478">
      <w:r w:rsidRPr="00CA61A6">
        <w:t>4</w:t>
      </w:r>
      <w:r w:rsidRPr="00CA61A6">
        <w:tab/>
        <w:t>que adopte las medidas oportunas para facilitar las actividades destinadas al cumplimiento de la presente Resolución,</w:t>
      </w:r>
    </w:p>
    <w:p w:rsidR="00450BDD" w:rsidRPr="00CA61A6" w:rsidRDefault="00450BDD" w:rsidP="007B3478">
      <w:pPr>
        <w:pStyle w:val="Call"/>
      </w:pPr>
      <w:r w:rsidRPr="00CA61A6">
        <w:t>invita a los Estados Miembros y Miembros de Sector</w:t>
      </w:r>
    </w:p>
    <w:p w:rsidR="00450BDD" w:rsidRPr="00CA61A6" w:rsidRDefault="00450BDD" w:rsidP="007B3478">
      <w:r w:rsidRPr="00CA61A6">
        <w:t>1</w:t>
      </w:r>
      <w:r w:rsidRPr="00CA61A6">
        <w:tab/>
        <w:t>a presentar contribuciones a las Comisiones de Estudio pertinentes del UIT</w:t>
      </w:r>
      <w:r w:rsidRPr="00CA61A6">
        <w:noBreakHyphen/>
        <w:t>T y al Grupo Asesor de Normalización de las Telecomunicaciones, cuando proceda, y a colaborar con el GT-CMSI para la puesta en práctica de los resultados de la Cumbre en el marco del mandato de la UIT;</w:t>
      </w:r>
    </w:p>
    <w:p w:rsidR="00450BDD" w:rsidRPr="00CA61A6" w:rsidRDefault="00450BDD" w:rsidP="007B3478">
      <w:r w:rsidRPr="00CA61A6">
        <w:t>2</w:t>
      </w:r>
      <w:r w:rsidRPr="00CA61A6">
        <w:tab/>
        <w:t>a prestar su apoyo y colaboración al Director de la TSB en la puesta en práctica de los resultados pertinentes de la CMSI en el UIT-T,</w:t>
      </w:r>
    </w:p>
    <w:p w:rsidR="00450BDD" w:rsidRPr="00CA61A6" w:rsidRDefault="00450BDD" w:rsidP="007B3478">
      <w:pPr>
        <w:pStyle w:val="Call"/>
      </w:pPr>
      <w:r w:rsidRPr="00CA61A6">
        <w:t>invita a los Estados Miembros</w:t>
      </w:r>
    </w:p>
    <w:p w:rsidR="00450BDD" w:rsidRPr="00CA61A6" w:rsidRDefault="00450BDD" w:rsidP="00A53251">
      <w:pPr>
        <w:spacing w:after="120"/>
      </w:pPr>
      <w:r w:rsidRPr="00CA61A6">
        <w:t>a presentar contribuciones al Grupo de Trabajo del Consejo sobre cuestiones de política pública internacional relacionadas con Internet.</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4749"/>
        <w:gridCol w:w="1579"/>
        <w:gridCol w:w="1190"/>
        <w:gridCol w:w="1261"/>
      </w:tblGrid>
      <w:tr w:rsidR="00450BDD" w:rsidRPr="00CA61A6" w:rsidTr="00622ED0">
        <w:trPr>
          <w:cantSplit/>
          <w:tblHeader/>
          <w:jc w:val="center"/>
        </w:trPr>
        <w:tc>
          <w:tcPr>
            <w:tcW w:w="916" w:type="dxa"/>
            <w:tcBorders>
              <w:bottom w:val="double" w:sz="4" w:space="0" w:color="auto"/>
            </w:tcBorders>
            <w:shd w:val="clear" w:color="auto" w:fill="auto"/>
            <w:vAlign w:val="center"/>
          </w:tcPr>
          <w:p w:rsidR="00450BDD" w:rsidRPr="00CA61A6" w:rsidRDefault="00450BDD" w:rsidP="00B712F2">
            <w:pPr>
              <w:pStyle w:val="Tablehead"/>
            </w:pPr>
            <w:r w:rsidRPr="00CA61A6">
              <w:t>Número</w:t>
            </w:r>
          </w:p>
        </w:tc>
        <w:tc>
          <w:tcPr>
            <w:tcW w:w="4749" w:type="dxa"/>
            <w:tcBorders>
              <w:bottom w:val="double" w:sz="4" w:space="0" w:color="auto"/>
            </w:tcBorders>
            <w:shd w:val="clear" w:color="auto" w:fill="auto"/>
            <w:vAlign w:val="center"/>
            <w:hideMark/>
          </w:tcPr>
          <w:p w:rsidR="00450BDD" w:rsidRPr="00CA61A6" w:rsidRDefault="00450BDD" w:rsidP="00B712F2">
            <w:pPr>
              <w:pStyle w:val="Tablehead"/>
            </w:pPr>
            <w:r w:rsidRPr="00CA61A6">
              <w:t>Acción</w:t>
            </w:r>
          </w:p>
        </w:tc>
        <w:tc>
          <w:tcPr>
            <w:tcW w:w="1579" w:type="dxa"/>
            <w:tcBorders>
              <w:bottom w:val="double" w:sz="4" w:space="0" w:color="auto"/>
            </w:tcBorders>
            <w:shd w:val="clear" w:color="auto" w:fill="auto"/>
            <w:vAlign w:val="center"/>
            <w:hideMark/>
          </w:tcPr>
          <w:p w:rsidR="00450BDD" w:rsidRPr="00CA61A6" w:rsidRDefault="00450BDD" w:rsidP="00B712F2">
            <w:pPr>
              <w:pStyle w:val="Tablehead"/>
            </w:pPr>
            <w:r w:rsidRPr="00CA61A6">
              <w:t>Fecha objetivo</w:t>
            </w:r>
          </w:p>
        </w:tc>
        <w:tc>
          <w:tcPr>
            <w:tcW w:w="1190" w:type="dxa"/>
            <w:tcBorders>
              <w:bottom w:val="double" w:sz="4" w:space="0" w:color="auto"/>
            </w:tcBorders>
            <w:shd w:val="clear" w:color="auto" w:fill="auto"/>
          </w:tcPr>
          <w:p w:rsidR="00450BDD" w:rsidRPr="00CA61A6" w:rsidRDefault="00450BDD" w:rsidP="00B712F2">
            <w:pPr>
              <w:pStyle w:val="Tablehead"/>
            </w:pPr>
            <w:r w:rsidRPr="00CA61A6">
              <w:t>Objetivos periódicos cumplidos</w:t>
            </w:r>
          </w:p>
        </w:tc>
        <w:tc>
          <w:tcPr>
            <w:tcW w:w="1261" w:type="dxa"/>
            <w:tcBorders>
              <w:bottom w:val="double" w:sz="4" w:space="0" w:color="auto"/>
            </w:tcBorders>
            <w:shd w:val="clear" w:color="auto" w:fill="auto"/>
            <w:vAlign w:val="center"/>
          </w:tcPr>
          <w:p w:rsidR="00450BDD" w:rsidRPr="00CA61A6" w:rsidRDefault="00450BDD" w:rsidP="00B712F2">
            <w:pPr>
              <w:pStyle w:val="Tablehead"/>
            </w:pPr>
            <w:r w:rsidRPr="00CA61A6">
              <w:t>Completada</w:t>
            </w:r>
          </w:p>
        </w:tc>
      </w:tr>
      <w:tr w:rsidR="00450BDD" w:rsidRPr="00CA61A6" w:rsidTr="00622ED0">
        <w:trPr>
          <w:cantSplit/>
          <w:jc w:val="center"/>
        </w:trPr>
        <w:tc>
          <w:tcPr>
            <w:tcW w:w="916" w:type="dxa"/>
            <w:tcBorders>
              <w:top w:val="double" w:sz="4" w:space="0" w:color="auto"/>
            </w:tcBorders>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75_01" w:history="1">
              <w:r w:rsidR="00450BDD" w:rsidRPr="00CA61A6">
                <w:rPr>
                  <w:color w:val="0000FF"/>
                  <w:sz w:val="20"/>
                  <w:u w:val="single"/>
                </w:rPr>
                <w:t>75-01</w:t>
              </w:r>
            </w:hyperlink>
          </w:p>
        </w:tc>
        <w:tc>
          <w:tcPr>
            <w:tcW w:w="4749" w:type="dxa"/>
            <w:tcBorders>
              <w:top w:val="double" w:sz="4" w:space="0" w:color="auto"/>
            </w:tcBorders>
            <w:shd w:val="clear" w:color="auto" w:fill="auto"/>
            <w:hideMark/>
          </w:tcPr>
          <w:p w:rsidR="00450BDD" w:rsidRPr="00CA61A6" w:rsidRDefault="001742A6" w:rsidP="001742A6">
            <w:pPr>
              <w:pStyle w:val="Tabletext"/>
            </w:pPr>
            <w:r>
              <w:t>L</w:t>
            </w:r>
            <w:r w:rsidR="00450BDD" w:rsidRPr="00CA61A6">
              <w:t>as Comisiones de Estudio llev</w:t>
            </w:r>
            <w:r>
              <w:t>arán</w:t>
            </w:r>
            <w:r w:rsidR="00450BDD" w:rsidRPr="00CA61A6">
              <w:t xml:space="preserve"> a cabo actividades para poner en aplicación los resultados de la CMSI y consider</w:t>
            </w:r>
            <w:r>
              <w:t>ará</w:t>
            </w:r>
            <w:r w:rsidR="00450BDD" w:rsidRPr="00CA61A6">
              <w:t>n en sus estudios los resultados del GTC-Internet</w:t>
            </w:r>
          </w:p>
        </w:tc>
        <w:tc>
          <w:tcPr>
            <w:tcW w:w="1579" w:type="dxa"/>
            <w:tcBorders>
              <w:top w:val="double" w:sz="4" w:space="0" w:color="auto"/>
            </w:tcBorders>
            <w:shd w:val="clear" w:color="auto" w:fill="auto"/>
            <w:vAlign w:val="center"/>
            <w:hideMark/>
          </w:tcPr>
          <w:p w:rsidR="00450BDD" w:rsidRPr="00CA61A6" w:rsidRDefault="00450BDD" w:rsidP="00CC2833">
            <w:pPr>
              <w:pStyle w:val="Tabletext"/>
              <w:jc w:val="center"/>
            </w:pPr>
            <w:r w:rsidRPr="00CA61A6">
              <w:t>En curso</w:t>
            </w:r>
          </w:p>
        </w:tc>
        <w:tc>
          <w:tcPr>
            <w:tcW w:w="1190" w:type="dxa"/>
            <w:tcBorders>
              <w:top w:val="double" w:sz="4" w:space="0" w:color="auto"/>
            </w:tcBorders>
            <w:shd w:val="clear" w:color="auto" w:fill="auto"/>
            <w:vAlign w:val="center"/>
          </w:tcPr>
          <w:p w:rsidR="00450BDD" w:rsidRPr="00CA61A6" w:rsidRDefault="00B712F2" w:rsidP="00CC2833">
            <w:pPr>
              <w:pStyle w:val="Tabletext"/>
              <w:jc w:val="center"/>
            </w:pPr>
            <w:r w:rsidRPr="00CA61A6">
              <w:sym w:font="Wingdings" w:char="F0FC"/>
            </w:r>
          </w:p>
        </w:tc>
        <w:tc>
          <w:tcPr>
            <w:tcW w:w="1261" w:type="dxa"/>
            <w:tcBorders>
              <w:top w:val="double" w:sz="4" w:space="0" w:color="auto"/>
            </w:tcBorders>
            <w:shd w:val="clear" w:color="auto" w:fill="auto"/>
            <w:vAlign w:val="center"/>
          </w:tcPr>
          <w:p w:rsidR="00450BDD" w:rsidRPr="00CA61A6" w:rsidRDefault="00450BDD" w:rsidP="00CC2833">
            <w:pPr>
              <w:pStyle w:val="Tabletext"/>
              <w:jc w:val="center"/>
            </w:pPr>
          </w:p>
        </w:tc>
      </w:tr>
      <w:tr w:rsidR="00450BDD" w:rsidRPr="00CA61A6" w:rsidTr="00622ED0">
        <w:trPr>
          <w:cantSplit/>
          <w:jc w:val="center"/>
        </w:trPr>
        <w:tc>
          <w:tcPr>
            <w:tcW w:w="916" w:type="dxa"/>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75_02" w:history="1">
              <w:r w:rsidR="00450BDD" w:rsidRPr="00CA61A6">
                <w:rPr>
                  <w:color w:val="0000FF"/>
                  <w:sz w:val="20"/>
                  <w:u w:val="single"/>
                </w:rPr>
                <w:t>75-02</w:t>
              </w:r>
            </w:hyperlink>
          </w:p>
        </w:tc>
        <w:tc>
          <w:tcPr>
            <w:tcW w:w="4749" w:type="dxa"/>
            <w:shd w:val="clear" w:color="auto" w:fill="auto"/>
            <w:hideMark/>
          </w:tcPr>
          <w:p w:rsidR="00450BDD" w:rsidRPr="00CA61A6" w:rsidRDefault="001742A6" w:rsidP="00184823">
            <w:pPr>
              <w:pStyle w:val="Tabletext"/>
            </w:pPr>
            <w:r>
              <w:t>E</w:t>
            </w:r>
            <w:r w:rsidR="00450BDD" w:rsidRPr="00CA61A6">
              <w:t xml:space="preserve">l Director </w:t>
            </w:r>
            <w:r>
              <w:t xml:space="preserve">preparará </w:t>
            </w:r>
            <w:r w:rsidR="00184823">
              <w:t xml:space="preserve">al </w:t>
            </w:r>
            <w:r w:rsidR="00184823" w:rsidRPr="00CA61A6">
              <w:t xml:space="preserve">GTC-CMSI </w:t>
            </w:r>
            <w:r w:rsidR="00450BDD" w:rsidRPr="00CA61A6">
              <w:t>un resumen exhaustivo de las actividades del UIT-T en materia de aplicación de los resultados de la CMSI</w:t>
            </w:r>
          </w:p>
        </w:tc>
        <w:tc>
          <w:tcPr>
            <w:tcW w:w="1579" w:type="dxa"/>
            <w:shd w:val="clear" w:color="auto" w:fill="auto"/>
            <w:vAlign w:val="center"/>
            <w:hideMark/>
          </w:tcPr>
          <w:p w:rsidR="00450BDD" w:rsidRPr="00CA61A6" w:rsidRDefault="00450BDD" w:rsidP="00CC2833">
            <w:pPr>
              <w:pStyle w:val="Tabletext"/>
              <w:jc w:val="center"/>
            </w:pPr>
            <w:r w:rsidRPr="00CA61A6">
              <w:t>En curso</w:t>
            </w:r>
          </w:p>
        </w:tc>
        <w:tc>
          <w:tcPr>
            <w:tcW w:w="1190" w:type="dxa"/>
            <w:shd w:val="clear" w:color="auto" w:fill="auto"/>
            <w:vAlign w:val="center"/>
          </w:tcPr>
          <w:p w:rsidR="00450BDD" w:rsidRPr="00CA61A6" w:rsidRDefault="00B712F2" w:rsidP="00CC2833">
            <w:pPr>
              <w:pStyle w:val="Tabletext"/>
              <w:jc w:val="center"/>
            </w:pPr>
            <w:r w:rsidRPr="00CA61A6">
              <w:sym w:font="Wingdings" w:char="F0FC"/>
            </w:r>
          </w:p>
        </w:tc>
        <w:tc>
          <w:tcPr>
            <w:tcW w:w="1261" w:type="dxa"/>
            <w:shd w:val="clear" w:color="auto" w:fill="auto"/>
            <w:vAlign w:val="center"/>
          </w:tcPr>
          <w:p w:rsidR="00450BDD" w:rsidRPr="00CA61A6" w:rsidRDefault="00450BDD" w:rsidP="00CC2833">
            <w:pPr>
              <w:pStyle w:val="Tabletext"/>
              <w:jc w:val="center"/>
            </w:pPr>
          </w:p>
        </w:tc>
      </w:tr>
      <w:tr w:rsidR="00450BDD" w:rsidRPr="00CA61A6" w:rsidTr="00622ED0">
        <w:trPr>
          <w:cantSplit/>
          <w:jc w:val="center"/>
        </w:trPr>
        <w:tc>
          <w:tcPr>
            <w:tcW w:w="916" w:type="dxa"/>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75_03" w:history="1">
              <w:r w:rsidR="00450BDD" w:rsidRPr="00CA61A6">
                <w:rPr>
                  <w:color w:val="0000FF"/>
                  <w:sz w:val="20"/>
                  <w:u w:val="single"/>
                </w:rPr>
                <w:t>75-03</w:t>
              </w:r>
            </w:hyperlink>
          </w:p>
        </w:tc>
        <w:tc>
          <w:tcPr>
            <w:tcW w:w="4749" w:type="dxa"/>
            <w:shd w:val="clear" w:color="auto" w:fill="auto"/>
            <w:hideMark/>
          </w:tcPr>
          <w:p w:rsidR="00450BDD" w:rsidRPr="00CA61A6" w:rsidRDefault="001742A6" w:rsidP="001742A6">
            <w:pPr>
              <w:pStyle w:val="Tabletext"/>
            </w:pPr>
            <w:r>
              <w:t>E</w:t>
            </w:r>
            <w:r w:rsidR="00450BDD" w:rsidRPr="00CA61A6">
              <w:t>l Director vel</w:t>
            </w:r>
            <w:r>
              <w:t>ará</w:t>
            </w:r>
            <w:r w:rsidR="00450BDD" w:rsidRPr="00CA61A6">
              <w:t xml:space="preserve"> por que los objetivos específicos y los plazos de las actividades de la CMSI queden reflejados en el Plan Operacional del UIT-T</w:t>
            </w:r>
          </w:p>
        </w:tc>
        <w:tc>
          <w:tcPr>
            <w:tcW w:w="1579" w:type="dxa"/>
            <w:shd w:val="clear" w:color="auto" w:fill="auto"/>
            <w:vAlign w:val="center"/>
          </w:tcPr>
          <w:p w:rsidR="00450BDD" w:rsidRPr="00CA61A6" w:rsidRDefault="00450BDD" w:rsidP="00CC2833">
            <w:pPr>
              <w:pStyle w:val="Tabletext"/>
              <w:jc w:val="center"/>
            </w:pPr>
            <w:r w:rsidRPr="00CA61A6">
              <w:t>En curso</w:t>
            </w:r>
          </w:p>
        </w:tc>
        <w:tc>
          <w:tcPr>
            <w:tcW w:w="1190" w:type="dxa"/>
            <w:shd w:val="clear" w:color="auto" w:fill="auto"/>
            <w:vAlign w:val="center"/>
          </w:tcPr>
          <w:p w:rsidR="00450BDD" w:rsidRPr="00CA61A6" w:rsidRDefault="00B712F2" w:rsidP="00CC2833">
            <w:pPr>
              <w:pStyle w:val="Tabletext"/>
              <w:jc w:val="center"/>
            </w:pPr>
            <w:r w:rsidRPr="00CA61A6">
              <w:sym w:font="Wingdings" w:char="F0FC"/>
            </w:r>
          </w:p>
        </w:tc>
        <w:tc>
          <w:tcPr>
            <w:tcW w:w="1261" w:type="dxa"/>
            <w:shd w:val="clear" w:color="auto" w:fill="auto"/>
            <w:vAlign w:val="center"/>
          </w:tcPr>
          <w:p w:rsidR="00450BDD" w:rsidRPr="00CA61A6" w:rsidRDefault="00450BDD" w:rsidP="00CC2833">
            <w:pPr>
              <w:pStyle w:val="Tabletext"/>
              <w:jc w:val="center"/>
            </w:pPr>
          </w:p>
        </w:tc>
      </w:tr>
    </w:tbl>
    <w:p w:rsidR="00450BDD" w:rsidRPr="00CA61A6" w:rsidRDefault="00EA217A" w:rsidP="00E80B1D">
      <w:pPr>
        <w:pStyle w:val="Headingb"/>
        <w:keepLines/>
      </w:pPr>
      <w:bookmarkStart w:id="691" w:name="Item75_01"/>
      <w:r w:rsidRPr="00CA61A6">
        <w:t xml:space="preserve">Acción </w:t>
      </w:r>
      <w:r w:rsidR="00450BDD" w:rsidRPr="00CA61A6">
        <w:t>75-01: Comisiones de Estudio</w:t>
      </w:r>
    </w:p>
    <w:bookmarkEnd w:id="691"/>
    <w:p w:rsidR="00450BDD" w:rsidRPr="00CA61A6" w:rsidRDefault="00450BDD" w:rsidP="007B3478">
      <w:pPr>
        <w:rPr>
          <w:rFonts w:eastAsia="SimSun"/>
          <w:szCs w:val="24"/>
          <w:lang w:eastAsia="ja-JP"/>
        </w:rPr>
      </w:pPr>
      <w:r w:rsidRPr="00CA61A6">
        <w:rPr>
          <w:rFonts w:eastAsia="SimSun"/>
          <w:szCs w:val="24"/>
          <w:lang w:eastAsia="ja-JP"/>
        </w:rPr>
        <w:t>El trabajo del UIT-T contribuye al cumplimiento del mandato de la UIT en este sentido y, concretamente, de las Líneas de Acción C2, C5 y C7 (cibermedioambiente</w:t>
      </w:r>
      <w:r w:rsidR="00F94419" w:rsidRPr="00CA61A6">
        <w:rPr>
          <w:rFonts w:eastAsia="SimSun"/>
          <w:szCs w:val="24"/>
          <w:lang w:eastAsia="ja-JP"/>
        </w:rPr>
        <w:t>).</w:t>
      </w:r>
    </w:p>
    <w:p w:rsidR="00450BDD" w:rsidRPr="00CA61A6" w:rsidRDefault="00E20E91" w:rsidP="002E17A6">
      <w:pPr>
        <w:pStyle w:val="Headingb"/>
        <w:keepLines/>
      </w:pPr>
      <w:bookmarkStart w:id="692" w:name="Item75_02"/>
      <w:r w:rsidRPr="00CA61A6">
        <w:lastRenderedPageBreak/>
        <w:t xml:space="preserve">Acción </w:t>
      </w:r>
      <w:r w:rsidR="00450BDD" w:rsidRPr="00CA61A6">
        <w:t>75-02: TSB</w:t>
      </w:r>
    </w:p>
    <w:bookmarkEnd w:id="692"/>
    <w:p w:rsidR="00450BDD" w:rsidRPr="00CA61A6" w:rsidRDefault="00450BDD" w:rsidP="002E17A6">
      <w:pPr>
        <w:keepNext/>
        <w:keepLines/>
        <w:rPr>
          <w:rFonts w:eastAsia="SimSun"/>
          <w:szCs w:val="24"/>
          <w:lang w:eastAsia="ja-JP"/>
        </w:rPr>
      </w:pPr>
      <w:r w:rsidRPr="00CA61A6">
        <w:rPr>
          <w:rFonts w:eastAsia="SimSun"/>
          <w:szCs w:val="24"/>
          <w:lang w:eastAsia="ja-JP"/>
        </w:rPr>
        <w:t>El Foro de la CMSI 2013 se celebró en Ginebra del 13 al 17 de mayo de 2013. El UIT-T lideró la colaboración para la preparación de la sesión interactiva CMSI+10, la reunión de facilitación de la Línea de Acción C2 de la CMSI, además de talleres temáticos sobre conectividad de la infraestructura de red dorsal de banda ancha, cambio climático, innovación de las TIC y accesibilidad</w:t>
      </w:r>
      <w:r w:rsidR="00E105CC" w:rsidRPr="00CA61A6">
        <w:rPr>
          <w:rFonts w:eastAsia="SimSun"/>
          <w:szCs w:val="24"/>
          <w:lang w:eastAsia="ja-JP"/>
        </w:rPr>
        <w:t>.</w:t>
      </w:r>
    </w:p>
    <w:p w:rsidR="00450BDD" w:rsidRPr="00CA61A6" w:rsidRDefault="00450BDD" w:rsidP="007B3478">
      <w:pPr>
        <w:rPr>
          <w:rFonts w:eastAsia="SimSun"/>
          <w:color w:val="000000"/>
          <w:szCs w:val="24"/>
          <w:lang w:eastAsia="ja-JP"/>
        </w:rPr>
      </w:pPr>
      <w:r w:rsidRPr="00CA61A6">
        <w:rPr>
          <w:rFonts w:eastAsia="SimSun"/>
          <w:color w:val="000000"/>
          <w:szCs w:val="24"/>
          <w:lang w:eastAsia="ja-JP"/>
        </w:rPr>
        <w:t>En el marco del Foro de la CMSI 2013, la TSB organizó dos de los tres talleres temáticos:</w:t>
      </w:r>
    </w:p>
    <w:p w:rsidR="00450BDD" w:rsidRPr="00343F12" w:rsidRDefault="004D458A" w:rsidP="004D458A">
      <w:pPr>
        <w:pStyle w:val="enumlev1"/>
        <w:rPr>
          <w:rFonts w:eastAsia="SimSun"/>
          <w:lang w:val="en-US" w:eastAsia="ja-JP"/>
        </w:rPr>
      </w:pPr>
      <w:r w:rsidRPr="00343F12">
        <w:rPr>
          <w:rFonts w:eastAsia="SimSun"/>
          <w:lang w:val="en-US" w:eastAsia="ja-JP"/>
        </w:rPr>
        <w:t>–</w:t>
      </w:r>
      <w:r w:rsidRPr="00343F12">
        <w:rPr>
          <w:rFonts w:eastAsia="SimSun"/>
          <w:lang w:val="en-US" w:eastAsia="ja-JP"/>
        </w:rPr>
        <w:tab/>
      </w:r>
      <w:r w:rsidR="00450BDD" w:rsidRPr="00343F12">
        <w:rPr>
          <w:rFonts w:eastAsia="SimSun"/>
          <w:lang w:val="en-US" w:eastAsia="ja-JP"/>
        </w:rPr>
        <w:t>Miércoles 15 de mayo de 2013</w:t>
      </w:r>
      <w:r w:rsidR="00450BDD" w:rsidRPr="00343F12">
        <w:rPr>
          <w:rFonts w:eastAsia="SimSun"/>
          <w:color w:val="1F497D"/>
          <w:lang w:val="en-US" w:eastAsia="ja-JP"/>
        </w:rPr>
        <w:t xml:space="preserve">, </w:t>
      </w:r>
      <w:r w:rsidR="00450BDD" w:rsidRPr="00343F12">
        <w:rPr>
          <w:rFonts w:eastAsia="SimSun"/>
          <w:i/>
          <w:iCs/>
          <w:lang w:val="en-US" w:eastAsia="ja-JP"/>
        </w:rPr>
        <w:t>ICT Apps for Persons with Disabilities</w:t>
      </w:r>
      <w:r w:rsidR="002628A5">
        <w:rPr>
          <w:rFonts w:eastAsia="SimSun"/>
          <w:lang w:val="en-US" w:eastAsia="ja-JP"/>
        </w:rPr>
        <w:t xml:space="preserve"> (UIT/Informatici </w:t>
      </w:r>
      <w:r w:rsidR="00450BDD" w:rsidRPr="00343F12">
        <w:rPr>
          <w:rFonts w:eastAsia="SimSun"/>
          <w:lang w:val="en-US" w:eastAsia="ja-JP"/>
        </w:rPr>
        <w:t>Senza Frontiere/Computer Scientists with no Borders)</w:t>
      </w:r>
      <w:r w:rsidR="00D60DA6" w:rsidRPr="00343F12">
        <w:rPr>
          <w:rFonts w:eastAsia="SimSun"/>
          <w:lang w:val="en-US" w:eastAsia="ja-JP"/>
        </w:rPr>
        <w:t>.</w:t>
      </w:r>
    </w:p>
    <w:p w:rsidR="00450BDD" w:rsidRPr="00CA61A6" w:rsidRDefault="004D458A" w:rsidP="009E1BE2">
      <w:pPr>
        <w:pStyle w:val="enumlev1"/>
        <w:rPr>
          <w:rFonts w:eastAsia="SimSun"/>
          <w:color w:val="000000"/>
          <w:szCs w:val="24"/>
          <w:lang w:eastAsia="ja-JP"/>
        </w:rPr>
      </w:pPr>
      <w:r w:rsidRPr="00CA61A6">
        <w:rPr>
          <w:rFonts w:eastAsia="SimSun"/>
          <w:lang w:eastAsia="ja-JP"/>
        </w:rPr>
        <w:t>–</w:t>
      </w:r>
      <w:r w:rsidRPr="00CA61A6">
        <w:rPr>
          <w:rFonts w:eastAsia="SimSun"/>
          <w:lang w:eastAsia="ja-JP"/>
        </w:rPr>
        <w:tab/>
      </w:r>
      <w:r w:rsidR="00450BDD" w:rsidRPr="00CA61A6">
        <w:rPr>
          <w:rFonts w:eastAsia="SimSun"/>
          <w:color w:val="111111"/>
          <w:szCs w:val="24"/>
          <w:lang w:eastAsia="ja-JP"/>
        </w:rPr>
        <w:t xml:space="preserve">''ERICA: </w:t>
      </w:r>
      <w:r w:rsidR="00450BDD" w:rsidRPr="00CA61A6">
        <w:rPr>
          <w:rFonts w:eastAsia="SimSun"/>
          <w:lang w:eastAsia="ja-JP"/>
        </w:rPr>
        <w:t>Electroencephalographic</w:t>
      </w:r>
      <w:r w:rsidR="00450BDD" w:rsidRPr="00CA61A6">
        <w:rPr>
          <w:rFonts w:eastAsia="SimSun"/>
          <w:color w:val="111111"/>
          <w:szCs w:val="24"/>
          <w:lang w:eastAsia="ja-JP"/>
        </w:rPr>
        <w:t>-based Resuscitaio Index Computer Aided (Universidad de Padua, Italy/Daccapo</w:t>
      </w:r>
      <w:r w:rsidR="009E1BE2">
        <w:rPr>
          <w:rFonts w:eastAsia="SimSun"/>
          <w:color w:val="111111"/>
          <w:szCs w:val="24"/>
          <w:lang w:eastAsia="ja-JP"/>
        </w:rPr>
        <w:t>/</w:t>
      </w:r>
      <w:r w:rsidR="00450BDD" w:rsidRPr="00CA61A6">
        <w:rPr>
          <w:rFonts w:eastAsia="SimSun"/>
          <w:color w:val="111111"/>
          <w:szCs w:val="24"/>
          <w:lang w:eastAsia="ja-JP"/>
        </w:rPr>
        <w:t>Faber Libertas'').</w:t>
      </w:r>
    </w:p>
    <w:p w:rsidR="00450BDD" w:rsidRPr="00CA61A6" w:rsidRDefault="00450BDD" w:rsidP="007B3478">
      <w:pPr>
        <w:rPr>
          <w:rFonts w:eastAsia="SimSun"/>
          <w:color w:val="000000"/>
          <w:szCs w:val="24"/>
          <w:lang w:eastAsia="ja-JP"/>
        </w:rPr>
      </w:pPr>
      <w:r w:rsidRPr="00CA61A6">
        <w:rPr>
          <w:rFonts w:eastAsia="SimSun"/>
          <w:color w:val="000000"/>
          <w:szCs w:val="24"/>
          <w:lang w:eastAsia="ja-JP"/>
        </w:rPr>
        <w:t xml:space="preserve">Por otra parte, la TSB ayudó a planificar y organizar la mesa redonda de la UIT </w:t>
      </w:r>
      <w:r w:rsidRPr="00CA61A6">
        <w:rPr>
          <w:rFonts w:eastAsia="SimSun"/>
          <w:i/>
          <w:iCs/>
          <w:szCs w:val="24"/>
          <w:lang w:eastAsia="ja-JP"/>
        </w:rPr>
        <w:t xml:space="preserve">Towards a Disability Inclusive Development Agenda with ICTs (ITU) </w:t>
      </w:r>
      <w:r w:rsidRPr="00CA61A6">
        <w:rPr>
          <w:rFonts w:eastAsia="SimSun"/>
          <w:szCs w:val="24"/>
          <w:lang w:eastAsia="ja-JP"/>
        </w:rPr>
        <w:t>el miércoles 15 de mayo de</w:t>
      </w:r>
      <w:r w:rsidRPr="00CA61A6">
        <w:rPr>
          <w:rFonts w:eastAsia="SimSun"/>
          <w:color w:val="000000"/>
          <w:szCs w:val="24"/>
          <w:lang w:eastAsia="ja-JP"/>
        </w:rPr>
        <w:t xml:space="preserve"> 2013.</w:t>
      </w:r>
    </w:p>
    <w:p w:rsidR="00450BDD" w:rsidRPr="00CA61A6" w:rsidRDefault="004F56CC" w:rsidP="004F56CC">
      <w:pPr>
        <w:rPr>
          <w:rFonts w:eastAsia="SimSun"/>
          <w:szCs w:val="24"/>
          <w:lang w:eastAsia="ja-JP"/>
        </w:rPr>
      </w:pPr>
      <w:r>
        <w:rPr>
          <w:rFonts w:eastAsia="SimSun"/>
          <w:szCs w:val="24"/>
          <w:lang w:eastAsia="ja-JP"/>
        </w:rPr>
        <w:t>El</w:t>
      </w:r>
      <w:r w:rsidR="00450BDD" w:rsidRPr="00CA61A6">
        <w:rPr>
          <w:rFonts w:eastAsia="SimSun"/>
          <w:szCs w:val="24"/>
          <w:lang w:eastAsia="ja-JP"/>
        </w:rPr>
        <w:t xml:space="preserve"> Evento de </w:t>
      </w:r>
      <w:r w:rsidR="004854C8" w:rsidRPr="00CA61A6">
        <w:rPr>
          <w:rFonts w:eastAsia="SimSun"/>
          <w:szCs w:val="24"/>
          <w:lang w:eastAsia="ja-JP"/>
        </w:rPr>
        <w:t xml:space="preserve">alto nivel </w:t>
      </w:r>
      <w:r w:rsidR="00450BDD" w:rsidRPr="00CA61A6">
        <w:rPr>
          <w:rFonts w:eastAsia="SimSun"/>
          <w:szCs w:val="24"/>
          <w:lang w:eastAsia="ja-JP"/>
        </w:rPr>
        <w:t>CMSI+10 de 2014 fue una versión ampliada del Foro de la CMSI anual y en él se examinaron los resultados de la CMSI (2003 y 2005) relativos a las Líneas de Acción de la Cumbre con objeto de elaborar propuestas sobre nuevas perspectivas para después de 2015, posiblemente con nuevos objetivos. El Evento de alto nivel CMSI+10 tuvo lugar del 10 al 13 de junio de 2014 y en él se refrendaron dos importantes documentos: la "Declaración de la CMSI+10 relativa a la aplicación de los resultados de la CMSI" y "Perspectivas de la CMSI+10 para la CMSI después de 2015". Este evento fue preparado gracias a la Plataforma Preparatoria Multipartita CMSI+10, en actividad desde julio de 2013, y en la cual el UIT-T participó activamente.</w:t>
      </w:r>
    </w:p>
    <w:p w:rsidR="00450BDD" w:rsidRPr="00CA61A6" w:rsidRDefault="00450BDD" w:rsidP="007B3478">
      <w:pPr>
        <w:rPr>
          <w:rFonts w:eastAsia="SimSun"/>
          <w:szCs w:val="24"/>
        </w:rPr>
      </w:pPr>
      <w:r w:rsidRPr="00CA61A6">
        <w:rPr>
          <w:rFonts w:eastAsia="SimSun"/>
          <w:szCs w:val="24"/>
        </w:rPr>
        <w:t>En el marco del Foro de la CMSI 2015, el UIT-T organizó, en solitario o con colaboradores, los siguientes eventos:</w:t>
      </w:r>
    </w:p>
    <w:p w:rsidR="00450BDD" w:rsidRPr="00CA61A6" w:rsidRDefault="00F12B91" w:rsidP="00F12B91">
      <w:pPr>
        <w:pStyle w:val="enumlev1"/>
        <w:rPr>
          <w:rFonts w:eastAsia="SimSun"/>
          <w:szCs w:val="24"/>
        </w:rPr>
      </w:pPr>
      <w:r w:rsidRPr="00CA61A6">
        <w:rPr>
          <w:rFonts w:eastAsia="SimSun"/>
          <w:lang w:eastAsia="ja-JP"/>
        </w:rPr>
        <w:t>–</w:t>
      </w:r>
      <w:r w:rsidRPr="00CA61A6">
        <w:rPr>
          <w:rFonts w:eastAsia="SimSun"/>
          <w:lang w:eastAsia="ja-JP"/>
        </w:rPr>
        <w:tab/>
      </w:r>
      <w:r w:rsidRPr="00CA61A6">
        <w:rPr>
          <w:rFonts w:eastAsia="SimSun"/>
          <w:szCs w:val="24"/>
        </w:rPr>
        <w:t xml:space="preserve">Taller </w:t>
      </w:r>
      <w:r w:rsidR="00450BDD" w:rsidRPr="00CA61A6">
        <w:rPr>
          <w:rFonts w:eastAsia="SimSun"/>
          <w:lang w:eastAsia="ja-JP"/>
        </w:rPr>
        <w:t>temático</w:t>
      </w:r>
      <w:r w:rsidR="00450BDD" w:rsidRPr="00CA61A6">
        <w:rPr>
          <w:rFonts w:eastAsia="SimSun"/>
          <w:szCs w:val="24"/>
        </w:rPr>
        <w:t xml:space="preserve"> sobre "Building Trust – the technical challenges ", 28 de mayo de 2015</w:t>
      </w:r>
      <w:r w:rsidR="006A2ADA" w:rsidRPr="00CA61A6">
        <w:rPr>
          <w:rFonts w:eastAsia="SimSun"/>
          <w:szCs w:val="24"/>
        </w:rPr>
        <w:t>.</w:t>
      </w:r>
    </w:p>
    <w:p w:rsidR="00450BDD" w:rsidRPr="00CA61A6" w:rsidRDefault="00CD0553" w:rsidP="009E1BE2">
      <w:pPr>
        <w:pStyle w:val="enumlev1"/>
        <w:rPr>
          <w:rFonts w:eastAsia="SimSun"/>
          <w:szCs w:val="24"/>
        </w:rPr>
      </w:pPr>
      <w:r w:rsidRPr="00CA61A6">
        <w:rPr>
          <w:rFonts w:eastAsia="SimSun"/>
          <w:lang w:eastAsia="ja-JP"/>
        </w:rPr>
        <w:t>–</w:t>
      </w:r>
      <w:r w:rsidRPr="00CA61A6">
        <w:rPr>
          <w:rFonts w:eastAsia="SimSun"/>
          <w:lang w:eastAsia="ja-JP"/>
        </w:rPr>
        <w:tab/>
      </w:r>
      <w:r w:rsidR="00450BDD" w:rsidRPr="00CA61A6">
        <w:rPr>
          <w:rFonts w:eastAsia="SimSun"/>
          <w:szCs w:val="24"/>
        </w:rPr>
        <w:t xml:space="preserve">Taller </w:t>
      </w:r>
      <w:r w:rsidR="00450BDD" w:rsidRPr="00CA61A6">
        <w:rPr>
          <w:rFonts w:eastAsia="SimSun"/>
          <w:lang w:eastAsia="ja-JP"/>
        </w:rPr>
        <w:t>temático</w:t>
      </w:r>
      <w:r w:rsidR="009E1BE2">
        <w:rPr>
          <w:rFonts w:eastAsia="SimSun"/>
          <w:szCs w:val="24"/>
        </w:rPr>
        <w:t xml:space="preserve"> sobre "</w:t>
      </w:r>
      <w:r w:rsidR="00450BDD" w:rsidRPr="00CA61A6">
        <w:rPr>
          <w:rFonts w:eastAsia="SimSun"/>
          <w:szCs w:val="24"/>
        </w:rPr>
        <w:t>Digital Financial Services and Financial Inclusion</w:t>
      </w:r>
      <w:r w:rsidR="009E1BE2">
        <w:rPr>
          <w:rFonts w:eastAsia="SimSun"/>
          <w:szCs w:val="24"/>
        </w:rPr>
        <w:t>"</w:t>
      </w:r>
      <w:r w:rsidR="00450BDD" w:rsidRPr="00CA61A6">
        <w:rPr>
          <w:rFonts w:eastAsia="SimSun"/>
          <w:szCs w:val="24"/>
        </w:rPr>
        <w:t xml:space="preserve">, </w:t>
      </w:r>
      <w:r w:rsidR="008C05B9">
        <w:rPr>
          <w:rFonts w:eastAsia="SimSun"/>
          <w:szCs w:val="24"/>
        </w:rPr>
        <w:br/>
      </w:r>
      <w:r w:rsidR="00450BDD" w:rsidRPr="00CA61A6">
        <w:rPr>
          <w:rFonts w:eastAsia="SimSun"/>
          <w:szCs w:val="24"/>
        </w:rPr>
        <w:t>29 de mayo de 2015</w:t>
      </w:r>
      <w:r w:rsidRPr="00CA61A6">
        <w:rPr>
          <w:rFonts w:eastAsia="SimSun"/>
          <w:szCs w:val="24"/>
        </w:rPr>
        <w:t>.</w:t>
      </w:r>
    </w:p>
    <w:p w:rsidR="00450BDD" w:rsidRPr="00CA61A6" w:rsidRDefault="00E80C41" w:rsidP="00E80C41">
      <w:pPr>
        <w:pStyle w:val="enumlev1"/>
        <w:rPr>
          <w:rFonts w:eastAsia="SimSun"/>
          <w:szCs w:val="24"/>
        </w:rPr>
      </w:pPr>
      <w:r w:rsidRPr="00CA61A6">
        <w:rPr>
          <w:rFonts w:eastAsia="SimSun"/>
          <w:lang w:eastAsia="ja-JP"/>
        </w:rPr>
        <w:t>–</w:t>
      </w:r>
      <w:r w:rsidRPr="00CA61A6">
        <w:rPr>
          <w:rFonts w:eastAsia="SimSun"/>
          <w:lang w:eastAsia="ja-JP"/>
        </w:rPr>
        <w:tab/>
      </w:r>
      <w:r w:rsidR="009E1BE2">
        <w:rPr>
          <w:rFonts w:eastAsia="SimSun"/>
          <w:szCs w:val="24"/>
        </w:rPr>
        <w:t>Taller temático sobre "</w:t>
      </w:r>
      <w:r w:rsidR="00450BDD" w:rsidRPr="00CA61A6">
        <w:rPr>
          <w:rFonts w:eastAsia="SimSun"/>
          <w:szCs w:val="24"/>
        </w:rPr>
        <w:t>Gender D</w:t>
      </w:r>
      <w:r w:rsidR="009E1BE2">
        <w:rPr>
          <w:rFonts w:eastAsia="SimSun"/>
          <w:szCs w:val="24"/>
        </w:rPr>
        <w:t>imensions of e-Waste Management"</w:t>
      </w:r>
      <w:r w:rsidR="00450BDD" w:rsidRPr="00CA61A6">
        <w:rPr>
          <w:rFonts w:eastAsia="SimSun"/>
          <w:szCs w:val="24"/>
        </w:rPr>
        <w:t xml:space="preserve">, </w:t>
      </w:r>
      <w:r w:rsidR="008C05B9">
        <w:rPr>
          <w:rFonts w:eastAsia="SimSun"/>
          <w:szCs w:val="24"/>
        </w:rPr>
        <w:br/>
      </w:r>
      <w:r w:rsidR="00450BDD" w:rsidRPr="00CA61A6">
        <w:rPr>
          <w:rFonts w:eastAsia="SimSun"/>
          <w:szCs w:val="24"/>
        </w:rPr>
        <w:t>25 de mayo de 2015</w:t>
      </w:r>
      <w:r w:rsidR="009F3880" w:rsidRPr="00CA61A6">
        <w:rPr>
          <w:rFonts w:eastAsia="SimSun"/>
          <w:szCs w:val="24"/>
        </w:rPr>
        <w:t>.</w:t>
      </w:r>
    </w:p>
    <w:p w:rsidR="00450BDD" w:rsidRPr="00CA61A6" w:rsidRDefault="000960DC" w:rsidP="009E1BE2">
      <w:pPr>
        <w:pStyle w:val="enumlev1"/>
        <w:rPr>
          <w:rFonts w:eastAsia="SimSun"/>
          <w:szCs w:val="24"/>
        </w:rPr>
      </w:pPr>
      <w:r w:rsidRPr="00CA61A6">
        <w:rPr>
          <w:rFonts w:eastAsia="SimSun"/>
          <w:lang w:eastAsia="ja-JP"/>
        </w:rPr>
        <w:t>–</w:t>
      </w:r>
      <w:r w:rsidRPr="00CA61A6">
        <w:rPr>
          <w:rFonts w:eastAsia="SimSun"/>
          <w:lang w:eastAsia="ja-JP"/>
        </w:rPr>
        <w:tab/>
      </w:r>
      <w:r w:rsidR="009E1BE2">
        <w:rPr>
          <w:rFonts w:eastAsia="SimSun"/>
          <w:szCs w:val="24"/>
        </w:rPr>
        <w:t>Taller temático sobre "</w:t>
      </w:r>
      <w:r w:rsidR="00450BDD" w:rsidRPr="00CA61A6">
        <w:rPr>
          <w:rFonts w:eastAsia="SimSun"/>
          <w:szCs w:val="24"/>
        </w:rPr>
        <w:t>Internet of Things (IoT): The Way to Smart Sustainable Cities</w:t>
      </w:r>
      <w:r w:rsidR="009E1BE2">
        <w:rPr>
          <w:rFonts w:eastAsia="SimSun"/>
          <w:szCs w:val="24"/>
        </w:rPr>
        <w:t>"</w:t>
      </w:r>
      <w:r w:rsidR="00450BDD" w:rsidRPr="00CA61A6">
        <w:rPr>
          <w:rFonts w:eastAsia="SimSun"/>
          <w:szCs w:val="24"/>
        </w:rPr>
        <w:t>, 25 de mayo de 2015</w:t>
      </w:r>
      <w:r w:rsidRPr="00CA61A6">
        <w:rPr>
          <w:rFonts w:eastAsia="SimSun"/>
          <w:szCs w:val="24"/>
        </w:rPr>
        <w:t>.</w:t>
      </w:r>
    </w:p>
    <w:p w:rsidR="00450BDD" w:rsidRPr="00CA61A6" w:rsidRDefault="00C3413E" w:rsidP="009E1BE2">
      <w:pPr>
        <w:pStyle w:val="enumlev1"/>
        <w:rPr>
          <w:rFonts w:eastAsia="SimSun"/>
          <w:szCs w:val="24"/>
        </w:rPr>
      </w:pPr>
      <w:r w:rsidRPr="00CA61A6">
        <w:rPr>
          <w:rFonts w:eastAsia="SimSun"/>
          <w:lang w:eastAsia="ja-JP"/>
        </w:rPr>
        <w:t>–</w:t>
      </w:r>
      <w:r w:rsidRPr="00CA61A6">
        <w:rPr>
          <w:rFonts w:eastAsia="SimSun"/>
          <w:lang w:eastAsia="ja-JP"/>
        </w:rPr>
        <w:tab/>
      </w:r>
      <w:r w:rsidR="009E1BE2">
        <w:rPr>
          <w:rFonts w:eastAsia="SimSun"/>
          <w:szCs w:val="24"/>
        </w:rPr>
        <w:t>Taller temático sobre "</w:t>
      </w:r>
      <w:r w:rsidR="00450BDD" w:rsidRPr="00CA61A6">
        <w:rPr>
          <w:rFonts w:eastAsia="SimSun"/>
          <w:szCs w:val="24"/>
        </w:rPr>
        <w:t>Innovation in Accessibility Technology and Policy</w:t>
      </w:r>
      <w:r w:rsidR="009E1BE2">
        <w:rPr>
          <w:rFonts w:eastAsia="SimSun"/>
          <w:szCs w:val="24"/>
        </w:rPr>
        <w:t>"</w:t>
      </w:r>
      <w:r w:rsidR="00450BDD" w:rsidRPr="00CA61A6">
        <w:rPr>
          <w:rFonts w:eastAsia="SimSun"/>
          <w:szCs w:val="24"/>
        </w:rPr>
        <w:t xml:space="preserve">, </w:t>
      </w:r>
      <w:r w:rsidR="008C05B9">
        <w:rPr>
          <w:rFonts w:eastAsia="SimSun"/>
          <w:szCs w:val="24"/>
        </w:rPr>
        <w:br/>
      </w:r>
      <w:r w:rsidR="00450BDD" w:rsidRPr="00CA61A6">
        <w:rPr>
          <w:rFonts w:eastAsia="SimSun"/>
          <w:szCs w:val="24"/>
        </w:rPr>
        <w:t>29 de mayo de 2015</w:t>
      </w:r>
      <w:r w:rsidR="0039134A" w:rsidRPr="00CA61A6">
        <w:rPr>
          <w:rFonts w:eastAsia="SimSun"/>
          <w:szCs w:val="24"/>
        </w:rPr>
        <w:t>.</w:t>
      </w:r>
    </w:p>
    <w:p w:rsidR="00450BDD" w:rsidRPr="00CA61A6" w:rsidRDefault="00450BDD" w:rsidP="007B3478">
      <w:pPr>
        <w:rPr>
          <w:rFonts w:eastAsia="SimSun"/>
          <w:szCs w:val="24"/>
        </w:rPr>
      </w:pPr>
      <w:r w:rsidRPr="00CA61A6">
        <w:rPr>
          <w:rFonts w:eastAsia="SimSun"/>
          <w:szCs w:val="24"/>
        </w:rPr>
        <w:t>En el marco del Foro de la CMSI 2016, el UIT-T organizó, en solitario o con colaboradores, los siguientes eventos:</w:t>
      </w:r>
    </w:p>
    <w:p w:rsidR="00450BDD" w:rsidRPr="00343F12" w:rsidRDefault="003F6E57" w:rsidP="009E1BE2">
      <w:pPr>
        <w:pStyle w:val="enumlev1"/>
        <w:rPr>
          <w:rFonts w:eastAsia="SimSun"/>
          <w:szCs w:val="24"/>
          <w:lang w:val="en-US"/>
        </w:rPr>
      </w:pPr>
      <w:r w:rsidRPr="00343F12">
        <w:rPr>
          <w:rFonts w:eastAsia="SimSun"/>
          <w:lang w:val="en-US" w:eastAsia="ja-JP"/>
        </w:rPr>
        <w:t>–</w:t>
      </w:r>
      <w:r w:rsidRPr="00343F12">
        <w:rPr>
          <w:rFonts w:eastAsia="SimSun"/>
          <w:lang w:val="en-US" w:eastAsia="ja-JP"/>
        </w:rPr>
        <w:tab/>
      </w:r>
      <w:r w:rsidR="009E1BE2" w:rsidRPr="00343F12">
        <w:rPr>
          <w:rFonts w:eastAsia="SimSun"/>
          <w:szCs w:val="24"/>
          <w:lang w:val="en-US"/>
        </w:rPr>
        <w:t>Taller temático sobre "</w:t>
      </w:r>
      <w:r w:rsidR="00450BDD" w:rsidRPr="00343F12">
        <w:rPr>
          <w:rFonts w:eastAsia="SimSun"/>
          <w:szCs w:val="24"/>
          <w:lang w:val="en-US"/>
        </w:rPr>
        <w:t>Making ICT Accessibility a reality: policies and standards on the public procurement of accessibility ICTs</w:t>
      </w:r>
      <w:r w:rsidR="009E1BE2" w:rsidRPr="00343F12">
        <w:rPr>
          <w:rFonts w:eastAsia="SimSun"/>
          <w:szCs w:val="24"/>
          <w:lang w:val="en-US"/>
        </w:rPr>
        <w:t>"</w:t>
      </w:r>
      <w:r w:rsidR="00450BDD" w:rsidRPr="00343F12">
        <w:rPr>
          <w:rFonts w:eastAsia="SimSun"/>
          <w:szCs w:val="24"/>
          <w:lang w:val="en-US"/>
        </w:rPr>
        <w:t>, 2 de mayo de 2016</w:t>
      </w:r>
      <w:r w:rsidR="00A41EC5" w:rsidRPr="00343F12">
        <w:rPr>
          <w:rFonts w:eastAsia="SimSun"/>
          <w:szCs w:val="24"/>
          <w:lang w:val="en-US"/>
        </w:rPr>
        <w:t>.</w:t>
      </w:r>
    </w:p>
    <w:p w:rsidR="00450BDD" w:rsidRPr="009E1BE2" w:rsidRDefault="00A73F69" w:rsidP="009E1BE2">
      <w:pPr>
        <w:pStyle w:val="enumlev1"/>
        <w:rPr>
          <w:rFonts w:eastAsia="SimSun"/>
          <w:szCs w:val="24"/>
          <w:lang w:val="en-US"/>
        </w:rPr>
      </w:pPr>
      <w:r w:rsidRPr="00CA61A6">
        <w:rPr>
          <w:rFonts w:eastAsia="SimSun"/>
          <w:lang w:eastAsia="ja-JP"/>
        </w:rPr>
        <w:t>–</w:t>
      </w:r>
      <w:r w:rsidRPr="00CA61A6">
        <w:rPr>
          <w:rFonts w:eastAsia="SimSun"/>
          <w:lang w:eastAsia="ja-JP"/>
        </w:rPr>
        <w:tab/>
      </w:r>
      <w:r w:rsidR="009E1BE2">
        <w:rPr>
          <w:rFonts w:eastAsia="SimSun"/>
          <w:szCs w:val="24"/>
        </w:rPr>
        <w:t>Taller temático sobre "</w:t>
      </w:r>
      <w:r w:rsidR="00450BDD" w:rsidRPr="00CA61A6">
        <w:rPr>
          <w:rFonts w:eastAsia="SimSun"/>
          <w:szCs w:val="24"/>
        </w:rPr>
        <w:t xml:space="preserve">Safe Listening! </w:t>
      </w:r>
      <w:r w:rsidR="00450BDD" w:rsidRPr="009E1BE2">
        <w:rPr>
          <w:rFonts w:eastAsia="SimSun"/>
          <w:szCs w:val="24"/>
          <w:lang w:val="en-US"/>
        </w:rPr>
        <w:t>How I Enjoy My Music and Avoid a Silent Future</w:t>
      </w:r>
      <w:r w:rsidR="009E1BE2" w:rsidRPr="009E1BE2">
        <w:rPr>
          <w:rFonts w:eastAsia="SimSun"/>
          <w:szCs w:val="24"/>
          <w:lang w:val="en-US"/>
        </w:rPr>
        <w:t>"</w:t>
      </w:r>
      <w:r w:rsidR="00450BDD" w:rsidRPr="009E1BE2">
        <w:rPr>
          <w:rFonts w:eastAsia="SimSun"/>
          <w:szCs w:val="24"/>
          <w:lang w:val="en-US"/>
        </w:rPr>
        <w:t>, 2 de mayo de 2016</w:t>
      </w:r>
      <w:r w:rsidRPr="009E1BE2">
        <w:rPr>
          <w:rFonts w:eastAsia="SimSun"/>
          <w:szCs w:val="24"/>
          <w:lang w:val="en-US"/>
        </w:rPr>
        <w:t>.</w:t>
      </w:r>
    </w:p>
    <w:p w:rsidR="00450BDD" w:rsidRPr="00CA61A6" w:rsidRDefault="00C82109" w:rsidP="002D3E51">
      <w:pPr>
        <w:pStyle w:val="Headingb"/>
        <w:keepLines/>
      </w:pPr>
      <w:bookmarkStart w:id="693" w:name="Item75_03"/>
      <w:r w:rsidRPr="00CA61A6">
        <w:t xml:space="preserve">Acción </w:t>
      </w:r>
      <w:r w:rsidR="00450BDD" w:rsidRPr="00CA61A6">
        <w:t>75-03: TSB</w:t>
      </w:r>
    </w:p>
    <w:bookmarkEnd w:id="693"/>
    <w:p w:rsidR="00450BDD" w:rsidRPr="00CA61A6" w:rsidRDefault="00450BDD" w:rsidP="007B3478">
      <w:pPr>
        <w:rPr>
          <w:rFonts w:eastAsia="SimSun"/>
          <w:szCs w:val="24"/>
          <w:lang w:eastAsia="ja-JP"/>
        </w:rPr>
      </w:pPr>
      <w:r w:rsidRPr="00CA61A6">
        <w:rPr>
          <w:rFonts w:eastAsia="SimSun"/>
          <w:szCs w:val="24"/>
          <w:lang w:eastAsia="ja-JP"/>
        </w:rPr>
        <w:t>El Plan Operacional del UIT-T contiene un capítulo dedicado a la CMSI.</w:t>
      </w:r>
    </w:p>
    <w:p w:rsidR="000E0569" w:rsidRPr="00CA61A6" w:rsidRDefault="00110CAD" w:rsidP="000E0569">
      <w:hyperlink w:anchor="Top" w:history="1">
        <w:r w:rsidR="000E0569" w:rsidRPr="00CA61A6">
          <w:rPr>
            <w:rStyle w:val="Hyperlink"/>
          </w:rPr>
          <w:t>» Arriba</w:t>
        </w:r>
      </w:hyperlink>
    </w:p>
    <w:p w:rsidR="00450BDD" w:rsidRPr="00CA61A6" w:rsidRDefault="001C6AB9" w:rsidP="001C6AB9">
      <w:pPr>
        <w:pStyle w:val="Heading1"/>
      </w:pPr>
      <w:bookmarkStart w:id="694" w:name="_44_Resolución_76"/>
      <w:bookmarkStart w:id="695" w:name="_Toc463335795"/>
      <w:bookmarkEnd w:id="694"/>
      <w:r w:rsidRPr="00CA61A6">
        <w:lastRenderedPageBreak/>
        <w:t>44</w:t>
      </w:r>
      <w:r w:rsidRPr="00CA61A6">
        <w:tab/>
        <w:t xml:space="preserve">Resolución </w:t>
      </w:r>
      <w:r w:rsidR="00450BDD" w:rsidRPr="00CA61A6">
        <w:t>76</w:t>
      </w:r>
      <w:r w:rsidRPr="00CA61A6">
        <w:t xml:space="preserve"> – </w:t>
      </w:r>
      <w:r w:rsidR="00450BDD" w:rsidRPr="00CA61A6">
        <w:t>Estudios relacionados con las pruebas de conformidad e interoperabilidad, la asistencia a los países en desarrollo y un posible futuro programa relativo a la Marca UIT</w:t>
      </w:r>
      <w:bookmarkEnd w:id="695"/>
    </w:p>
    <w:p w:rsidR="002436E8" w:rsidRPr="00CA61A6" w:rsidRDefault="002436E8" w:rsidP="002436E8">
      <w:pPr>
        <w:pStyle w:val="Headingb"/>
        <w:keepLines/>
      </w:pPr>
      <w:r w:rsidRPr="00CA61A6">
        <w:t>Resolución 76</w:t>
      </w:r>
    </w:p>
    <w:p w:rsidR="00450BDD" w:rsidRPr="00CA61A6" w:rsidRDefault="00450BDD" w:rsidP="007B3478">
      <w:pPr>
        <w:pStyle w:val="Call"/>
      </w:pPr>
      <w:r w:rsidRPr="00CA61A6">
        <w:t>resuelve</w:t>
      </w:r>
    </w:p>
    <w:p w:rsidR="00450BDD" w:rsidRPr="00CA61A6" w:rsidRDefault="00450BDD" w:rsidP="007B3478">
      <w:r w:rsidRPr="00CA61A6">
        <w:t>1</w:t>
      </w:r>
      <w:r w:rsidRPr="00CA61A6">
        <w:tab/>
        <w:t>que las Comisiones de Estudio del UIT</w:t>
      </w:r>
      <w:r w:rsidRPr="00CA61A6">
        <w:noBreakHyphen/>
        <w:t>T preparen cuanto antes las Recomendaciones necesarias sobre pruebas de conformidad de los equipos de telecomunicaciones;</w:t>
      </w:r>
    </w:p>
    <w:p w:rsidR="00450BDD" w:rsidRPr="00CA61A6" w:rsidRDefault="00450BDD" w:rsidP="007B3478">
      <w:pPr>
        <w:rPr>
          <w:i/>
          <w:iCs/>
        </w:rPr>
      </w:pPr>
      <w:r w:rsidRPr="00CA61A6">
        <w:t>2</w:t>
      </w:r>
      <w:r w:rsidRPr="00CA61A6">
        <w:tab/>
        <w:t xml:space="preserve">que la Comisión de Estudio 11 del UIT-T coordine las actividades del Sector relacionadas con el </w:t>
      </w:r>
      <w:r w:rsidR="002D5868" w:rsidRPr="00CA61A6">
        <w:t xml:space="preserve">programa </w:t>
      </w:r>
      <w:r w:rsidRPr="00CA61A6">
        <w:t xml:space="preserve">C&amp;I de la UIT de todas las Comisiones de Estudio y revise las recomendaciones en el Plan Comercial de Conformidad e Interoperabilidad para la aplicación a largo plazo del programa </w:t>
      </w:r>
      <w:r w:rsidR="00E54BF9">
        <w:t>C&amp;I;</w:t>
      </w:r>
    </w:p>
    <w:p w:rsidR="00450BDD" w:rsidRPr="00CA61A6" w:rsidRDefault="00450BDD" w:rsidP="007B3478">
      <w:r w:rsidRPr="00CA61A6">
        <w:t>3</w:t>
      </w:r>
      <w:r w:rsidRPr="00CA61A6">
        <w:tab/>
        <w:t>que se avance lo más rápidamente posible en los trabajos de preparación de Recomendaciones del UIT</w:t>
      </w:r>
      <w:r w:rsidRPr="00CA61A6">
        <w:noBreakHyphen/>
        <w:t>T en las que se aborde el tema de las pruebas de interoperabilidad;</w:t>
      </w:r>
    </w:p>
    <w:p w:rsidR="00450BDD" w:rsidRPr="00CA61A6" w:rsidRDefault="00450BDD" w:rsidP="007B3478">
      <w:r w:rsidRPr="00CA61A6">
        <w:t>4</w:t>
      </w:r>
      <w:r w:rsidRPr="00CA61A6">
        <w:tab/>
        <w:t>que el UIT</w:t>
      </w:r>
      <w:r w:rsidRPr="00CA61A6">
        <w:noBreakHyphen/>
        <w:t>T colabore con los demás Sectores, según corresponda, para preparar un programa encaminado a:</w:t>
      </w:r>
    </w:p>
    <w:p w:rsidR="00450BDD" w:rsidRPr="00CA61A6" w:rsidRDefault="00450BDD" w:rsidP="007B3478">
      <w:pPr>
        <w:pStyle w:val="enumlev1"/>
      </w:pPr>
      <w:r w:rsidRPr="00CA61A6">
        <w:t>i)</w:t>
      </w:r>
      <w:r w:rsidRPr="00CA61A6">
        <w:tab/>
        <w:t>ayudar a los países en desarrollo a definir las oportunidades de capacitación y formación de personas e instituciones para la realización de pruebas de conformidad e interoperabilidad;</w:t>
      </w:r>
    </w:p>
    <w:p w:rsidR="00450BDD" w:rsidRPr="00CA61A6" w:rsidRDefault="00450BDD" w:rsidP="007B3478">
      <w:pPr>
        <w:pStyle w:val="enumlev1"/>
      </w:pPr>
      <w:r w:rsidRPr="00CA61A6">
        <w:t>ii)</w:t>
      </w:r>
      <w:r w:rsidRPr="00CA61A6">
        <w:tab/>
        <w:t>ayudar a los países en desarrollo a crear centros regionales o subregionales de conformidad e interoperabilidad apropiados para la realización de pruebas de conformidad e interoperabilidad, según corresponde, alentando la cooperación con organizaciones nacionales y regionales gubernamentales y no gubernamentales y con organismos de acreditación y certificación internacional;</w:t>
      </w:r>
    </w:p>
    <w:p w:rsidR="00450BDD" w:rsidRPr="00CA61A6" w:rsidRDefault="00450BDD" w:rsidP="007B3478">
      <w:r w:rsidRPr="00CA61A6">
        <w:t>5</w:t>
      </w:r>
      <w:r w:rsidRPr="00CA61A6">
        <w:tab/>
        <w:t>que los requisitos que se definan para efectuar pruebas de conformidad e interoperabilidad dispondrán lo necesario para la verificación de los parámetros definidos en las actuales y futuras Recomendaciones del UIT</w:t>
      </w:r>
      <w:r w:rsidRPr="00CA61A6">
        <w:noBreakHyphen/>
        <w:t>T, como determinan las Comisiones de Estudio en la elaboración de Recomendaciones, así como para la realización de pruebas de interoperabilidad que garanticen la interoperabilidad, teniendo en cuenta las necesidades de los usuarios y la demanda del mercado, según proceda,</w:t>
      </w:r>
    </w:p>
    <w:p w:rsidR="00450BDD" w:rsidRPr="00CA61A6" w:rsidRDefault="00450BDD" w:rsidP="007B3478">
      <w:pPr>
        <w:pStyle w:val="Call"/>
        <w:spacing w:before="120"/>
      </w:pPr>
      <w:r w:rsidRPr="00CA61A6">
        <w:t>encarga al Director de la Oficina de Normalización de Telecomunicaciones</w:t>
      </w:r>
    </w:p>
    <w:p w:rsidR="00450BDD" w:rsidRPr="00CA61A6" w:rsidRDefault="00450BDD" w:rsidP="007B3478">
      <w:r w:rsidRPr="00CA61A6">
        <w:t>1</w:t>
      </w:r>
      <w:r w:rsidRPr="00CA61A6">
        <w:tab/>
        <w:t>que, en cooperación con la Oficina de Radiocomunicaciones y la Oficina de Desarrollo de Telecomunicaciones (BDT), siga realizando los estudios necesarios en cada región a fin de identificar los problemas que afrontan los países en desarrollo para lograr la interoperabilidad del equipo y los servicios de telecomunicaciones/TIC, así como para establecer un orden de prioridades entre dichos problemas;</w:t>
      </w:r>
    </w:p>
    <w:p w:rsidR="00450BDD" w:rsidRPr="00CA61A6" w:rsidRDefault="00450BDD" w:rsidP="007B3478">
      <w:r w:rsidRPr="00CA61A6">
        <w:t>2</w:t>
      </w:r>
      <w:r w:rsidRPr="00CA61A6">
        <w:tab/>
        <w:t xml:space="preserve">que, en cooperación con el Director de la BDT, basándose en los resultados del </w:t>
      </w:r>
      <w:r w:rsidRPr="00CA61A6">
        <w:rPr>
          <w:i/>
          <w:iCs/>
        </w:rPr>
        <w:t xml:space="preserve">encarga al Director de la Oficina de Normalización de Telecomunicaciones </w:t>
      </w:r>
      <w:r w:rsidRPr="00CA61A6">
        <w:t>1 anterior, aplique el Plan de Acción acordado por el Consejo, en su reunión de 2012 (C12/91), y mencionado en el Informe del Secretario General de la UIT a la reunión de 2012 del Consejo (C12/48);</w:t>
      </w:r>
    </w:p>
    <w:p w:rsidR="00450BDD" w:rsidRPr="00CA61A6" w:rsidRDefault="00450BDD" w:rsidP="007B3478">
      <w:r w:rsidRPr="00CA61A6">
        <w:t>3</w:t>
      </w:r>
      <w:r w:rsidRPr="00CA61A6">
        <w:tab/>
        <w:t>que, en cooperación con el Director de la BDT, aplique un programa de conformidad e interoperabilidad de la UIT para la posible introducción de una Marca UIT en armonía con el acuerdo del Consejo que figura en el Documento C12/91;</w:t>
      </w:r>
    </w:p>
    <w:p w:rsidR="00450BDD" w:rsidRPr="00CA61A6" w:rsidRDefault="00450BDD" w:rsidP="007B3478">
      <w:r w:rsidRPr="00CA61A6">
        <w:t>4</w:t>
      </w:r>
      <w:r w:rsidRPr="00CA61A6">
        <w:tab/>
        <w:t>hacer participar a expertos y entidades externas, según corresponda;</w:t>
      </w:r>
    </w:p>
    <w:p w:rsidR="00450BDD" w:rsidRPr="00CA61A6" w:rsidRDefault="00450BDD" w:rsidP="007B3478">
      <w:r w:rsidRPr="00CA61A6">
        <w:lastRenderedPageBreak/>
        <w:t>5</w:t>
      </w:r>
      <w:r w:rsidRPr="00CA61A6">
        <w:tab/>
        <w:t>presentar los resultados de esas actividades al Consejo para que éste los examine y tome las medidas oportunas,</w:t>
      </w:r>
    </w:p>
    <w:p w:rsidR="00450BDD" w:rsidRPr="00CA61A6" w:rsidRDefault="00450BDD" w:rsidP="007B3478">
      <w:pPr>
        <w:pStyle w:val="Call"/>
        <w:spacing w:before="120"/>
      </w:pPr>
      <w:r w:rsidRPr="00CA61A6">
        <w:t>encarga a las Comisiones de Estudio</w:t>
      </w:r>
    </w:p>
    <w:p w:rsidR="00450BDD" w:rsidRPr="00CA61A6" w:rsidRDefault="00450BDD" w:rsidP="007B3478">
      <w:r w:rsidRPr="00CA61A6">
        <w:t>1</w:t>
      </w:r>
      <w:r w:rsidRPr="00CA61A6">
        <w:tab/>
        <w:t>que identifiquen cuanto antes las Recomendaciones presentes y futuras del UIT</w:t>
      </w:r>
      <w:r w:rsidRPr="00CA61A6">
        <w:noBreakHyphen/>
        <w:t>T que podrían considerarse para las pruebas de conformidad e interoperabilidad, teniendo en cuenta las necesidades de los Miembros (por ejemplo, la interoperabilidad de los equipos de las redes de la próxima generación (NGN) y redes futuras (FN), los terminales, los códecs audio y vídeo, las redes de acceso y transporte y otras tecnologías fundamentales), y que sean capaces de proporcionar servicios interoperables de extremo a extremo a escala mundial, incorporando a su contenido, de ser necesario, requisitos específicos que correspondan a su ámbito de aplicación;</w:t>
      </w:r>
    </w:p>
    <w:p w:rsidR="00450BDD" w:rsidRPr="00CA61A6" w:rsidRDefault="00450BDD" w:rsidP="007B3478">
      <w:r w:rsidRPr="00CA61A6">
        <w:t>2</w:t>
      </w:r>
      <w:r w:rsidRPr="00CA61A6">
        <w:tab/>
        <w:t>que preparen las citadas Recomendaciones UIT</w:t>
      </w:r>
      <w:r w:rsidRPr="00CA61A6">
        <w:noBreakHyphen/>
        <w:t>T identificadas en el "</w:t>
      </w:r>
      <w:r w:rsidRPr="00CA61A6">
        <w:rPr>
          <w:i/>
          <w:iCs/>
        </w:rPr>
        <w:t>encarga a las Comisiones de Estudio</w:t>
      </w:r>
      <w:r w:rsidRPr="00CA61A6">
        <w:t>"</w:t>
      </w:r>
      <w:r w:rsidRPr="00CA61A6">
        <w:rPr>
          <w:i/>
          <w:iCs/>
        </w:rPr>
        <w:t xml:space="preserve"> </w:t>
      </w:r>
      <w:r w:rsidRPr="00CA61A6">
        <w:t>1 anterior, con el fin de llevar a cabo pruebas de conformidad e interoperabilidad, según corresponda;</w:t>
      </w:r>
    </w:p>
    <w:p w:rsidR="00450BDD" w:rsidRPr="00CA61A6" w:rsidRDefault="00450BDD" w:rsidP="007B3478">
      <w:r w:rsidRPr="00CA61A6">
        <w:t>3</w:t>
      </w:r>
      <w:r w:rsidRPr="00CA61A6">
        <w:tab/>
        <w:t xml:space="preserve">que cooperen, llegado el caso, con las partes interesadas para optimizar los estudios encaminados a preparar especificaciones de prueba, especialmente para las tecnologías indicadas en el punto 1 del </w:t>
      </w:r>
      <w:r w:rsidRPr="00CA61A6">
        <w:rPr>
          <w:i/>
          <w:iCs/>
        </w:rPr>
        <w:t>encarga a las Comisiones de Estudio supra</w:t>
      </w:r>
      <w:r w:rsidRPr="00CA61A6">
        <w:t>, teniendo en cuenta las necesidades de los usuarios y la demanda del mercado relativa a un programa de evaluación de la conformidad,</w:t>
      </w:r>
    </w:p>
    <w:p w:rsidR="00450BDD" w:rsidRPr="00CA61A6" w:rsidRDefault="00450BDD" w:rsidP="007B3478">
      <w:pPr>
        <w:pStyle w:val="Call"/>
        <w:spacing w:before="120"/>
      </w:pPr>
      <w:r w:rsidRPr="00CA61A6">
        <w:t xml:space="preserve">invita al Consejo </w:t>
      </w:r>
    </w:p>
    <w:p w:rsidR="00450BDD" w:rsidRPr="00CA61A6" w:rsidRDefault="00450BDD" w:rsidP="007B3478">
      <w:r w:rsidRPr="00CA61A6">
        <w:t>a examinar el Informe del Director mencionado en el "</w:t>
      </w:r>
      <w:r w:rsidRPr="00CA61A6">
        <w:rPr>
          <w:i/>
          <w:iCs/>
        </w:rPr>
        <w:t>encarga</w:t>
      </w:r>
      <w:r w:rsidRPr="00CA61A6">
        <w:t xml:space="preserve"> </w:t>
      </w:r>
      <w:r w:rsidRPr="00CA61A6">
        <w:rPr>
          <w:i/>
          <w:iCs/>
        </w:rPr>
        <w:t>al Director de la Oficina de Normalización de las Telecomunicaciones</w:t>
      </w:r>
      <w:r w:rsidRPr="00CA61A6">
        <w:t xml:space="preserve">" 5 </w:t>
      </w:r>
      <w:r w:rsidRPr="00CA61A6">
        <w:rPr>
          <w:i/>
          <w:iCs/>
        </w:rPr>
        <w:t>supra</w:t>
      </w:r>
      <w:r w:rsidRPr="00CA61A6">
        <w:t>,</w:t>
      </w:r>
    </w:p>
    <w:p w:rsidR="00450BDD" w:rsidRPr="00CA61A6" w:rsidRDefault="00450BDD" w:rsidP="007B3478">
      <w:pPr>
        <w:rPr>
          <w:i/>
          <w:iCs/>
        </w:rPr>
      </w:pPr>
      <w:r w:rsidRPr="00CA61A6">
        <w:tab/>
      </w:r>
      <w:r w:rsidRPr="00CA61A6">
        <w:rPr>
          <w:i/>
          <w:iCs/>
        </w:rPr>
        <w:t>invita a los Estados Miembros y Miembros de Sector</w:t>
      </w:r>
    </w:p>
    <w:p w:rsidR="00450BDD" w:rsidRPr="00CA61A6" w:rsidRDefault="00450BDD" w:rsidP="007B3478">
      <w:r w:rsidRPr="00CA61A6">
        <w:t>1</w:t>
      </w:r>
      <w:r w:rsidRPr="00CA61A6">
        <w:tab/>
        <w:t>a contribuir a la aplicación de la presente Resolución;</w:t>
      </w:r>
    </w:p>
    <w:p w:rsidR="00450BDD" w:rsidRPr="00CA61A6" w:rsidRDefault="00450BDD" w:rsidP="008D66D5">
      <w:pPr>
        <w:spacing w:after="120"/>
      </w:pPr>
      <w:r w:rsidRPr="00CA61A6">
        <w:t>2</w:t>
      </w:r>
      <w:r w:rsidRPr="00CA61A6">
        <w:tab/>
        <w:t>a alentar a los organismos nacionales y regionales encargados de la realización de pruebas a que ayuden al UIT</w:t>
      </w:r>
      <w:r w:rsidRPr="00CA61A6">
        <w:noBreakHyphen/>
        <w:t>T a aplicar la presente Resolución.</w:t>
      </w:r>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4819"/>
        <w:gridCol w:w="1580"/>
        <w:gridCol w:w="1142"/>
        <w:gridCol w:w="1261"/>
      </w:tblGrid>
      <w:tr w:rsidR="00450BDD" w:rsidRPr="00CA61A6" w:rsidTr="000365B5">
        <w:trPr>
          <w:cantSplit/>
          <w:tblHeader/>
          <w:jc w:val="center"/>
        </w:trPr>
        <w:tc>
          <w:tcPr>
            <w:tcW w:w="1130" w:type="dxa"/>
            <w:tcBorders>
              <w:bottom w:val="double" w:sz="4" w:space="0" w:color="auto"/>
            </w:tcBorders>
            <w:shd w:val="clear" w:color="auto" w:fill="auto"/>
            <w:vAlign w:val="center"/>
          </w:tcPr>
          <w:p w:rsidR="00450BDD" w:rsidRPr="00CA61A6" w:rsidRDefault="00450BDD" w:rsidP="008A29E0">
            <w:pPr>
              <w:pStyle w:val="Tablehead"/>
            </w:pPr>
            <w:r w:rsidRPr="00CA61A6">
              <w:t>Número</w:t>
            </w:r>
          </w:p>
        </w:tc>
        <w:tc>
          <w:tcPr>
            <w:tcW w:w="4819" w:type="dxa"/>
            <w:tcBorders>
              <w:bottom w:val="double" w:sz="4" w:space="0" w:color="auto"/>
            </w:tcBorders>
            <w:shd w:val="clear" w:color="auto" w:fill="auto"/>
            <w:vAlign w:val="center"/>
            <w:hideMark/>
          </w:tcPr>
          <w:p w:rsidR="00450BDD" w:rsidRPr="00CA61A6" w:rsidRDefault="00450BDD" w:rsidP="008A29E0">
            <w:pPr>
              <w:pStyle w:val="Tablehead"/>
            </w:pPr>
            <w:r w:rsidRPr="00CA61A6">
              <w:t>Acción</w:t>
            </w:r>
          </w:p>
        </w:tc>
        <w:tc>
          <w:tcPr>
            <w:tcW w:w="1580" w:type="dxa"/>
            <w:tcBorders>
              <w:bottom w:val="double" w:sz="4" w:space="0" w:color="auto"/>
            </w:tcBorders>
            <w:shd w:val="clear" w:color="auto" w:fill="auto"/>
            <w:vAlign w:val="center"/>
            <w:hideMark/>
          </w:tcPr>
          <w:p w:rsidR="00450BDD" w:rsidRPr="00CA61A6" w:rsidRDefault="00450BDD" w:rsidP="008A29E0">
            <w:pPr>
              <w:pStyle w:val="Tablehead"/>
            </w:pPr>
            <w:r w:rsidRPr="00CA61A6">
              <w:t>Fecha objetivo</w:t>
            </w:r>
          </w:p>
        </w:tc>
        <w:tc>
          <w:tcPr>
            <w:tcW w:w="1142" w:type="dxa"/>
            <w:tcBorders>
              <w:bottom w:val="double" w:sz="4" w:space="0" w:color="auto"/>
            </w:tcBorders>
            <w:shd w:val="clear" w:color="auto" w:fill="auto"/>
          </w:tcPr>
          <w:p w:rsidR="00450BDD" w:rsidRPr="00CA61A6" w:rsidRDefault="00450BDD" w:rsidP="008A29E0">
            <w:pPr>
              <w:pStyle w:val="Tablehead"/>
            </w:pPr>
            <w:r w:rsidRPr="00CA61A6">
              <w:t>Objetivos periódicos cumplidos</w:t>
            </w:r>
          </w:p>
        </w:tc>
        <w:tc>
          <w:tcPr>
            <w:tcW w:w="1261" w:type="dxa"/>
            <w:tcBorders>
              <w:bottom w:val="double" w:sz="4" w:space="0" w:color="auto"/>
            </w:tcBorders>
            <w:shd w:val="clear" w:color="auto" w:fill="auto"/>
            <w:vAlign w:val="center"/>
          </w:tcPr>
          <w:p w:rsidR="00450BDD" w:rsidRPr="00CA61A6" w:rsidRDefault="00450BDD" w:rsidP="008A29E0">
            <w:pPr>
              <w:pStyle w:val="Tablehead"/>
            </w:pPr>
            <w:r w:rsidRPr="00CA61A6">
              <w:t>Completada</w:t>
            </w:r>
          </w:p>
        </w:tc>
      </w:tr>
      <w:tr w:rsidR="00450BDD" w:rsidRPr="00CA61A6" w:rsidTr="000365B5">
        <w:trPr>
          <w:cantSplit/>
          <w:jc w:val="center"/>
        </w:trPr>
        <w:tc>
          <w:tcPr>
            <w:tcW w:w="1130" w:type="dxa"/>
            <w:tcBorders>
              <w:top w:val="double" w:sz="4" w:space="0" w:color="auto"/>
            </w:tcBorders>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76_01" w:history="1">
              <w:r w:rsidR="00450BDD" w:rsidRPr="00CA61A6">
                <w:rPr>
                  <w:color w:val="0000FF"/>
                  <w:sz w:val="20"/>
                  <w:u w:val="single"/>
                </w:rPr>
                <w:t>76-01</w:t>
              </w:r>
            </w:hyperlink>
          </w:p>
        </w:tc>
        <w:tc>
          <w:tcPr>
            <w:tcW w:w="4819" w:type="dxa"/>
            <w:tcBorders>
              <w:top w:val="double" w:sz="4" w:space="0" w:color="auto"/>
            </w:tcBorders>
            <w:shd w:val="clear" w:color="auto" w:fill="auto"/>
          </w:tcPr>
          <w:p w:rsidR="00450BDD" w:rsidRPr="00CA61A6" w:rsidRDefault="001742A6" w:rsidP="001742A6">
            <w:pPr>
              <w:pStyle w:val="Tabletext"/>
            </w:pPr>
            <w:r>
              <w:t>L</w:t>
            </w:r>
            <w:r w:rsidR="00450BDD" w:rsidRPr="00CA61A6">
              <w:t>as CE del UIT</w:t>
            </w:r>
            <w:r>
              <w:t>-</w:t>
            </w:r>
            <w:r w:rsidR="00450BDD" w:rsidRPr="00CA61A6">
              <w:t>T prepar</w:t>
            </w:r>
            <w:r>
              <w:t>ará</w:t>
            </w:r>
            <w:r w:rsidR="00450BDD" w:rsidRPr="00CA61A6">
              <w:t>n cuanto antes las Recomendaciones necesarias sobre pruebas de conformidad de los equipos de telecomunicaciones</w:t>
            </w:r>
          </w:p>
        </w:tc>
        <w:tc>
          <w:tcPr>
            <w:tcW w:w="1580" w:type="dxa"/>
            <w:tcBorders>
              <w:top w:val="double" w:sz="4" w:space="0" w:color="auto"/>
            </w:tcBorders>
            <w:shd w:val="clear" w:color="auto" w:fill="auto"/>
            <w:vAlign w:val="center"/>
          </w:tcPr>
          <w:p w:rsidR="00450BDD" w:rsidRPr="00CA61A6" w:rsidRDefault="00450BDD" w:rsidP="006D6064">
            <w:pPr>
              <w:pStyle w:val="Tabletext"/>
              <w:jc w:val="center"/>
            </w:pPr>
            <w:r w:rsidRPr="00CA61A6">
              <w:t>En curso</w:t>
            </w:r>
          </w:p>
        </w:tc>
        <w:tc>
          <w:tcPr>
            <w:tcW w:w="1142" w:type="dxa"/>
            <w:tcBorders>
              <w:top w:val="double" w:sz="4" w:space="0" w:color="auto"/>
            </w:tcBorders>
            <w:shd w:val="clear" w:color="auto" w:fill="auto"/>
            <w:vAlign w:val="center"/>
          </w:tcPr>
          <w:p w:rsidR="00450BDD" w:rsidRPr="00CA61A6" w:rsidRDefault="0098157A" w:rsidP="006D6064">
            <w:pPr>
              <w:pStyle w:val="Tabletext"/>
              <w:jc w:val="center"/>
            </w:pPr>
            <w:r w:rsidRPr="00CA61A6">
              <w:sym w:font="Wingdings" w:char="F0FC"/>
            </w:r>
          </w:p>
        </w:tc>
        <w:tc>
          <w:tcPr>
            <w:tcW w:w="1261" w:type="dxa"/>
            <w:tcBorders>
              <w:top w:val="double" w:sz="4" w:space="0" w:color="auto"/>
            </w:tcBorders>
            <w:shd w:val="clear" w:color="auto" w:fill="auto"/>
            <w:vAlign w:val="center"/>
          </w:tcPr>
          <w:p w:rsidR="00450BDD" w:rsidRPr="00CA61A6" w:rsidRDefault="00450BDD" w:rsidP="006D6064">
            <w:pPr>
              <w:pStyle w:val="Tabletext"/>
              <w:jc w:val="center"/>
            </w:pPr>
          </w:p>
        </w:tc>
      </w:tr>
      <w:tr w:rsidR="00450BDD" w:rsidRPr="00CA61A6" w:rsidTr="000365B5">
        <w:trPr>
          <w:cantSplit/>
          <w:jc w:val="center"/>
        </w:trPr>
        <w:tc>
          <w:tcPr>
            <w:tcW w:w="1130" w:type="dxa"/>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76_02" w:history="1">
              <w:r w:rsidR="00450BDD" w:rsidRPr="00CA61A6">
                <w:rPr>
                  <w:color w:val="0000FF"/>
                  <w:sz w:val="20"/>
                  <w:u w:val="single"/>
                </w:rPr>
                <w:t>76-02</w:t>
              </w:r>
            </w:hyperlink>
          </w:p>
        </w:tc>
        <w:tc>
          <w:tcPr>
            <w:tcW w:w="4819" w:type="dxa"/>
            <w:shd w:val="clear" w:color="auto" w:fill="auto"/>
          </w:tcPr>
          <w:p w:rsidR="00450BDD" w:rsidRPr="00CA61A6" w:rsidRDefault="001742A6" w:rsidP="001742A6">
            <w:pPr>
              <w:pStyle w:val="Tabletext"/>
            </w:pPr>
            <w:r>
              <w:t>L</w:t>
            </w:r>
            <w:r w:rsidR="00450BDD" w:rsidRPr="00CA61A6">
              <w:t xml:space="preserve">as </w:t>
            </w:r>
            <w:r w:rsidR="00945DD2" w:rsidRPr="00CA61A6">
              <w:t>Comisiones de Estudio</w:t>
            </w:r>
            <w:r w:rsidR="00450BDD" w:rsidRPr="00CA61A6">
              <w:t xml:space="preserve"> identifi</w:t>
            </w:r>
            <w:r>
              <w:t>carán</w:t>
            </w:r>
            <w:r w:rsidR="00450BDD" w:rsidRPr="00CA61A6">
              <w:t xml:space="preserve"> las Recomendaciones UIT-T presentes y futuras que podrían considerarse para las pruebas de conformidad e interoperatividad</w:t>
            </w:r>
          </w:p>
        </w:tc>
        <w:tc>
          <w:tcPr>
            <w:tcW w:w="1580" w:type="dxa"/>
            <w:shd w:val="clear" w:color="auto" w:fill="auto"/>
            <w:vAlign w:val="center"/>
          </w:tcPr>
          <w:p w:rsidR="00450BDD" w:rsidRPr="00CA61A6" w:rsidRDefault="00450BDD" w:rsidP="006D6064">
            <w:pPr>
              <w:pStyle w:val="Tabletext"/>
              <w:jc w:val="center"/>
            </w:pPr>
            <w:r w:rsidRPr="00CA61A6">
              <w:t>En curso</w:t>
            </w:r>
          </w:p>
        </w:tc>
        <w:tc>
          <w:tcPr>
            <w:tcW w:w="1142" w:type="dxa"/>
            <w:shd w:val="clear" w:color="auto" w:fill="auto"/>
            <w:vAlign w:val="center"/>
          </w:tcPr>
          <w:p w:rsidR="00450BDD" w:rsidRPr="00CA61A6" w:rsidRDefault="0098157A" w:rsidP="006D6064">
            <w:pPr>
              <w:pStyle w:val="Tabletext"/>
              <w:jc w:val="center"/>
            </w:pPr>
            <w:r w:rsidRPr="00CA61A6">
              <w:sym w:font="Wingdings" w:char="F0FC"/>
            </w:r>
          </w:p>
        </w:tc>
        <w:tc>
          <w:tcPr>
            <w:tcW w:w="1261" w:type="dxa"/>
            <w:shd w:val="clear" w:color="auto" w:fill="auto"/>
            <w:vAlign w:val="center"/>
          </w:tcPr>
          <w:p w:rsidR="00450BDD" w:rsidRPr="00CA61A6" w:rsidRDefault="00450BDD" w:rsidP="006D6064">
            <w:pPr>
              <w:pStyle w:val="Tabletext"/>
              <w:jc w:val="center"/>
            </w:pPr>
          </w:p>
        </w:tc>
      </w:tr>
      <w:tr w:rsidR="00450BDD" w:rsidRPr="00CA61A6" w:rsidTr="000365B5">
        <w:trPr>
          <w:cantSplit/>
          <w:jc w:val="center"/>
        </w:trPr>
        <w:tc>
          <w:tcPr>
            <w:tcW w:w="1130" w:type="dxa"/>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76_03" w:history="1">
              <w:r w:rsidR="00450BDD" w:rsidRPr="00CA61A6">
                <w:rPr>
                  <w:color w:val="0000FF"/>
                  <w:sz w:val="20"/>
                  <w:u w:val="single"/>
                </w:rPr>
                <w:t>76-03</w:t>
              </w:r>
            </w:hyperlink>
          </w:p>
        </w:tc>
        <w:tc>
          <w:tcPr>
            <w:tcW w:w="4819" w:type="dxa"/>
            <w:shd w:val="clear" w:color="auto" w:fill="auto"/>
            <w:hideMark/>
          </w:tcPr>
          <w:p w:rsidR="00450BDD" w:rsidRPr="00CA61A6" w:rsidRDefault="001742A6" w:rsidP="00051414">
            <w:pPr>
              <w:pStyle w:val="Tabletext"/>
            </w:pPr>
            <w:r>
              <w:t>L</w:t>
            </w:r>
            <w:r w:rsidR="00450BDD" w:rsidRPr="00CA61A6">
              <w:t>as Comisiones de Estudio cooper</w:t>
            </w:r>
            <w:r>
              <w:t>ará</w:t>
            </w:r>
            <w:r w:rsidR="00450BDD" w:rsidRPr="00CA61A6">
              <w:t>n, llegado el caso, con las partes interesadas para preparar especificaciones de prueba especialmente para las tecnologías clave identificadas</w:t>
            </w:r>
            <w:r w:rsidR="00051414">
              <w:t xml:space="preserve">, </w:t>
            </w:r>
            <w:r w:rsidR="00051414" w:rsidRPr="00051414">
              <w:t xml:space="preserve">como se define en </w:t>
            </w:r>
            <w:r w:rsidR="00051414">
              <w:t>la Acción</w:t>
            </w:r>
            <w:r w:rsidR="00051414" w:rsidRPr="00051414">
              <w:t xml:space="preserve"> </w:t>
            </w:r>
            <w:hyperlink w:anchor="Item76_02" w:history="1">
              <w:r w:rsidR="00051414" w:rsidRPr="009D4ECE">
                <w:rPr>
                  <w:rStyle w:val="Hyperlink"/>
                </w:rPr>
                <w:t>76-02</w:t>
              </w:r>
            </w:hyperlink>
          </w:p>
        </w:tc>
        <w:tc>
          <w:tcPr>
            <w:tcW w:w="1580" w:type="dxa"/>
            <w:shd w:val="clear" w:color="auto" w:fill="auto"/>
            <w:vAlign w:val="center"/>
          </w:tcPr>
          <w:p w:rsidR="00450BDD" w:rsidRPr="00CA61A6" w:rsidRDefault="00450BDD" w:rsidP="006D6064">
            <w:pPr>
              <w:pStyle w:val="Tabletext"/>
              <w:jc w:val="center"/>
            </w:pPr>
            <w:r w:rsidRPr="00CA61A6">
              <w:t>En curso</w:t>
            </w:r>
          </w:p>
        </w:tc>
        <w:tc>
          <w:tcPr>
            <w:tcW w:w="1142" w:type="dxa"/>
            <w:shd w:val="clear" w:color="auto" w:fill="auto"/>
            <w:vAlign w:val="center"/>
          </w:tcPr>
          <w:p w:rsidR="00450BDD" w:rsidRPr="00CA61A6" w:rsidRDefault="0098157A" w:rsidP="006D6064">
            <w:pPr>
              <w:pStyle w:val="Tabletext"/>
              <w:jc w:val="center"/>
            </w:pPr>
            <w:r w:rsidRPr="00CA61A6">
              <w:sym w:font="Wingdings" w:char="F0FC"/>
            </w:r>
          </w:p>
        </w:tc>
        <w:tc>
          <w:tcPr>
            <w:tcW w:w="1261" w:type="dxa"/>
            <w:shd w:val="clear" w:color="auto" w:fill="auto"/>
            <w:vAlign w:val="center"/>
          </w:tcPr>
          <w:p w:rsidR="00450BDD" w:rsidRPr="00CA61A6" w:rsidRDefault="00450BDD" w:rsidP="006D6064">
            <w:pPr>
              <w:pStyle w:val="Tabletext"/>
              <w:jc w:val="center"/>
            </w:pPr>
          </w:p>
        </w:tc>
      </w:tr>
      <w:tr w:rsidR="00450BDD" w:rsidRPr="00CA61A6" w:rsidTr="000365B5">
        <w:trPr>
          <w:cantSplit/>
          <w:jc w:val="center"/>
        </w:trPr>
        <w:tc>
          <w:tcPr>
            <w:tcW w:w="1130" w:type="dxa"/>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76_04" w:history="1">
              <w:r w:rsidR="00450BDD" w:rsidRPr="00CA61A6">
                <w:rPr>
                  <w:color w:val="0000FF"/>
                  <w:sz w:val="20"/>
                  <w:u w:val="single"/>
                </w:rPr>
                <w:t>76-04</w:t>
              </w:r>
            </w:hyperlink>
          </w:p>
        </w:tc>
        <w:tc>
          <w:tcPr>
            <w:tcW w:w="4819" w:type="dxa"/>
            <w:shd w:val="clear" w:color="auto" w:fill="auto"/>
            <w:hideMark/>
          </w:tcPr>
          <w:p w:rsidR="00450BDD" w:rsidRPr="00CA61A6" w:rsidRDefault="001742A6" w:rsidP="00A473BC">
            <w:pPr>
              <w:pStyle w:val="Tabletext"/>
            </w:pPr>
            <w:r>
              <w:t>L</w:t>
            </w:r>
            <w:r w:rsidR="00450BDD" w:rsidRPr="00CA61A6">
              <w:t>a CE 11 coordin</w:t>
            </w:r>
            <w:r>
              <w:t>ará</w:t>
            </w:r>
            <w:r w:rsidR="00450BDD" w:rsidRPr="00CA61A6">
              <w:t xml:space="preserve"> las actividades del Sector relacionadas con el </w:t>
            </w:r>
            <w:r w:rsidR="00A473BC" w:rsidRPr="00CA61A6">
              <w:t xml:space="preserve">Programa </w:t>
            </w:r>
            <w:r w:rsidR="00BA13A8">
              <w:t xml:space="preserve">de </w:t>
            </w:r>
            <w:r w:rsidR="00A473BC">
              <w:t>C+</w:t>
            </w:r>
            <w:r w:rsidR="00450BDD" w:rsidRPr="00CA61A6">
              <w:t>I de la UIT de todas las CE y revis</w:t>
            </w:r>
            <w:r>
              <w:t>ará</w:t>
            </w:r>
            <w:r w:rsidR="00450BDD" w:rsidRPr="00CA61A6">
              <w:t xml:space="preserve"> las recomendaciones en el Plan Comercial de Conformidad e Interoperabilidad para la aplicación</w:t>
            </w:r>
            <w:r w:rsidR="0033514B" w:rsidRPr="00CA61A6">
              <w:t xml:space="preserve"> a largo plazo del </w:t>
            </w:r>
            <w:r w:rsidR="00A473BC" w:rsidRPr="00CA61A6">
              <w:t xml:space="preserve">Programa </w:t>
            </w:r>
            <w:r w:rsidR="00BA13A8">
              <w:t xml:space="preserve">de </w:t>
            </w:r>
            <w:r w:rsidR="0033514B" w:rsidRPr="00CA61A6">
              <w:t>C</w:t>
            </w:r>
            <w:r w:rsidR="00A473BC">
              <w:t>+</w:t>
            </w:r>
            <w:r w:rsidR="0033514B" w:rsidRPr="00CA61A6">
              <w:t>I</w:t>
            </w:r>
          </w:p>
        </w:tc>
        <w:tc>
          <w:tcPr>
            <w:tcW w:w="1580" w:type="dxa"/>
            <w:shd w:val="clear" w:color="auto" w:fill="auto"/>
            <w:vAlign w:val="center"/>
          </w:tcPr>
          <w:p w:rsidR="00450BDD" w:rsidRPr="00CA61A6" w:rsidRDefault="00450BDD" w:rsidP="006D6064">
            <w:pPr>
              <w:pStyle w:val="Tabletext"/>
              <w:jc w:val="center"/>
            </w:pPr>
            <w:r w:rsidRPr="00CA61A6">
              <w:t>En curso</w:t>
            </w:r>
          </w:p>
        </w:tc>
        <w:tc>
          <w:tcPr>
            <w:tcW w:w="1142" w:type="dxa"/>
            <w:shd w:val="clear" w:color="auto" w:fill="auto"/>
            <w:vAlign w:val="center"/>
          </w:tcPr>
          <w:p w:rsidR="00450BDD" w:rsidRPr="00CA61A6" w:rsidRDefault="0098157A" w:rsidP="006D6064">
            <w:pPr>
              <w:pStyle w:val="Tabletext"/>
              <w:jc w:val="center"/>
            </w:pPr>
            <w:r w:rsidRPr="00CA61A6">
              <w:sym w:font="Wingdings" w:char="F0FC"/>
            </w:r>
          </w:p>
        </w:tc>
        <w:tc>
          <w:tcPr>
            <w:tcW w:w="1261" w:type="dxa"/>
            <w:shd w:val="clear" w:color="auto" w:fill="auto"/>
            <w:vAlign w:val="center"/>
          </w:tcPr>
          <w:p w:rsidR="00450BDD" w:rsidRPr="00CA61A6" w:rsidRDefault="00450BDD" w:rsidP="006D6064">
            <w:pPr>
              <w:pStyle w:val="Tabletext"/>
              <w:jc w:val="center"/>
            </w:pPr>
          </w:p>
        </w:tc>
      </w:tr>
      <w:tr w:rsidR="00450BDD" w:rsidRPr="00CA61A6" w:rsidTr="000365B5">
        <w:trPr>
          <w:cantSplit/>
          <w:jc w:val="center"/>
        </w:trPr>
        <w:tc>
          <w:tcPr>
            <w:tcW w:w="1130" w:type="dxa"/>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76_05" w:history="1">
              <w:r w:rsidR="00450BDD" w:rsidRPr="00CA61A6">
                <w:rPr>
                  <w:color w:val="0000FF"/>
                  <w:sz w:val="20"/>
                  <w:u w:val="single"/>
                </w:rPr>
                <w:t>76-05</w:t>
              </w:r>
            </w:hyperlink>
          </w:p>
        </w:tc>
        <w:tc>
          <w:tcPr>
            <w:tcW w:w="4819" w:type="dxa"/>
            <w:shd w:val="clear" w:color="auto" w:fill="auto"/>
          </w:tcPr>
          <w:p w:rsidR="00450BDD" w:rsidRPr="00CA61A6" w:rsidRDefault="001742A6" w:rsidP="001742A6">
            <w:pPr>
              <w:pStyle w:val="Tabletext"/>
            </w:pPr>
            <w:r>
              <w:t>E</w:t>
            </w:r>
            <w:r w:rsidR="00450BDD" w:rsidRPr="00CA61A6">
              <w:t>l Director, en cooperación con los Directores de la BR y la BDT, s</w:t>
            </w:r>
            <w:r>
              <w:t xml:space="preserve">eguirá </w:t>
            </w:r>
            <w:r w:rsidR="00450BDD" w:rsidRPr="00CA61A6">
              <w:t>realizando los estudios necesarios en cada región a fin de identificar los problemas que afrontan los países en desarrollo para lograr la interoperatividad del equipo y los servicios de telecomunicaciones/TIC, así como para establecer un orden de prioridades entre dichos problemas</w:t>
            </w:r>
          </w:p>
        </w:tc>
        <w:tc>
          <w:tcPr>
            <w:tcW w:w="1580" w:type="dxa"/>
            <w:shd w:val="clear" w:color="auto" w:fill="auto"/>
            <w:vAlign w:val="center"/>
          </w:tcPr>
          <w:p w:rsidR="00450BDD" w:rsidRPr="00CA61A6" w:rsidRDefault="00450BDD" w:rsidP="006D6064">
            <w:pPr>
              <w:pStyle w:val="Tabletext"/>
              <w:jc w:val="center"/>
            </w:pPr>
            <w:r w:rsidRPr="00CA61A6">
              <w:t>En curso</w:t>
            </w:r>
          </w:p>
        </w:tc>
        <w:tc>
          <w:tcPr>
            <w:tcW w:w="1142" w:type="dxa"/>
            <w:shd w:val="clear" w:color="auto" w:fill="auto"/>
            <w:vAlign w:val="center"/>
          </w:tcPr>
          <w:p w:rsidR="00450BDD" w:rsidRPr="00CA61A6" w:rsidRDefault="0098157A" w:rsidP="006D6064">
            <w:pPr>
              <w:pStyle w:val="Tabletext"/>
              <w:jc w:val="center"/>
            </w:pPr>
            <w:r w:rsidRPr="00CA61A6">
              <w:sym w:font="Wingdings" w:char="F0FC"/>
            </w:r>
          </w:p>
        </w:tc>
        <w:tc>
          <w:tcPr>
            <w:tcW w:w="1261" w:type="dxa"/>
            <w:shd w:val="clear" w:color="auto" w:fill="auto"/>
            <w:vAlign w:val="center"/>
          </w:tcPr>
          <w:p w:rsidR="00450BDD" w:rsidRPr="00CA61A6" w:rsidRDefault="00450BDD" w:rsidP="006D6064">
            <w:pPr>
              <w:pStyle w:val="Tabletext"/>
              <w:jc w:val="center"/>
            </w:pPr>
          </w:p>
        </w:tc>
      </w:tr>
      <w:tr w:rsidR="00450BDD" w:rsidRPr="00CA61A6" w:rsidTr="000365B5">
        <w:trPr>
          <w:cantSplit/>
          <w:jc w:val="center"/>
        </w:trPr>
        <w:tc>
          <w:tcPr>
            <w:tcW w:w="1130" w:type="dxa"/>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76_06" w:history="1">
              <w:r w:rsidR="00450BDD" w:rsidRPr="00CA61A6">
                <w:rPr>
                  <w:color w:val="0000FF"/>
                  <w:sz w:val="20"/>
                  <w:u w:val="single"/>
                </w:rPr>
                <w:t>76-06</w:t>
              </w:r>
            </w:hyperlink>
          </w:p>
        </w:tc>
        <w:tc>
          <w:tcPr>
            <w:tcW w:w="4819" w:type="dxa"/>
            <w:shd w:val="clear" w:color="auto" w:fill="auto"/>
          </w:tcPr>
          <w:p w:rsidR="00450BDD" w:rsidRPr="00CA61A6" w:rsidRDefault="001742A6" w:rsidP="001742A6">
            <w:pPr>
              <w:pStyle w:val="Tabletext"/>
            </w:pPr>
            <w:r>
              <w:t>E</w:t>
            </w:r>
            <w:r w:rsidR="00450BDD" w:rsidRPr="00CA61A6">
              <w:t>l Director, en cooperación con el Director de la BDT, apli</w:t>
            </w:r>
            <w:r>
              <w:t>cará</w:t>
            </w:r>
            <w:r w:rsidR="00A473BC">
              <w:t xml:space="preserve"> el Plan de Acción de C+</w:t>
            </w:r>
            <w:r w:rsidR="00450BDD" w:rsidRPr="00CA61A6">
              <w:t>I</w:t>
            </w:r>
          </w:p>
        </w:tc>
        <w:tc>
          <w:tcPr>
            <w:tcW w:w="1580" w:type="dxa"/>
            <w:shd w:val="clear" w:color="auto" w:fill="auto"/>
            <w:vAlign w:val="center"/>
          </w:tcPr>
          <w:p w:rsidR="00450BDD" w:rsidRPr="00CA61A6" w:rsidRDefault="00450BDD" w:rsidP="006D6064">
            <w:pPr>
              <w:pStyle w:val="Tabletext"/>
              <w:jc w:val="center"/>
            </w:pPr>
            <w:r w:rsidRPr="00CA61A6">
              <w:t>En curso</w:t>
            </w:r>
          </w:p>
        </w:tc>
        <w:tc>
          <w:tcPr>
            <w:tcW w:w="1142" w:type="dxa"/>
            <w:shd w:val="clear" w:color="auto" w:fill="auto"/>
            <w:vAlign w:val="center"/>
          </w:tcPr>
          <w:p w:rsidR="00450BDD" w:rsidRPr="00CA61A6" w:rsidRDefault="0098157A" w:rsidP="006D6064">
            <w:pPr>
              <w:pStyle w:val="Tabletext"/>
              <w:jc w:val="center"/>
            </w:pPr>
            <w:r w:rsidRPr="00CA61A6">
              <w:sym w:font="Wingdings" w:char="F0FC"/>
            </w:r>
          </w:p>
        </w:tc>
        <w:tc>
          <w:tcPr>
            <w:tcW w:w="1261" w:type="dxa"/>
            <w:shd w:val="clear" w:color="auto" w:fill="auto"/>
            <w:vAlign w:val="center"/>
          </w:tcPr>
          <w:p w:rsidR="00450BDD" w:rsidRPr="00CA61A6" w:rsidRDefault="00450BDD" w:rsidP="006D6064">
            <w:pPr>
              <w:pStyle w:val="Tabletext"/>
              <w:jc w:val="center"/>
            </w:pPr>
          </w:p>
        </w:tc>
      </w:tr>
      <w:tr w:rsidR="00450BDD" w:rsidRPr="00CA61A6" w:rsidTr="000365B5">
        <w:trPr>
          <w:cantSplit/>
          <w:jc w:val="center"/>
        </w:trPr>
        <w:tc>
          <w:tcPr>
            <w:tcW w:w="1130" w:type="dxa"/>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76_07" w:history="1">
              <w:r w:rsidR="00450BDD" w:rsidRPr="00CA61A6">
                <w:rPr>
                  <w:color w:val="0000FF"/>
                  <w:sz w:val="20"/>
                  <w:u w:val="single"/>
                </w:rPr>
                <w:t>76-07</w:t>
              </w:r>
            </w:hyperlink>
          </w:p>
        </w:tc>
        <w:tc>
          <w:tcPr>
            <w:tcW w:w="4819" w:type="dxa"/>
            <w:shd w:val="clear" w:color="auto" w:fill="auto"/>
          </w:tcPr>
          <w:p w:rsidR="00450BDD" w:rsidRPr="00CA61A6" w:rsidRDefault="001742A6" w:rsidP="001742A6">
            <w:pPr>
              <w:pStyle w:val="Tabletext"/>
            </w:pPr>
            <w:r>
              <w:t>E</w:t>
            </w:r>
            <w:r w:rsidR="00450BDD" w:rsidRPr="00CA61A6">
              <w:t>l Director, en cooperación con el Director de la BDT, apli</w:t>
            </w:r>
            <w:r>
              <w:t>cará</w:t>
            </w:r>
            <w:r w:rsidR="00A837B0">
              <w:t xml:space="preserve"> el </w:t>
            </w:r>
            <w:r w:rsidR="00A473BC" w:rsidRPr="00CA61A6">
              <w:t xml:space="preserve">Programa </w:t>
            </w:r>
            <w:r w:rsidR="00A473BC">
              <w:t>de C+</w:t>
            </w:r>
            <w:r w:rsidR="00450BDD" w:rsidRPr="00CA61A6">
              <w:t>I de la UIT para la posible introducción de una Marca UIT en armonía con las decisiones adoptadas en 2012 por el Consejo</w:t>
            </w:r>
          </w:p>
        </w:tc>
        <w:tc>
          <w:tcPr>
            <w:tcW w:w="1580" w:type="dxa"/>
            <w:shd w:val="clear" w:color="auto" w:fill="auto"/>
            <w:vAlign w:val="center"/>
          </w:tcPr>
          <w:p w:rsidR="00450BDD" w:rsidRPr="00CA61A6" w:rsidRDefault="00450BDD" w:rsidP="006D6064">
            <w:pPr>
              <w:pStyle w:val="Tabletext"/>
              <w:jc w:val="center"/>
            </w:pPr>
            <w:r w:rsidRPr="00CA61A6">
              <w:t>En curso</w:t>
            </w:r>
          </w:p>
        </w:tc>
        <w:tc>
          <w:tcPr>
            <w:tcW w:w="1142" w:type="dxa"/>
            <w:shd w:val="clear" w:color="auto" w:fill="auto"/>
            <w:vAlign w:val="center"/>
          </w:tcPr>
          <w:p w:rsidR="00450BDD" w:rsidRPr="00CA61A6" w:rsidRDefault="0098157A" w:rsidP="006D6064">
            <w:pPr>
              <w:pStyle w:val="Tabletext"/>
              <w:jc w:val="center"/>
            </w:pPr>
            <w:r w:rsidRPr="00CA61A6">
              <w:sym w:font="Wingdings" w:char="F0FC"/>
            </w:r>
          </w:p>
        </w:tc>
        <w:tc>
          <w:tcPr>
            <w:tcW w:w="1261" w:type="dxa"/>
            <w:shd w:val="clear" w:color="auto" w:fill="auto"/>
            <w:vAlign w:val="center"/>
          </w:tcPr>
          <w:p w:rsidR="00450BDD" w:rsidRPr="00CA61A6" w:rsidRDefault="00450BDD" w:rsidP="006D6064">
            <w:pPr>
              <w:pStyle w:val="Tabletext"/>
              <w:jc w:val="center"/>
            </w:pPr>
          </w:p>
        </w:tc>
      </w:tr>
      <w:tr w:rsidR="00450BDD" w:rsidRPr="00CA61A6" w:rsidTr="000365B5">
        <w:trPr>
          <w:cantSplit/>
          <w:jc w:val="center"/>
        </w:trPr>
        <w:tc>
          <w:tcPr>
            <w:tcW w:w="1130" w:type="dxa"/>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76_08" w:history="1">
              <w:r w:rsidR="00450BDD" w:rsidRPr="00CA61A6">
                <w:rPr>
                  <w:color w:val="0000FF"/>
                  <w:sz w:val="20"/>
                  <w:u w:val="single"/>
                </w:rPr>
                <w:t>76-08</w:t>
              </w:r>
            </w:hyperlink>
          </w:p>
        </w:tc>
        <w:tc>
          <w:tcPr>
            <w:tcW w:w="4819" w:type="dxa"/>
            <w:shd w:val="clear" w:color="auto" w:fill="auto"/>
          </w:tcPr>
          <w:p w:rsidR="00450BDD" w:rsidRPr="00CA61A6" w:rsidRDefault="001742A6" w:rsidP="001742A6">
            <w:pPr>
              <w:pStyle w:val="Tabletext"/>
            </w:pPr>
            <w:r>
              <w:t>E</w:t>
            </w:r>
            <w:r w:rsidR="00450BDD" w:rsidRPr="00CA61A6">
              <w:t>l Director identifi</w:t>
            </w:r>
            <w:r>
              <w:t>cará</w:t>
            </w:r>
            <w:r w:rsidR="00450BDD" w:rsidRPr="00CA61A6">
              <w:t xml:space="preserve"> y ha</w:t>
            </w:r>
            <w:r>
              <w:t>rá</w:t>
            </w:r>
            <w:r w:rsidR="00450BDD" w:rsidRPr="00CA61A6">
              <w:t xml:space="preserve"> participar a expertos y entidades externas</w:t>
            </w:r>
          </w:p>
        </w:tc>
        <w:tc>
          <w:tcPr>
            <w:tcW w:w="1580" w:type="dxa"/>
            <w:shd w:val="clear" w:color="auto" w:fill="auto"/>
            <w:vAlign w:val="center"/>
          </w:tcPr>
          <w:p w:rsidR="00450BDD" w:rsidRPr="00CA61A6" w:rsidRDefault="00450BDD" w:rsidP="006D6064">
            <w:pPr>
              <w:pStyle w:val="Tabletext"/>
              <w:jc w:val="center"/>
            </w:pPr>
            <w:r w:rsidRPr="00CA61A6">
              <w:t>En curso</w:t>
            </w:r>
          </w:p>
        </w:tc>
        <w:tc>
          <w:tcPr>
            <w:tcW w:w="1142" w:type="dxa"/>
            <w:shd w:val="clear" w:color="auto" w:fill="auto"/>
            <w:vAlign w:val="center"/>
          </w:tcPr>
          <w:p w:rsidR="00450BDD" w:rsidRPr="00CA61A6" w:rsidRDefault="0098157A" w:rsidP="006D6064">
            <w:pPr>
              <w:pStyle w:val="Tabletext"/>
              <w:jc w:val="center"/>
            </w:pPr>
            <w:r w:rsidRPr="00CA61A6">
              <w:sym w:font="Wingdings" w:char="F0FC"/>
            </w:r>
          </w:p>
        </w:tc>
        <w:tc>
          <w:tcPr>
            <w:tcW w:w="1261" w:type="dxa"/>
            <w:shd w:val="clear" w:color="auto" w:fill="auto"/>
            <w:vAlign w:val="center"/>
          </w:tcPr>
          <w:p w:rsidR="00450BDD" w:rsidRPr="00CA61A6" w:rsidRDefault="00450BDD" w:rsidP="006D6064">
            <w:pPr>
              <w:pStyle w:val="Tabletext"/>
              <w:jc w:val="center"/>
            </w:pPr>
          </w:p>
        </w:tc>
      </w:tr>
      <w:tr w:rsidR="00450BDD" w:rsidRPr="00CA61A6" w:rsidTr="000365B5">
        <w:trPr>
          <w:cantSplit/>
          <w:jc w:val="center"/>
        </w:trPr>
        <w:tc>
          <w:tcPr>
            <w:tcW w:w="1130" w:type="dxa"/>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76_09" w:history="1">
              <w:r w:rsidR="00450BDD" w:rsidRPr="00CA61A6">
                <w:rPr>
                  <w:color w:val="0000FF"/>
                  <w:sz w:val="20"/>
                  <w:u w:val="single"/>
                </w:rPr>
                <w:t>76-09</w:t>
              </w:r>
            </w:hyperlink>
          </w:p>
        </w:tc>
        <w:tc>
          <w:tcPr>
            <w:tcW w:w="4819" w:type="dxa"/>
            <w:shd w:val="clear" w:color="auto" w:fill="auto"/>
          </w:tcPr>
          <w:p w:rsidR="00450BDD" w:rsidRPr="00CA61A6" w:rsidRDefault="001742A6" w:rsidP="001742A6">
            <w:pPr>
              <w:pStyle w:val="Tabletext"/>
            </w:pPr>
            <w:r>
              <w:t>E</w:t>
            </w:r>
            <w:r w:rsidR="00450BDD" w:rsidRPr="00CA61A6">
              <w:t>l Director, en colaboración con los demás Sectores, prepar</w:t>
            </w:r>
            <w:r>
              <w:t>ará</w:t>
            </w:r>
            <w:r w:rsidR="00450BDD" w:rsidRPr="00CA61A6">
              <w:t xml:space="preserve"> un programa para ayudar a los países en desarrollo a definir las oportunidades de capacitación y formación de personas</w:t>
            </w:r>
          </w:p>
        </w:tc>
        <w:tc>
          <w:tcPr>
            <w:tcW w:w="1580" w:type="dxa"/>
            <w:shd w:val="clear" w:color="auto" w:fill="auto"/>
            <w:vAlign w:val="center"/>
          </w:tcPr>
          <w:p w:rsidR="00450BDD" w:rsidRPr="00CA61A6" w:rsidRDefault="00450BDD" w:rsidP="006D6064">
            <w:pPr>
              <w:pStyle w:val="Tabletext"/>
              <w:jc w:val="center"/>
            </w:pPr>
            <w:r w:rsidRPr="00CA61A6">
              <w:t>En curso</w:t>
            </w:r>
          </w:p>
        </w:tc>
        <w:tc>
          <w:tcPr>
            <w:tcW w:w="1142" w:type="dxa"/>
            <w:shd w:val="clear" w:color="auto" w:fill="auto"/>
            <w:vAlign w:val="center"/>
          </w:tcPr>
          <w:p w:rsidR="00450BDD" w:rsidRPr="00CA61A6" w:rsidRDefault="0098157A" w:rsidP="006D6064">
            <w:pPr>
              <w:pStyle w:val="Tabletext"/>
              <w:jc w:val="center"/>
            </w:pPr>
            <w:r w:rsidRPr="00CA61A6">
              <w:sym w:font="Wingdings" w:char="F0FC"/>
            </w:r>
          </w:p>
        </w:tc>
        <w:tc>
          <w:tcPr>
            <w:tcW w:w="1261" w:type="dxa"/>
            <w:shd w:val="clear" w:color="auto" w:fill="auto"/>
            <w:vAlign w:val="center"/>
          </w:tcPr>
          <w:p w:rsidR="00450BDD" w:rsidRPr="00CA61A6" w:rsidRDefault="00450BDD" w:rsidP="006D6064">
            <w:pPr>
              <w:pStyle w:val="Tabletext"/>
              <w:jc w:val="center"/>
            </w:pPr>
          </w:p>
        </w:tc>
      </w:tr>
      <w:tr w:rsidR="00450BDD" w:rsidRPr="00CA61A6" w:rsidTr="00F81DED">
        <w:trPr>
          <w:cantSplit/>
          <w:jc w:val="center"/>
        </w:trPr>
        <w:tc>
          <w:tcPr>
            <w:tcW w:w="1130" w:type="dxa"/>
            <w:tcBorders>
              <w:top w:val="single" w:sz="4" w:space="0" w:color="auto"/>
            </w:tcBorders>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76_10" w:history="1">
              <w:r w:rsidR="00450BDD" w:rsidRPr="00CA61A6">
                <w:rPr>
                  <w:color w:val="0000FF"/>
                  <w:sz w:val="20"/>
                  <w:u w:val="single"/>
                </w:rPr>
                <w:t>76-10</w:t>
              </w:r>
            </w:hyperlink>
          </w:p>
        </w:tc>
        <w:tc>
          <w:tcPr>
            <w:tcW w:w="4819" w:type="dxa"/>
            <w:tcBorders>
              <w:top w:val="single" w:sz="4" w:space="0" w:color="auto"/>
            </w:tcBorders>
            <w:shd w:val="clear" w:color="auto" w:fill="auto"/>
          </w:tcPr>
          <w:p w:rsidR="00450BDD" w:rsidRPr="00CA61A6" w:rsidRDefault="001742A6" w:rsidP="001742A6">
            <w:pPr>
              <w:pStyle w:val="Tabletext"/>
            </w:pPr>
            <w:r>
              <w:t>E</w:t>
            </w:r>
            <w:r w:rsidR="00450BDD" w:rsidRPr="00CA61A6">
              <w:t>l Director, en colabo</w:t>
            </w:r>
            <w:r w:rsidR="00807C44" w:rsidRPr="00CA61A6">
              <w:t xml:space="preserve">ración con los demás Sectores, </w:t>
            </w:r>
            <w:r w:rsidR="00450BDD" w:rsidRPr="00CA61A6">
              <w:t>prepar</w:t>
            </w:r>
            <w:r>
              <w:t>ará</w:t>
            </w:r>
            <w:r w:rsidR="00450BDD" w:rsidRPr="00CA61A6">
              <w:t xml:space="preserve"> un programa para ayudar a los países en desarrollo a crear centros de conformidad e interoperatividad</w:t>
            </w:r>
          </w:p>
        </w:tc>
        <w:tc>
          <w:tcPr>
            <w:tcW w:w="1580" w:type="dxa"/>
            <w:shd w:val="clear" w:color="auto" w:fill="auto"/>
            <w:vAlign w:val="center"/>
          </w:tcPr>
          <w:p w:rsidR="00450BDD" w:rsidRPr="00CA61A6" w:rsidRDefault="00450BDD" w:rsidP="00B40D84">
            <w:pPr>
              <w:pStyle w:val="Tabletext"/>
              <w:jc w:val="center"/>
            </w:pPr>
            <w:r w:rsidRPr="00CA61A6">
              <w:t>En curso</w:t>
            </w:r>
          </w:p>
        </w:tc>
        <w:tc>
          <w:tcPr>
            <w:tcW w:w="1142" w:type="dxa"/>
            <w:shd w:val="clear" w:color="auto" w:fill="auto"/>
            <w:vAlign w:val="center"/>
          </w:tcPr>
          <w:p w:rsidR="00450BDD" w:rsidRPr="00CA61A6" w:rsidRDefault="0098157A" w:rsidP="00B40D84">
            <w:pPr>
              <w:pStyle w:val="Tabletext"/>
              <w:jc w:val="center"/>
            </w:pPr>
            <w:r w:rsidRPr="00CA61A6">
              <w:sym w:font="Wingdings" w:char="F0FC"/>
            </w:r>
          </w:p>
        </w:tc>
        <w:tc>
          <w:tcPr>
            <w:tcW w:w="1261" w:type="dxa"/>
            <w:shd w:val="clear" w:color="auto" w:fill="auto"/>
            <w:vAlign w:val="center"/>
          </w:tcPr>
          <w:p w:rsidR="00450BDD" w:rsidRPr="00CA61A6" w:rsidRDefault="00450BDD" w:rsidP="00B40D84">
            <w:pPr>
              <w:pStyle w:val="Tabletext"/>
              <w:jc w:val="center"/>
            </w:pPr>
          </w:p>
        </w:tc>
      </w:tr>
      <w:tr w:rsidR="00450BDD" w:rsidRPr="00CA61A6" w:rsidTr="000365B5">
        <w:trPr>
          <w:cantSplit/>
          <w:jc w:val="center"/>
        </w:trPr>
        <w:tc>
          <w:tcPr>
            <w:tcW w:w="1130" w:type="dxa"/>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76_11" w:history="1">
              <w:r w:rsidR="00450BDD" w:rsidRPr="00CA61A6">
                <w:rPr>
                  <w:color w:val="0000FF"/>
                  <w:sz w:val="20"/>
                  <w:u w:val="single"/>
                </w:rPr>
                <w:t>76-11</w:t>
              </w:r>
            </w:hyperlink>
          </w:p>
        </w:tc>
        <w:tc>
          <w:tcPr>
            <w:tcW w:w="4819" w:type="dxa"/>
            <w:shd w:val="clear" w:color="auto" w:fill="auto"/>
          </w:tcPr>
          <w:p w:rsidR="00450BDD" w:rsidRPr="00CA61A6" w:rsidRDefault="001742A6" w:rsidP="001742A6">
            <w:pPr>
              <w:pStyle w:val="Tabletext"/>
            </w:pPr>
            <w:r>
              <w:t>E</w:t>
            </w:r>
            <w:r w:rsidR="00450BDD" w:rsidRPr="00CA61A6">
              <w:t>l Director r</w:t>
            </w:r>
            <w:r>
              <w:t>endirá</w:t>
            </w:r>
            <w:r w:rsidR="00A473BC">
              <w:t xml:space="preserve"> cuenta de las actividades de C+</w:t>
            </w:r>
            <w:r w:rsidR="00450BDD" w:rsidRPr="00CA61A6">
              <w:t>I al Consejo</w:t>
            </w:r>
          </w:p>
        </w:tc>
        <w:tc>
          <w:tcPr>
            <w:tcW w:w="1580" w:type="dxa"/>
            <w:shd w:val="clear" w:color="auto" w:fill="auto"/>
            <w:vAlign w:val="center"/>
          </w:tcPr>
          <w:p w:rsidR="00450BDD" w:rsidRPr="00CA61A6" w:rsidRDefault="00450BDD" w:rsidP="00B40D84">
            <w:pPr>
              <w:pStyle w:val="Tabletext"/>
              <w:jc w:val="center"/>
            </w:pPr>
            <w:r w:rsidRPr="00CA61A6">
              <w:t>En curso</w:t>
            </w:r>
          </w:p>
        </w:tc>
        <w:tc>
          <w:tcPr>
            <w:tcW w:w="1142" w:type="dxa"/>
            <w:shd w:val="clear" w:color="auto" w:fill="auto"/>
            <w:vAlign w:val="center"/>
          </w:tcPr>
          <w:p w:rsidR="00450BDD" w:rsidRPr="00CA61A6" w:rsidRDefault="0098157A" w:rsidP="00B40D84">
            <w:pPr>
              <w:pStyle w:val="Tabletext"/>
              <w:jc w:val="center"/>
            </w:pPr>
            <w:r w:rsidRPr="00CA61A6">
              <w:sym w:font="Wingdings" w:char="F0FC"/>
            </w:r>
          </w:p>
        </w:tc>
        <w:tc>
          <w:tcPr>
            <w:tcW w:w="1261" w:type="dxa"/>
            <w:shd w:val="clear" w:color="auto" w:fill="auto"/>
            <w:vAlign w:val="center"/>
          </w:tcPr>
          <w:p w:rsidR="00450BDD" w:rsidRPr="00CA61A6" w:rsidRDefault="00450BDD" w:rsidP="00B40D84">
            <w:pPr>
              <w:pStyle w:val="Tabletext"/>
              <w:jc w:val="center"/>
            </w:pPr>
          </w:p>
        </w:tc>
      </w:tr>
    </w:tbl>
    <w:p w:rsidR="00450BDD" w:rsidRPr="000365B5" w:rsidRDefault="00F565AB" w:rsidP="00164B49">
      <w:pPr>
        <w:pStyle w:val="Headingb"/>
        <w:keepLines/>
        <w:rPr>
          <w:lang w:val="fr-CH"/>
        </w:rPr>
      </w:pPr>
      <w:bookmarkStart w:id="696" w:name="Item76_01"/>
      <w:r w:rsidRPr="000365B5">
        <w:rPr>
          <w:lang w:val="fr-CH"/>
        </w:rPr>
        <w:t xml:space="preserve">Acción </w:t>
      </w:r>
      <w:r w:rsidR="00450BDD" w:rsidRPr="000365B5">
        <w:rPr>
          <w:lang w:val="fr-CH"/>
        </w:rPr>
        <w:t xml:space="preserve">76-01: </w:t>
      </w:r>
      <w:r w:rsidR="00164B49" w:rsidRPr="000365B5">
        <w:rPr>
          <w:lang w:val="fr-CH"/>
        </w:rPr>
        <w:t>CE</w:t>
      </w:r>
    </w:p>
    <w:bookmarkEnd w:id="696"/>
    <w:p w:rsidR="00450BDD" w:rsidRPr="000365B5" w:rsidRDefault="00AF2C29" w:rsidP="003C40AE">
      <w:pPr>
        <w:pStyle w:val="enumlev1"/>
        <w:rPr>
          <w:rFonts w:eastAsia="SimSun"/>
          <w:lang w:val="fr-CH" w:eastAsia="ja-JP"/>
        </w:rPr>
      </w:pPr>
      <w:r w:rsidRPr="000365B5">
        <w:rPr>
          <w:rFonts w:eastAsia="SimSun"/>
          <w:lang w:val="fr-CH" w:eastAsia="ja-JP"/>
        </w:rPr>
        <w:t>–</w:t>
      </w:r>
      <w:r w:rsidRPr="000365B5">
        <w:rPr>
          <w:rFonts w:eastAsia="SimSun"/>
          <w:lang w:val="fr-CH" w:eastAsia="ja-JP"/>
        </w:rPr>
        <w:tab/>
      </w:r>
      <w:r w:rsidR="00450BDD" w:rsidRPr="000365B5">
        <w:rPr>
          <w:rFonts w:eastAsia="SimSun"/>
          <w:lang w:val="fr-CH" w:eastAsia="ja-JP"/>
        </w:rPr>
        <w:t>CE</w:t>
      </w:r>
      <w:r w:rsidR="003C40AE" w:rsidRPr="000365B5">
        <w:rPr>
          <w:rFonts w:eastAsia="SimSun"/>
          <w:lang w:val="fr-CH" w:eastAsia="ja-JP"/>
        </w:rPr>
        <w:t> </w:t>
      </w:r>
      <w:r w:rsidR="00450BDD" w:rsidRPr="000365B5">
        <w:rPr>
          <w:rFonts w:eastAsia="SimSun"/>
          <w:lang w:val="fr-CH" w:eastAsia="ja-JP"/>
        </w:rPr>
        <w:t xml:space="preserve">11 del </w:t>
      </w:r>
      <w:r w:rsidR="00815F5A" w:rsidRPr="000365B5">
        <w:rPr>
          <w:rFonts w:eastAsia="SimSun"/>
          <w:lang w:val="fr-CH" w:eastAsia="ja-JP"/>
        </w:rPr>
        <w:t>UIT-T (diciembre de 2015):</w:t>
      </w:r>
    </w:p>
    <w:p w:rsidR="00450BDD" w:rsidRPr="00CA61A6" w:rsidRDefault="00A74BE9" w:rsidP="00731820">
      <w:pPr>
        <w:pStyle w:val="enumlev2"/>
        <w:rPr>
          <w:rFonts w:eastAsia="SimSun"/>
          <w:lang w:eastAsia="ja-JP"/>
        </w:rPr>
      </w:pPr>
      <w:r w:rsidRPr="00CA61A6">
        <w:rPr>
          <w:rFonts w:eastAsia="SimSun"/>
          <w:lang w:eastAsia="ja-JP"/>
        </w:rPr>
        <w:t>•</w:t>
      </w:r>
      <w:r w:rsidRPr="00CA61A6">
        <w:rPr>
          <w:rFonts w:eastAsia="SimSun"/>
          <w:lang w:eastAsia="ja-JP"/>
        </w:rPr>
        <w:tab/>
      </w:r>
      <w:r w:rsidR="00450BDD" w:rsidRPr="00CA61A6">
        <w:rPr>
          <w:rFonts w:eastAsia="SimSun"/>
          <w:lang w:eastAsia="ja-JP"/>
        </w:rPr>
        <w:t xml:space="preserve">Se </w:t>
      </w:r>
      <w:r w:rsidR="0040316E" w:rsidRPr="00CA61A6">
        <w:rPr>
          <w:rFonts w:eastAsia="SimSun"/>
          <w:lang w:eastAsia="ja-JP"/>
        </w:rPr>
        <w:t>estableció</w:t>
      </w:r>
      <w:r w:rsidR="00450BDD" w:rsidRPr="00CA61A6">
        <w:rPr>
          <w:rFonts w:eastAsia="SimSun"/>
          <w:lang w:eastAsia="ja-JP"/>
        </w:rPr>
        <w:t xml:space="preserve"> un acuerdo de colaboración entre la CE</w:t>
      </w:r>
      <w:r w:rsidR="008B5B32" w:rsidRPr="00CA61A6">
        <w:rPr>
          <w:rFonts w:eastAsia="SimSun"/>
          <w:lang w:eastAsia="ja-JP"/>
        </w:rPr>
        <w:t> </w:t>
      </w:r>
      <w:r w:rsidR="00450BDD" w:rsidRPr="00CA61A6">
        <w:rPr>
          <w:rFonts w:eastAsia="SimSun"/>
          <w:lang w:eastAsia="ja-JP"/>
        </w:rPr>
        <w:t>11 del UIT-T y el ETS</w:t>
      </w:r>
      <w:r w:rsidR="00D02BE1" w:rsidRPr="00CA61A6">
        <w:rPr>
          <w:rFonts w:eastAsia="SimSun"/>
          <w:lang w:eastAsia="ja-JP"/>
        </w:rPr>
        <w:t xml:space="preserve">I TC INT (véase </w:t>
      </w:r>
      <w:r w:rsidR="00731820">
        <w:rPr>
          <w:rFonts w:eastAsia="SimSun"/>
          <w:lang w:eastAsia="ja-JP"/>
        </w:rPr>
        <w:t xml:space="preserve">la </w:t>
      </w:r>
      <w:hyperlink w:anchor="Item76_03" w:history="1">
        <w:r w:rsidR="00731820" w:rsidRPr="00937B02">
          <w:rPr>
            <w:rStyle w:val="Hyperlink"/>
            <w:rFonts w:eastAsia="SimSun"/>
            <w:lang w:eastAsia="ja-JP"/>
          </w:rPr>
          <w:t>Acción</w:t>
        </w:r>
        <w:r w:rsidR="00D02BE1" w:rsidRPr="00937B02">
          <w:rPr>
            <w:rStyle w:val="Hyperlink"/>
            <w:rFonts w:eastAsia="SimSun"/>
            <w:lang w:eastAsia="ja-JP"/>
          </w:rPr>
          <w:t xml:space="preserve"> 76-03</w:t>
        </w:r>
      </w:hyperlink>
      <w:r w:rsidR="00D02BE1" w:rsidRPr="00CA61A6">
        <w:rPr>
          <w:rFonts w:eastAsia="SimSun"/>
          <w:lang w:eastAsia="ja-JP"/>
        </w:rPr>
        <w:t>).</w:t>
      </w:r>
    </w:p>
    <w:p w:rsidR="00450BDD" w:rsidRPr="00CA61A6" w:rsidRDefault="003A3603" w:rsidP="003A3603">
      <w:pPr>
        <w:pStyle w:val="enumlev2"/>
        <w:rPr>
          <w:rFonts w:eastAsia="SimSun"/>
          <w:szCs w:val="24"/>
          <w:lang w:eastAsia="ja-JP"/>
        </w:rPr>
      </w:pPr>
      <w:r w:rsidRPr="00CA61A6">
        <w:rPr>
          <w:rFonts w:eastAsia="SimSun"/>
          <w:lang w:eastAsia="ja-JP"/>
        </w:rPr>
        <w:t>•</w:t>
      </w:r>
      <w:r w:rsidRPr="00CA61A6">
        <w:rPr>
          <w:rFonts w:eastAsia="SimSun"/>
          <w:lang w:eastAsia="ja-JP"/>
        </w:rPr>
        <w:tab/>
      </w:r>
      <w:r w:rsidR="00450BDD" w:rsidRPr="00CA61A6">
        <w:rPr>
          <w:rFonts w:eastAsia="SimSun"/>
          <w:szCs w:val="24"/>
          <w:lang w:eastAsia="ja-JP"/>
        </w:rPr>
        <w:t xml:space="preserve">Se siguieron preparando los requisitos y las especificaciones de pruebas </w:t>
      </w:r>
      <w:r w:rsidR="00450BDD" w:rsidRPr="00CA61A6">
        <w:rPr>
          <w:rFonts w:eastAsia="SimSun"/>
          <w:lang w:eastAsia="ja-JP"/>
        </w:rPr>
        <w:t>correspondientes</w:t>
      </w:r>
      <w:r w:rsidR="00450BDD" w:rsidRPr="00CA61A6">
        <w:rPr>
          <w:rFonts w:eastAsia="SimSun"/>
          <w:szCs w:val="24"/>
          <w:lang w:eastAsia="ja-JP"/>
        </w:rPr>
        <w:t xml:space="preserve"> para la llamada básica y otros </w:t>
      </w:r>
      <w:r w:rsidR="004D6367">
        <w:rPr>
          <w:rFonts w:eastAsia="SimSun"/>
          <w:szCs w:val="24"/>
          <w:lang w:eastAsia="ja-JP"/>
        </w:rPr>
        <w:t>servicios suplementarios de SIP</w:t>
      </w:r>
      <w:r w:rsidR="004D6367">
        <w:rPr>
          <w:rFonts w:eastAsia="SimSun"/>
          <w:szCs w:val="24"/>
          <w:lang w:eastAsia="ja-JP"/>
        </w:rPr>
        <w:noBreakHyphen/>
      </w:r>
      <w:r w:rsidR="00450BDD" w:rsidRPr="00CA61A6">
        <w:rPr>
          <w:rFonts w:eastAsia="SimSun"/>
          <w:szCs w:val="24"/>
          <w:lang w:eastAsia="ja-JP"/>
        </w:rPr>
        <w:t xml:space="preserve">IMS, de acuerdo con el </w:t>
      </w:r>
      <w:hyperlink r:id="rId183" w:history="1">
        <w:r w:rsidR="00450BDD" w:rsidRPr="00C11468">
          <w:rPr>
            <w:rStyle w:val="Hyperlink"/>
            <w:rFonts w:eastAsia="SimSun"/>
            <w:szCs w:val="24"/>
            <w:lang w:eastAsia="ja-JP"/>
          </w:rPr>
          <w:t>plan de trabajo</w:t>
        </w:r>
      </w:hyperlink>
      <w:r w:rsidR="00450BDD" w:rsidRPr="00CA61A6">
        <w:rPr>
          <w:rFonts w:eastAsia="SimSun"/>
          <w:szCs w:val="24"/>
          <w:lang w:eastAsia="ja-JP"/>
        </w:rPr>
        <w:t xml:space="preserve"> (</w:t>
      </w:r>
      <w:hyperlink r:id="rId184" w:history="1">
        <w:r w:rsidR="00450BDD" w:rsidRPr="00201BA1">
          <w:rPr>
            <w:rStyle w:val="Hyperlink"/>
            <w:rFonts w:eastAsia="SimSun"/>
            <w:szCs w:val="24"/>
            <w:lang w:eastAsia="ja-JP"/>
          </w:rPr>
          <w:t>página web</w:t>
        </w:r>
      </w:hyperlink>
      <w:r w:rsidR="00450BDD" w:rsidRPr="00CA61A6">
        <w:rPr>
          <w:rFonts w:eastAsia="SimSun"/>
          <w:szCs w:val="24"/>
          <w:lang w:eastAsia="ja-JP"/>
        </w:rPr>
        <w:t>) de normalización establecido.</w:t>
      </w:r>
    </w:p>
    <w:p w:rsidR="00450BDD" w:rsidRPr="00CA61A6" w:rsidRDefault="006439B1" w:rsidP="008A31C8">
      <w:pPr>
        <w:pStyle w:val="enumlev2"/>
        <w:rPr>
          <w:rFonts w:eastAsia="SimSun"/>
          <w:szCs w:val="24"/>
          <w:lang w:eastAsia="ja-JP"/>
        </w:rPr>
      </w:pPr>
      <w:r w:rsidRPr="00CA61A6">
        <w:rPr>
          <w:rFonts w:eastAsia="SimSun"/>
          <w:lang w:eastAsia="ja-JP"/>
        </w:rPr>
        <w:t>•</w:t>
      </w:r>
      <w:r w:rsidRPr="00CA61A6">
        <w:rPr>
          <w:rFonts w:eastAsia="SimSun"/>
          <w:lang w:eastAsia="ja-JP"/>
        </w:rPr>
        <w:tab/>
      </w:r>
      <w:r w:rsidR="00450BDD" w:rsidRPr="00CA61A6">
        <w:rPr>
          <w:rFonts w:eastAsia="SimSun"/>
          <w:szCs w:val="24"/>
          <w:lang w:eastAsia="ja-JP"/>
        </w:rPr>
        <w:t>Se otorgó el consentimiento a la nueva Recomendación UIT-T Q.3960</w:t>
      </w:r>
      <w:r w:rsidR="00822D22">
        <w:rPr>
          <w:rFonts w:eastAsia="SimSun"/>
          <w:szCs w:val="24"/>
          <w:lang w:eastAsia="ja-JP"/>
        </w:rPr>
        <w:t>,</w:t>
      </w:r>
      <w:r w:rsidR="00450BDD" w:rsidRPr="00CA61A6">
        <w:rPr>
          <w:rFonts w:eastAsia="SimSun"/>
          <w:szCs w:val="24"/>
          <w:lang w:eastAsia="ja-JP"/>
        </w:rPr>
        <w:t xml:space="preserve"> "Marco para la medición de la velocidad de Internet en redes fijas y móviles", que es la primera de una serie de Recomendaciones UIT-T sobre la medición de la velocidad de Internet. Este marco está destinado a los reguladores que desean definir los principios rectores para la creación de una arquitectura normalizada global para la evaluación de la velocidad de la conexión a Internet a nivel nacional e internacional. La CE</w:t>
      </w:r>
      <w:r w:rsidR="008B5B32" w:rsidRPr="00CA61A6">
        <w:rPr>
          <w:rFonts w:eastAsia="SimSun"/>
          <w:szCs w:val="24"/>
          <w:lang w:eastAsia="ja-JP"/>
        </w:rPr>
        <w:t> </w:t>
      </w:r>
      <w:r w:rsidR="00450BDD" w:rsidRPr="00CA61A6">
        <w:rPr>
          <w:rFonts w:eastAsia="SimSun"/>
          <w:szCs w:val="24"/>
          <w:lang w:eastAsia="ja-JP"/>
        </w:rPr>
        <w:t xml:space="preserve">11 del UIT-T siguió preparando una metodología de pruebas e instó a todas las CE y </w:t>
      </w:r>
      <w:r w:rsidR="00450BDD" w:rsidRPr="00CA61A6">
        <w:rPr>
          <w:rFonts w:eastAsia="SimSun"/>
          <w:lang w:eastAsia="ja-JP"/>
        </w:rPr>
        <w:t>organismos</w:t>
      </w:r>
      <w:r w:rsidR="00450BDD" w:rsidRPr="00CA61A6">
        <w:rPr>
          <w:rFonts w:eastAsia="SimSun"/>
          <w:szCs w:val="24"/>
          <w:lang w:eastAsia="ja-JP"/>
        </w:rPr>
        <w:t xml:space="preserve"> de normalización interesados a sumarse a su trabajo. </w:t>
      </w:r>
      <w:r w:rsidR="00450BDD" w:rsidRPr="00CA61A6">
        <w:rPr>
          <w:rFonts w:eastAsia="SimSun"/>
          <w:bCs/>
          <w:szCs w:val="24"/>
        </w:rPr>
        <w:t>En el método de prueba se especifican los requisitos y guiones de prueba para redes fijas y móviles a fin de evaluar la prueba de velocidad de recursos Internet y prueba de velocidad de red Internet según el concepto especificado en el marco.</w:t>
      </w:r>
      <w:r w:rsidR="008A31C8">
        <w:rPr>
          <w:rFonts w:eastAsia="SimSun"/>
          <w:bCs/>
          <w:szCs w:val="24"/>
        </w:rPr>
        <w:t xml:space="preserve"> </w:t>
      </w:r>
      <w:r w:rsidR="00450BDD" w:rsidRPr="00CA61A6">
        <w:rPr>
          <w:rFonts w:eastAsia="SimSun"/>
          <w:szCs w:val="24"/>
          <w:lang w:eastAsia="ja-JP"/>
        </w:rPr>
        <w:t xml:space="preserve">Estas actividades han contado con el apoyo de la OCDE y se están realizando de consuno con el ETSI TC INT. Las últimas reuniones del ETSI TC INT y la C15/11 se celebraron en la Sede del </w:t>
      </w:r>
      <w:r w:rsidR="00450BDD" w:rsidRPr="00CA61A6">
        <w:rPr>
          <w:rFonts w:eastAsia="SimSun"/>
          <w:szCs w:val="24"/>
          <w:lang w:eastAsia="ja-JP"/>
        </w:rPr>
        <w:lastRenderedPageBreak/>
        <w:t xml:space="preserve">ETSI del 21 al 24 de marzo de 2016 y en la Sede de la UIT en junio de 2016. Pueden encontrarse más detalles al respecto en la </w:t>
      </w:r>
      <w:hyperlink r:id="rId185" w:history="1">
        <w:r w:rsidR="00450BDD" w:rsidRPr="00CA61A6">
          <w:rPr>
            <w:rFonts w:eastAsia="SimSun"/>
            <w:color w:val="0000FF"/>
            <w:szCs w:val="24"/>
            <w:u w:val="single"/>
            <w:lang w:eastAsia="ja-JP"/>
          </w:rPr>
          <w:t>página web</w:t>
        </w:r>
      </w:hyperlink>
      <w:r w:rsidR="00086B21" w:rsidRPr="00CA61A6">
        <w:rPr>
          <w:rFonts w:eastAsia="SimSun"/>
          <w:szCs w:val="24"/>
          <w:lang w:eastAsia="ja-JP"/>
        </w:rPr>
        <w:t>.</w:t>
      </w:r>
    </w:p>
    <w:p w:rsidR="00450BDD" w:rsidRPr="00CA61A6" w:rsidRDefault="00FF1DF0" w:rsidP="00633553">
      <w:pPr>
        <w:pStyle w:val="enumlev2"/>
        <w:rPr>
          <w:rFonts w:eastAsia="SimSun"/>
          <w:szCs w:val="24"/>
          <w:lang w:eastAsia="ja-JP"/>
        </w:rPr>
      </w:pPr>
      <w:r w:rsidRPr="00CA61A6">
        <w:rPr>
          <w:rFonts w:eastAsia="SimSun"/>
          <w:lang w:eastAsia="ja-JP"/>
        </w:rPr>
        <w:t>•</w:t>
      </w:r>
      <w:r w:rsidRPr="00CA61A6">
        <w:rPr>
          <w:rFonts w:eastAsia="SimSun"/>
          <w:lang w:eastAsia="ja-JP"/>
        </w:rPr>
        <w:tab/>
      </w:r>
      <w:r w:rsidR="00450BDD" w:rsidRPr="00CA61A6">
        <w:rPr>
          <w:rFonts w:eastAsia="SimSun"/>
          <w:szCs w:val="24"/>
          <w:lang w:eastAsia="ja-JP"/>
        </w:rPr>
        <w:t xml:space="preserve">Se iniciaron los trabajos sobre </w:t>
      </w:r>
      <w:hyperlink r:id="rId186" w:history="1">
        <w:r w:rsidR="00450BDD" w:rsidRPr="00AA4B49">
          <w:rPr>
            <w:rStyle w:val="Hyperlink"/>
            <w:rFonts w:eastAsia="SimSun"/>
            <w:szCs w:val="24"/>
            <w:lang w:eastAsia="ja-JP"/>
          </w:rPr>
          <w:t>Q.30xx_VoLTE_Interconnection</w:t>
        </w:r>
      </w:hyperlink>
      <w:r w:rsidR="000E43C2">
        <w:rPr>
          <w:rFonts w:eastAsia="SimSun"/>
          <w:szCs w:val="24"/>
          <w:lang w:eastAsia="ja-JP"/>
        </w:rPr>
        <w:t>,</w:t>
      </w:r>
      <w:r w:rsidR="00450BDD" w:rsidRPr="00CA61A6">
        <w:rPr>
          <w:rFonts w:eastAsia="SimSun"/>
          <w:szCs w:val="24"/>
          <w:lang w:eastAsia="ja-JP"/>
        </w:rPr>
        <w:t xml:space="preserve"> "Marco de interconexión de redes VoLTE/ViLTE", que se ha convertido en objeto del acuerdo de colaboración entre la CE</w:t>
      </w:r>
      <w:r w:rsidR="008B5B32" w:rsidRPr="00CA61A6">
        <w:rPr>
          <w:rFonts w:eastAsia="SimSun"/>
          <w:szCs w:val="24"/>
          <w:lang w:eastAsia="ja-JP"/>
        </w:rPr>
        <w:t> </w:t>
      </w:r>
      <w:r w:rsidR="00450BDD" w:rsidRPr="00CA61A6">
        <w:rPr>
          <w:rFonts w:eastAsia="SimSun"/>
          <w:szCs w:val="24"/>
          <w:lang w:eastAsia="ja-JP"/>
        </w:rPr>
        <w:t xml:space="preserve">11 y el ETSI TC INT. Este trabajo se inició tras los debates sostenidos en el </w:t>
      </w:r>
      <w:r w:rsidR="00A518A6" w:rsidRPr="00CA61A6">
        <w:rPr>
          <w:rFonts w:eastAsia="SimSun"/>
          <w:szCs w:val="24"/>
          <w:lang w:eastAsia="ja-JP"/>
        </w:rPr>
        <w:t xml:space="preserve">taller </w:t>
      </w:r>
      <w:r w:rsidR="00450BDD" w:rsidRPr="00CA61A6">
        <w:rPr>
          <w:rFonts w:eastAsia="SimSun"/>
          <w:szCs w:val="24"/>
          <w:lang w:eastAsia="ja-JP"/>
        </w:rPr>
        <w:t xml:space="preserve">de la UIT sobre "Interoperatividad de los servicios de voz y vídeo en entornos híbridos fijo-móvil, incluidas las IMT Avanzadas (LTE)", celebrado el 1 de diciembre de 2015. Puede consultarse el Informe del </w:t>
      </w:r>
      <w:r w:rsidR="00A518A6" w:rsidRPr="00CA61A6">
        <w:rPr>
          <w:rFonts w:eastAsia="SimSun"/>
          <w:szCs w:val="24"/>
          <w:lang w:eastAsia="ja-JP"/>
        </w:rPr>
        <w:t xml:space="preserve">taller </w:t>
      </w:r>
      <w:hyperlink r:id="rId187" w:history="1">
        <w:r w:rsidR="00450BDD" w:rsidRPr="00CA61A6">
          <w:rPr>
            <w:rFonts w:eastAsia="SimSun"/>
            <w:color w:val="0000FF"/>
            <w:szCs w:val="24"/>
            <w:u w:val="single"/>
            <w:lang w:eastAsia="ja-JP"/>
          </w:rPr>
          <w:t>aquí</w:t>
        </w:r>
      </w:hyperlink>
      <w:r w:rsidR="00633553" w:rsidRPr="00CA61A6">
        <w:rPr>
          <w:rFonts w:eastAsia="SimSun"/>
          <w:szCs w:val="24"/>
          <w:lang w:eastAsia="ja-JP"/>
        </w:rPr>
        <w:t>.</w:t>
      </w:r>
    </w:p>
    <w:p w:rsidR="00450BDD" w:rsidRPr="00CA61A6" w:rsidRDefault="00D44943" w:rsidP="002C402E">
      <w:pPr>
        <w:pStyle w:val="enumlev2"/>
        <w:rPr>
          <w:rFonts w:eastAsia="SimSun"/>
          <w:szCs w:val="24"/>
          <w:lang w:eastAsia="ja-JP"/>
        </w:rPr>
      </w:pPr>
      <w:r w:rsidRPr="00CA61A6">
        <w:rPr>
          <w:rFonts w:eastAsia="SimSun"/>
          <w:lang w:eastAsia="ja-JP"/>
        </w:rPr>
        <w:t>•</w:t>
      </w:r>
      <w:r w:rsidRPr="00CA61A6">
        <w:rPr>
          <w:rFonts w:eastAsia="SimSun"/>
          <w:lang w:eastAsia="ja-JP"/>
        </w:rPr>
        <w:tab/>
      </w:r>
      <w:r w:rsidR="00450BDD" w:rsidRPr="00CA61A6">
        <w:rPr>
          <w:rFonts w:eastAsia="SimSun"/>
          <w:szCs w:val="24"/>
          <w:lang w:eastAsia="ja-JP"/>
        </w:rPr>
        <w:t xml:space="preserve">Se aprobó la Recomendación </w:t>
      </w:r>
      <w:hyperlink r:id="rId188" w:history="1">
        <w:r w:rsidR="00450BDD" w:rsidRPr="00CA61A6">
          <w:rPr>
            <w:rFonts w:eastAsia="SimSun"/>
            <w:color w:val="0000FF"/>
            <w:szCs w:val="24"/>
            <w:u w:val="single"/>
            <w:lang w:eastAsia="ja-JP"/>
          </w:rPr>
          <w:t>UIT-T Q.3905</w:t>
        </w:r>
      </w:hyperlink>
      <w:r w:rsidR="00033857">
        <w:rPr>
          <w:rFonts w:eastAsia="SimSun"/>
          <w:szCs w:val="24"/>
          <w:lang w:eastAsia="ja-JP"/>
        </w:rPr>
        <w:t xml:space="preserve">, </w:t>
      </w:r>
      <w:r w:rsidR="00450BDD" w:rsidRPr="00CA61A6">
        <w:rPr>
          <w:rFonts w:eastAsia="SimSun"/>
          <w:szCs w:val="24"/>
          <w:lang w:eastAsia="ja-JP"/>
        </w:rPr>
        <w:t>"Plan de pruebas de conformidad para los requisitos de portabilidad de números</w:t>
      </w:r>
      <w:r w:rsidR="00F666C9" w:rsidRPr="00CA61A6">
        <w:rPr>
          <w:rFonts w:eastAsia="SimSun"/>
          <w:szCs w:val="24"/>
          <w:lang w:eastAsia="ja-JP"/>
        </w:rPr>
        <w:t xml:space="preserve"> definidos en Q.Suppl.4 del UIT</w:t>
      </w:r>
      <w:r w:rsidR="00F666C9" w:rsidRPr="00CA61A6">
        <w:rPr>
          <w:rFonts w:eastAsia="SimSun"/>
          <w:szCs w:val="24"/>
          <w:lang w:eastAsia="ja-JP"/>
        </w:rPr>
        <w:noBreakHyphen/>
      </w:r>
      <w:r w:rsidR="00450BDD" w:rsidRPr="00CA61A6">
        <w:rPr>
          <w:rFonts w:eastAsia="SimSun"/>
          <w:szCs w:val="24"/>
          <w:lang w:eastAsia="ja-JP"/>
        </w:rPr>
        <w:t xml:space="preserve">T", que se está utilizando en el proyecto piloto </w:t>
      </w:r>
      <w:r w:rsidR="00F666C9" w:rsidRPr="00CA61A6">
        <w:rPr>
          <w:rFonts w:eastAsia="SimSun"/>
          <w:szCs w:val="24"/>
          <w:lang w:eastAsia="ja-JP"/>
        </w:rPr>
        <w:t>"Portabilidad de red móvil (UIT</w:t>
      </w:r>
      <w:r w:rsidR="00F666C9" w:rsidRPr="00CA61A6">
        <w:rPr>
          <w:rFonts w:eastAsia="SimSun"/>
          <w:szCs w:val="24"/>
          <w:lang w:eastAsia="ja-JP"/>
        </w:rPr>
        <w:noBreakHyphen/>
      </w:r>
      <w:r w:rsidR="00450BDD" w:rsidRPr="00CA61A6">
        <w:rPr>
          <w:rFonts w:eastAsia="SimSun"/>
          <w:szCs w:val="24"/>
          <w:lang w:eastAsia="ja-JP"/>
        </w:rPr>
        <w:t>T Q.Suppl.4</w:t>
      </w:r>
      <w:r w:rsidR="00B35E07">
        <w:rPr>
          <w:rFonts w:eastAsia="SimSun"/>
          <w:szCs w:val="24"/>
          <w:lang w:eastAsia="ja-JP"/>
        </w:rPr>
        <w:t>)"</w:t>
      </w:r>
      <w:r w:rsidR="002C402E" w:rsidRPr="002C402E">
        <w:rPr>
          <w:rFonts w:eastAsia="SimSun"/>
          <w:szCs w:val="24"/>
          <w:lang w:eastAsia="ja-JP"/>
        </w:rPr>
        <w:t xml:space="preserve"> </w:t>
      </w:r>
      <w:r w:rsidR="002C402E" w:rsidRPr="00CA61A6">
        <w:rPr>
          <w:rFonts w:eastAsia="SimSun"/>
          <w:szCs w:val="24"/>
          <w:lang w:eastAsia="ja-JP"/>
        </w:rPr>
        <w:t>en curso</w:t>
      </w:r>
      <w:r w:rsidR="00450BDD" w:rsidRPr="00CA61A6">
        <w:rPr>
          <w:rFonts w:eastAsia="SimSun"/>
          <w:szCs w:val="24"/>
          <w:lang w:eastAsia="ja-JP"/>
        </w:rPr>
        <w:t xml:space="preserve"> (</w:t>
      </w:r>
      <w:hyperlink r:id="rId189" w:history="1">
        <w:r w:rsidR="00450BDD" w:rsidRPr="00CA61A6">
          <w:rPr>
            <w:rFonts w:eastAsia="SimSun"/>
            <w:color w:val="0000FF"/>
            <w:szCs w:val="24"/>
            <w:u w:val="single"/>
            <w:lang w:eastAsia="ja-JP"/>
          </w:rPr>
          <w:t>página web</w:t>
        </w:r>
      </w:hyperlink>
      <w:r w:rsidR="00450BDD" w:rsidRPr="00CA61A6">
        <w:rPr>
          <w:rFonts w:eastAsia="SimSun"/>
          <w:szCs w:val="24"/>
          <w:lang w:eastAsia="ja-JP"/>
        </w:rPr>
        <w:t>)</w:t>
      </w:r>
      <w:r w:rsidRPr="00CA61A6">
        <w:rPr>
          <w:rFonts w:eastAsia="SimSun"/>
          <w:szCs w:val="24"/>
          <w:lang w:eastAsia="ja-JP"/>
        </w:rPr>
        <w:t>.</w:t>
      </w:r>
    </w:p>
    <w:p w:rsidR="00450BDD" w:rsidRPr="00CA61A6" w:rsidRDefault="00B32026" w:rsidP="00256B71">
      <w:pPr>
        <w:pStyle w:val="enumlev2"/>
        <w:rPr>
          <w:rFonts w:eastAsia="SimSun"/>
          <w:szCs w:val="24"/>
          <w:lang w:eastAsia="ja-JP"/>
        </w:rPr>
      </w:pPr>
      <w:r w:rsidRPr="00CA61A6">
        <w:rPr>
          <w:rFonts w:eastAsia="SimSun"/>
          <w:lang w:eastAsia="ja-JP"/>
        </w:rPr>
        <w:t>•</w:t>
      </w:r>
      <w:r w:rsidRPr="00CA61A6">
        <w:rPr>
          <w:rFonts w:eastAsia="SimSun"/>
          <w:lang w:eastAsia="ja-JP"/>
        </w:rPr>
        <w:tab/>
      </w:r>
      <w:r w:rsidR="00450BDD" w:rsidRPr="00CA61A6">
        <w:rPr>
          <w:rFonts w:eastAsia="SimSun"/>
          <w:szCs w:val="24"/>
          <w:lang w:eastAsia="ja-JP"/>
        </w:rPr>
        <w:t xml:space="preserve">Se finalizó el </w:t>
      </w:r>
      <w:hyperlink r:id="rId190" w:history="1">
        <w:r w:rsidR="00450BDD" w:rsidRPr="00CA61A6">
          <w:rPr>
            <w:rFonts w:eastAsia="SimSun"/>
            <w:color w:val="0000FF"/>
            <w:szCs w:val="24"/>
            <w:u w:val="single"/>
            <w:lang w:eastAsia="ja-JP"/>
          </w:rPr>
          <w:t>plan de trabajo</w:t>
        </w:r>
      </w:hyperlink>
      <w:r w:rsidR="00450BDD" w:rsidRPr="00CA61A6">
        <w:rPr>
          <w:rFonts w:eastAsia="SimSun"/>
          <w:szCs w:val="24"/>
          <w:lang w:eastAsia="ja-JP"/>
        </w:rPr>
        <w:t xml:space="preserve"> sobre la plataforma IMS de referencia, que incluye 10 nuevas Recomendaciones UIT</w:t>
      </w:r>
      <w:r w:rsidR="00256B71">
        <w:rPr>
          <w:rFonts w:eastAsia="SimSun"/>
          <w:szCs w:val="24"/>
          <w:lang w:eastAsia="ja-JP"/>
        </w:rPr>
        <w:noBreakHyphen/>
      </w:r>
      <w:r w:rsidR="00450BDD" w:rsidRPr="00CA61A6">
        <w:rPr>
          <w:rFonts w:eastAsia="SimSun"/>
          <w:szCs w:val="24"/>
          <w:lang w:eastAsia="ja-JP"/>
        </w:rPr>
        <w:t>T.</w:t>
      </w:r>
    </w:p>
    <w:p w:rsidR="00450BDD" w:rsidRPr="00CA61A6" w:rsidRDefault="00DD465F" w:rsidP="00527DF5">
      <w:pPr>
        <w:pStyle w:val="enumlev1"/>
        <w:rPr>
          <w:rFonts w:eastAsia="SimSun"/>
          <w:szCs w:val="24"/>
          <w:lang w:eastAsia="ja-JP"/>
        </w:rPr>
      </w:pPr>
      <w:r w:rsidRPr="00CA61A6">
        <w:rPr>
          <w:rFonts w:eastAsia="SimSun"/>
          <w:lang w:eastAsia="ja-JP"/>
        </w:rPr>
        <w:t>–</w:t>
      </w:r>
      <w:r w:rsidRPr="00CA61A6">
        <w:rPr>
          <w:rFonts w:eastAsia="SimSun"/>
          <w:lang w:eastAsia="ja-JP"/>
        </w:rPr>
        <w:tab/>
      </w:r>
      <w:r w:rsidR="00450BDD" w:rsidRPr="00CA61A6">
        <w:rPr>
          <w:rFonts w:eastAsia="SimSun"/>
          <w:szCs w:val="24"/>
          <w:lang w:eastAsia="ja-JP"/>
        </w:rPr>
        <w:t>La CE</w:t>
      </w:r>
      <w:r w:rsidR="00D544B2" w:rsidRPr="00CA61A6">
        <w:rPr>
          <w:rFonts w:eastAsia="SimSun"/>
          <w:szCs w:val="24"/>
          <w:lang w:eastAsia="ja-JP"/>
        </w:rPr>
        <w:t> </w:t>
      </w:r>
      <w:r w:rsidR="00450BDD" w:rsidRPr="00CA61A6">
        <w:rPr>
          <w:rFonts w:eastAsia="SimSun"/>
          <w:szCs w:val="24"/>
          <w:lang w:eastAsia="ja-JP"/>
        </w:rPr>
        <w:t xml:space="preserve">2 </w:t>
      </w:r>
      <w:r w:rsidR="00450BDD" w:rsidRPr="00CA61A6">
        <w:rPr>
          <w:rFonts w:eastAsia="SimSun"/>
          <w:lang w:eastAsia="ja-JP"/>
        </w:rPr>
        <w:t>empezó</w:t>
      </w:r>
      <w:r w:rsidR="00450BDD" w:rsidRPr="00CA61A6">
        <w:rPr>
          <w:rFonts w:eastAsia="SimSun"/>
          <w:szCs w:val="24"/>
          <w:lang w:eastAsia="ja-JP"/>
        </w:rPr>
        <w:t xml:space="preserve"> a preparar las especificaciones de pruebas para verificar la conformidad con la Recomendación UIT-T M.3170.</w:t>
      </w:r>
    </w:p>
    <w:p w:rsidR="00450BDD" w:rsidRPr="00CA61A6" w:rsidRDefault="00DD465F" w:rsidP="00C233E4">
      <w:pPr>
        <w:pStyle w:val="enumlev1"/>
        <w:rPr>
          <w:rFonts w:eastAsia="SimSun"/>
          <w:szCs w:val="24"/>
          <w:lang w:eastAsia="ja-JP"/>
        </w:rPr>
      </w:pPr>
      <w:r w:rsidRPr="00CA61A6">
        <w:rPr>
          <w:rFonts w:eastAsia="SimSun"/>
          <w:lang w:eastAsia="ja-JP"/>
        </w:rPr>
        <w:t>–</w:t>
      </w:r>
      <w:r w:rsidRPr="00CA61A6">
        <w:rPr>
          <w:rFonts w:eastAsia="SimSun"/>
          <w:lang w:eastAsia="ja-JP"/>
        </w:rPr>
        <w:tab/>
      </w:r>
      <w:r w:rsidR="00450BDD" w:rsidRPr="00CA61A6">
        <w:rPr>
          <w:rFonts w:eastAsia="SimSun"/>
          <w:szCs w:val="24"/>
          <w:lang w:eastAsia="ja-JP"/>
        </w:rPr>
        <w:t>La CE</w:t>
      </w:r>
      <w:r w:rsidR="00BA2381" w:rsidRPr="00CA61A6">
        <w:rPr>
          <w:rFonts w:eastAsia="SimSun"/>
          <w:szCs w:val="24"/>
          <w:lang w:eastAsia="ja-JP"/>
        </w:rPr>
        <w:t> </w:t>
      </w:r>
      <w:r w:rsidR="00450BDD" w:rsidRPr="00CA61A6">
        <w:rPr>
          <w:rFonts w:eastAsia="SimSun"/>
          <w:lang w:eastAsia="ja-JP"/>
        </w:rPr>
        <w:t>16</w:t>
      </w:r>
      <w:r w:rsidR="00450BDD" w:rsidRPr="00CA61A6">
        <w:rPr>
          <w:rFonts w:eastAsia="SimSun"/>
          <w:szCs w:val="24"/>
          <w:lang w:eastAsia="ja-JP"/>
        </w:rPr>
        <w:t xml:space="preserve"> ha preparado numerosas especificaciones para ayudar a los creadores a verificar el cumplimiento de las Recomendaciones UIT-T, en particular para los sistemas TVIP, la compresión de voz y la compresión de vídeo.</w:t>
      </w:r>
    </w:p>
    <w:p w:rsidR="00450BDD" w:rsidRPr="00CA61A6" w:rsidRDefault="00DD465F" w:rsidP="00516104">
      <w:pPr>
        <w:pStyle w:val="enumlev1"/>
        <w:rPr>
          <w:rFonts w:eastAsia="SimSun"/>
          <w:szCs w:val="24"/>
          <w:lang w:eastAsia="ja-JP"/>
        </w:rPr>
      </w:pPr>
      <w:r w:rsidRPr="00CA61A6">
        <w:rPr>
          <w:rFonts w:eastAsia="SimSun"/>
          <w:lang w:eastAsia="ja-JP"/>
        </w:rPr>
        <w:t>–</w:t>
      </w:r>
      <w:r w:rsidRPr="00CA61A6">
        <w:rPr>
          <w:rFonts w:eastAsia="SimSun"/>
          <w:lang w:eastAsia="ja-JP"/>
        </w:rPr>
        <w:tab/>
      </w:r>
      <w:r w:rsidR="00516104" w:rsidRPr="00CA61A6">
        <w:rPr>
          <w:rFonts w:eastAsia="SimSun"/>
          <w:szCs w:val="24"/>
          <w:lang w:eastAsia="ja-JP"/>
        </w:rPr>
        <w:t xml:space="preserve">La </w:t>
      </w:r>
      <w:r w:rsidR="00F46E5F" w:rsidRPr="00CA61A6">
        <w:rPr>
          <w:rFonts w:eastAsia="SimSun"/>
          <w:szCs w:val="24"/>
          <w:lang w:eastAsia="ja-JP"/>
        </w:rPr>
        <w:t>CE </w:t>
      </w:r>
      <w:r w:rsidR="00450BDD" w:rsidRPr="00CA61A6">
        <w:rPr>
          <w:rFonts w:eastAsia="SimSun"/>
          <w:szCs w:val="24"/>
          <w:lang w:eastAsia="ja-JP"/>
        </w:rPr>
        <w:t>16 del UIT-T sigue actualizando las Recomendaciones UIT-T de la subserie H.820-H.849 sobre "Realización de pruebas de conformidad para el interfuncionamiento de los sistemas de salud personales (HRN, PAN, LAN y WAN)", que se utilizan para las pruebas de conformidad de los dispositivos de la Recomendación UIT-T H.810 "Directrices de diseño para la interoperabilidad de sistemas de salud personal" (también conocida como Directrices de diseño Continua).</w:t>
      </w:r>
    </w:p>
    <w:p w:rsidR="00450BDD" w:rsidRPr="00CA61A6" w:rsidRDefault="00DD465F" w:rsidP="00921FE7">
      <w:pPr>
        <w:pStyle w:val="enumlev1"/>
        <w:rPr>
          <w:rFonts w:eastAsia="SimSun"/>
          <w:szCs w:val="24"/>
          <w:lang w:eastAsia="ja-JP"/>
        </w:rPr>
      </w:pPr>
      <w:r w:rsidRPr="00CA61A6">
        <w:rPr>
          <w:rFonts w:eastAsia="SimSun"/>
          <w:lang w:eastAsia="ja-JP"/>
        </w:rPr>
        <w:t>–</w:t>
      </w:r>
      <w:r w:rsidRPr="00CA61A6">
        <w:rPr>
          <w:rFonts w:eastAsia="SimSun"/>
          <w:lang w:eastAsia="ja-JP"/>
        </w:rPr>
        <w:tab/>
      </w:r>
      <w:r w:rsidR="00450BDD" w:rsidRPr="00CA61A6">
        <w:rPr>
          <w:rFonts w:eastAsia="SimSun"/>
          <w:szCs w:val="24"/>
          <w:lang w:eastAsia="ja-JP"/>
        </w:rPr>
        <w:t>La CE</w:t>
      </w:r>
      <w:r w:rsidR="00BA2381" w:rsidRPr="00CA61A6">
        <w:rPr>
          <w:rFonts w:eastAsia="SimSun"/>
          <w:szCs w:val="24"/>
          <w:lang w:eastAsia="ja-JP"/>
        </w:rPr>
        <w:t> </w:t>
      </w:r>
      <w:r w:rsidR="00450BDD" w:rsidRPr="00CA61A6">
        <w:rPr>
          <w:rFonts w:eastAsia="SimSun"/>
          <w:szCs w:val="24"/>
          <w:lang w:eastAsia="ja-JP"/>
        </w:rPr>
        <w:t>5 preparó pruebas de resistencia para equipos de telecomunicaciones (Recomendación UIT-T K.44) y especificaciones de pruebas para el adaptador de carga universal (Recomendación UIT-T L.1005). La CE 5 del UIT-T está preparando nuevas Recomendaciones sobre las perturbaciones electromagnéticas (Recomendaciones UIT-T K.60 y K.84).</w:t>
      </w:r>
    </w:p>
    <w:p w:rsidR="00450BDD" w:rsidRPr="00CA61A6" w:rsidRDefault="00DD465F" w:rsidP="00F46E5F">
      <w:pPr>
        <w:pStyle w:val="enumlev1"/>
        <w:rPr>
          <w:rFonts w:eastAsia="SimSun"/>
          <w:szCs w:val="24"/>
          <w:lang w:eastAsia="ja-JP"/>
        </w:rPr>
      </w:pPr>
      <w:r w:rsidRPr="00CA61A6">
        <w:rPr>
          <w:rFonts w:eastAsia="SimSun"/>
          <w:lang w:eastAsia="ja-JP"/>
        </w:rPr>
        <w:t>–</w:t>
      </w:r>
      <w:r w:rsidRPr="00CA61A6">
        <w:rPr>
          <w:rFonts w:eastAsia="SimSun"/>
          <w:lang w:eastAsia="ja-JP"/>
        </w:rPr>
        <w:tab/>
      </w:r>
      <w:r w:rsidR="00450BDD" w:rsidRPr="00CA61A6">
        <w:rPr>
          <w:rFonts w:eastAsia="SimSun"/>
          <w:szCs w:val="24"/>
          <w:lang w:eastAsia="ja-JP"/>
        </w:rPr>
        <w:t>La CE</w:t>
      </w:r>
      <w:r w:rsidR="00F46E5F" w:rsidRPr="00CA61A6">
        <w:rPr>
          <w:rFonts w:eastAsia="SimSun"/>
          <w:szCs w:val="24"/>
          <w:lang w:eastAsia="ja-JP"/>
        </w:rPr>
        <w:t> </w:t>
      </w:r>
      <w:r w:rsidR="00450BDD" w:rsidRPr="00CA61A6">
        <w:rPr>
          <w:rFonts w:eastAsia="SimSun"/>
          <w:szCs w:val="24"/>
          <w:lang w:eastAsia="ja-JP"/>
        </w:rPr>
        <w:t>12 preparó especificaciones de pruebas para los auriculares alámbricos universales (Recomendación UIT-T P.381). La CE 12 está trabajando sobre las especificaciones de pruebas de conformidad de la calidad de las transmisiones de voz por IP (Recomendación UIT-T P.564).</w:t>
      </w:r>
    </w:p>
    <w:p w:rsidR="00450BDD" w:rsidRPr="00CA61A6" w:rsidRDefault="00DD465F" w:rsidP="003475D0">
      <w:pPr>
        <w:pStyle w:val="enumlev1"/>
        <w:rPr>
          <w:rFonts w:eastAsia="SimSun"/>
          <w:szCs w:val="24"/>
          <w:highlight w:val="green"/>
          <w:lang w:eastAsia="ja-JP"/>
        </w:rPr>
      </w:pPr>
      <w:r w:rsidRPr="00CA61A6">
        <w:rPr>
          <w:rFonts w:eastAsia="SimSun"/>
          <w:lang w:eastAsia="ja-JP"/>
        </w:rPr>
        <w:t>–</w:t>
      </w:r>
      <w:r w:rsidRPr="00CA61A6">
        <w:rPr>
          <w:rFonts w:eastAsia="SimSun"/>
          <w:lang w:eastAsia="ja-JP"/>
        </w:rPr>
        <w:tab/>
      </w:r>
      <w:r w:rsidR="00F46E5F" w:rsidRPr="00CA61A6">
        <w:rPr>
          <w:rFonts w:eastAsia="SimSun"/>
          <w:szCs w:val="24"/>
          <w:lang w:eastAsia="ja-JP"/>
        </w:rPr>
        <w:t>La CE </w:t>
      </w:r>
      <w:r w:rsidR="00450BDD" w:rsidRPr="00CA61A6">
        <w:rPr>
          <w:rFonts w:eastAsia="SimSun"/>
          <w:szCs w:val="24"/>
          <w:lang w:eastAsia="ja-JP"/>
        </w:rPr>
        <w:t>12 del UIT-T revisó la Recomendación UIT-T P.1100/P.1110 basándose en los resultados de las pruebas realizadas en el marco del primer evento de pruebas del UIT-T sobre evaluación del rendimiento de los teléfonos móviles con los sistemas de telefonía manos libres en vehículos.</w:t>
      </w:r>
    </w:p>
    <w:p w:rsidR="00450BDD" w:rsidRPr="00CA61A6" w:rsidRDefault="00DD465F" w:rsidP="001B46ED">
      <w:pPr>
        <w:pStyle w:val="enumlev1"/>
        <w:rPr>
          <w:rFonts w:eastAsia="SimSun"/>
          <w:szCs w:val="24"/>
          <w:lang w:eastAsia="ja-JP"/>
        </w:rPr>
      </w:pPr>
      <w:r w:rsidRPr="00CA61A6">
        <w:rPr>
          <w:rFonts w:eastAsia="SimSun"/>
          <w:lang w:eastAsia="ja-JP"/>
        </w:rPr>
        <w:t>–</w:t>
      </w:r>
      <w:r w:rsidRPr="00CA61A6">
        <w:rPr>
          <w:rFonts w:eastAsia="SimSun"/>
          <w:lang w:eastAsia="ja-JP"/>
        </w:rPr>
        <w:tab/>
      </w:r>
      <w:r w:rsidR="00F46E5F" w:rsidRPr="00CA61A6">
        <w:rPr>
          <w:rFonts w:eastAsia="SimSun"/>
          <w:szCs w:val="24"/>
          <w:lang w:eastAsia="ja-JP"/>
        </w:rPr>
        <w:t>La CE </w:t>
      </w:r>
      <w:r w:rsidR="00450BDD" w:rsidRPr="00CA61A6">
        <w:rPr>
          <w:rFonts w:eastAsia="SimSun"/>
          <w:szCs w:val="24"/>
          <w:lang w:eastAsia="ja-JP"/>
        </w:rPr>
        <w:t>15 se ocupa de los planes de pruebas de conformidad e interoperatividad de OMCI-EPON (Guía del Implementador de la Recomendación UIT-T G.9801) y ha puesto en marcha el nuevo proyecto piloto "Pruebas de interoperatividad de dispositivos de red óptica de acceso" (</w:t>
      </w:r>
      <w:hyperlink r:id="rId191" w:history="1">
        <w:r w:rsidR="00450BDD" w:rsidRPr="00820EBA">
          <w:rPr>
            <w:rStyle w:val="Hyperlink"/>
            <w:rFonts w:eastAsia="SimSun"/>
            <w:szCs w:val="24"/>
            <w:lang w:eastAsia="ja-JP"/>
          </w:rPr>
          <w:t>página web</w:t>
        </w:r>
      </w:hyperlink>
      <w:r w:rsidR="00450BDD" w:rsidRPr="00CA61A6">
        <w:rPr>
          <w:rFonts w:eastAsia="SimSun"/>
          <w:szCs w:val="24"/>
          <w:lang w:eastAsia="ja-JP"/>
        </w:rPr>
        <w:t>).</w:t>
      </w:r>
    </w:p>
    <w:p w:rsidR="00450BDD" w:rsidRPr="00CA61A6" w:rsidRDefault="00DD465F" w:rsidP="00836D17">
      <w:pPr>
        <w:pStyle w:val="enumlev1"/>
        <w:rPr>
          <w:rFonts w:eastAsia="SimSun"/>
          <w:szCs w:val="24"/>
          <w:lang w:eastAsia="ja-JP"/>
        </w:rPr>
      </w:pPr>
      <w:r w:rsidRPr="00CA61A6">
        <w:rPr>
          <w:rFonts w:eastAsia="SimSun"/>
          <w:lang w:eastAsia="ja-JP"/>
        </w:rPr>
        <w:t>–</w:t>
      </w:r>
      <w:r w:rsidRPr="00CA61A6">
        <w:rPr>
          <w:rFonts w:eastAsia="SimSun"/>
          <w:lang w:eastAsia="ja-JP"/>
        </w:rPr>
        <w:tab/>
      </w:r>
      <w:r w:rsidR="00450BDD" w:rsidRPr="00CA61A6">
        <w:rPr>
          <w:rFonts w:eastAsia="SimSun"/>
          <w:szCs w:val="24"/>
          <w:lang w:eastAsia="ja-JP"/>
        </w:rPr>
        <w:t>La CE</w:t>
      </w:r>
      <w:r w:rsidR="00F46E5F" w:rsidRPr="00CA61A6">
        <w:rPr>
          <w:rFonts w:eastAsia="SimSun"/>
          <w:szCs w:val="24"/>
          <w:lang w:eastAsia="ja-JP"/>
        </w:rPr>
        <w:t> </w:t>
      </w:r>
      <w:r w:rsidR="00450BDD" w:rsidRPr="00CA61A6">
        <w:rPr>
          <w:rFonts w:eastAsia="SimSun"/>
          <w:szCs w:val="24"/>
          <w:lang w:eastAsia="ja-JP"/>
        </w:rPr>
        <w:t>17 facilitó grandes cantidades de información a las CE y la C12/17 ofreció su ayuda a otras Cuestiones o CE en relación con los principios y metodologías para las pruebas de interoperatividad en virtud de la Resolución 76. Esta labor se transfirió a la CE</w:t>
      </w:r>
      <w:r w:rsidR="00F46E5F" w:rsidRPr="00CA61A6">
        <w:rPr>
          <w:rFonts w:eastAsia="SimSun"/>
          <w:szCs w:val="24"/>
          <w:lang w:eastAsia="ja-JP"/>
        </w:rPr>
        <w:t> </w:t>
      </w:r>
      <w:r w:rsidR="00450BDD" w:rsidRPr="00CA61A6">
        <w:rPr>
          <w:rFonts w:eastAsia="SimSun"/>
          <w:lang w:eastAsia="ja-JP"/>
        </w:rPr>
        <w:t>11.</w:t>
      </w:r>
    </w:p>
    <w:p w:rsidR="00450BDD" w:rsidRPr="00CA61A6" w:rsidRDefault="00DD465F" w:rsidP="00836D17">
      <w:pPr>
        <w:pStyle w:val="enumlev1"/>
        <w:rPr>
          <w:rFonts w:eastAsia="SimSun"/>
          <w:szCs w:val="24"/>
          <w:lang w:eastAsia="ja-JP"/>
        </w:rPr>
      </w:pPr>
      <w:r w:rsidRPr="00CA61A6">
        <w:rPr>
          <w:rFonts w:eastAsia="SimSun"/>
          <w:lang w:eastAsia="ja-JP"/>
        </w:rPr>
        <w:lastRenderedPageBreak/>
        <w:t>–</w:t>
      </w:r>
      <w:r w:rsidRPr="00CA61A6">
        <w:rPr>
          <w:rFonts w:eastAsia="SimSun"/>
          <w:lang w:eastAsia="ja-JP"/>
        </w:rPr>
        <w:tab/>
      </w:r>
      <w:r w:rsidR="00450BDD" w:rsidRPr="00CA61A6">
        <w:rPr>
          <w:rFonts w:eastAsia="SimSun"/>
          <w:szCs w:val="24"/>
          <w:lang w:eastAsia="ja-JP"/>
        </w:rPr>
        <w:t>La C12/17 actualiza constantemente las Recomendaciones TTCN-3.</w:t>
      </w:r>
    </w:p>
    <w:p w:rsidR="00450BDD" w:rsidRPr="00CA61A6" w:rsidRDefault="00747621" w:rsidP="0094443E">
      <w:pPr>
        <w:pStyle w:val="Headingb"/>
        <w:keepLines/>
      </w:pPr>
      <w:bookmarkStart w:id="697" w:name="Item76_02"/>
      <w:r w:rsidRPr="00CA61A6">
        <w:t xml:space="preserve">Acción </w:t>
      </w:r>
      <w:r w:rsidR="00450BDD" w:rsidRPr="00CA61A6">
        <w:t xml:space="preserve">76-02: </w:t>
      </w:r>
      <w:r w:rsidR="0094443E">
        <w:t>CE</w:t>
      </w:r>
    </w:p>
    <w:bookmarkEnd w:id="697"/>
    <w:p w:rsidR="00450BDD" w:rsidRPr="00CA61A6" w:rsidRDefault="00450BDD" w:rsidP="00A473BC">
      <w:pPr>
        <w:rPr>
          <w:rFonts w:eastAsia="SimSun"/>
          <w:szCs w:val="24"/>
          <w:lang w:eastAsia="ja-JP"/>
        </w:rPr>
      </w:pPr>
      <w:r w:rsidRPr="00CA61A6">
        <w:rPr>
          <w:rFonts w:eastAsia="SimSun"/>
          <w:szCs w:val="24"/>
          <w:lang w:eastAsia="ja-JP"/>
        </w:rPr>
        <w:t xml:space="preserve">La </w:t>
      </w:r>
      <w:hyperlink r:id="rId192" w:history="1">
        <w:r w:rsidRPr="00CA61A6">
          <w:rPr>
            <w:rFonts w:eastAsia="SimSun"/>
            <w:color w:val="0000FF"/>
            <w:szCs w:val="24"/>
            <w:u w:val="single"/>
            <w:lang w:eastAsia="ja-JP"/>
          </w:rPr>
          <w:t>Actividad de Coordinación Conjunta sobre pruebas de C</w:t>
        </w:r>
        <w:r w:rsidR="00A473BC">
          <w:rPr>
            <w:rFonts w:eastAsia="SimSun"/>
            <w:color w:val="0000FF"/>
            <w:szCs w:val="24"/>
            <w:u w:val="single"/>
            <w:lang w:eastAsia="ja-JP"/>
          </w:rPr>
          <w:t>+</w:t>
        </w:r>
        <w:r w:rsidRPr="00CA61A6">
          <w:rPr>
            <w:rFonts w:eastAsia="SimSun"/>
            <w:color w:val="0000FF"/>
            <w:szCs w:val="24"/>
            <w:u w:val="single"/>
            <w:lang w:eastAsia="ja-JP"/>
          </w:rPr>
          <w:t>I (JCA-CIT)</w:t>
        </w:r>
      </w:hyperlink>
      <w:r w:rsidRPr="00CA61A6">
        <w:rPr>
          <w:rFonts w:eastAsia="SimSun"/>
          <w:szCs w:val="24"/>
          <w:lang w:eastAsia="ja-JP"/>
        </w:rPr>
        <w:t>, tutelada por la CE</w:t>
      </w:r>
      <w:r w:rsidR="008B5B32" w:rsidRPr="00CA61A6">
        <w:rPr>
          <w:rFonts w:eastAsia="SimSun"/>
          <w:szCs w:val="24"/>
          <w:lang w:eastAsia="ja-JP"/>
        </w:rPr>
        <w:t> </w:t>
      </w:r>
      <w:r w:rsidRPr="00CA61A6">
        <w:rPr>
          <w:rFonts w:eastAsia="SimSun"/>
          <w:szCs w:val="24"/>
          <w:lang w:eastAsia="ja-JP"/>
        </w:rPr>
        <w:t>11, pa</w:t>
      </w:r>
      <w:r w:rsidR="00A473BC">
        <w:rPr>
          <w:rFonts w:eastAsia="SimSun"/>
          <w:szCs w:val="24"/>
          <w:lang w:eastAsia="ja-JP"/>
        </w:rPr>
        <w:t>rticipa en las actividades de C+</w:t>
      </w:r>
      <w:r w:rsidRPr="00CA61A6">
        <w:rPr>
          <w:rFonts w:eastAsia="SimSun"/>
          <w:szCs w:val="24"/>
          <w:lang w:eastAsia="ja-JP"/>
        </w:rPr>
        <w:t>I de la UIT y sirve de primer punto de contacto con las organizaciones interesadas en contribuir a esta labor.</w:t>
      </w:r>
    </w:p>
    <w:p w:rsidR="00450BDD" w:rsidRPr="00CA61A6" w:rsidRDefault="00450BDD" w:rsidP="007B3478">
      <w:pPr>
        <w:rPr>
          <w:rFonts w:eastAsia="SimSun"/>
          <w:szCs w:val="24"/>
          <w:lang w:eastAsia="ja-JP"/>
        </w:rPr>
      </w:pPr>
      <w:r w:rsidRPr="00CA61A6">
        <w:rPr>
          <w:rFonts w:eastAsia="SimSun"/>
          <w:szCs w:val="24"/>
          <w:lang w:eastAsia="ja-JP"/>
        </w:rPr>
        <w:t>En la reunión de la JCA-CIT (25 de abril de 2013) se acordó que, habida cuenta de las necesidades del mercado de las TIC y de que las Recomendaciones de la UIT abarcan distintos ámbitos, el alcance de la evaluación de la conformidad ha de ampliarse para incluir la evaluación la conformidad de equipos y servicios de TIC, la definición de referencias básicas y la QoS/QoE. La JCA-CIT anima a las CE interesadas a iniciar y desarrollar temas de estudio sobre la evaluación de la conformidad de equipos de TIC, servicios de telecomunicaciones, el funcionamiento de sistemas/redes/equipos y la QoS/QoE.</w:t>
      </w:r>
    </w:p>
    <w:p w:rsidR="00450BDD" w:rsidRPr="00CA61A6" w:rsidRDefault="00450BDD" w:rsidP="00276B28">
      <w:pPr>
        <w:keepNext/>
        <w:keepLines/>
        <w:rPr>
          <w:rFonts w:eastAsia="SimSun"/>
          <w:szCs w:val="24"/>
          <w:lang w:eastAsia="ja-JP"/>
        </w:rPr>
      </w:pPr>
      <w:r w:rsidRPr="00CA61A6">
        <w:rPr>
          <w:rFonts w:eastAsia="SimSun"/>
          <w:szCs w:val="24"/>
          <w:lang w:eastAsia="ja-JP"/>
        </w:rPr>
        <w:t>La CE</w:t>
      </w:r>
      <w:r w:rsidR="00B94C2A" w:rsidRPr="00CA61A6">
        <w:rPr>
          <w:rFonts w:eastAsia="SimSun"/>
          <w:szCs w:val="24"/>
          <w:lang w:eastAsia="ja-JP"/>
        </w:rPr>
        <w:t> </w:t>
      </w:r>
      <w:r w:rsidRPr="00CA61A6">
        <w:rPr>
          <w:rFonts w:eastAsia="SimSun"/>
          <w:szCs w:val="24"/>
          <w:lang w:eastAsia="ja-JP"/>
        </w:rPr>
        <w:t xml:space="preserve">11 mantiene al día la lista evolutiva de Recomendaciones UIT-T y especificaciones conexas tecnologías fundamentales para la realización de pruebas </w:t>
      </w:r>
      <w:r w:rsidR="00BA13A8">
        <w:rPr>
          <w:rFonts w:eastAsia="SimSun"/>
          <w:szCs w:val="24"/>
          <w:lang w:eastAsia="ja-JP"/>
        </w:rPr>
        <w:t xml:space="preserve">de </w:t>
      </w:r>
      <w:r w:rsidRPr="00CA61A6">
        <w:rPr>
          <w:rFonts w:eastAsia="SimSun"/>
          <w:szCs w:val="24"/>
          <w:lang w:eastAsia="ja-JP"/>
        </w:rPr>
        <w:t>C+I</w:t>
      </w:r>
      <w:r w:rsidRPr="00CA61A6">
        <w:rPr>
          <w:rFonts w:eastAsia="SimSun"/>
          <w:lang w:eastAsia="ja-JP"/>
        </w:rPr>
        <w:t>. La CE</w:t>
      </w:r>
      <w:r w:rsidR="008B5B32" w:rsidRPr="00CA61A6">
        <w:rPr>
          <w:rFonts w:eastAsia="SimSun"/>
          <w:lang w:eastAsia="ja-JP"/>
        </w:rPr>
        <w:t> </w:t>
      </w:r>
      <w:r w:rsidRPr="00CA61A6">
        <w:rPr>
          <w:rFonts w:eastAsia="SimSun"/>
          <w:lang w:eastAsia="ja-JP"/>
        </w:rPr>
        <w:t>11 revisa esta lista en cada una de sus reuniones e incorpora las novedades comunicadas por las demás CE (</w:t>
      </w:r>
      <w:hyperlink r:id="rId193" w:history="1">
        <w:r w:rsidRPr="00CA61A6">
          <w:rPr>
            <w:rFonts w:eastAsia="SimSun"/>
            <w:color w:val="0000FF"/>
            <w:u w:val="single"/>
            <w:lang w:eastAsia="ja-JP"/>
          </w:rPr>
          <w:t>http://itu.int/go/key-technologies</w:t>
        </w:r>
      </w:hyperlink>
      <w:r w:rsidRPr="00CA61A6">
        <w:rPr>
          <w:rFonts w:eastAsia="SimSun"/>
          <w:lang w:eastAsia="ja-JP"/>
        </w:rPr>
        <w:t>).</w:t>
      </w:r>
    </w:p>
    <w:p w:rsidR="00450BDD" w:rsidRPr="00CA61A6" w:rsidRDefault="00BA5BF9" w:rsidP="00BC32E5">
      <w:pPr>
        <w:pStyle w:val="Headingb"/>
        <w:keepLines/>
      </w:pPr>
      <w:bookmarkStart w:id="698" w:name="Item76_03"/>
      <w:r w:rsidRPr="00CA61A6">
        <w:t xml:space="preserve">Acción </w:t>
      </w:r>
      <w:r w:rsidR="00450BDD" w:rsidRPr="00CA61A6">
        <w:t xml:space="preserve">76-03: </w:t>
      </w:r>
      <w:r w:rsidR="00BC32E5">
        <w:t>CE</w:t>
      </w:r>
    </w:p>
    <w:bookmarkEnd w:id="698"/>
    <w:p w:rsidR="00450BDD" w:rsidRPr="00CA61A6" w:rsidRDefault="00450BDD" w:rsidP="00900021">
      <w:pPr>
        <w:keepNext/>
        <w:tabs>
          <w:tab w:val="left" w:pos="794"/>
          <w:tab w:val="left" w:pos="1191"/>
          <w:tab w:val="left" w:pos="1588"/>
          <w:tab w:val="left" w:pos="1985"/>
        </w:tabs>
        <w:spacing w:before="160"/>
        <w:rPr>
          <w:rFonts w:eastAsia="SimSun"/>
          <w:szCs w:val="24"/>
          <w:lang w:eastAsia="ja-JP"/>
        </w:rPr>
      </w:pPr>
      <w:r w:rsidRPr="00CA61A6">
        <w:rPr>
          <w:rFonts w:eastAsia="SimSun"/>
          <w:szCs w:val="24"/>
          <w:lang w:eastAsia="ja-JP"/>
        </w:rPr>
        <w:t xml:space="preserve">Las CE del UIT-T identificaron las especificaciones de pruebas que se indican en la lista evolutiva pertinente (véase </w:t>
      </w:r>
      <w:r w:rsidR="00900021">
        <w:rPr>
          <w:rFonts w:eastAsia="SimSun"/>
          <w:szCs w:val="24"/>
          <w:lang w:eastAsia="ja-JP"/>
        </w:rPr>
        <w:t>la</w:t>
      </w:r>
      <w:r w:rsidRPr="00CA61A6">
        <w:rPr>
          <w:rFonts w:eastAsia="SimSun"/>
          <w:szCs w:val="24"/>
          <w:lang w:eastAsia="ja-JP"/>
        </w:rPr>
        <w:t xml:space="preserve"> </w:t>
      </w:r>
      <w:hyperlink w:anchor="Item76_02" w:history="1">
        <w:r w:rsidR="00900021" w:rsidRPr="005733D3">
          <w:rPr>
            <w:rStyle w:val="Hyperlink"/>
            <w:rFonts w:eastAsia="SimSun"/>
            <w:szCs w:val="24"/>
            <w:lang w:eastAsia="ja-JP"/>
          </w:rPr>
          <w:t>Acción</w:t>
        </w:r>
        <w:r w:rsidRPr="005733D3">
          <w:rPr>
            <w:rStyle w:val="Hyperlink"/>
            <w:rFonts w:eastAsia="SimSun"/>
            <w:szCs w:val="24"/>
            <w:lang w:eastAsia="ja-JP"/>
          </w:rPr>
          <w:t xml:space="preserve"> 76-02</w:t>
        </w:r>
      </w:hyperlink>
      <w:r w:rsidRPr="00CA61A6">
        <w:rPr>
          <w:rFonts w:eastAsia="SimSun"/>
          <w:szCs w:val="24"/>
          <w:lang w:eastAsia="ja-JP"/>
        </w:rPr>
        <w:t>). Algunas de esas especificaciones están armonizadas con otros organismos de normalización/foros/consorcios.</w:t>
      </w:r>
    </w:p>
    <w:p w:rsidR="00450BDD" w:rsidRPr="00CA61A6" w:rsidRDefault="00450BDD" w:rsidP="007B3478">
      <w:pPr>
        <w:rPr>
          <w:rFonts w:eastAsia="SimSun"/>
          <w:szCs w:val="24"/>
          <w:lang w:eastAsia="ja-JP"/>
        </w:rPr>
      </w:pPr>
      <w:r w:rsidRPr="00CA61A6">
        <w:rPr>
          <w:rFonts w:eastAsia="SimSun"/>
          <w:szCs w:val="24"/>
          <w:lang w:eastAsia="ja-JP"/>
        </w:rPr>
        <w:t>La CE 11 del UIT-T está colaborando con ETSI TC INT en la elaboración de normas sobre temas técnicos de su interés (por ejemplo, pruebas de conformidad SIP-IMS, medición de la velocidad de Internet, marco de interconexión de redes VoLTE/ViLTE, y requisitos y especificaciones de pruebas para los protocolos de señalización que se utilizarán para la interconexión VoLTE/ViLTE).</w:t>
      </w:r>
    </w:p>
    <w:p w:rsidR="00450BDD" w:rsidRPr="00CA61A6" w:rsidRDefault="000773B6" w:rsidP="00DD4AB9">
      <w:pPr>
        <w:pStyle w:val="Headingb"/>
        <w:keepLines/>
      </w:pPr>
      <w:bookmarkStart w:id="699" w:name="Item76_04"/>
      <w:r w:rsidRPr="00CA61A6">
        <w:t xml:space="preserve">Acción </w:t>
      </w:r>
      <w:r w:rsidR="00450BDD" w:rsidRPr="00CA61A6">
        <w:t>76-04</w:t>
      </w:r>
      <w:r w:rsidR="00763926" w:rsidRPr="00CA61A6">
        <w:t>: CE </w:t>
      </w:r>
      <w:r w:rsidR="00450BDD" w:rsidRPr="00CA61A6">
        <w:t>11</w:t>
      </w:r>
    </w:p>
    <w:bookmarkEnd w:id="699"/>
    <w:p w:rsidR="00450BDD" w:rsidRPr="00CA61A6" w:rsidRDefault="00450BDD" w:rsidP="003938B6">
      <w:pPr>
        <w:rPr>
          <w:rFonts w:eastAsia="SimSun"/>
          <w:lang w:eastAsia="ja-JP"/>
        </w:rPr>
      </w:pPr>
      <w:r w:rsidRPr="00CA61A6">
        <w:rPr>
          <w:rFonts w:eastAsia="SimSun"/>
          <w:lang w:eastAsia="ja-JP"/>
        </w:rPr>
        <w:t>El 1 de marzo de 2013 la CE</w:t>
      </w:r>
      <w:r w:rsidR="00C515A0" w:rsidRPr="00CA61A6">
        <w:rPr>
          <w:rFonts w:eastAsia="SimSun"/>
          <w:lang w:eastAsia="ja-JP"/>
        </w:rPr>
        <w:t> </w:t>
      </w:r>
      <w:r w:rsidRPr="00CA61A6">
        <w:rPr>
          <w:rFonts w:eastAsia="SimSun"/>
          <w:lang w:eastAsia="ja-JP"/>
        </w:rPr>
        <w:t xml:space="preserve">11 del UIT-T aprobó un plan de acción para la realización de su Programa de C+I y reactivó la </w:t>
      </w:r>
      <w:hyperlink r:id="rId194" w:history="1">
        <w:r w:rsidRPr="00CA61A6">
          <w:rPr>
            <w:rFonts w:eastAsia="SimSun"/>
            <w:color w:val="0000FF"/>
            <w:u w:val="single"/>
            <w:lang w:eastAsia="ja-JP"/>
          </w:rPr>
          <w:t>Actividad de Coordinación Conjunta</w:t>
        </w:r>
      </w:hyperlink>
      <w:r w:rsidRPr="00CA61A6">
        <w:rPr>
          <w:rFonts w:eastAsia="SimSun"/>
          <w:lang w:eastAsia="ja-JP"/>
        </w:rPr>
        <w:t xml:space="preserve"> que supervisa las actividades de C+I realizadas por los diversos grupos de expertos de la UIT.</w:t>
      </w:r>
    </w:p>
    <w:p w:rsidR="00450BDD" w:rsidRPr="00CA61A6" w:rsidRDefault="00450BDD" w:rsidP="007B3478">
      <w:pPr>
        <w:rPr>
          <w:rFonts w:eastAsia="SimSun"/>
          <w:lang w:eastAsia="ja-JP"/>
        </w:rPr>
      </w:pPr>
      <w:r w:rsidRPr="00CA61A6">
        <w:rPr>
          <w:rFonts w:eastAsia="SimSun"/>
          <w:lang w:eastAsia="ja-JP"/>
        </w:rPr>
        <w:t>La CE</w:t>
      </w:r>
      <w:r w:rsidR="00CB4664" w:rsidRPr="00CA61A6">
        <w:rPr>
          <w:rFonts w:eastAsia="SimSun"/>
          <w:lang w:eastAsia="ja-JP"/>
        </w:rPr>
        <w:t> </w:t>
      </w:r>
      <w:r w:rsidRPr="00CA61A6">
        <w:rPr>
          <w:rFonts w:eastAsia="SimSun"/>
          <w:lang w:eastAsia="ja-JP"/>
        </w:rPr>
        <w:t>11 preparó:</w:t>
      </w:r>
    </w:p>
    <w:p w:rsidR="00450BDD" w:rsidRPr="00CA61A6" w:rsidRDefault="00976F78" w:rsidP="00976F78">
      <w:pPr>
        <w:pStyle w:val="enumlev1"/>
        <w:rPr>
          <w:rFonts w:eastAsia="SimSun"/>
          <w:lang w:eastAsia="ja-JP"/>
        </w:rPr>
      </w:pPr>
      <w:r w:rsidRPr="00CA61A6">
        <w:rPr>
          <w:rFonts w:eastAsia="SimSun"/>
          <w:lang w:eastAsia="ja-JP"/>
        </w:rPr>
        <w:t>–</w:t>
      </w:r>
      <w:r w:rsidRPr="00CA61A6">
        <w:rPr>
          <w:rFonts w:eastAsia="SimSun"/>
          <w:lang w:eastAsia="ja-JP"/>
        </w:rPr>
        <w:tab/>
      </w:r>
      <w:r w:rsidR="00450BDD" w:rsidRPr="00CA61A6">
        <w:rPr>
          <w:rFonts w:eastAsia="SimSun"/>
          <w:lang w:eastAsia="ja-JP"/>
        </w:rPr>
        <w:t>un cuadro de referencia de las Recomendaciones UIT-T y las especificaciones de prueba correspondientes utilizadas en las pruebas de conformidad e interoperatividad (</w:t>
      </w:r>
      <w:hyperlink r:id="rId195" w:history="1">
        <w:r w:rsidR="00450BDD" w:rsidRPr="00CA61A6">
          <w:rPr>
            <w:rFonts w:eastAsia="SimSun"/>
            <w:color w:val="0000FF"/>
            <w:u w:val="single"/>
            <w:lang w:eastAsia="ja-JP"/>
          </w:rPr>
          <w:t>http://itu.int/go/reference-table</w:t>
        </w:r>
      </w:hyperlink>
      <w:r w:rsidR="00450BDD" w:rsidRPr="00CA61A6">
        <w:rPr>
          <w:rFonts w:eastAsia="SimSun"/>
          <w:lang w:eastAsia="ja-JP"/>
        </w:rPr>
        <w:t>)</w:t>
      </w:r>
      <w:r w:rsidR="004E0E17" w:rsidRPr="00CA61A6">
        <w:rPr>
          <w:rFonts w:eastAsia="SimSun"/>
          <w:lang w:eastAsia="ja-JP"/>
        </w:rPr>
        <w:t>;</w:t>
      </w:r>
    </w:p>
    <w:p w:rsidR="00450BDD" w:rsidRPr="00CA61A6" w:rsidRDefault="008129F0" w:rsidP="008129F0">
      <w:pPr>
        <w:pStyle w:val="enumlev1"/>
        <w:rPr>
          <w:rFonts w:eastAsia="SimSun"/>
          <w:szCs w:val="24"/>
          <w:lang w:eastAsia="ja-JP"/>
        </w:rPr>
      </w:pPr>
      <w:r w:rsidRPr="00CA61A6">
        <w:rPr>
          <w:rFonts w:eastAsia="SimSun"/>
          <w:lang w:eastAsia="ja-JP"/>
        </w:rPr>
        <w:t>–</w:t>
      </w:r>
      <w:r w:rsidRPr="00CA61A6">
        <w:rPr>
          <w:rFonts w:eastAsia="SimSun"/>
          <w:lang w:eastAsia="ja-JP"/>
        </w:rPr>
        <w:tab/>
      </w:r>
      <w:r w:rsidR="00450BDD" w:rsidRPr="00CA61A6">
        <w:rPr>
          <w:rFonts w:eastAsia="SimSun"/>
          <w:lang w:eastAsia="ja-JP"/>
        </w:rPr>
        <w:t>una lista evolutiva de proyectos piloto de evaluación de la conformidad respecto de las Recomendaciones UIT-T (</w:t>
      </w:r>
      <w:hyperlink r:id="rId196" w:history="1">
        <w:r w:rsidR="00450BDD" w:rsidRPr="00CA61A6">
          <w:rPr>
            <w:rFonts w:eastAsia="SimSun"/>
            <w:color w:val="0000FF"/>
            <w:u w:val="single"/>
            <w:lang w:eastAsia="ja-JP"/>
          </w:rPr>
          <w:t>http://</w:t>
        </w:r>
      </w:hyperlink>
      <w:hyperlink r:id="rId197" w:history="1">
        <w:r w:rsidR="00450BDD" w:rsidRPr="00CA61A6">
          <w:rPr>
            <w:rFonts w:eastAsia="SimSun"/>
            <w:color w:val="0000FF"/>
            <w:u w:val="single"/>
            <w:lang w:eastAsia="ja-JP"/>
          </w:rPr>
          <w:t>itu.int/go/pilot-projects</w:t>
        </w:r>
      </w:hyperlink>
      <w:r w:rsidR="00450BDD" w:rsidRPr="00CA61A6">
        <w:rPr>
          <w:rFonts w:eastAsia="SimSun"/>
          <w:lang w:eastAsia="ja-JP"/>
        </w:rPr>
        <w:t>)</w:t>
      </w:r>
      <w:r w:rsidR="00702EFD">
        <w:rPr>
          <w:rFonts w:eastAsia="SimSun"/>
          <w:szCs w:val="24"/>
          <w:lang w:eastAsia="ja-JP"/>
        </w:rPr>
        <w:t>;</w:t>
      </w:r>
    </w:p>
    <w:p w:rsidR="00450BDD" w:rsidRPr="00CA61A6" w:rsidRDefault="00450BDD" w:rsidP="00FD20EF">
      <w:pPr>
        <w:rPr>
          <w:rFonts w:eastAsia="SimSun"/>
          <w:lang w:eastAsia="ja-JP"/>
        </w:rPr>
      </w:pPr>
      <w:r w:rsidRPr="00CA61A6">
        <w:rPr>
          <w:rFonts w:eastAsia="SimSun"/>
          <w:lang w:eastAsia="ja-JP"/>
        </w:rPr>
        <w:t>y se ocupa de su mantenimiento.</w:t>
      </w:r>
    </w:p>
    <w:p w:rsidR="00450BDD" w:rsidRPr="00CA61A6" w:rsidRDefault="00450BDD" w:rsidP="007B3478">
      <w:pPr>
        <w:rPr>
          <w:rFonts w:eastAsia="SimSun"/>
          <w:szCs w:val="24"/>
          <w:lang w:eastAsia="ja-JP"/>
        </w:rPr>
      </w:pPr>
      <w:r w:rsidRPr="00CA61A6">
        <w:rPr>
          <w:rFonts w:eastAsia="SimSun"/>
          <w:szCs w:val="24"/>
          <w:lang w:eastAsia="ja-JP"/>
        </w:rPr>
        <w:t>Asimismo, la UIT organizó el 17 y 18 de noviembre de 2014 el evento "Lucha contra dispositivos TIC falsificados y de baja calidad" al que asistieron 112 participantes en representación de empresas del sector, gobiernos, organismos reguladores, organizaciones internacionales y organismos de normalización. El evento concluyó instando a la UIT para que contribuyera mediante la "aplica</w:t>
      </w:r>
      <w:r w:rsidR="00A473BC">
        <w:rPr>
          <w:rFonts w:eastAsia="SimSun"/>
          <w:szCs w:val="24"/>
          <w:lang w:eastAsia="ja-JP"/>
        </w:rPr>
        <w:t>ción de normas y programas de C+</w:t>
      </w:r>
      <w:r w:rsidRPr="00CA61A6">
        <w:rPr>
          <w:rFonts w:eastAsia="SimSun"/>
          <w:szCs w:val="24"/>
          <w:lang w:eastAsia="ja-JP"/>
        </w:rPr>
        <w:t>I (conformidad e interoperabilidad) para luchar contra dispositivos f</w:t>
      </w:r>
      <w:r w:rsidR="00FF3CF1">
        <w:rPr>
          <w:rFonts w:eastAsia="SimSun"/>
          <w:szCs w:val="24"/>
          <w:lang w:eastAsia="ja-JP"/>
        </w:rPr>
        <w:t>alsificados y de baja calidad".</w:t>
      </w:r>
    </w:p>
    <w:p w:rsidR="00450BDD" w:rsidRPr="00CA61A6" w:rsidRDefault="00450BDD" w:rsidP="000365B5">
      <w:pPr>
        <w:keepNext/>
        <w:keepLines/>
        <w:rPr>
          <w:rFonts w:eastAsia="SimSun"/>
          <w:szCs w:val="24"/>
          <w:lang w:eastAsia="ja-JP"/>
        </w:rPr>
      </w:pPr>
      <w:r w:rsidRPr="00CA61A6">
        <w:rPr>
          <w:rFonts w:eastAsia="SimSun"/>
          <w:szCs w:val="24"/>
          <w:lang w:eastAsia="ja-JP"/>
        </w:rPr>
        <w:lastRenderedPageBreak/>
        <w:t xml:space="preserve">Tras el evento, los </w:t>
      </w:r>
      <w:r w:rsidR="00110CAD" w:rsidRPr="00CA61A6">
        <w:rPr>
          <w:rFonts w:eastAsia="SimSun"/>
          <w:szCs w:val="24"/>
          <w:lang w:eastAsia="ja-JP"/>
        </w:rPr>
        <w:t xml:space="preserve">miembros </w:t>
      </w:r>
      <w:r w:rsidRPr="00CA61A6">
        <w:rPr>
          <w:rFonts w:eastAsia="SimSun"/>
          <w:szCs w:val="24"/>
          <w:lang w:eastAsia="ja-JP"/>
        </w:rPr>
        <w:t>de la UIT aprobaron el Informe técnico "Equipos TIC falsificados" elaborado por la Comisión de Estudio 11 del UIT-T y encomendaron a la Cuestión 8/11 que continuara estudiando este asunto en estrecha colaboración con el Sector de Desarrollo de las Telecomunicaciones (UIT-D). El Informe Técnico se revisó en diciembre de</w:t>
      </w:r>
      <w:r w:rsidR="00D85815">
        <w:rPr>
          <w:rFonts w:eastAsia="SimSun"/>
          <w:szCs w:val="24"/>
          <w:lang w:eastAsia="ja-JP"/>
        </w:rPr>
        <w:t xml:space="preserve"> 2015</w:t>
      </w:r>
      <w:r w:rsidRPr="00CA61A6">
        <w:rPr>
          <w:rFonts w:eastAsia="SimSun"/>
          <w:szCs w:val="24"/>
          <w:lang w:eastAsia="ja-JP"/>
        </w:rPr>
        <w:t>:</w:t>
      </w:r>
    </w:p>
    <w:p w:rsidR="00450BDD" w:rsidRPr="00CA61A6" w:rsidRDefault="00D72BF4" w:rsidP="00D72BF4">
      <w:pPr>
        <w:pStyle w:val="enumlev1"/>
        <w:rPr>
          <w:rFonts w:eastAsia="SimSun"/>
          <w:szCs w:val="24"/>
          <w:lang w:eastAsia="ja-JP"/>
        </w:rPr>
      </w:pPr>
      <w:r w:rsidRPr="00CA61A6">
        <w:rPr>
          <w:rFonts w:eastAsia="SimSun"/>
          <w:lang w:eastAsia="ja-JP"/>
        </w:rPr>
        <w:t>–</w:t>
      </w:r>
      <w:r w:rsidRPr="00CA61A6">
        <w:rPr>
          <w:rFonts w:eastAsia="SimSun"/>
          <w:lang w:eastAsia="ja-JP"/>
        </w:rPr>
        <w:tab/>
      </w:r>
      <w:hyperlink r:id="rId198" w:history="1">
        <w:r w:rsidR="00450BDD" w:rsidRPr="0049134B">
          <w:rPr>
            <w:rStyle w:val="Hyperlink"/>
            <w:i/>
            <w:iCs/>
          </w:rPr>
          <w:t>Revisión del Informe "Equipos TIC falsificados" (TR-Counterfeit_R1)</w:t>
        </w:r>
      </w:hyperlink>
      <w:r w:rsidR="00450BDD" w:rsidRPr="0049134B">
        <w:rPr>
          <w:i/>
          <w:iCs/>
        </w:rPr>
        <w:t>.</w:t>
      </w:r>
    </w:p>
    <w:p w:rsidR="00450BDD" w:rsidRPr="00CA61A6" w:rsidRDefault="00450BDD" w:rsidP="007B3478">
      <w:pPr>
        <w:rPr>
          <w:rFonts w:eastAsia="SimSun"/>
          <w:szCs w:val="24"/>
          <w:lang w:eastAsia="ja-JP"/>
        </w:rPr>
      </w:pPr>
      <w:r w:rsidRPr="00CA61A6">
        <w:rPr>
          <w:rFonts w:eastAsia="SimSun"/>
          <w:szCs w:val="24"/>
          <w:lang w:eastAsia="ja-JP"/>
        </w:rPr>
        <w:t>La CE 11 empezó a preparar una nueva Recomendación UIT-T sobre "Marco de soluciones para la lucha contra la falsificación de dispositivos TIC (Q.FW_CCF)". Esta Recomendación contendrá el marco de referencia con los requisitos que se habrán de tener en cuenta a la hora de escoger las medidas de lucha contra la falsificación de dispositivos de TIC. Además, se están preparando dos Informes Técnicos:</w:t>
      </w:r>
    </w:p>
    <w:p w:rsidR="00450BDD" w:rsidRPr="003C514E" w:rsidRDefault="00F77645" w:rsidP="00F77645">
      <w:pPr>
        <w:pStyle w:val="enumlev1"/>
        <w:rPr>
          <w:rFonts w:eastAsia="SimSun"/>
          <w:lang w:eastAsia="ja-JP"/>
        </w:rPr>
      </w:pPr>
      <w:r w:rsidRPr="003C514E">
        <w:rPr>
          <w:rFonts w:eastAsia="SimSun"/>
          <w:lang w:eastAsia="ja-JP"/>
        </w:rPr>
        <w:t>–</w:t>
      </w:r>
      <w:r w:rsidRPr="003C514E">
        <w:rPr>
          <w:rFonts w:eastAsia="SimSun"/>
          <w:lang w:eastAsia="ja-JP"/>
        </w:rPr>
        <w:tab/>
      </w:r>
      <w:r w:rsidR="00141F5B" w:rsidRPr="003C514E">
        <w:rPr>
          <w:rFonts w:eastAsia="SimSun"/>
          <w:i/>
          <w:iCs/>
          <w:lang w:eastAsia="ja-JP"/>
        </w:rPr>
        <w:t xml:space="preserve">Nuevo </w:t>
      </w:r>
      <w:r w:rsidR="00450BDD" w:rsidRPr="003C514E">
        <w:rPr>
          <w:rFonts w:eastAsia="SimSun"/>
          <w:i/>
          <w:iCs/>
          <w:lang w:eastAsia="ja-JP"/>
        </w:rPr>
        <w:t>Informe Técnico</w:t>
      </w:r>
      <w:r w:rsidR="00815334" w:rsidRPr="003C514E">
        <w:rPr>
          <w:rFonts w:eastAsia="SimSun"/>
          <w:i/>
          <w:iCs/>
          <w:lang w:eastAsia="ja-JP"/>
        </w:rPr>
        <w:t>,</w:t>
      </w:r>
      <w:r w:rsidR="00450BDD" w:rsidRPr="003C514E">
        <w:rPr>
          <w:rFonts w:eastAsia="SimSun"/>
          <w:i/>
          <w:iCs/>
          <w:lang w:eastAsia="ja-JP"/>
        </w:rPr>
        <w:t xml:space="preserve"> </w:t>
      </w:r>
      <w:r w:rsidR="00815334" w:rsidRPr="003C514E">
        <w:rPr>
          <w:rFonts w:eastAsia="SimSun"/>
          <w:i/>
          <w:iCs/>
          <w:lang w:eastAsia="ja-JP"/>
        </w:rPr>
        <w:t xml:space="preserve">Use </w:t>
      </w:r>
      <w:r w:rsidR="00450BDD" w:rsidRPr="003C514E">
        <w:rPr>
          <w:rFonts w:eastAsia="SimSun"/>
          <w:i/>
          <w:iCs/>
          <w:lang w:eastAsia="ja-JP"/>
        </w:rPr>
        <w:t>of anti-counterfeiting technical solutions relying on unique and persistent mobile device identifiers (TR-Uni_Id)</w:t>
      </w:r>
      <w:r w:rsidR="004D4D3C" w:rsidRPr="003C514E">
        <w:rPr>
          <w:rFonts w:eastAsia="SimSun"/>
          <w:i/>
          <w:iCs/>
          <w:lang w:eastAsia="ja-JP"/>
        </w:rPr>
        <w:t>.</w:t>
      </w:r>
    </w:p>
    <w:p w:rsidR="00450BDD" w:rsidRPr="00343F12" w:rsidRDefault="00F77645" w:rsidP="00F77645">
      <w:pPr>
        <w:pStyle w:val="enumlev1"/>
        <w:rPr>
          <w:rFonts w:eastAsia="SimSun"/>
          <w:lang w:val="en-US" w:eastAsia="ja-JP"/>
        </w:rPr>
      </w:pPr>
      <w:r w:rsidRPr="00343F12">
        <w:rPr>
          <w:rFonts w:eastAsia="SimSun"/>
          <w:lang w:val="en-US" w:eastAsia="ja-JP"/>
        </w:rPr>
        <w:t>–</w:t>
      </w:r>
      <w:r w:rsidRPr="00343F12">
        <w:rPr>
          <w:rFonts w:eastAsia="SimSun"/>
          <w:lang w:val="en-US" w:eastAsia="ja-JP"/>
        </w:rPr>
        <w:tab/>
      </w:r>
      <w:r w:rsidR="00141F5B" w:rsidRPr="00343F12">
        <w:rPr>
          <w:rFonts w:eastAsia="SimSun"/>
          <w:i/>
          <w:iCs/>
          <w:lang w:val="en-US" w:eastAsia="ja-JP"/>
        </w:rPr>
        <w:t xml:space="preserve">Nuevo </w:t>
      </w:r>
      <w:r w:rsidR="00450BDD" w:rsidRPr="00343F12">
        <w:rPr>
          <w:rFonts w:eastAsia="SimSun"/>
          <w:i/>
          <w:iCs/>
          <w:lang w:val="en-US" w:eastAsia="ja-JP"/>
        </w:rPr>
        <w:t>Informe Técnico, Guidelines on Best Practices and Solutions in Combating of Counterfeit ICT Devices (TR-CF_BP)</w:t>
      </w:r>
      <w:r w:rsidR="004D4D3C" w:rsidRPr="00343F12">
        <w:rPr>
          <w:rFonts w:eastAsia="SimSun"/>
          <w:i/>
          <w:iCs/>
          <w:lang w:val="en-US" w:eastAsia="ja-JP"/>
        </w:rPr>
        <w:t>.</w:t>
      </w:r>
    </w:p>
    <w:p w:rsidR="00450BDD" w:rsidRPr="00CA61A6" w:rsidRDefault="001D2693" w:rsidP="00613B89">
      <w:pPr>
        <w:pStyle w:val="Headingb"/>
        <w:keepLines/>
      </w:pPr>
      <w:bookmarkStart w:id="700" w:name="Item76_05"/>
      <w:r w:rsidRPr="00CA61A6">
        <w:t xml:space="preserve">Acción </w:t>
      </w:r>
      <w:r w:rsidR="00450BDD" w:rsidRPr="00CA61A6">
        <w:t>76-05: TSB</w:t>
      </w:r>
    </w:p>
    <w:bookmarkEnd w:id="700"/>
    <w:p w:rsidR="00450BDD" w:rsidRPr="00CA61A6" w:rsidRDefault="00450BDD" w:rsidP="007B3478">
      <w:pPr>
        <w:rPr>
          <w:rFonts w:eastAsia="SimSun"/>
          <w:szCs w:val="24"/>
          <w:lang w:eastAsia="ja-JP"/>
        </w:rPr>
      </w:pPr>
      <w:r w:rsidRPr="00CA61A6">
        <w:rPr>
          <w:rFonts w:eastAsia="SimSun"/>
          <w:szCs w:val="24"/>
          <w:lang w:eastAsia="ja-JP"/>
        </w:rPr>
        <w:t xml:space="preserve">Los días 1 y 2 de diciembre de 2015, la UIT, la CEI y la ISO organizaron un </w:t>
      </w:r>
      <w:r w:rsidR="00A518A6" w:rsidRPr="00CA61A6">
        <w:rPr>
          <w:rFonts w:eastAsia="SimSun"/>
          <w:szCs w:val="24"/>
          <w:lang w:eastAsia="ja-JP"/>
        </w:rPr>
        <w:t xml:space="preserve">taller </w:t>
      </w:r>
      <w:r w:rsidRPr="00CA61A6">
        <w:rPr>
          <w:rFonts w:eastAsia="SimSun"/>
          <w:szCs w:val="24"/>
          <w:lang w:eastAsia="ja-JP"/>
        </w:rPr>
        <w:t>conjunto de la WSC sobre evaluación de conformidad (</w:t>
      </w:r>
      <w:hyperlink r:id="rId199" w:history="1">
        <w:r w:rsidRPr="00CA61A6">
          <w:rPr>
            <w:rStyle w:val="Hyperlink"/>
            <w:rFonts w:eastAsia="SimSun"/>
            <w:szCs w:val="24"/>
            <w:lang w:eastAsia="ja-JP"/>
          </w:rPr>
          <w:t>página web</w:t>
        </w:r>
      </w:hyperlink>
      <w:r w:rsidRPr="00CA61A6">
        <w:rPr>
          <w:rFonts w:eastAsia="SimSun"/>
          <w:szCs w:val="24"/>
          <w:lang w:eastAsia="ja-JP"/>
        </w:rPr>
        <w:t>).</w:t>
      </w:r>
    </w:p>
    <w:p w:rsidR="00450BDD" w:rsidRPr="00CA61A6" w:rsidRDefault="00450BDD" w:rsidP="007B3478">
      <w:pPr>
        <w:rPr>
          <w:rFonts w:eastAsia="SimSun"/>
          <w:szCs w:val="24"/>
          <w:lang w:eastAsia="ja-JP"/>
        </w:rPr>
      </w:pPr>
      <w:r w:rsidRPr="00CA61A6">
        <w:rPr>
          <w:rFonts w:eastAsia="SimSun"/>
          <w:szCs w:val="24"/>
          <w:lang w:eastAsia="ja-JP"/>
        </w:rPr>
        <w:t>Varios laboratorios de pruebas de distintas regiones (Austria, Italia, Kazajstán, Ucrania, Suecia, Brasil y Rusia) han mostrado su interés por cooperar con la TSB en relación con la C+I.</w:t>
      </w:r>
    </w:p>
    <w:p w:rsidR="00450BDD" w:rsidRPr="00CA61A6" w:rsidRDefault="00450BDD" w:rsidP="007B3478">
      <w:pPr>
        <w:rPr>
          <w:rFonts w:eastAsia="SimSun"/>
          <w:szCs w:val="24"/>
          <w:lang w:eastAsia="ja-JP"/>
        </w:rPr>
      </w:pPr>
      <w:r w:rsidRPr="00CA61A6">
        <w:rPr>
          <w:rFonts w:eastAsia="SimSun"/>
          <w:szCs w:val="24"/>
          <w:lang w:eastAsia="ja-JP"/>
        </w:rPr>
        <w:t>La TSB ha participado en diversos talleres y seminarios de formación, sumando a sus participantes en las actividades de C+I de la UIT. Por ejemplo, Austria, Rusia, Belarús y China han presentado contribuciones sobre pruebas SIP-IMS, pruebas de portabilidad de números móviles, medición de la velocidad de Internet y pruebas de la interfaz de gestión de red.</w:t>
      </w:r>
    </w:p>
    <w:p w:rsidR="00450BDD" w:rsidRPr="00CA61A6" w:rsidRDefault="00CE610E" w:rsidP="00CE610E">
      <w:pPr>
        <w:pStyle w:val="Headingb"/>
        <w:keepLines/>
      </w:pPr>
      <w:bookmarkStart w:id="701" w:name="Item76_06"/>
      <w:r w:rsidRPr="00CA61A6">
        <w:t xml:space="preserve">Acción </w:t>
      </w:r>
      <w:r w:rsidR="00450BDD" w:rsidRPr="00CA61A6">
        <w:t>76-06:</w:t>
      </w:r>
      <w:r w:rsidR="00227524">
        <w:t xml:space="preserve"> </w:t>
      </w:r>
      <w:r w:rsidR="00450BDD" w:rsidRPr="00CA61A6">
        <w:t>TSB</w:t>
      </w:r>
    </w:p>
    <w:bookmarkEnd w:id="701"/>
    <w:p w:rsidR="00450BDD" w:rsidRPr="00CA61A6" w:rsidRDefault="00450BDD" w:rsidP="00644811">
      <w:pPr>
        <w:snapToGrid w:val="0"/>
      </w:pPr>
      <w:r w:rsidRPr="00CA61A6">
        <w:t>En diciembre de 2014, la UIT puso en marcha la "</w:t>
      </w:r>
      <w:hyperlink r:id="rId200" w:history="1">
        <w:r w:rsidRPr="00CA61A6">
          <w:rPr>
            <w:rStyle w:val="Hyperlink"/>
          </w:rPr>
          <w:t>Base de datos de la conformidad de productos</w:t>
        </w:r>
      </w:hyperlink>
      <w:r w:rsidRPr="00CA61A6">
        <w:rPr>
          <w:rStyle w:val="Hyperlink"/>
        </w:rPr>
        <w:t xml:space="preserve"> TIC</w:t>
      </w:r>
      <w:r w:rsidRPr="00CA61A6">
        <w:t>" a fin de proporcionar a la industria un medio de publicación de la conformidad de productos TIC con las Recomendaciones UIT-T.</w:t>
      </w:r>
      <w:r w:rsidR="00644811" w:rsidRPr="00CA61A6">
        <w:t xml:space="preserve"> </w:t>
      </w:r>
      <w:r w:rsidRPr="00CA61A6">
        <w:t>La base de datos recogió desde su inicio información sobre 95 productos de cibersalud a fin de apoyar a los compradores en la selección de productos que cumplan las normas. Se verificó la conformidad de los dispositivos para aplicaciones de cibersalud incluidos en la base de datos con las especificaciones de la Recomendación UIT-T H.810 "</w:t>
      </w:r>
      <w:r w:rsidRPr="00925ED0">
        <w:t>Directrices de diseño para la interoperabilidad de sistemas de salud personal</w:t>
      </w:r>
      <w:r w:rsidRPr="00CA61A6">
        <w:t>". Los procedimientos de prueba se especifican en las Recomendaciones de las series UIT-T H.820-H.850.</w:t>
      </w:r>
    </w:p>
    <w:p w:rsidR="00450BDD" w:rsidRPr="00CA61A6" w:rsidRDefault="00450BDD" w:rsidP="00766F02">
      <w:pPr>
        <w:snapToGrid w:val="0"/>
      </w:pPr>
      <w:r w:rsidRPr="00CA61A6">
        <w:t>En marzo de 2015 la UIT ha publicado una "</w:t>
      </w:r>
      <w:hyperlink r:id="rId201" w:history="1">
        <w:r w:rsidRPr="00CA61A6">
          <w:rPr>
            <w:rStyle w:val="Hyperlink"/>
          </w:rPr>
          <w:t>lista blanca</w:t>
        </w:r>
      </w:hyperlink>
      <w:r w:rsidRPr="00CA61A6">
        <w:t xml:space="preserve">" de teléfonos móviles cuya compatibilidad con terminales de manos libres con Bluetooth a bordo de vehículos se ha verificado en un </w:t>
      </w:r>
      <w:hyperlink r:id="rId202" w:history="1">
        <w:r w:rsidRPr="00CA61A6">
          <w:rPr>
            <w:rStyle w:val="Hyperlink"/>
          </w:rPr>
          <w:t>evento de pruebas de la UIT</w:t>
        </w:r>
      </w:hyperlink>
      <w:r w:rsidRPr="00CA61A6">
        <w:t xml:space="preserve">. Durante el evento se realizaron las pruebas de </w:t>
      </w:r>
      <w:r w:rsidR="00766F02">
        <w:t xml:space="preserve">conformidad establecidas en el </w:t>
      </w:r>
      <w:r w:rsidRPr="00CA61A6">
        <w:t>Capítulo 12 de las Recomendaciones UIT-T P.1100 y P.1110 (01/2015) ("Verificación de la calidad de funcionamiento de teléfonos con transmisión inalámbrica de corto alcance"). De los 35 teléfonos probados aproximadamente el 30% superaron las pruebas, y el 70% restante presentaban degradaciones de su calidad de funcionamiento notablemente sensibles para los conductores y sus interlocutores.</w:t>
      </w:r>
    </w:p>
    <w:p w:rsidR="00450BDD" w:rsidRPr="00CA61A6" w:rsidRDefault="00450BDD" w:rsidP="007B3478">
      <w:pPr>
        <w:rPr>
          <w:rFonts w:eastAsia="SimSun"/>
          <w:szCs w:val="24"/>
          <w:lang w:eastAsia="ja-JP"/>
        </w:rPr>
      </w:pPr>
      <w:r w:rsidRPr="00CA61A6">
        <w:rPr>
          <w:rFonts w:eastAsia="SimSun"/>
          <w:szCs w:val="24"/>
          <w:lang w:eastAsia="ja-JP"/>
        </w:rPr>
        <w:t>Como seguimiento de esta actividad, la UIT seleccionó un laboratorio de pruebas y realizó un segundo evento de pruebas para evaluar el rendimiento de teléfonos móviles como pasarelas de los sistemas manos libres en vehículos de conformidad con las Recomendaciones UIT-T P.1100 y UIT</w:t>
      </w:r>
      <w:r w:rsidR="007311DF" w:rsidRPr="00CA61A6">
        <w:rPr>
          <w:rFonts w:eastAsia="SimSun"/>
          <w:szCs w:val="24"/>
          <w:lang w:eastAsia="ja-JP"/>
        </w:rPr>
        <w:noBreakHyphen/>
      </w:r>
      <w:r w:rsidRPr="00CA61A6">
        <w:rPr>
          <w:rFonts w:eastAsia="SimSun"/>
          <w:szCs w:val="24"/>
          <w:lang w:eastAsia="ja-JP"/>
        </w:rPr>
        <w:t xml:space="preserve">T P.1110 (23-27 de mayo de 2016, </w:t>
      </w:r>
      <w:hyperlink r:id="rId203" w:history="1">
        <w:r w:rsidRPr="00CA61A6">
          <w:rPr>
            <w:rFonts w:eastAsia="SimSun"/>
            <w:color w:val="0000FF"/>
            <w:szCs w:val="24"/>
            <w:u w:val="single"/>
            <w:lang w:eastAsia="ja-JP"/>
          </w:rPr>
          <w:t>página web</w:t>
        </w:r>
      </w:hyperlink>
      <w:r w:rsidRPr="00CA61A6">
        <w:rPr>
          <w:rFonts w:eastAsia="SimSun"/>
          <w:szCs w:val="24"/>
          <w:lang w:eastAsia="ja-JP"/>
        </w:rPr>
        <w:t xml:space="preserve">). Los teléfonos que superaron las pruebas figuran en la </w:t>
      </w:r>
      <w:r w:rsidR="00B26079" w:rsidRPr="00CA61A6">
        <w:rPr>
          <w:rFonts w:eastAsia="SimSun"/>
          <w:szCs w:val="24"/>
          <w:lang w:eastAsia="ja-JP"/>
        </w:rPr>
        <w:t>"</w:t>
      </w:r>
      <w:hyperlink r:id="rId204" w:history="1">
        <w:r w:rsidRPr="00CA61A6">
          <w:rPr>
            <w:rFonts w:eastAsia="SimSun"/>
            <w:color w:val="0000FF"/>
            <w:szCs w:val="24"/>
            <w:u w:val="single"/>
            <w:lang w:eastAsia="ja-JP"/>
          </w:rPr>
          <w:t>lista blanca</w:t>
        </w:r>
      </w:hyperlink>
      <w:r w:rsidR="00B26079" w:rsidRPr="00CA61A6">
        <w:rPr>
          <w:rFonts w:eastAsia="SimSun"/>
          <w:szCs w:val="24"/>
          <w:lang w:eastAsia="ja-JP"/>
        </w:rPr>
        <w:t>"</w:t>
      </w:r>
      <w:r w:rsidR="00C36406" w:rsidRPr="00CA61A6">
        <w:rPr>
          <w:rFonts w:eastAsia="SimSun"/>
          <w:szCs w:val="24"/>
          <w:lang w:eastAsia="ja-JP"/>
        </w:rPr>
        <w:t>.</w:t>
      </w:r>
    </w:p>
    <w:p w:rsidR="00450BDD" w:rsidRPr="00CA61A6" w:rsidRDefault="00450BDD" w:rsidP="005E1879">
      <w:pPr>
        <w:rPr>
          <w:rFonts w:eastAsia="SimSun"/>
          <w:szCs w:val="24"/>
          <w:lang w:eastAsia="ja-JP"/>
        </w:rPr>
      </w:pPr>
      <w:r w:rsidRPr="00CA61A6">
        <w:rPr>
          <w:rFonts w:eastAsia="SimSun"/>
          <w:szCs w:val="24"/>
          <w:lang w:eastAsia="ja-JP"/>
        </w:rPr>
        <w:lastRenderedPageBreak/>
        <w:t xml:space="preserve">El tercer evento de pruebas se celebrará con ocasión de </w:t>
      </w:r>
      <w:hyperlink r:id="rId205" w:history="1">
        <w:r w:rsidRPr="00CA61A6">
          <w:rPr>
            <w:rFonts w:eastAsia="SimSun"/>
            <w:color w:val="0000FF"/>
            <w:szCs w:val="24"/>
            <w:u w:val="single"/>
            <w:lang w:eastAsia="ja-JP"/>
          </w:rPr>
          <w:t>ITU Telecom World</w:t>
        </w:r>
      </w:hyperlink>
      <w:r w:rsidRPr="00CA61A6">
        <w:rPr>
          <w:rFonts w:eastAsia="SimSun"/>
          <w:szCs w:val="24"/>
          <w:lang w:eastAsia="ja-JP"/>
        </w:rPr>
        <w:t xml:space="preserve"> (14-17 de noviembre de 2016). Inmediatamente después del evento se celebrará una mesa redonda sobre los resultados de las pruebas y las posibles maneras de superarlas. En la mesa redonda participarán representantes de la industria </w:t>
      </w:r>
      <w:r w:rsidR="004121EA">
        <w:rPr>
          <w:rFonts w:eastAsia="SimSun"/>
          <w:szCs w:val="24"/>
          <w:lang w:eastAsia="ja-JP"/>
        </w:rPr>
        <w:t xml:space="preserve">del </w:t>
      </w:r>
      <w:r w:rsidRPr="00CA61A6">
        <w:rPr>
          <w:rFonts w:eastAsia="SimSun"/>
          <w:szCs w:val="24"/>
          <w:lang w:eastAsia="ja-JP"/>
        </w:rPr>
        <w:t xml:space="preserve">automóvil y de </w:t>
      </w:r>
      <w:r w:rsidR="00975A97">
        <w:rPr>
          <w:rFonts w:eastAsia="SimSun"/>
          <w:szCs w:val="24"/>
          <w:lang w:eastAsia="ja-JP"/>
        </w:rPr>
        <w:t xml:space="preserve">la </w:t>
      </w:r>
      <w:r w:rsidRPr="00CA61A6">
        <w:rPr>
          <w:rFonts w:eastAsia="SimSun"/>
          <w:szCs w:val="24"/>
          <w:lang w:eastAsia="ja-JP"/>
        </w:rPr>
        <w:t>telefonía móvil.</w:t>
      </w:r>
    </w:p>
    <w:p w:rsidR="00450BDD" w:rsidRPr="00CA61A6" w:rsidRDefault="00450BDD" w:rsidP="007B3478">
      <w:pPr>
        <w:rPr>
          <w:rFonts w:eastAsia="SimSun"/>
          <w:szCs w:val="24"/>
          <w:lang w:eastAsia="ja-JP"/>
        </w:rPr>
      </w:pPr>
      <w:r w:rsidRPr="00CA61A6">
        <w:rPr>
          <w:rFonts w:eastAsia="SimSun"/>
          <w:szCs w:val="24"/>
          <w:lang w:eastAsia="ja-JP"/>
        </w:rPr>
        <w:t>En abril de 2016 se actualizó la base de datos de conformidad de productos de TIC con los dispositivos de TIC cuya conformidad con las Recomendaciones UIT-T sobre servicios Ethernet (UIT-T G.8011 y UIT-T Y.1307) se había probado.</w:t>
      </w:r>
    </w:p>
    <w:p w:rsidR="00450BDD" w:rsidRPr="00CA61A6" w:rsidRDefault="00450BDD" w:rsidP="007B3478">
      <w:pPr>
        <w:rPr>
          <w:rFonts w:eastAsia="SimSun"/>
          <w:szCs w:val="24"/>
          <w:lang w:eastAsia="ja-JP"/>
        </w:rPr>
      </w:pPr>
      <w:r w:rsidRPr="00CA61A6">
        <w:rPr>
          <w:rFonts w:eastAsia="SimSun"/>
          <w:szCs w:val="24"/>
          <w:lang w:eastAsia="ja-JP"/>
        </w:rPr>
        <w:t xml:space="preserve">En el marco del Pilar 2 del Programa de C+I del UIT-T, la TSB realiza eventos de interoperatividad a petición de los </w:t>
      </w:r>
      <w:r w:rsidR="00110CAD" w:rsidRPr="00CA61A6">
        <w:rPr>
          <w:rFonts w:eastAsia="SimSun"/>
          <w:szCs w:val="24"/>
          <w:lang w:eastAsia="ja-JP"/>
        </w:rPr>
        <w:t xml:space="preserve">miembros </w:t>
      </w:r>
      <w:r w:rsidRPr="00CA61A6">
        <w:rPr>
          <w:rFonts w:eastAsia="SimSun"/>
          <w:szCs w:val="24"/>
          <w:lang w:eastAsia="ja-JP"/>
        </w:rPr>
        <w:t>de la UIT:</w:t>
      </w:r>
    </w:p>
    <w:p w:rsidR="00450BDD" w:rsidRPr="00CA61A6" w:rsidRDefault="00A63001" w:rsidP="00857ED1">
      <w:pPr>
        <w:pStyle w:val="enumlev1"/>
        <w:rPr>
          <w:rFonts w:eastAsia="SimSun"/>
          <w:szCs w:val="24"/>
          <w:lang w:eastAsia="ja-JP"/>
        </w:rPr>
      </w:pPr>
      <w:r w:rsidRPr="00CA61A6">
        <w:t>•</w:t>
      </w:r>
      <w:r w:rsidRPr="00CA61A6">
        <w:tab/>
      </w:r>
      <w:hyperlink r:id="rId206" w:history="1">
        <w:r w:rsidR="00450BDD" w:rsidRPr="00CA61A6">
          <w:rPr>
            <w:rFonts w:eastAsia="SimSun"/>
            <w:color w:val="0000FF"/>
            <w:szCs w:val="24"/>
            <w:u w:val="single"/>
            <w:lang w:eastAsia="ja-JP"/>
          </w:rPr>
          <w:t>Evento de pruebas TVIP</w:t>
        </w:r>
      </w:hyperlink>
      <w:r w:rsidR="00450BDD" w:rsidRPr="00CA61A6">
        <w:rPr>
          <w:rFonts w:eastAsia="SimSun"/>
          <w:szCs w:val="24"/>
          <w:lang w:eastAsia="ja-JP"/>
        </w:rPr>
        <w:t xml:space="preserve"> </w:t>
      </w:r>
      <w:r w:rsidR="00450BDD" w:rsidRPr="00E4015D">
        <w:rPr>
          <w:rFonts w:eastAsia="SimSun"/>
          <w:szCs w:val="24"/>
          <w:lang w:eastAsia="ja-JP"/>
        </w:rPr>
        <w:t>(Ginebra, 2 de junio de 2016)</w:t>
      </w:r>
      <w:r w:rsidR="00857ED1" w:rsidRPr="00E4015D">
        <w:t>.</w:t>
      </w:r>
    </w:p>
    <w:p w:rsidR="00450BDD" w:rsidRPr="00CA61A6" w:rsidRDefault="001673D2" w:rsidP="00857ED1">
      <w:pPr>
        <w:pStyle w:val="enumlev1"/>
        <w:rPr>
          <w:rFonts w:eastAsia="SimSun"/>
          <w:szCs w:val="24"/>
          <w:lang w:eastAsia="ja-JP"/>
        </w:rPr>
      </w:pPr>
      <w:r w:rsidRPr="00CA61A6">
        <w:t>•</w:t>
      </w:r>
      <w:r w:rsidRPr="00CA61A6">
        <w:tab/>
      </w:r>
      <w:hyperlink r:id="rId207" w:history="1">
        <w:r w:rsidR="00450BDD" w:rsidRPr="00CA61A6">
          <w:rPr>
            <w:rStyle w:val="Hyperlink"/>
          </w:rPr>
          <w:t>Segundo evento de pruebas de la UIT de la calidad de funcionamiento de teléfonos móviles como pasarelas para sistemas manos libres de automóviles</w:t>
        </w:r>
      </w:hyperlink>
      <w:r w:rsidR="00450BDD" w:rsidRPr="00CA61A6">
        <w:t xml:space="preserve"> </w:t>
      </w:r>
      <w:r w:rsidR="00450BDD" w:rsidRPr="00E4015D">
        <w:rPr>
          <w:rFonts w:eastAsia="SimSun"/>
          <w:szCs w:val="24"/>
          <w:lang w:eastAsia="ja-JP"/>
        </w:rPr>
        <w:t>(Ginebra, Sede de la UIT, 23-27 de mayo de 2016)</w:t>
      </w:r>
      <w:r w:rsidR="00857ED1" w:rsidRPr="00E4015D">
        <w:t>.</w:t>
      </w:r>
    </w:p>
    <w:p w:rsidR="00450BDD" w:rsidRPr="00CA61A6" w:rsidRDefault="00450BDD" w:rsidP="00857ED1">
      <w:r w:rsidRPr="00CA61A6">
        <w:t>•</w:t>
      </w:r>
      <w:r w:rsidRPr="00CA61A6">
        <w:tab/>
      </w:r>
      <w:hyperlink r:id="rId208" w:history="1">
        <w:r w:rsidR="00FD3258" w:rsidRPr="00CA61A6">
          <w:rPr>
            <w:rStyle w:val="Hyperlink"/>
          </w:rPr>
          <w:t xml:space="preserve">Evento </w:t>
        </w:r>
        <w:r w:rsidRPr="00CA61A6">
          <w:rPr>
            <w:rStyle w:val="Hyperlink"/>
          </w:rPr>
          <w:t>de pruebas TVIP</w:t>
        </w:r>
      </w:hyperlink>
      <w:r w:rsidRPr="00CA61A6">
        <w:t xml:space="preserve"> </w:t>
      </w:r>
      <w:r w:rsidRPr="00E4015D">
        <w:t>(Ginebra, Suiza, 14-15 de octubre de 2015)</w:t>
      </w:r>
      <w:r w:rsidR="00857ED1" w:rsidRPr="00E4015D">
        <w:t>.</w:t>
      </w:r>
    </w:p>
    <w:p w:rsidR="00450BDD" w:rsidRPr="00CA61A6" w:rsidRDefault="00450BDD" w:rsidP="00D151D6">
      <w:pPr>
        <w:pStyle w:val="enumlev1"/>
      </w:pPr>
      <w:r w:rsidRPr="00CA61A6">
        <w:t>•</w:t>
      </w:r>
      <w:r w:rsidRPr="00CA61A6">
        <w:tab/>
      </w:r>
      <w:r w:rsidR="004D5FF2" w:rsidRPr="00CA61A6">
        <w:t xml:space="preserve">Pruebas </w:t>
      </w:r>
      <w:r w:rsidRPr="00CA61A6">
        <w:t xml:space="preserve">de interoperatividad del servicio TVIP y E2E NGN y </w:t>
      </w:r>
      <w:hyperlink r:id="rId209" w:history="1">
        <w:r w:rsidRPr="00CA61A6">
          <w:rPr>
            <w:rStyle w:val="Hyperlink"/>
          </w:rPr>
          <w:t>3er Evento sobre conformidad e interoperatividad conjunto APT/UIT</w:t>
        </w:r>
      </w:hyperlink>
      <w:r w:rsidRPr="00CA61A6">
        <w:t xml:space="preserve"> </w:t>
      </w:r>
      <w:r w:rsidRPr="00E4015D">
        <w:t>(Bangkok, Tailandia, 7-8 de septiembre de 2015).</w:t>
      </w:r>
    </w:p>
    <w:p w:rsidR="00450BDD" w:rsidRPr="00CA61A6" w:rsidRDefault="00450BDD" w:rsidP="007B3478">
      <w:r w:rsidRPr="00CA61A6">
        <w:t xml:space="preserve">Puede encontrarse </w:t>
      </w:r>
      <w:hyperlink r:id="rId210" w:history="1">
        <w:r w:rsidRPr="00F16DFE">
          <w:rPr>
            <w:rStyle w:val="Hyperlink"/>
          </w:rPr>
          <w:t>aquí</w:t>
        </w:r>
      </w:hyperlink>
      <w:r w:rsidRPr="00CA61A6">
        <w:t xml:space="preserve"> la lista completa de eventos de pruebas</w:t>
      </w:r>
      <w:r w:rsidR="00BA13A8">
        <w:t xml:space="preserve"> de</w:t>
      </w:r>
      <w:r w:rsidRPr="00CA61A6">
        <w:t xml:space="preserve"> C+I celebrados.</w:t>
      </w:r>
    </w:p>
    <w:p w:rsidR="00450BDD" w:rsidRPr="00CA61A6" w:rsidRDefault="00450BDD" w:rsidP="00BA13A8">
      <w:pPr>
        <w:rPr>
          <w:rFonts w:eastAsia="SimSun"/>
          <w:szCs w:val="24"/>
          <w:lang w:eastAsia="ja-JP"/>
        </w:rPr>
      </w:pPr>
      <w:r w:rsidRPr="00CA61A6">
        <w:rPr>
          <w:rFonts w:eastAsia="SimSun"/>
          <w:szCs w:val="24"/>
          <w:lang w:eastAsia="ja-JP"/>
        </w:rPr>
        <w:t xml:space="preserve">La TSB se ocupa del mantenimiento del </w:t>
      </w:r>
      <w:r w:rsidRPr="00CA61A6">
        <w:rPr>
          <w:rFonts w:eastAsia="SimSun"/>
          <w:color w:val="0000FF"/>
          <w:szCs w:val="24"/>
          <w:u w:val="single"/>
          <w:lang w:eastAsia="ja-JP"/>
        </w:rPr>
        <w:t>portal de C+I</w:t>
      </w:r>
      <w:r w:rsidRPr="00CA61A6">
        <w:rPr>
          <w:rFonts w:eastAsia="SimSun"/>
          <w:szCs w:val="24"/>
          <w:lang w:eastAsia="ja-JP"/>
        </w:rPr>
        <w:t>, que se utiliza para publicar los resultados más recientes del Programa de C+I de la UIT y, en particular, los documentos, eventos, bases de datos y listas evol</w:t>
      </w:r>
      <w:r w:rsidR="006A017D" w:rsidRPr="00CA61A6">
        <w:rPr>
          <w:rFonts w:eastAsia="SimSun"/>
          <w:szCs w:val="24"/>
          <w:lang w:eastAsia="ja-JP"/>
        </w:rPr>
        <w:t>utivas relacionados con la C+I.</w:t>
      </w:r>
    </w:p>
    <w:p w:rsidR="00450BDD" w:rsidRPr="00CA61A6" w:rsidRDefault="00107EF6" w:rsidP="00107EF6">
      <w:pPr>
        <w:pStyle w:val="Headingb"/>
        <w:keepLines/>
      </w:pPr>
      <w:bookmarkStart w:id="702" w:name="Item76_07"/>
      <w:r w:rsidRPr="00CA61A6">
        <w:t xml:space="preserve">Acción </w:t>
      </w:r>
      <w:r w:rsidR="00450BDD" w:rsidRPr="00CA61A6">
        <w:t>76-07: TSB</w:t>
      </w:r>
    </w:p>
    <w:bookmarkEnd w:id="702"/>
    <w:p w:rsidR="00450BDD" w:rsidRPr="00CA61A6" w:rsidRDefault="00450BDD" w:rsidP="007B3478">
      <w:pPr>
        <w:rPr>
          <w:rFonts w:eastAsia="SimSun"/>
          <w:szCs w:val="24"/>
          <w:lang w:eastAsia="ja-JP"/>
        </w:rPr>
      </w:pPr>
      <w:r w:rsidRPr="00CA61A6">
        <w:rPr>
          <w:rFonts w:eastAsia="SimSun"/>
          <w:szCs w:val="24"/>
          <w:lang w:eastAsia="ja-JP"/>
        </w:rPr>
        <w:t>Tras el debate sobre un procedimiento de selección de los laboratorios de prueba competentes para evaluar y/o certificar los equipos TIC con las Recomendaciones UIT-T, que se inició en 2013 (</w:t>
      </w:r>
      <w:hyperlink r:id="rId211" w:history="1">
        <w:r w:rsidRPr="00CA61A6">
          <w:rPr>
            <w:rFonts w:eastAsia="SimSun"/>
            <w:color w:val="0000FF"/>
            <w:szCs w:val="24"/>
            <w:u w:val="single"/>
            <w:lang w:eastAsia="ja-JP"/>
          </w:rPr>
          <w:t>newslog</w:t>
        </w:r>
      </w:hyperlink>
      <w:r w:rsidRPr="00CA61A6">
        <w:rPr>
          <w:rFonts w:eastAsia="SimSun"/>
          <w:szCs w:val="24"/>
          <w:lang w:eastAsia="ja-JP"/>
        </w:rPr>
        <w:t>), la CE 11 del UIT-T aprobó las directrices sobre el "Procedimiento de reconocimiento de los laboratorios de prueba". En esas directrices se especifican los criterios y la descripción para el nombramiento de expertos técnicos del UIT-T, además del procedimiento de registro de laboratorios de pruebas competentes para realizar las pruebas de conformidad de equipos de TIC con las Recomendaciones UIT-T en la lista elaborada por la UIT al respecto.</w:t>
      </w:r>
    </w:p>
    <w:p w:rsidR="00450BDD" w:rsidRPr="00CA61A6" w:rsidRDefault="00450BDD" w:rsidP="00AA0CF2">
      <w:pPr>
        <w:rPr>
          <w:rFonts w:eastAsia="SimSun"/>
          <w:szCs w:val="24"/>
          <w:lang w:eastAsia="ja-JP"/>
        </w:rPr>
      </w:pPr>
      <w:r w:rsidRPr="00CA61A6">
        <w:rPr>
          <w:rFonts w:eastAsia="SimSun"/>
          <w:szCs w:val="24"/>
          <w:lang w:eastAsia="ja-JP"/>
        </w:rPr>
        <w:t>Tras la aprobación de las directrices, la CE</w:t>
      </w:r>
      <w:r w:rsidR="008B5B32" w:rsidRPr="00CA61A6">
        <w:rPr>
          <w:rFonts w:eastAsia="SimSun"/>
          <w:szCs w:val="24"/>
          <w:lang w:eastAsia="ja-JP"/>
        </w:rPr>
        <w:t> </w:t>
      </w:r>
      <w:r w:rsidRPr="00CA61A6">
        <w:rPr>
          <w:rFonts w:eastAsia="SimSun"/>
          <w:szCs w:val="24"/>
          <w:lang w:eastAsia="ja-JP"/>
        </w:rPr>
        <w:t xml:space="preserve">11 creó un </w:t>
      </w:r>
      <w:r w:rsidRPr="00CA61A6">
        <w:rPr>
          <w:rFonts w:eastAsia="SimSun"/>
          <w:b/>
          <w:bCs/>
          <w:szCs w:val="24"/>
          <w:lang w:eastAsia="ja-JP"/>
        </w:rPr>
        <w:t>Comité de Dirección de la Evaluación de la Conformidad (CASC</w:t>
      </w:r>
      <w:r w:rsidR="00AA0CF2" w:rsidRPr="00AA0CF2">
        <w:rPr>
          <w:rFonts w:eastAsia="SimSun"/>
          <w:b/>
          <w:bCs/>
          <w:szCs w:val="24"/>
          <w:lang w:eastAsia="ja-JP"/>
        </w:rPr>
        <w:t xml:space="preserve"> </w:t>
      </w:r>
      <w:r w:rsidR="00AA0CF2">
        <w:rPr>
          <w:rFonts w:eastAsia="SimSun"/>
          <w:b/>
          <w:bCs/>
          <w:szCs w:val="24"/>
          <w:lang w:eastAsia="ja-JP"/>
        </w:rPr>
        <w:t>del UIT</w:t>
      </w:r>
      <w:r w:rsidR="00AA0CF2">
        <w:rPr>
          <w:rFonts w:eastAsia="SimSun"/>
          <w:b/>
          <w:bCs/>
          <w:szCs w:val="24"/>
          <w:lang w:eastAsia="ja-JP"/>
        </w:rPr>
        <w:noBreakHyphen/>
        <w:t>T</w:t>
      </w:r>
      <w:r w:rsidRPr="00CA61A6">
        <w:rPr>
          <w:rFonts w:eastAsia="SimSun"/>
          <w:b/>
          <w:bCs/>
          <w:szCs w:val="24"/>
          <w:lang w:eastAsia="ja-JP"/>
        </w:rPr>
        <w:t>)</w:t>
      </w:r>
      <w:r w:rsidRPr="006F2F42">
        <w:rPr>
          <w:rFonts w:eastAsia="SimSun"/>
          <w:szCs w:val="24"/>
          <w:lang w:eastAsia="ja-JP"/>
        </w:rPr>
        <w:t xml:space="preserve">, </w:t>
      </w:r>
      <w:r w:rsidRPr="00CA61A6">
        <w:rPr>
          <w:rFonts w:eastAsia="SimSun"/>
          <w:szCs w:val="24"/>
          <w:lang w:eastAsia="ja-JP"/>
        </w:rPr>
        <w:t>cuyo principal objetivo es establecer criterios, reglas y procedimientos para reconocer laboratorios de prueba con los conocimientos necesarios de las Recomendaciones del UIT-T y registrarlos en la Lista de laboratorios de pruebas reconocidos de la UIT. El CASC celebró su primera reunión el 3 de diciembre de 2015 coincidiendo con la reunión de la CE</w:t>
      </w:r>
      <w:r w:rsidR="008B5B32" w:rsidRPr="00CA61A6">
        <w:rPr>
          <w:rFonts w:eastAsia="SimSun"/>
          <w:szCs w:val="24"/>
          <w:lang w:eastAsia="ja-JP"/>
        </w:rPr>
        <w:t> </w:t>
      </w:r>
      <w:r w:rsidRPr="00CA61A6">
        <w:rPr>
          <w:rFonts w:eastAsia="SimSun"/>
          <w:szCs w:val="24"/>
          <w:lang w:eastAsia="ja-JP"/>
        </w:rPr>
        <w:t>11 del UIT-T (2-11 de diciembre de 2015). El CASC empezó a definir el proceso de aplicación del procedimiento de reconocimiento de los laboratorios de pruebas. Ese proceso se aprobará como directrices de la CE</w:t>
      </w:r>
      <w:r w:rsidR="008B5B32" w:rsidRPr="00CA61A6">
        <w:rPr>
          <w:rFonts w:eastAsia="SimSun"/>
          <w:szCs w:val="24"/>
          <w:lang w:eastAsia="ja-JP"/>
        </w:rPr>
        <w:t> </w:t>
      </w:r>
      <w:r w:rsidRPr="00CA61A6">
        <w:rPr>
          <w:rFonts w:eastAsia="SimSun"/>
          <w:szCs w:val="24"/>
          <w:lang w:eastAsia="ja-JP"/>
        </w:rPr>
        <w:t>11.</w:t>
      </w:r>
    </w:p>
    <w:p w:rsidR="00450BDD" w:rsidRPr="00CA61A6" w:rsidRDefault="00450BDD" w:rsidP="007B3478">
      <w:pPr>
        <w:rPr>
          <w:rFonts w:eastAsia="SimSun"/>
          <w:szCs w:val="24"/>
          <w:lang w:eastAsia="ja-JP"/>
        </w:rPr>
      </w:pPr>
      <w:r w:rsidRPr="00CA61A6">
        <w:rPr>
          <w:rFonts w:eastAsia="SimSun"/>
          <w:szCs w:val="24"/>
          <w:lang w:eastAsia="ja-JP"/>
        </w:rPr>
        <w:t xml:space="preserve">El CASC del UIT-T colabora con los actuales sistemas y mecanismos de evaluación de la conformidad (por ejemplo, órganos de acreditación de la CEI e ILAC). El Sr. Isaac </w:t>
      </w:r>
      <w:r w:rsidR="00693BBC" w:rsidRPr="00CA61A6">
        <w:rPr>
          <w:rFonts w:eastAsia="SimSun"/>
          <w:szCs w:val="24"/>
          <w:lang w:eastAsia="ja-JP"/>
        </w:rPr>
        <w:t xml:space="preserve">BOATENG </w:t>
      </w:r>
      <w:r w:rsidRPr="00CA61A6">
        <w:rPr>
          <w:rFonts w:eastAsia="SimSun"/>
          <w:szCs w:val="24"/>
          <w:lang w:eastAsia="ja-JP"/>
        </w:rPr>
        <w:t>(Autoridad Nacional de Comunicaciones de Ghana) fue nombrado Presidente del CASC del UIT-T.</w:t>
      </w:r>
    </w:p>
    <w:p w:rsidR="00450BDD" w:rsidRPr="00CA61A6" w:rsidRDefault="00450BDD" w:rsidP="006070E6">
      <w:pPr>
        <w:rPr>
          <w:rFonts w:eastAsia="SimSun"/>
          <w:szCs w:val="24"/>
          <w:lang w:eastAsia="ja-JP"/>
        </w:rPr>
      </w:pPr>
      <w:r w:rsidRPr="00CA61A6">
        <w:rPr>
          <w:rFonts w:eastAsia="SimSun"/>
          <w:szCs w:val="24"/>
          <w:lang w:eastAsia="ja-JP"/>
        </w:rPr>
        <w:t>Los principales objetivos del CASC del UIT-T son los siguientes:</w:t>
      </w:r>
    </w:p>
    <w:p w:rsidR="00450BDD" w:rsidRPr="00CA61A6" w:rsidRDefault="009202FA" w:rsidP="009202FA">
      <w:pPr>
        <w:pStyle w:val="enumlev1"/>
        <w:rPr>
          <w:rFonts w:eastAsia="SimSun"/>
          <w:lang w:eastAsia="ja-JP"/>
        </w:rPr>
      </w:pPr>
      <w:r w:rsidRPr="00CA61A6">
        <w:rPr>
          <w:rFonts w:eastAsia="SimSun"/>
          <w:lang w:eastAsia="ja-JP"/>
        </w:rPr>
        <w:t>–</w:t>
      </w:r>
      <w:r w:rsidRPr="00CA61A6">
        <w:rPr>
          <w:rFonts w:eastAsia="SimSun"/>
          <w:lang w:eastAsia="ja-JP"/>
        </w:rPr>
        <w:tab/>
      </w:r>
      <w:r w:rsidR="00450BDD" w:rsidRPr="00CA61A6">
        <w:rPr>
          <w:rFonts w:eastAsia="SimSun"/>
          <w:lang w:eastAsia="ja-JP"/>
        </w:rPr>
        <w:t>presentar la postura y la perspectiva del UIT-T a los órganos de gestión de los sistemas y mecanismos de evaluación de la conformidad de la CEI e ILAC;</w:t>
      </w:r>
    </w:p>
    <w:p w:rsidR="00450BDD" w:rsidRPr="00CA61A6" w:rsidRDefault="009202FA" w:rsidP="009202FA">
      <w:pPr>
        <w:pStyle w:val="enumlev1"/>
        <w:rPr>
          <w:rFonts w:eastAsia="SimSun"/>
          <w:lang w:eastAsia="ja-JP"/>
        </w:rPr>
      </w:pPr>
      <w:r w:rsidRPr="00CA61A6">
        <w:rPr>
          <w:rFonts w:eastAsia="SimSun"/>
          <w:lang w:eastAsia="ja-JP"/>
        </w:rPr>
        <w:lastRenderedPageBreak/>
        <w:t>–</w:t>
      </w:r>
      <w:r w:rsidRPr="00CA61A6">
        <w:rPr>
          <w:rFonts w:eastAsia="SimSun"/>
          <w:lang w:eastAsia="ja-JP"/>
        </w:rPr>
        <w:tab/>
      </w:r>
      <w:r w:rsidR="00450BDD" w:rsidRPr="00CA61A6">
        <w:rPr>
          <w:rFonts w:eastAsia="SimSun"/>
          <w:lang w:eastAsia="ja-JP"/>
        </w:rPr>
        <w:t>establecer criterios, normas y procedimientos para el nombramiento de expertos técnicos del UIT-T en colaboración con los sistemas y mecanismos de evaluación de la conformidad de la CEI, en colaboración con ILAC, a fin de armonizar las pruebas y la evaluación de la conformidad;</w:t>
      </w:r>
    </w:p>
    <w:p w:rsidR="00450BDD" w:rsidRPr="00CA61A6" w:rsidRDefault="009202FA" w:rsidP="009202FA">
      <w:pPr>
        <w:pStyle w:val="enumlev1"/>
        <w:rPr>
          <w:rFonts w:eastAsia="SimSun"/>
          <w:lang w:eastAsia="ja-JP"/>
        </w:rPr>
      </w:pPr>
      <w:r w:rsidRPr="00CA61A6">
        <w:rPr>
          <w:rFonts w:eastAsia="SimSun"/>
          <w:lang w:eastAsia="ja-JP"/>
        </w:rPr>
        <w:t>–</w:t>
      </w:r>
      <w:r w:rsidRPr="00CA61A6">
        <w:rPr>
          <w:rFonts w:eastAsia="SimSun"/>
          <w:lang w:eastAsia="ja-JP"/>
        </w:rPr>
        <w:tab/>
      </w:r>
      <w:r w:rsidR="00450BDD" w:rsidRPr="00CA61A6">
        <w:rPr>
          <w:rFonts w:eastAsia="SimSun"/>
          <w:lang w:eastAsia="ja-JP"/>
        </w:rPr>
        <w:t xml:space="preserve">tramitar las candidaturas de los expertos procedentes de los </w:t>
      </w:r>
      <w:r w:rsidR="000856D6" w:rsidRPr="00CA61A6">
        <w:rPr>
          <w:rFonts w:eastAsia="SimSun"/>
          <w:lang w:eastAsia="ja-JP"/>
        </w:rPr>
        <w:t xml:space="preserve">Miembros </w:t>
      </w:r>
      <w:r w:rsidR="00450BDD" w:rsidRPr="00CA61A6">
        <w:rPr>
          <w:rFonts w:eastAsia="SimSun"/>
          <w:lang w:eastAsia="ja-JP"/>
        </w:rPr>
        <w:t>del UIT-T;</w:t>
      </w:r>
    </w:p>
    <w:p w:rsidR="00450BDD" w:rsidRPr="00CA61A6" w:rsidRDefault="009202FA" w:rsidP="009202FA">
      <w:pPr>
        <w:pStyle w:val="enumlev1"/>
        <w:rPr>
          <w:rFonts w:eastAsia="SimSun"/>
          <w:lang w:eastAsia="ja-JP"/>
        </w:rPr>
      </w:pPr>
      <w:r w:rsidRPr="00CA61A6">
        <w:rPr>
          <w:rFonts w:eastAsia="SimSun"/>
          <w:lang w:eastAsia="ja-JP"/>
        </w:rPr>
        <w:t>–</w:t>
      </w:r>
      <w:r w:rsidRPr="00CA61A6">
        <w:rPr>
          <w:rFonts w:eastAsia="SimSun"/>
          <w:lang w:eastAsia="ja-JP"/>
        </w:rPr>
        <w:tab/>
      </w:r>
      <w:r w:rsidR="00450BDD" w:rsidRPr="00CA61A6">
        <w:rPr>
          <w:rFonts w:eastAsia="SimSun"/>
          <w:lang w:eastAsia="ja-JP"/>
        </w:rPr>
        <w:t>nombrar a los expertos técnicos del UIT-T;</w:t>
      </w:r>
    </w:p>
    <w:p w:rsidR="00450BDD" w:rsidRPr="00CA61A6" w:rsidRDefault="009202FA" w:rsidP="009202FA">
      <w:pPr>
        <w:pStyle w:val="enumlev1"/>
        <w:rPr>
          <w:rFonts w:eastAsia="SimSun"/>
          <w:lang w:eastAsia="ja-JP"/>
        </w:rPr>
      </w:pPr>
      <w:r w:rsidRPr="00CA61A6">
        <w:rPr>
          <w:rFonts w:eastAsia="SimSun"/>
          <w:lang w:eastAsia="ja-JP"/>
        </w:rPr>
        <w:t>–</w:t>
      </w:r>
      <w:r w:rsidRPr="00CA61A6">
        <w:rPr>
          <w:rFonts w:eastAsia="SimSun"/>
          <w:lang w:eastAsia="ja-JP"/>
        </w:rPr>
        <w:tab/>
      </w:r>
      <w:r w:rsidR="00450BDD" w:rsidRPr="00CA61A6">
        <w:rPr>
          <w:rFonts w:eastAsia="SimSun"/>
          <w:lang w:eastAsia="ja-JP"/>
        </w:rPr>
        <w:t>reconocer los laboratorios de pruebas con capacidad para realizar las pruebas de las Recomendaciones UIT-T, evaluados por los órganos de acreditación de la CEI o ILAC, e inscribirlos en la lista de laboratorios de pruebas reconocidos de la UIT.</w:t>
      </w:r>
    </w:p>
    <w:p w:rsidR="00450BDD" w:rsidRPr="00CA61A6" w:rsidRDefault="00450BDD" w:rsidP="007B3478">
      <w:pPr>
        <w:rPr>
          <w:rFonts w:eastAsia="SimSun"/>
          <w:szCs w:val="24"/>
          <w:lang w:eastAsia="ja-JP"/>
        </w:rPr>
      </w:pPr>
      <w:r w:rsidRPr="00CA61A6">
        <w:rPr>
          <w:rFonts w:eastAsia="SimSun"/>
          <w:szCs w:val="24"/>
          <w:lang w:eastAsia="ja-JP"/>
        </w:rPr>
        <w:t>El CASC del UIT-T trabajará principalmente por medios electrónicos y normalmente sus reuniones presenciales se celebrarán en paralelo a las de la CE 11, ajustándose a las normas y procedimientos de trabajo de los Grupos de Trabajo del UIT-T.</w:t>
      </w:r>
    </w:p>
    <w:p w:rsidR="00450BDD" w:rsidRPr="00CA61A6" w:rsidRDefault="00450BDD" w:rsidP="007B3478">
      <w:pPr>
        <w:rPr>
          <w:rFonts w:eastAsia="SimSun"/>
          <w:szCs w:val="24"/>
          <w:lang w:eastAsia="ja-JP"/>
        </w:rPr>
      </w:pPr>
      <w:r w:rsidRPr="00CA61A6">
        <w:rPr>
          <w:rFonts w:eastAsia="SimSun"/>
          <w:szCs w:val="24"/>
          <w:lang w:eastAsia="ja-JP"/>
        </w:rPr>
        <w:t xml:space="preserve">La segunda reunión del CASC del UIT-T se celebró el 28 de junio de 2016. Puede encontrarse más información sobre el CASC del UIT-T en su </w:t>
      </w:r>
      <w:hyperlink r:id="rId212" w:history="1">
        <w:r w:rsidRPr="00CA61A6">
          <w:rPr>
            <w:rStyle w:val="Hyperlink"/>
            <w:rFonts w:eastAsia="SimSun"/>
            <w:szCs w:val="24"/>
            <w:lang w:eastAsia="ja-JP"/>
          </w:rPr>
          <w:t>página web</w:t>
        </w:r>
      </w:hyperlink>
      <w:r w:rsidRPr="00CA61A6">
        <w:rPr>
          <w:rFonts w:eastAsia="SimSun"/>
          <w:szCs w:val="24"/>
          <w:lang w:eastAsia="ja-JP"/>
        </w:rPr>
        <w:t>.</w:t>
      </w:r>
    </w:p>
    <w:p w:rsidR="00450BDD" w:rsidRPr="00CA61A6" w:rsidRDefault="00FF75D6" w:rsidP="00FF75D6">
      <w:pPr>
        <w:pStyle w:val="Headingb"/>
        <w:keepLines/>
      </w:pPr>
      <w:bookmarkStart w:id="703" w:name="Item76_08"/>
      <w:r w:rsidRPr="00CA61A6">
        <w:t xml:space="preserve">Acción </w:t>
      </w:r>
      <w:r w:rsidR="00450BDD" w:rsidRPr="00CA61A6">
        <w:t>76-08: TSB</w:t>
      </w:r>
    </w:p>
    <w:bookmarkEnd w:id="703"/>
    <w:p w:rsidR="00450BDD" w:rsidRPr="00CA61A6" w:rsidRDefault="00450BDD" w:rsidP="007B3478">
      <w:pPr>
        <w:rPr>
          <w:rFonts w:eastAsia="SimSun"/>
          <w:szCs w:val="24"/>
          <w:lang w:eastAsia="ja-JP"/>
        </w:rPr>
      </w:pPr>
      <w:r w:rsidRPr="00CA61A6">
        <w:rPr>
          <w:rFonts w:eastAsia="SimSun"/>
          <w:szCs w:val="24"/>
          <w:lang w:eastAsia="ja-JP"/>
        </w:rPr>
        <w:t>La UIT firmó un Memorando de Entendimiento</w:t>
      </w:r>
      <w:r w:rsidR="00321D50">
        <w:rPr>
          <w:rFonts w:eastAsia="SimSun"/>
          <w:szCs w:val="24"/>
          <w:lang w:eastAsia="ja-JP"/>
        </w:rPr>
        <w:t xml:space="preserve"> (MoU)</w:t>
      </w:r>
      <w:r w:rsidRPr="00CA61A6">
        <w:rPr>
          <w:rFonts w:eastAsia="SimSun"/>
          <w:szCs w:val="24"/>
          <w:lang w:eastAsia="ja-JP"/>
        </w:rPr>
        <w:t xml:space="preserve"> con el Foro Internacional de Acreditación (IAF) y la Cooperación Internacional de Acreditación de Laboratorios (ILAC), que beneficiará al </w:t>
      </w:r>
      <w:r w:rsidR="00E54BF9" w:rsidRPr="00CA61A6">
        <w:rPr>
          <w:rFonts w:eastAsia="SimSun"/>
          <w:szCs w:val="24"/>
          <w:lang w:eastAsia="ja-JP"/>
        </w:rPr>
        <w:t xml:space="preserve">Programa </w:t>
      </w:r>
      <w:r w:rsidRPr="00CA61A6">
        <w:rPr>
          <w:rFonts w:eastAsia="SimSun"/>
          <w:szCs w:val="24"/>
          <w:lang w:eastAsia="ja-JP"/>
        </w:rPr>
        <w:t>de C+I.</w:t>
      </w:r>
    </w:p>
    <w:p w:rsidR="00450BDD" w:rsidRPr="00CA61A6" w:rsidRDefault="00450BDD" w:rsidP="007161C5">
      <w:pPr>
        <w:rPr>
          <w:rFonts w:eastAsiaTheme="minorEastAsia"/>
        </w:rPr>
      </w:pPr>
      <w:r w:rsidRPr="00CA61A6">
        <w:rPr>
          <w:rFonts w:eastAsia="SimSun"/>
          <w:szCs w:val="24"/>
          <w:lang w:eastAsia="ja-JP"/>
        </w:rPr>
        <w:t>La TSB celebró consultas con la Secretaría de la CEI en relación con la utilización de los métodos de evaluación de la conformidad de la CEI para la ejecución del Programa de C+I y está explorando la posibilidad de crear un programa de e</w:t>
      </w:r>
      <w:r w:rsidR="00B15C0D">
        <w:rPr>
          <w:rFonts w:eastAsia="SimSun"/>
          <w:szCs w:val="24"/>
          <w:lang w:eastAsia="ja-JP"/>
        </w:rPr>
        <w:t>valuación de la conformidad UIT</w:t>
      </w:r>
      <w:r w:rsidR="007161C5">
        <w:rPr>
          <w:rFonts w:eastAsia="SimSun"/>
          <w:szCs w:val="24"/>
          <w:lang w:eastAsia="ja-JP"/>
        </w:rPr>
        <w:t>-CEI</w:t>
      </w:r>
      <w:r w:rsidRPr="00CA61A6">
        <w:rPr>
          <w:rFonts w:eastAsia="SimSun"/>
          <w:szCs w:val="24"/>
          <w:lang w:eastAsia="ja-JP"/>
        </w:rPr>
        <w:t xml:space="preserve"> a fin de vincular el programa de evaluación de la conformidad del UIT con el Plan IECEE. De conformidad con las directrices de la CE</w:t>
      </w:r>
      <w:r w:rsidR="008B5B32" w:rsidRPr="00CA61A6">
        <w:rPr>
          <w:rFonts w:eastAsia="SimSun"/>
          <w:szCs w:val="24"/>
          <w:lang w:eastAsia="ja-JP"/>
        </w:rPr>
        <w:t> </w:t>
      </w:r>
      <w:r w:rsidRPr="00CA61A6">
        <w:rPr>
          <w:rFonts w:eastAsia="SimSun"/>
          <w:szCs w:val="24"/>
          <w:lang w:eastAsia="ja-JP"/>
        </w:rPr>
        <w:t xml:space="preserve">11 sobre el </w:t>
      </w:r>
      <w:r w:rsidR="00B26079" w:rsidRPr="00CA61A6">
        <w:rPr>
          <w:rFonts w:eastAsia="SimSun"/>
          <w:szCs w:val="24"/>
          <w:lang w:eastAsia="ja-JP"/>
        </w:rPr>
        <w:t>"</w:t>
      </w:r>
      <w:r w:rsidRPr="00CA61A6">
        <w:rPr>
          <w:rFonts w:eastAsia="SimSun"/>
          <w:szCs w:val="24"/>
          <w:lang w:eastAsia="ja-JP"/>
        </w:rPr>
        <w:t>Procedimiento de reconocimiento de laboratorios de pruebas de la UIT</w:t>
      </w:r>
      <w:r w:rsidR="00B26079" w:rsidRPr="00CA61A6">
        <w:rPr>
          <w:rFonts w:eastAsia="SimSun"/>
          <w:szCs w:val="24"/>
          <w:lang w:eastAsia="ja-JP"/>
        </w:rPr>
        <w:t>"</w:t>
      </w:r>
      <w:r w:rsidRPr="00CA61A6">
        <w:rPr>
          <w:rFonts w:eastAsia="SimSun"/>
          <w:szCs w:val="24"/>
          <w:lang w:eastAsia="ja-JP"/>
        </w:rPr>
        <w:t xml:space="preserve">, </w:t>
      </w:r>
      <w:r w:rsidRPr="00CA61A6">
        <w:rPr>
          <w:rFonts w:eastAsiaTheme="minorEastAsia"/>
        </w:rPr>
        <w:t xml:space="preserve">el UIT-T ha iniciado su cooperación con la CEI para efectuar una prueba voluntaria de evaluación de la conformidad de la tercera parte respecto de las correspondientes Recomendaciones del UIT-T (véase </w:t>
      </w:r>
      <w:r w:rsidR="00AD1ECD">
        <w:t>la</w:t>
      </w:r>
      <w:r w:rsidR="00AD1ECD" w:rsidRPr="00CA61A6">
        <w:t xml:space="preserve"> </w:t>
      </w:r>
      <w:hyperlink r:id="rId213" w:history="1">
        <w:r w:rsidR="00AD1ECD">
          <w:rPr>
            <w:rStyle w:val="Hyperlink"/>
          </w:rPr>
          <w:t>Contribución</w:t>
        </w:r>
        <w:r w:rsidR="00AD1ECD" w:rsidRPr="00CA61A6">
          <w:rPr>
            <w:rStyle w:val="Hyperlink"/>
          </w:rPr>
          <w:t xml:space="preserve"> 63</w:t>
        </w:r>
      </w:hyperlink>
      <w:r w:rsidR="00AD1ECD">
        <w:rPr>
          <w:rStyle w:val="Hyperlink"/>
        </w:rPr>
        <w:t xml:space="preserve"> </w:t>
      </w:r>
      <w:r w:rsidRPr="00CA61A6">
        <w:rPr>
          <w:rFonts w:eastAsiaTheme="minorEastAsia"/>
        </w:rPr>
        <w:t>de la PP-14).</w:t>
      </w:r>
    </w:p>
    <w:p w:rsidR="00450BDD" w:rsidRPr="00CA61A6" w:rsidRDefault="00450BDD" w:rsidP="00A717A5">
      <w:pPr>
        <w:rPr>
          <w:rFonts w:eastAsia="SimSun"/>
          <w:szCs w:val="24"/>
          <w:lang w:eastAsia="ja-JP"/>
        </w:rPr>
      </w:pPr>
      <w:r w:rsidRPr="00CA61A6">
        <w:rPr>
          <w:rFonts w:eastAsia="SimSun"/>
          <w:szCs w:val="24"/>
          <w:lang w:eastAsia="ja-JP"/>
        </w:rPr>
        <w:t xml:space="preserve">La CEI y la UIT están explorando la posibilidad de crear un plan de certificación CEI/UIT que se utilizará para probar la conformidad de los dispositivos de </w:t>
      </w:r>
      <w:r w:rsidR="00883AA3">
        <w:rPr>
          <w:rFonts w:eastAsia="SimSun"/>
          <w:szCs w:val="24"/>
          <w:lang w:eastAsia="ja-JP"/>
        </w:rPr>
        <w:t>TIC con las Recomendaciones UIT</w:t>
      </w:r>
      <w:r w:rsidR="00883AA3">
        <w:rPr>
          <w:rFonts w:eastAsia="SimSun"/>
          <w:szCs w:val="24"/>
          <w:lang w:eastAsia="ja-JP"/>
        </w:rPr>
        <w:noBreakHyphen/>
      </w:r>
      <w:r w:rsidRPr="00CA61A6">
        <w:rPr>
          <w:rFonts w:eastAsia="SimSun"/>
          <w:szCs w:val="24"/>
          <w:lang w:eastAsia="ja-JP"/>
        </w:rPr>
        <w:t xml:space="preserve">T. Representantes de la TSB participaron en las reuniones pertinentes, como las del Grupo de Trabajo de la Junta de Evaluación de la Conformidad de la CEI (CAB AHG – </w:t>
      </w:r>
      <w:r w:rsidR="00A717A5">
        <w:rPr>
          <w:rFonts w:eastAsia="SimSun"/>
          <w:szCs w:val="24"/>
          <w:lang w:eastAsia="ja-JP"/>
        </w:rPr>
        <w:t>UIT</w:t>
      </w:r>
      <w:r w:rsidRPr="00CA61A6">
        <w:rPr>
          <w:rFonts w:eastAsia="SimSun"/>
          <w:szCs w:val="24"/>
          <w:lang w:eastAsia="ja-JP"/>
        </w:rPr>
        <w:t xml:space="preserve">) que se celebró durante la 79ª reunión general de la CEI (Minsk, Belarús, octubre de 2015). Esta vía se exploró en las reuniones del CASC </w:t>
      </w:r>
      <w:r w:rsidR="00C230E2">
        <w:rPr>
          <w:rFonts w:eastAsia="SimSun"/>
          <w:szCs w:val="24"/>
          <w:lang w:eastAsia="ja-JP"/>
        </w:rPr>
        <w:t xml:space="preserve">del </w:t>
      </w:r>
      <w:r w:rsidRPr="00CA61A6">
        <w:rPr>
          <w:rFonts w:eastAsia="SimSun"/>
          <w:szCs w:val="24"/>
          <w:lang w:eastAsia="ja-JP"/>
        </w:rPr>
        <w:t>UIT-T (Ginebra, 3 de diciembre de 2015 y 28 de junio de 2016).</w:t>
      </w:r>
    </w:p>
    <w:p w:rsidR="00450BDD" w:rsidRPr="00CA61A6" w:rsidRDefault="00450BDD" w:rsidP="007B3478">
      <w:pPr>
        <w:rPr>
          <w:rFonts w:eastAsia="SimSun"/>
          <w:szCs w:val="24"/>
          <w:lang w:eastAsia="ja-JP"/>
        </w:rPr>
      </w:pPr>
      <w:r w:rsidRPr="00CA61A6">
        <w:rPr>
          <w:rFonts w:eastAsia="SimSun"/>
          <w:szCs w:val="24"/>
          <w:lang w:eastAsia="ja-JP"/>
        </w:rPr>
        <w:t>El Director de la TSB se reunió con los Presidentes de ILAC e IAF (abril de 2013). El Director de la TSB visitó en diciembre de 2013 el ANSI e invitó a esta organización a considerar la posibilidad de aumentar la colaboración con la UIT, dado que algunos centros de pruebas acreditados por el ANSI también han sido acreditados para pruebas de normas del UIT-T, para que dichos centros participen en el Programa de C+I de la UIT y proporcionen formación y capacitación.</w:t>
      </w:r>
    </w:p>
    <w:p w:rsidR="00450BDD" w:rsidRPr="00CA61A6" w:rsidRDefault="00450BDD" w:rsidP="007B3478">
      <w:pPr>
        <w:rPr>
          <w:rFonts w:eastAsia="SimSun"/>
          <w:szCs w:val="24"/>
          <w:lang w:eastAsia="ja-JP"/>
        </w:rPr>
      </w:pPr>
      <w:r w:rsidRPr="00CA61A6">
        <w:rPr>
          <w:rFonts w:eastAsia="SimSun"/>
          <w:szCs w:val="24"/>
          <w:lang w:eastAsia="ja-JP"/>
        </w:rPr>
        <w:t xml:space="preserve">La Secretaría de la UIT ha transmitido el Informe sobre la marcha del Programa </w:t>
      </w:r>
      <w:r w:rsidR="001C361E">
        <w:rPr>
          <w:rFonts w:eastAsia="SimSun"/>
          <w:szCs w:val="24"/>
          <w:lang w:eastAsia="ja-JP"/>
        </w:rPr>
        <w:t xml:space="preserve">de </w:t>
      </w:r>
      <w:r w:rsidRPr="00CA61A6">
        <w:rPr>
          <w:rFonts w:eastAsia="SimSun"/>
          <w:szCs w:val="24"/>
          <w:lang w:eastAsia="ja-JP"/>
        </w:rPr>
        <w:t>C+I de la UIT a</w:t>
      </w:r>
      <w:r w:rsidRPr="00CA61A6">
        <w:rPr>
          <w:rFonts w:eastAsiaTheme="minorEastAsia"/>
        </w:rPr>
        <w:t xml:space="preserve"> organismos internacionales pertinentes en el campo de la evaluación de la conformidad, tales como </w:t>
      </w:r>
      <w:r w:rsidRPr="00CA61A6">
        <w:rPr>
          <w:rFonts w:eastAsia="SimSun"/>
          <w:szCs w:val="24"/>
          <w:lang w:eastAsia="ja-JP"/>
        </w:rPr>
        <w:t>CEI, ISO, ILAC e IAF.</w:t>
      </w:r>
    </w:p>
    <w:p w:rsidR="00450BDD" w:rsidRPr="00CA61A6" w:rsidRDefault="00450BDD" w:rsidP="007B3478">
      <w:pPr>
        <w:jc w:val="both"/>
        <w:rPr>
          <w:rFonts w:eastAsia="SimSun"/>
          <w:szCs w:val="24"/>
          <w:lang w:eastAsia="ja-JP"/>
        </w:rPr>
      </w:pPr>
      <w:r w:rsidRPr="00CA61A6">
        <w:rPr>
          <w:rFonts w:eastAsia="SimSun"/>
          <w:szCs w:val="24"/>
          <w:lang w:eastAsia="ja-JP"/>
        </w:rPr>
        <w:t xml:space="preserve">Como seguimiento de la llamada a la acción por parte de la reunión de los directores técnicos celebrada el 11 de octubre de 2015 con ocasión de Hungexpo en Budapest (Hungría), la Unión Internacional de Telecomunicaciones (UIT) organizó un </w:t>
      </w:r>
      <w:hyperlink r:id="rId214" w:history="1">
        <w:r w:rsidR="00A518A6" w:rsidRPr="00CA61A6">
          <w:rPr>
            <w:rStyle w:val="Hyperlink"/>
            <w:rFonts w:eastAsia="SimSun"/>
            <w:szCs w:val="24"/>
            <w:lang w:eastAsia="ja-JP"/>
          </w:rPr>
          <w:t>taller</w:t>
        </w:r>
      </w:hyperlink>
      <w:r w:rsidR="00A518A6" w:rsidRPr="00CA61A6">
        <w:rPr>
          <w:rFonts w:eastAsia="SimSun"/>
          <w:szCs w:val="24"/>
          <w:lang w:eastAsia="ja-JP"/>
        </w:rPr>
        <w:t xml:space="preserve"> </w:t>
      </w:r>
      <w:r w:rsidRPr="00CA61A6">
        <w:rPr>
          <w:rFonts w:eastAsia="SimSun"/>
          <w:szCs w:val="24"/>
          <w:lang w:eastAsia="ja-JP"/>
        </w:rPr>
        <w:t>sobre "Interoperabilidad de los servicios de voz y vídeo en entornos híbridos fijo-móvil, incluidas las IMT-Avanzadas (LTE)" el 1 de diciembre de 2015 (</w:t>
      </w:r>
      <w:hyperlink r:id="rId215" w:history="1">
        <w:r w:rsidRPr="00CA61A6">
          <w:rPr>
            <w:rStyle w:val="Hyperlink"/>
            <w:rFonts w:eastAsia="SimSun"/>
            <w:szCs w:val="24"/>
            <w:lang w:eastAsia="ja-JP"/>
          </w:rPr>
          <w:t>newslog</w:t>
        </w:r>
      </w:hyperlink>
      <w:r w:rsidRPr="00CA61A6">
        <w:rPr>
          <w:rFonts w:eastAsia="SimSun"/>
          <w:szCs w:val="24"/>
          <w:lang w:eastAsia="ja-JP"/>
        </w:rPr>
        <w:t xml:space="preserve">). Al </w:t>
      </w:r>
      <w:r w:rsidR="00A518A6" w:rsidRPr="00CA61A6">
        <w:rPr>
          <w:rFonts w:eastAsia="SimSun"/>
          <w:szCs w:val="24"/>
          <w:lang w:eastAsia="ja-JP"/>
        </w:rPr>
        <w:t xml:space="preserve">taller </w:t>
      </w:r>
      <w:r w:rsidRPr="00CA61A6">
        <w:rPr>
          <w:rFonts w:eastAsia="SimSun"/>
          <w:szCs w:val="24"/>
          <w:lang w:eastAsia="ja-JP"/>
        </w:rPr>
        <w:t xml:space="preserve">asistieron operadores, reguladores, fabricantes, laboratorios </w:t>
      </w:r>
      <w:r w:rsidRPr="00CA61A6">
        <w:rPr>
          <w:rFonts w:eastAsia="SimSun"/>
          <w:szCs w:val="24"/>
          <w:lang w:eastAsia="ja-JP"/>
        </w:rPr>
        <w:lastRenderedPageBreak/>
        <w:t xml:space="preserve">de pruebas y demás empresas interesadas en la implantación de VoLTE/ViLTE en las actuales redes de telecomunicaciones. </w:t>
      </w:r>
      <w:r w:rsidR="009D6932" w:rsidRPr="00CA61A6">
        <w:rPr>
          <w:rFonts w:eastAsia="SimSun"/>
          <w:szCs w:val="24"/>
          <w:lang w:eastAsia="ja-JP"/>
        </w:rPr>
        <w:t xml:space="preserve">De los debates </w:t>
      </w:r>
      <w:r w:rsidRPr="00CA61A6">
        <w:rPr>
          <w:rFonts w:eastAsia="SimSun"/>
          <w:szCs w:val="24"/>
          <w:lang w:eastAsia="ja-JP"/>
        </w:rPr>
        <w:t xml:space="preserve">se desprendió, entre otras cosas, que la calidad de voz/vídeo y la itinerancia siguen siendo los principales problemas experimentados con nuevas tecnologías como VoLTE/ViLTE. Se insistió en que la colaboración de todas las organizaciones y organismos de normalización interesados podría contribuir a mejorar la interconexión VoLTE mediante la creación de normas unificadas para la prestación de nuevos servicios de telecomunicaciones, como VoLTE y ViLTE. Puede consultarse el Informe del </w:t>
      </w:r>
      <w:r w:rsidR="00A518A6" w:rsidRPr="00CA61A6">
        <w:rPr>
          <w:rFonts w:eastAsia="SimSun"/>
          <w:szCs w:val="24"/>
          <w:lang w:eastAsia="ja-JP"/>
        </w:rPr>
        <w:t xml:space="preserve">taller </w:t>
      </w:r>
      <w:hyperlink r:id="rId216" w:history="1">
        <w:r w:rsidRPr="00CA61A6">
          <w:rPr>
            <w:rFonts w:eastAsia="SimSun"/>
            <w:color w:val="0000FF"/>
            <w:szCs w:val="24"/>
            <w:u w:val="single"/>
            <w:lang w:eastAsia="ja-JP"/>
          </w:rPr>
          <w:t>aquí</w:t>
        </w:r>
      </w:hyperlink>
      <w:r w:rsidRPr="00CA61A6">
        <w:rPr>
          <w:rFonts w:eastAsia="SimSun"/>
          <w:szCs w:val="24"/>
          <w:lang w:eastAsia="ja-JP"/>
        </w:rPr>
        <w:t>.</w:t>
      </w:r>
    </w:p>
    <w:p w:rsidR="00450BDD" w:rsidRPr="00CA61A6" w:rsidRDefault="00FF0415" w:rsidP="00EC34F1">
      <w:pPr>
        <w:pStyle w:val="Headingb"/>
        <w:keepLines/>
      </w:pPr>
      <w:bookmarkStart w:id="704" w:name="Item76_09"/>
      <w:r w:rsidRPr="00CA61A6">
        <w:t xml:space="preserve">Acción </w:t>
      </w:r>
      <w:r w:rsidR="00450BDD" w:rsidRPr="00CA61A6">
        <w:t>76-09: TSB</w:t>
      </w:r>
    </w:p>
    <w:bookmarkEnd w:id="704"/>
    <w:p w:rsidR="00450BDD" w:rsidRPr="00CA61A6" w:rsidRDefault="00450BDD" w:rsidP="007B3478">
      <w:pPr>
        <w:rPr>
          <w:rFonts w:eastAsia="SimSun"/>
          <w:szCs w:val="24"/>
          <w:lang w:eastAsia="ja-JP"/>
        </w:rPr>
      </w:pPr>
      <w:r w:rsidRPr="00CA61A6">
        <w:rPr>
          <w:rFonts w:eastAsia="SimSun"/>
          <w:szCs w:val="24"/>
          <w:lang w:eastAsia="ja-JP"/>
        </w:rPr>
        <w:t>La TSB y la BDT siguen colaborando con organizaciones nacionales e internacionales que pueden prestar asistencia en la creación de capacidades en países en desarrollo a fin de capacitar a personal técnico y legisladores sobre diversos aspectos de las pruebas de interfuncionamiento, pruebas de conformidad y acreditación de laboratorios.</w:t>
      </w:r>
    </w:p>
    <w:p w:rsidR="00450BDD" w:rsidRPr="00CA61A6" w:rsidRDefault="00450BDD" w:rsidP="007B3478">
      <w:pPr>
        <w:rPr>
          <w:rFonts w:eastAsia="SimSun"/>
          <w:szCs w:val="24"/>
          <w:lang w:eastAsia="ja-JP"/>
        </w:rPr>
      </w:pPr>
      <w:r w:rsidRPr="00CA61A6">
        <w:rPr>
          <w:rFonts w:eastAsia="SimSun"/>
          <w:szCs w:val="24"/>
          <w:lang w:eastAsia="ja-JP"/>
        </w:rPr>
        <w:t>La TSB y la BDT han organizado cursos de formación, talleres y foros de C+I, generalmente como continuación de eventos de organizaciones regionales.</w:t>
      </w:r>
    </w:p>
    <w:p w:rsidR="00450BDD" w:rsidRPr="00CA61A6" w:rsidRDefault="0021365D" w:rsidP="0021365D">
      <w:pPr>
        <w:pStyle w:val="Headingb"/>
        <w:keepLines/>
      </w:pPr>
      <w:bookmarkStart w:id="705" w:name="Item76_10"/>
      <w:r w:rsidRPr="00CA61A6">
        <w:t xml:space="preserve">Acción </w:t>
      </w:r>
      <w:r w:rsidR="00450BDD" w:rsidRPr="00CA61A6">
        <w:t>76-10: TSB</w:t>
      </w:r>
    </w:p>
    <w:bookmarkEnd w:id="705"/>
    <w:p w:rsidR="00450BDD" w:rsidRPr="00CA61A6" w:rsidRDefault="00450BDD" w:rsidP="007B3478">
      <w:pPr>
        <w:rPr>
          <w:rFonts w:eastAsia="SimSun"/>
          <w:szCs w:val="24"/>
          <w:lang w:eastAsia="ja-JP"/>
        </w:rPr>
      </w:pPr>
      <w:r w:rsidRPr="00CA61A6">
        <w:rPr>
          <w:rFonts w:eastAsia="SimSun"/>
          <w:szCs w:val="24"/>
          <w:lang w:eastAsia="ja-JP"/>
        </w:rPr>
        <w:t xml:space="preserve">La Secretaría de la UIT ha firmado Memorandos de Entendimiento para colaboraciones en la ejecución del </w:t>
      </w:r>
      <w:r w:rsidR="00A473BC" w:rsidRPr="00CA61A6">
        <w:rPr>
          <w:rFonts w:eastAsia="SimSun"/>
          <w:szCs w:val="24"/>
          <w:lang w:eastAsia="ja-JP"/>
        </w:rPr>
        <w:t xml:space="preserve">Programa </w:t>
      </w:r>
      <w:r w:rsidR="00A473BC">
        <w:rPr>
          <w:rFonts w:eastAsia="SimSun"/>
          <w:szCs w:val="24"/>
          <w:lang w:eastAsia="ja-JP"/>
        </w:rPr>
        <w:t>de C+</w:t>
      </w:r>
      <w:r w:rsidRPr="00CA61A6">
        <w:rPr>
          <w:rFonts w:eastAsia="SimSun"/>
          <w:szCs w:val="24"/>
          <w:lang w:eastAsia="ja-JP"/>
        </w:rPr>
        <w:t>I con el CERT (Centro de Investigación y Estudios sobre Telecomunicaciones, Túnez), CPqD (Brasil), Sintesio (Eslovenia)</w:t>
      </w:r>
      <w:r w:rsidR="0085491C">
        <w:rPr>
          <w:rFonts w:eastAsia="SimSun"/>
          <w:szCs w:val="24"/>
          <w:lang w:eastAsia="ja-JP"/>
        </w:rPr>
        <w:t>, Tilab (Telecom Italia), ZNIIS </w:t>
      </w:r>
      <w:r w:rsidRPr="00CA61A6">
        <w:rPr>
          <w:rFonts w:eastAsia="SimSun"/>
          <w:szCs w:val="24"/>
          <w:lang w:eastAsia="ja-JP"/>
        </w:rPr>
        <w:t>(Rusia) y CTTL (China).</w:t>
      </w:r>
    </w:p>
    <w:p w:rsidR="00450BDD" w:rsidRPr="00CA61A6" w:rsidRDefault="006803D9" w:rsidP="006803D9">
      <w:pPr>
        <w:pStyle w:val="Headingb"/>
        <w:keepLines/>
      </w:pPr>
      <w:bookmarkStart w:id="706" w:name="Item76_11"/>
      <w:r w:rsidRPr="00CA61A6">
        <w:t xml:space="preserve">Acción </w:t>
      </w:r>
      <w:r w:rsidR="00450BDD" w:rsidRPr="00CA61A6">
        <w:t>76-11: TSB</w:t>
      </w:r>
    </w:p>
    <w:bookmarkEnd w:id="706"/>
    <w:p w:rsidR="00450BDD" w:rsidRPr="00CA61A6" w:rsidRDefault="00450BDD" w:rsidP="00782332">
      <w:pPr>
        <w:rPr>
          <w:rFonts w:eastAsia="SimSun"/>
          <w:szCs w:val="24"/>
          <w:lang w:eastAsia="ja-JP"/>
        </w:rPr>
      </w:pPr>
      <w:r w:rsidRPr="00CA61A6">
        <w:rPr>
          <w:rFonts w:eastAsia="SimSun"/>
          <w:szCs w:val="24"/>
          <w:lang w:eastAsia="ja-JP"/>
        </w:rPr>
        <w:t xml:space="preserve">Se han comunicado al Consejo las novedades en materia de conformidad e interoperatividad en los Documentos </w:t>
      </w:r>
      <w:hyperlink r:id="rId217" w:history="1">
        <w:r w:rsidRPr="00CA61A6">
          <w:rPr>
            <w:rFonts w:eastAsia="SimSun"/>
            <w:color w:val="0000FF"/>
            <w:szCs w:val="24"/>
            <w:u w:val="single"/>
            <w:lang w:eastAsia="ja-JP"/>
          </w:rPr>
          <w:t>C13/24Rev.1</w:t>
        </w:r>
      </w:hyperlink>
      <w:r w:rsidRPr="00CA61A6">
        <w:rPr>
          <w:rFonts w:eastAsia="SimSun"/>
          <w:szCs w:val="24"/>
          <w:lang w:eastAsia="ja-JP"/>
        </w:rPr>
        <w:t xml:space="preserve">, </w:t>
      </w:r>
      <w:hyperlink r:id="rId218" w:history="1">
        <w:r w:rsidRPr="00CA61A6">
          <w:rPr>
            <w:rFonts w:eastAsia="SimSun"/>
            <w:color w:val="0000FF"/>
            <w:u w:val="single"/>
            <w:lang w:eastAsia="ja-JP"/>
          </w:rPr>
          <w:t>C14/24Rev.1</w:t>
        </w:r>
      </w:hyperlink>
      <w:r w:rsidRPr="00CA61A6">
        <w:rPr>
          <w:rFonts w:eastAsia="SimSun"/>
        </w:rPr>
        <w:t xml:space="preserve">, </w:t>
      </w:r>
      <w:hyperlink r:id="rId219" w:history="1">
        <w:r w:rsidRPr="00CA61A6">
          <w:rPr>
            <w:rFonts w:eastAsia="SimSun"/>
            <w:color w:val="0000FF"/>
            <w:u w:val="single"/>
            <w:lang w:eastAsia="ja-JP"/>
          </w:rPr>
          <w:t>C15/24</w:t>
        </w:r>
      </w:hyperlink>
      <w:r w:rsidRPr="00CA61A6">
        <w:rPr>
          <w:rFonts w:eastAsia="SimSun"/>
        </w:rPr>
        <w:t xml:space="preserve"> </w:t>
      </w:r>
      <w:r w:rsidR="00782332" w:rsidRPr="00CA61A6">
        <w:rPr>
          <w:rFonts w:eastAsia="SimSun"/>
        </w:rPr>
        <w:t>y</w:t>
      </w:r>
      <w:r w:rsidRPr="00CA61A6">
        <w:rPr>
          <w:rFonts w:eastAsia="SimSun"/>
        </w:rPr>
        <w:t xml:space="preserve"> </w:t>
      </w:r>
      <w:hyperlink r:id="rId220" w:history="1">
        <w:r w:rsidRPr="00CA61A6">
          <w:rPr>
            <w:rFonts w:eastAsia="SimSun"/>
            <w:color w:val="0000FF"/>
            <w:u w:val="single"/>
            <w:lang w:eastAsia="ja-JP"/>
          </w:rPr>
          <w:t>C16/24Rev.1</w:t>
        </w:r>
      </w:hyperlink>
      <w:r w:rsidRPr="00CA61A6">
        <w:rPr>
          <w:rFonts w:eastAsia="SimSun"/>
          <w:szCs w:val="24"/>
          <w:lang w:eastAsia="ja-JP"/>
        </w:rPr>
        <w:t>.</w:t>
      </w:r>
    </w:p>
    <w:p w:rsidR="00454766" w:rsidRPr="00CA61A6" w:rsidRDefault="00110CAD" w:rsidP="00454766">
      <w:hyperlink w:anchor="Top" w:history="1">
        <w:r w:rsidR="00454766" w:rsidRPr="00CA61A6">
          <w:rPr>
            <w:rStyle w:val="Hyperlink"/>
          </w:rPr>
          <w:t>» Arriba</w:t>
        </w:r>
      </w:hyperlink>
    </w:p>
    <w:p w:rsidR="00450BDD" w:rsidRPr="00CA61A6" w:rsidRDefault="006766DC" w:rsidP="006766DC">
      <w:pPr>
        <w:pStyle w:val="Heading1"/>
      </w:pPr>
      <w:bookmarkStart w:id="707" w:name="_45_Resolución_77"/>
      <w:bookmarkStart w:id="708" w:name="_Toc463335796"/>
      <w:bookmarkEnd w:id="707"/>
      <w:r w:rsidRPr="00CA61A6">
        <w:t>45</w:t>
      </w:r>
      <w:r w:rsidRPr="00CA61A6">
        <w:tab/>
        <w:t xml:space="preserve">Resolución </w:t>
      </w:r>
      <w:r w:rsidR="00450BDD" w:rsidRPr="00CA61A6">
        <w:t>77</w:t>
      </w:r>
      <w:r w:rsidRPr="00CA61A6">
        <w:t xml:space="preserve"> – </w:t>
      </w:r>
      <w:r w:rsidR="00450BDD" w:rsidRPr="00CA61A6">
        <w:t>Normalización de las redes definidas por software en el Sector de Normalización de las Telecomunicaciones de la UIT</w:t>
      </w:r>
      <w:bookmarkEnd w:id="708"/>
    </w:p>
    <w:p w:rsidR="00640E98" w:rsidRPr="00CA61A6" w:rsidRDefault="00640E98" w:rsidP="00640E98">
      <w:pPr>
        <w:pStyle w:val="Headingb"/>
        <w:keepLines/>
      </w:pPr>
      <w:r w:rsidRPr="00CA61A6">
        <w:t>Resolución 77</w:t>
      </w:r>
    </w:p>
    <w:p w:rsidR="00450BDD" w:rsidRPr="00CA61A6" w:rsidRDefault="00450BDD" w:rsidP="007B3478">
      <w:pPr>
        <w:pStyle w:val="Call"/>
      </w:pPr>
      <w:r w:rsidRPr="00CA61A6">
        <w:t>resuelve encargar a la Comisión de Estudio 13 del UIT-T</w:t>
      </w:r>
    </w:p>
    <w:p w:rsidR="00450BDD" w:rsidRPr="00CA61A6" w:rsidRDefault="00450BDD" w:rsidP="007B3478">
      <w:r w:rsidRPr="00CA61A6">
        <w:t>1</w:t>
      </w:r>
      <w:r w:rsidRPr="00CA61A6">
        <w:tab/>
        <w:t>que organice las estructuras precisas en el seno de la Comisión de Estudio 13 para ampliar y acelerar el trabajo sobre la arquitectura y los requisitos de las SDN a partir de su primera reunión del próximo periodo de estudios;</w:t>
      </w:r>
    </w:p>
    <w:p w:rsidR="00450BDD" w:rsidRPr="00CA61A6" w:rsidRDefault="00450BDD" w:rsidP="007B3478">
      <w:r w:rsidRPr="00CA61A6">
        <w:t>2</w:t>
      </w:r>
      <w:r w:rsidRPr="00CA61A6">
        <w:tab/>
        <w:t>que recomiende al Grupo Asesor de Normalización de las Telecomunicaciones (GANT) la forma de abordar los asuntos ajenos al mandato de la Comisión de Estudio 13,</w:t>
      </w:r>
    </w:p>
    <w:p w:rsidR="00450BDD" w:rsidRPr="00CA61A6" w:rsidRDefault="00450BDD" w:rsidP="007B3478">
      <w:pPr>
        <w:pStyle w:val="Call"/>
      </w:pPr>
      <w:r w:rsidRPr="00CA61A6">
        <w:t xml:space="preserve">encarga al Grupo Asesor de Normalización de las Telecomunicaciones </w:t>
      </w:r>
    </w:p>
    <w:p w:rsidR="00450BDD" w:rsidRPr="00CA61A6" w:rsidRDefault="00450BDD" w:rsidP="007B3478">
      <w:pPr>
        <w:rPr>
          <w:rtl/>
        </w:rPr>
      </w:pPr>
      <w:r w:rsidRPr="00CA61A6">
        <w:t xml:space="preserve">que estudie la cuestión, tenga en cuenta la aportación de la Comisión de Estudio 13 y otras Comisiones de Estudio relevantes, y adopte las medidas oportunas con miras a decidir las actividades de normalización de las SDN necesarias en el UIT-T a través de las medidas siguientes: </w:t>
      </w:r>
    </w:p>
    <w:p w:rsidR="00450BDD" w:rsidRPr="00CA61A6" w:rsidRDefault="00450BDD" w:rsidP="007B3478">
      <w:pPr>
        <w:pStyle w:val="enumlev1"/>
        <w:rPr>
          <w:rFonts w:eastAsia="SimSun"/>
          <w:lang w:eastAsia="zh-CN"/>
        </w:rPr>
      </w:pPr>
      <w:r w:rsidRPr="00CA61A6">
        <w:rPr>
          <w:rFonts w:eastAsia="SimSun"/>
          <w:lang w:eastAsia="zh-CN"/>
        </w:rPr>
        <w:t>•</w:t>
      </w:r>
      <w:r w:rsidRPr="00CA61A6">
        <w:rPr>
          <w:rFonts w:eastAsia="SimSun"/>
          <w:lang w:eastAsia="zh-CN"/>
        </w:rPr>
        <w:tab/>
        <w:t xml:space="preserve">la identificación de la o las Comisiones de Estudio pertinentes para llevar a cabo acciones de seguimiento y tomar disposiciones de organización apropiadas en relación con las SDN; </w:t>
      </w:r>
    </w:p>
    <w:p w:rsidR="00450BDD" w:rsidRPr="00CA61A6" w:rsidRDefault="00450BDD" w:rsidP="007B3478">
      <w:pPr>
        <w:pStyle w:val="enumlev1"/>
        <w:rPr>
          <w:rFonts w:eastAsia="SimSun"/>
          <w:lang w:eastAsia="zh-CN"/>
        </w:rPr>
      </w:pPr>
      <w:r w:rsidRPr="00CA61A6">
        <w:rPr>
          <w:rFonts w:eastAsia="SimSun"/>
          <w:lang w:eastAsia="zh-CN"/>
        </w:rPr>
        <w:t>•</w:t>
      </w:r>
      <w:r w:rsidRPr="00CA61A6">
        <w:rPr>
          <w:rFonts w:eastAsia="SimSun"/>
          <w:lang w:eastAsia="zh-CN"/>
        </w:rPr>
        <w:tab/>
        <w:t>la coordinación de los trabajos sobre los aspectos técnicos de las SDN realizados por las Comisiones de Estudio según sus ámbitos de competencia;</w:t>
      </w:r>
    </w:p>
    <w:p w:rsidR="00450BDD" w:rsidRPr="00CA61A6" w:rsidRDefault="00450BDD" w:rsidP="007B3478">
      <w:pPr>
        <w:pStyle w:val="enumlev1"/>
        <w:rPr>
          <w:rFonts w:eastAsia="SimSun"/>
          <w:lang w:eastAsia="zh-CN"/>
        </w:rPr>
      </w:pPr>
      <w:r w:rsidRPr="00CA61A6">
        <w:rPr>
          <w:rFonts w:eastAsia="SimSun"/>
          <w:lang w:eastAsia="zh-CN"/>
        </w:rPr>
        <w:lastRenderedPageBreak/>
        <w:t>•</w:t>
      </w:r>
      <w:r w:rsidRPr="00CA61A6">
        <w:rPr>
          <w:rFonts w:eastAsia="SimSun"/>
          <w:lang w:eastAsia="zh-CN"/>
        </w:rPr>
        <w:tab/>
        <w:t>el fomento de la colaboración con otras organizaciones y foros de normalización relativos a las SDN;</w:t>
      </w:r>
    </w:p>
    <w:p w:rsidR="00450BDD" w:rsidRPr="00CA61A6" w:rsidRDefault="00450BDD" w:rsidP="007B3478">
      <w:pPr>
        <w:pStyle w:val="enumlev1"/>
        <w:rPr>
          <w:rFonts w:eastAsia="SimSun"/>
          <w:lang w:eastAsia="zh-CN"/>
        </w:rPr>
      </w:pPr>
      <w:r w:rsidRPr="00CA61A6">
        <w:rPr>
          <w:rFonts w:eastAsia="SimSun"/>
          <w:lang w:eastAsia="zh-CN"/>
        </w:rPr>
        <w:t>•</w:t>
      </w:r>
      <w:r w:rsidRPr="00CA61A6">
        <w:rPr>
          <w:rFonts w:eastAsia="SimSun"/>
          <w:lang w:eastAsia="zh-CN"/>
        </w:rPr>
        <w:tab/>
        <w:t>la definición de una visión estratégica clara para la normalización de las SDN y el relevante papel activo que debe asumir el UIT-T,</w:t>
      </w:r>
    </w:p>
    <w:p w:rsidR="00450BDD" w:rsidRPr="00CA61A6" w:rsidRDefault="00450BDD" w:rsidP="007B3478">
      <w:pPr>
        <w:pStyle w:val="Call"/>
      </w:pPr>
      <w:r w:rsidRPr="00CA61A6">
        <w:t xml:space="preserve">encarga al Director de la Oficina de Normalización de las Telecomunicaciones </w:t>
      </w:r>
    </w:p>
    <w:p w:rsidR="00450BDD" w:rsidRPr="00CA61A6" w:rsidRDefault="00450BDD" w:rsidP="007B3478">
      <w:r w:rsidRPr="00CA61A6">
        <w:t>1</w:t>
      </w:r>
      <w:r w:rsidRPr="00CA61A6">
        <w:tab/>
        <w:t>que proporcione la asistencia necesaria a fin de agilizar estos esfuerzos, aprovechando en particular cualquier oportunidad dentro de los límites del presupuesto asignado para intercambiar opiniones con la industria de las telecomunicaciones y de las TIC incluso a través de las reuniones de los Directores Tecnológicos (CTO) (en virtud de la Resolución 68 (Rev. Dubái, 2012) de esta Asamblea) y, en particular, promover la participación de la industria en la labor de normalización de las SDN en el UIT-T;</w:t>
      </w:r>
    </w:p>
    <w:p w:rsidR="00450BDD" w:rsidRPr="00CA61A6" w:rsidRDefault="00450BDD" w:rsidP="00117B16">
      <w:pPr>
        <w:rPr>
          <w:rFonts w:eastAsia="SimSun"/>
          <w:lang w:eastAsia="zh-CN"/>
        </w:rPr>
      </w:pPr>
      <w:r w:rsidRPr="00CA61A6">
        <w:rPr>
          <w:rFonts w:eastAsia="SimSun"/>
          <w:lang w:eastAsia="zh-CN"/>
        </w:rPr>
        <w:t>2</w:t>
      </w:r>
      <w:r w:rsidRPr="00CA61A6">
        <w:rPr>
          <w:rFonts w:eastAsia="SimSun"/>
          <w:lang w:eastAsia="zh-CN"/>
        </w:rPr>
        <w:tab/>
        <w:t xml:space="preserve">que </w:t>
      </w:r>
      <w:r w:rsidRPr="00CA61A6">
        <w:t>organice</w:t>
      </w:r>
      <w:r w:rsidRPr="00CA61A6">
        <w:rPr>
          <w:rFonts w:eastAsia="SimSun"/>
          <w:lang w:eastAsia="zh-CN"/>
        </w:rPr>
        <w:t xml:space="preserve"> un seminario sobre las SDN en 2013 para su promoción en el seno de la UIT-T,</w:t>
      </w:r>
    </w:p>
    <w:p w:rsidR="00450BDD" w:rsidRPr="00CA61A6" w:rsidRDefault="00450BDD" w:rsidP="007B3478">
      <w:pPr>
        <w:pStyle w:val="Call"/>
      </w:pPr>
      <w:r w:rsidRPr="00CA61A6">
        <w:t xml:space="preserve">invita a los Estados Miembros, los Miembros de Sector, los Asociados y las instituciones </w:t>
      </w:r>
      <w:r w:rsidR="000365B5">
        <w:t>académicas</w:t>
      </w:r>
    </w:p>
    <w:p w:rsidR="00450BDD" w:rsidRPr="00CA61A6" w:rsidRDefault="00450BDD" w:rsidP="009D7E88">
      <w:pPr>
        <w:spacing w:after="120"/>
        <w:rPr>
          <w:rFonts w:eastAsia="SimSun"/>
          <w:rtl/>
          <w:lang w:eastAsia="zh-CN"/>
        </w:rPr>
      </w:pPr>
      <w:r w:rsidRPr="00CA61A6">
        <w:t>a presentar contribuciones para fomentar la normalización de las SDN en el UIT-T.</w:t>
      </w:r>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2"/>
        <w:gridCol w:w="4807"/>
        <w:gridCol w:w="1574"/>
        <w:gridCol w:w="1148"/>
        <w:gridCol w:w="1261"/>
      </w:tblGrid>
      <w:tr w:rsidR="00450BDD" w:rsidRPr="00CA61A6" w:rsidTr="005D1D5D">
        <w:trPr>
          <w:cantSplit/>
          <w:tblHeader/>
          <w:jc w:val="center"/>
        </w:trPr>
        <w:tc>
          <w:tcPr>
            <w:tcW w:w="1142" w:type="dxa"/>
            <w:tcBorders>
              <w:bottom w:val="double" w:sz="4" w:space="0" w:color="auto"/>
            </w:tcBorders>
            <w:shd w:val="clear" w:color="auto" w:fill="auto"/>
            <w:vAlign w:val="center"/>
          </w:tcPr>
          <w:p w:rsidR="00450BDD" w:rsidRPr="00CA61A6" w:rsidRDefault="00450BDD" w:rsidP="004A728B">
            <w:pPr>
              <w:pStyle w:val="Tablehead"/>
            </w:pPr>
            <w:r w:rsidRPr="00CA61A6">
              <w:t>Número</w:t>
            </w:r>
          </w:p>
        </w:tc>
        <w:tc>
          <w:tcPr>
            <w:tcW w:w="4807" w:type="dxa"/>
            <w:tcBorders>
              <w:bottom w:val="double" w:sz="4" w:space="0" w:color="auto"/>
            </w:tcBorders>
            <w:shd w:val="clear" w:color="auto" w:fill="auto"/>
            <w:vAlign w:val="center"/>
            <w:hideMark/>
          </w:tcPr>
          <w:p w:rsidR="00450BDD" w:rsidRPr="00CA61A6" w:rsidRDefault="00450BDD" w:rsidP="004A728B">
            <w:pPr>
              <w:pStyle w:val="Tablehead"/>
            </w:pPr>
            <w:r w:rsidRPr="00CA61A6">
              <w:t>Acción</w:t>
            </w:r>
          </w:p>
        </w:tc>
        <w:tc>
          <w:tcPr>
            <w:tcW w:w="1574" w:type="dxa"/>
            <w:tcBorders>
              <w:bottom w:val="double" w:sz="4" w:space="0" w:color="auto"/>
            </w:tcBorders>
            <w:shd w:val="clear" w:color="auto" w:fill="auto"/>
            <w:vAlign w:val="center"/>
            <w:hideMark/>
          </w:tcPr>
          <w:p w:rsidR="00450BDD" w:rsidRPr="00CA61A6" w:rsidRDefault="00450BDD" w:rsidP="004A728B">
            <w:pPr>
              <w:pStyle w:val="Tablehead"/>
            </w:pPr>
            <w:r w:rsidRPr="00CA61A6">
              <w:t>Fecha objetivo</w:t>
            </w:r>
          </w:p>
        </w:tc>
        <w:tc>
          <w:tcPr>
            <w:tcW w:w="1148" w:type="dxa"/>
            <w:tcBorders>
              <w:bottom w:val="double" w:sz="4" w:space="0" w:color="auto"/>
            </w:tcBorders>
            <w:shd w:val="clear" w:color="auto" w:fill="auto"/>
          </w:tcPr>
          <w:p w:rsidR="00450BDD" w:rsidRPr="00CA61A6" w:rsidRDefault="00450BDD" w:rsidP="004A728B">
            <w:pPr>
              <w:pStyle w:val="Tablehead"/>
            </w:pPr>
            <w:r w:rsidRPr="00CA61A6">
              <w:t>Objetivos periódicos cumplidos</w:t>
            </w:r>
          </w:p>
        </w:tc>
        <w:tc>
          <w:tcPr>
            <w:tcW w:w="1261" w:type="dxa"/>
            <w:tcBorders>
              <w:bottom w:val="double" w:sz="4" w:space="0" w:color="auto"/>
            </w:tcBorders>
            <w:shd w:val="clear" w:color="auto" w:fill="auto"/>
            <w:vAlign w:val="center"/>
          </w:tcPr>
          <w:p w:rsidR="00450BDD" w:rsidRPr="00CA61A6" w:rsidRDefault="00450BDD" w:rsidP="004A728B">
            <w:pPr>
              <w:pStyle w:val="Tablehead"/>
            </w:pPr>
            <w:r w:rsidRPr="00CA61A6">
              <w:t>Completada</w:t>
            </w:r>
          </w:p>
        </w:tc>
      </w:tr>
      <w:tr w:rsidR="00450BDD" w:rsidRPr="00CA61A6" w:rsidTr="005D1D5D">
        <w:trPr>
          <w:cantSplit/>
          <w:jc w:val="center"/>
        </w:trPr>
        <w:tc>
          <w:tcPr>
            <w:tcW w:w="1142" w:type="dxa"/>
            <w:tcBorders>
              <w:top w:val="double" w:sz="4" w:space="0" w:color="auto"/>
            </w:tcBorders>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77_01" w:history="1">
              <w:r w:rsidR="00450BDD" w:rsidRPr="00CA61A6">
                <w:rPr>
                  <w:color w:val="0000FF"/>
                  <w:sz w:val="20"/>
                  <w:u w:val="single"/>
                </w:rPr>
                <w:t>77-01</w:t>
              </w:r>
            </w:hyperlink>
          </w:p>
        </w:tc>
        <w:tc>
          <w:tcPr>
            <w:tcW w:w="4807" w:type="dxa"/>
            <w:tcBorders>
              <w:top w:val="double" w:sz="4" w:space="0" w:color="auto"/>
            </w:tcBorders>
            <w:shd w:val="clear" w:color="auto" w:fill="auto"/>
            <w:vAlign w:val="center"/>
            <w:hideMark/>
          </w:tcPr>
          <w:p w:rsidR="00450BDD" w:rsidRPr="00CA61A6" w:rsidRDefault="00715D49" w:rsidP="00715D49">
            <w:pPr>
              <w:pStyle w:val="Tabletext"/>
            </w:pPr>
            <w:r>
              <w:t>L</w:t>
            </w:r>
            <w:r w:rsidR="00450BDD" w:rsidRPr="00CA61A6">
              <w:t>a CE</w:t>
            </w:r>
            <w:r w:rsidR="008B5B32" w:rsidRPr="00CA61A6">
              <w:t> </w:t>
            </w:r>
            <w:r w:rsidR="00450BDD" w:rsidRPr="00CA61A6">
              <w:t>13 organi</w:t>
            </w:r>
            <w:r>
              <w:t>zará</w:t>
            </w:r>
            <w:r w:rsidR="00450BDD" w:rsidRPr="00CA61A6">
              <w:t xml:space="preserve"> las estructuras precisas en su seno para </w:t>
            </w:r>
            <w:r w:rsidR="00450BDD" w:rsidRPr="005C13F4">
              <w:t>a</w:t>
            </w:r>
            <w:r w:rsidR="00450BDD" w:rsidRPr="00CA61A6">
              <w:t>mpliar y acelerar el trabajo sobre la arquitectura y los requisitos de las SDN</w:t>
            </w:r>
          </w:p>
        </w:tc>
        <w:tc>
          <w:tcPr>
            <w:tcW w:w="1574" w:type="dxa"/>
            <w:tcBorders>
              <w:top w:val="double" w:sz="4" w:space="0" w:color="auto"/>
            </w:tcBorders>
            <w:shd w:val="clear" w:color="auto" w:fill="auto"/>
            <w:vAlign w:val="center"/>
            <w:hideMark/>
          </w:tcPr>
          <w:p w:rsidR="00450BDD" w:rsidRPr="00CA61A6" w:rsidRDefault="00450BDD" w:rsidP="009701F4">
            <w:pPr>
              <w:pStyle w:val="Tabletext"/>
              <w:jc w:val="center"/>
            </w:pPr>
            <w:r w:rsidRPr="00CA61A6">
              <w:t>Marzo de 2013</w:t>
            </w:r>
          </w:p>
        </w:tc>
        <w:tc>
          <w:tcPr>
            <w:tcW w:w="1148" w:type="dxa"/>
            <w:tcBorders>
              <w:top w:val="double" w:sz="4" w:space="0" w:color="auto"/>
            </w:tcBorders>
            <w:shd w:val="clear" w:color="auto" w:fill="auto"/>
            <w:vAlign w:val="center"/>
          </w:tcPr>
          <w:p w:rsidR="00450BDD" w:rsidRPr="00CA61A6" w:rsidRDefault="00450BDD" w:rsidP="009701F4">
            <w:pPr>
              <w:pStyle w:val="Tabletext"/>
              <w:jc w:val="center"/>
            </w:pPr>
          </w:p>
        </w:tc>
        <w:tc>
          <w:tcPr>
            <w:tcW w:w="1261" w:type="dxa"/>
            <w:tcBorders>
              <w:top w:val="double" w:sz="4" w:space="0" w:color="auto"/>
            </w:tcBorders>
            <w:shd w:val="clear" w:color="auto" w:fill="auto"/>
            <w:vAlign w:val="center"/>
          </w:tcPr>
          <w:p w:rsidR="00450BDD" w:rsidRPr="00CA61A6" w:rsidRDefault="00A2488B" w:rsidP="009701F4">
            <w:pPr>
              <w:pStyle w:val="Tabletext"/>
              <w:jc w:val="center"/>
            </w:pPr>
            <w:r w:rsidRPr="00CA61A6">
              <w:sym w:font="Wingdings" w:char="F0FC"/>
            </w:r>
          </w:p>
        </w:tc>
      </w:tr>
      <w:tr w:rsidR="00450BDD" w:rsidRPr="00CA61A6" w:rsidTr="005D1D5D">
        <w:trPr>
          <w:cantSplit/>
          <w:jc w:val="center"/>
        </w:trPr>
        <w:tc>
          <w:tcPr>
            <w:tcW w:w="1142" w:type="dxa"/>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77_01" w:history="1">
              <w:r w:rsidR="00450BDD" w:rsidRPr="00CA61A6">
                <w:rPr>
                  <w:color w:val="0000FF"/>
                  <w:sz w:val="20"/>
                  <w:u w:val="single"/>
                </w:rPr>
                <w:t>77-02</w:t>
              </w:r>
            </w:hyperlink>
          </w:p>
        </w:tc>
        <w:tc>
          <w:tcPr>
            <w:tcW w:w="4807" w:type="dxa"/>
            <w:shd w:val="clear" w:color="auto" w:fill="auto"/>
            <w:vAlign w:val="center"/>
          </w:tcPr>
          <w:p w:rsidR="00450BDD" w:rsidRPr="00CA61A6" w:rsidRDefault="00715D49" w:rsidP="00715D49">
            <w:pPr>
              <w:pStyle w:val="Tabletext"/>
            </w:pPr>
            <w:r>
              <w:t>L</w:t>
            </w:r>
            <w:r w:rsidR="00450BDD" w:rsidRPr="00CA61A6">
              <w:t>a CE</w:t>
            </w:r>
            <w:r w:rsidR="008B5B32" w:rsidRPr="00CA61A6">
              <w:t> </w:t>
            </w:r>
            <w:r w:rsidR="00450BDD" w:rsidRPr="00CA61A6">
              <w:t>13 recomend</w:t>
            </w:r>
            <w:r>
              <w:t>ará</w:t>
            </w:r>
            <w:r w:rsidR="00450BDD" w:rsidRPr="00CA61A6">
              <w:t xml:space="preserve"> al GANT la forma de abordar los asuntos sobre SDN ajenos al mandato de la CE</w:t>
            </w:r>
            <w:r w:rsidR="008B5B32" w:rsidRPr="00CA61A6">
              <w:t> </w:t>
            </w:r>
            <w:r w:rsidR="00450BDD" w:rsidRPr="00CA61A6">
              <w:t>13</w:t>
            </w:r>
          </w:p>
        </w:tc>
        <w:tc>
          <w:tcPr>
            <w:tcW w:w="1574" w:type="dxa"/>
            <w:shd w:val="clear" w:color="auto" w:fill="auto"/>
            <w:vAlign w:val="center"/>
          </w:tcPr>
          <w:p w:rsidR="00450BDD" w:rsidRPr="00CA61A6" w:rsidRDefault="00450BDD" w:rsidP="009701F4">
            <w:pPr>
              <w:pStyle w:val="Tabletext"/>
              <w:jc w:val="center"/>
            </w:pPr>
            <w:r w:rsidRPr="00CA61A6">
              <w:t>Marzo de 2013</w:t>
            </w:r>
          </w:p>
        </w:tc>
        <w:tc>
          <w:tcPr>
            <w:tcW w:w="1148" w:type="dxa"/>
            <w:shd w:val="clear" w:color="auto" w:fill="auto"/>
            <w:vAlign w:val="center"/>
          </w:tcPr>
          <w:p w:rsidR="00450BDD" w:rsidRPr="00CA61A6" w:rsidRDefault="00450BDD" w:rsidP="009701F4">
            <w:pPr>
              <w:pStyle w:val="Tabletext"/>
              <w:jc w:val="center"/>
            </w:pPr>
          </w:p>
        </w:tc>
        <w:tc>
          <w:tcPr>
            <w:tcW w:w="1261" w:type="dxa"/>
            <w:shd w:val="clear" w:color="auto" w:fill="auto"/>
            <w:vAlign w:val="center"/>
          </w:tcPr>
          <w:p w:rsidR="00450BDD" w:rsidRPr="00CA61A6" w:rsidRDefault="00A2488B" w:rsidP="009701F4">
            <w:pPr>
              <w:pStyle w:val="Tabletext"/>
              <w:jc w:val="center"/>
            </w:pPr>
            <w:r w:rsidRPr="00CA61A6">
              <w:sym w:font="Wingdings" w:char="F0FC"/>
            </w:r>
          </w:p>
        </w:tc>
      </w:tr>
      <w:tr w:rsidR="00450BDD" w:rsidRPr="00CA61A6" w:rsidTr="005D1D5D">
        <w:trPr>
          <w:cantSplit/>
          <w:jc w:val="center"/>
        </w:trPr>
        <w:tc>
          <w:tcPr>
            <w:tcW w:w="1142" w:type="dxa"/>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77_01" w:history="1">
              <w:r w:rsidR="00450BDD" w:rsidRPr="00CA61A6">
                <w:rPr>
                  <w:color w:val="0000FF"/>
                  <w:sz w:val="20"/>
                  <w:u w:val="single"/>
                </w:rPr>
                <w:t>77-03</w:t>
              </w:r>
            </w:hyperlink>
          </w:p>
        </w:tc>
        <w:tc>
          <w:tcPr>
            <w:tcW w:w="4807" w:type="dxa"/>
            <w:shd w:val="clear" w:color="auto" w:fill="auto"/>
            <w:vAlign w:val="center"/>
            <w:hideMark/>
          </w:tcPr>
          <w:p w:rsidR="00450BDD" w:rsidRPr="00CA61A6" w:rsidRDefault="00715D49" w:rsidP="00715D49">
            <w:pPr>
              <w:pStyle w:val="Tabletext"/>
            </w:pPr>
            <w:r>
              <w:t>E</w:t>
            </w:r>
            <w:r w:rsidR="00450BDD" w:rsidRPr="00CA61A6">
              <w:t>l GANT decid</w:t>
            </w:r>
            <w:r>
              <w:t>irá</w:t>
            </w:r>
            <w:r w:rsidR="00450BDD" w:rsidRPr="00CA61A6">
              <w:t xml:space="preserve"> las actividades de normalización de las SDN en el UIT-T</w:t>
            </w:r>
          </w:p>
        </w:tc>
        <w:tc>
          <w:tcPr>
            <w:tcW w:w="1574" w:type="dxa"/>
            <w:shd w:val="clear" w:color="auto" w:fill="auto"/>
            <w:vAlign w:val="center"/>
          </w:tcPr>
          <w:p w:rsidR="00450BDD" w:rsidRPr="00CA61A6" w:rsidRDefault="00450BDD" w:rsidP="009701F4">
            <w:pPr>
              <w:pStyle w:val="Tabletext"/>
              <w:jc w:val="center"/>
            </w:pPr>
            <w:r w:rsidRPr="00CA61A6">
              <w:t>Junio de 2013</w:t>
            </w:r>
          </w:p>
        </w:tc>
        <w:tc>
          <w:tcPr>
            <w:tcW w:w="1148" w:type="dxa"/>
            <w:shd w:val="clear" w:color="auto" w:fill="auto"/>
            <w:vAlign w:val="center"/>
          </w:tcPr>
          <w:p w:rsidR="00450BDD" w:rsidRPr="00CA61A6" w:rsidRDefault="00450BDD" w:rsidP="009701F4">
            <w:pPr>
              <w:pStyle w:val="Tabletext"/>
              <w:jc w:val="center"/>
            </w:pPr>
          </w:p>
        </w:tc>
        <w:tc>
          <w:tcPr>
            <w:tcW w:w="1261" w:type="dxa"/>
            <w:shd w:val="clear" w:color="auto" w:fill="auto"/>
            <w:vAlign w:val="center"/>
          </w:tcPr>
          <w:p w:rsidR="00450BDD" w:rsidRPr="00CA61A6" w:rsidRDefault="00A2488B" w:rsidP="009701F4">
            <w:pPr>
              <w:pStyle w:val="Tabletext"/>
              <w:jc w:val="center"/>
            </w:pPr>
            <w:r w:rsidRPr="00CA61A6">
              <w:sym w:font="Wingdings" w:char="F0FC"/>
            </w:r>
          </w:p>
        </w:tc>
      </w:tr>
      <w:tr w:rsidR="00450BDD" w:rsidRPr="00CA61A6" w:rsidTr="005D1D5D">
        <w:trPr>
          <w:cantSplit/>
          <w:jc w:val="center"/>
        </w:trPr>
        <w:tc>
          <w:tcPr>
            <w:tcW w:w="1142" w:type="dxa"/>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77_04" w:history="1">
              <w:r w:rsidR="00450BDD" w:rsidRPr="00CA61A6">
                <w:rPr>
                  <w:color w:val="0000FF"/>
                  <w:sz w:val="20"/>
                  <w:u w:val="single"/>
                </w:rPr>
                <w:t>77-04</w:t>
              </w:r>
            </w:hyperlink>
          </w:p>
        </w:tc>
        <w:tc>
          <w:tcPr>
            <w:tcW w:w="4807" w:type="dxa"/>
            <w:shd w:val="clear" w:color="auto" w:fill="auto"/>
            <w:vAlign w:val="center"/>
            <w:hideMark/>
          </w:tcPr>
          <w:p w:rsidR="00450BDD" w:rsidRPr="00CA61A6" w:rsidRDefault="00715D49" w:rsidP="00715D49">
            <w:pPr>
              <w:pStyle w:val="Tabletext"/>
            </w:pPr>
            <w:r>
              <w:t>E</w:t>
            </w:r>
            <w:r w:rsidR="00450BDD" w:rsidRPr="00CA61A6">
              <w:t>l Director foment</w:t>
            </w:r>
            <w:r>
              <w:t>ará</w:t>
            </w:r>
            <w:r w:rsidR="00450BDD" w:rsidRPr="00CA61A6">
              <w:t xml:space="preserve"> el intercambio de opiniones en las reuniones CTO y prom</w:t>
            </w:r>
            <w:r>
              <w:t>overá</w:t>
            </w:r>
            <w:r w:rsidR="00450BDD" w:rsidRPr="00CA61A6">
              <w:t xml:space="preserve"> la normalización de las SDN en el UIT-T</w:t>
            </w:r>
          </w:p>
        </w:tc>
        <w:tc>
          <w:tcPr>
            <w:tcW w:w="1574" w:type="dxa"/>
            <w:shd w:val="clear" w:color="auto" w:fill="auto"/>
            <w:vAlign w:val="center"/>
          </w:tcPr>
          <w:p w:rsidR="00450BDD" w:rsidRPr="00CA61A6" w:rsidRDefault="00450BDD" w:rsidP="009701F4">
            <w:pPr>
              <w:pStyle w:val="Tabletext"/>
              <w:jc w:val="center"/>
            </w:pPr>
            <w:r w:rsidRPr="00CA61A6">
              <w:t>En curso</w:t>
            </w:r>
          </w:p>
        </w:tc>
        <w:tc>
          <w:tcPr>
            <w:tcW w:w="1148" w:type="dxa"/>
            <w:shd w:val="clear" w:color="auto" w:fill="auto"/>
            <w:vAlign w:val="center"/>
          </w:tcPr>
          <w:p w:rsidR="00450BDD" w:rsidRPr="00CA61A6" w:rsidRDefault="00A2488B" w:rsidP="009701F4">
            <w:pPr>
              <w:pStyle w:val="Tabletext"/>
              <w:jc w:val="center"/>
            </w:pPr>
            <w:r w:rsidRPr="00CA61A6">
              <w:sym w:font="Wingdings" w:char="F0FC"/>
            </w:r>
          </w:p>
        </w:tc>
        <w:tc>
          <w:tcPr>
            <w:tcW w:w="1261" w:type="dxa"/>
            <w:shd w:val="clear" w:color="auto" w:fill="auto"/>
            <w:vAlign w:val="center"/>
          </w:tcPr>
          <w:p w:rsidR="00450BDD" w:rsidRPr="00CA61A6" w:rsidRDefault="00450BDD" w:rsidP="009701F4">
            <w:pPr>
              <w:pStyle w:val="Tabletext"/>
              <w:jc w:val="center"/>
            </w:pPr>
          </w:p>
        </w:tc>
      </w:tr>
      <w:tr w:rsidR="00450BDD" w:rsidRPr="00CA61A6" w:rsidTr="005D1D5D">
        <w:trPr>
          <w:cantSplit/>
          <w:jc w:val="center"/>
        </w:trPr>
        <w:tc>
          <w:tcPr>
            <w:tcW w:w="1142" w:type="dxa"/>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77_05" w:history="1">
              <w:r w:rsidR="00450BDD" w:rsidRPr="00CA61A6">
                <w:rPr>
                  <w:color w:val="0000FF"/>
                  <w:sz w:val="20"/>
                  <w:u w:val="single"/>
                </w:rPr>
                <w:t>77-05</w:t>
              </w:r>
            </w:hyperlink>
          </w:p>
        </w:tc>
        <w:tc>
          <w:tcPr>
            <w:tcW w:w="4807" w:type="dxa"/>
            <w:shd w:val="clear" w:color="auto" w:fill="auto"/>
            <w:vAlign w:val="center"/>
          </w:tcPr>
          <w:p w:rsidR="00450BDD" w:rsidRPr="00CA61A6" w:rsidRDefault="00715D49" w:rsidP="00715D49">
            <w:pPr>
              <w:pStyle w:val="Tabletext"/>
            </w:pPr>
            <w:r>
              <w:t>L</w:t>
            </w:r>
            <w:r w:rsidR="00450BDD" w:rsidRPr="00CA61A6">
              <w:t>a TSB organi</w:t>
            </w:r>
            <w:r>
              <w:t>zará</w:t>
            </w:r>
            <w:r w:rsidR="00450BDD" w:rsidRPr="00CA61A6">
              <w:t xml:space="preserve"> un seminario sobre las SDN en 2013</w:t>
            </w:r>
          </w:p>
        </w:tc>
        <w:tc>
          <w:tcPr>
            <w:tcW w:w="1574" w:type="dxa"/>
            <w:shd w:val="clear" w:color="auto" w:fill="auto"/>
            <w:vAlign w:val="center"/>
          </w:tcPr>
          <w:p w:rsidR="00450BDD" w:rsidRPr="00CA61A6" w:rsidRDefault="00450BDD" w:rsidP="001A4933">
            <w:pPr>
              <w:pStyle w:val="Tabletext"/>
              <w:jc w:val="center"/>
            </w:pPr>
            <w:r w:rsidRPr="00CA61A6">
              <w:t>4 de junio de</w:t>
            </w:r>
            <w:r w:rsidR="001A4933">
              <w:t> </w:t>
            </w:r>
            <w:r w:rsidRPr="00CA61A6">
              <w:t>2013</w:t>
            </w:r>
          </w:p>
        </w:tc>
        <w:tc>
          <w:tcPr>
            <w:tcW w:w="1148" w:type="dxa"/>
            <w:shd w:val="clear" w:color="auto" w:fill="auto"/>
            <w:vAlign w:val="center"/>
          </w:tcPr>
          <w:p w:rsidR="00450BDD" w:rsidRPr="00CA61A6" w:rsidRDefault="00450BDD" w:rsidP="009701F4">
            <w:pPr>
              <w:pStyle w:val="Tabletext"/>
              <w:jc w:val="center"/>
            </w:pPr>
          </w:p>
        </w:tc>
        <w:tc>
          <w:tcPr>
            <w:tcW w:w="1261" w:type="dxa"/>
            <w:shd w:val="clear" w:color="auto" w:fill="auto"/>
            <w:vAlign w:val="center"/>
          </w:tcPr>
          <w:p w:rsidR="00450BDD" w:rsidRPr="00CA61A6" w:rsidRDefault="00A2488B" w:rsidP="009701F4">
            <w:pPr>
              <w:pStyle w:val="Tabletext"/>
              <w:jc w:val="center"/>
            </w:pPr>
            <w:r w:rsidRPr="00CA61A6">
              <w:sym w:font="Wingdings" w:char="F0FC"/>
            </w:r>
          </w:p>
        </w:tc>
      </w:tr>
    </w:tbl>
    <w:p w:rsidR="00450BDD" w:rsidRPr="00CA61A6" w:rsidRDefault="006B280B" w:rsidP="00661FCD">
      <w:pPr>
        <w:pStyle w:val="Headingb"/>
        <w:keepLines/>
      </w:pPr>
      <w:bookmarkStart w:id="709" w:name="Item77_01"/>
      <w:r w:rsidRPr="00CA61A6">
        <w:t xml:space="preserve">Acciones </w:t>
      </w:r>
      <w:r w:rsidR="00450BDD" w:rsidRPr="00CA61A6">
        <w:t>77-01 a 77-03: CE</w:t>
      </w:r>
      <w:r w:rsidR="00661FCD" w:rsidRPr="00CA61A6">
        <w:t> </w:t>
      </w:r>
      <w:r w:rsidR="00450BDD" w:rsidRPr="00CA61A6">
        <w:t>13, CE</w:t>
      </w:r>
      <w:r w:rsidR="00661FCD" w:rsidRPr="00CA61A6">
        <w:t> </w:t>
      </w:r>
      <w:r w:rsidR="00450BDD" w:rsidRPr="00CA61A6">
        <w:t>11 y GANT</w:t>
      </w:r>
    </w:p>
    <w:bookmarkEnd w:id="709"/>
    <w:p w:rsidR="00450BDD" w:rsidRPr="00CA61A6" w:rsidRDefault="00450BDD" w:rsidP="00F77508">
      <w:pPr>
        <w:rPr>
          <w:rFonts w:eastAsia="SimSun"/>
          <w:szCs w:val="24"/>
          <w:lang w:eastAsia="ja-JP"/>
        </w:rPr>
      </w:pPr>
      <w:r w:rsidRPr="00CA61A6">
        <w:rPr>
          <w:rFonts w:eastAsia="SimSun"/>
          <w:szCs w:val="24"/>
          <w:lang w:eastAsia="ja-JP"/>
        </w:rPr>
        <w:t xml:space="preserve">La labor de normalización de la UIT sobre las SDN se inició en la </w:t>
      </w:r>
      <w:hyperlink r:id="rId221" w:history="1">
        <w:r w:rsidRPr="00CD6523">
          <w:rPr>
            <w:rStyle w:val="Hyperlink"/>
            <w:rFonts w:eastAsia="SimSun"/>
            <w:szCs w:val="24"/>
            <w:lang w:eastAsia="ja-JP"/>
          </w:rPr>
          <w:t>Comisión de Estudio 13</w:t>
        </w:r>
      </w:hyperlink>
      <w:r w:rsidRPr="00CA61A6">
        <w:rPr>
          <w:rFonts w:eastAsia="SimSun"/>
          <w:szCs w:val="24"/>
          <w:lang w:eastAsia="ja-JP"/>
        </w:rPr>
        <w:t xml:space="preserve"> – Redes futuras, incluida la computación en la nube, las redes móviles y las de la próxima generación.</w:t>
      </w:r>
      <w:r w:rsidRPr="00CA61A6">
        <w:rPr>
          <w:rFonts w:ascii="Calibri" w:eastAsia="SimSun" w:hAnsi="Calibri"/>
          <w:b/>
          <w:color w:val="800000"/>
          <w:szCs w:val="24"/>
          <w:lang w:eastAsia="ja-JP"/>
        </w:rPr>
        <w:t xml:space="preserve"> </w:t>
      </w:r>
      <w:r w:rsidRPr="00CA61A6">
        <w:rPr>
          <w:rFonts w:eastAsia="SimSun"/>
          <w:szCs w:val="24"/>
          <w:lang w:eastAsia="ja-JP"/>
        </w:rPr>
        <w:t>La CE</w:t>
      </w:r>
      <w:r w:rsidR="00676DB2" w:rsidRPr="00CA61A6">
        <w:rPr>
          <w:rFonts w:eastAsia="SimSun"/>
          <w:szCs w:val="24"/>
          <w:lang w:eastAsia="ja-JP"/>
        </w:rPr>
        <w:t> </w:t>
      </w:r>
      <w:r w:rsidRPr="00CA61A6">
        <w:rPr>
          <w:rFonts w:eastAsia="SimSun"/>
          <w:szCs w:val="24"/>
          <w:lang w:eastAsia="ja-JP"/>
        </w:rPr>
        <w:t>13 se ocupa de normalizar los requisitos y arquitecturas funcionales de las SDN en el marco de seis Cuestiones. Paralelamente, la CE</w:t>
      </w:r>
      <w:r w:rsidR="003218FF" w:rsidRPr="00CA61A6">
        <w:rPr>
          <w:rFonts w:eastAsia="SimSun"/>
          <w:szCs w:val="24"/>
          <w:lang w:eastAsia="ja-JP"/>
        </w:rPr>
        <w:t> </w:t>
      </w:r>
      <w:r w:rsidRPr="00CA61A6">
        <w:rPr>
          <w:rFonts w:eastAsia="SimSun"/>
          <w:szCs w:val="24"/>
          <w:lang w:eastAsia="ja-JP"/>
        </w:rPr>
        <w:t>11 colabora estrechamente con la CE</w:t>
      </w:r>
      <w:r w:rsidR="00404B6F" w:rsidRPr="00CA61A6">
        <w:rPr>
          <w:rFonts w:eastAsia="SimSun"/>
          <w:szCs w:val="24"/>
          <w:lang w:eastAsia="ja-JP"/>
        </w:rPr>
        <w:t> </w:t>
      </w:r>
      <w:r w:rsidRPr="00CA61A6">
        <w:rPr>
          <w:rFonts w:eastAsia="SimSun"/>
          <w:szCs w:val="24"/>
          <w:lang w:eastAsia="ja-JP"/>
        </w:rPr>
        <w:t>13 para la elaboración de los protocolos y requisitos de señalización de las SDN.</w:t>
      </w:r>
    </w:p>
    <w:p w:rsidR="00450BDD" w:rsidRPr="00CA61A6" w:rsidRDefault="00450BDD" w:rsidP="007B3478">
      <w:pPr>
        <w:rPr>
          <w:rFonts w:eastAsia="SimSun"/>
          <w:szCs w:val="24"/>
          <w:lang w:eastAsia="ja-JP"/>
        </w:rPr>
      </w:pPr>
      <w:r w:rsidRPr="00CA61A6">
        <w:rPr>
          <w:rFonts w:eastAsia="SimSun"/>
          <w:szCs w:val="24"/>
          <w:lang w:eastAsia="ja-JP"/>
        </w:rPr>
        <w:t>En este ámbito, la CE</w:t>
      </w:r>
      <w:r w:rsidR="007C0963" w:rsidRPr="00CA61A6">
        <w:rPr>
          <w:rFonts w:eastAsia="SimSun"/>
          <w:szCs w:val="24"/>
          <w:lang w:eastAsia="ja-JP"/>
        </w:rPr>
        <w:t> </w:t>
      </w:r>
      <w:r w:rsidRPr="00CA61A6">
        <w:rPr>
          <w:rFonts w:eastAsia="SimSun"/>
          <w:szCs w:val="24"/>
          <w:lang w:eastAsia="ja-JP"/>
        </w:rPr>
        <w:t>11 aprobó los siguientes documentos:</w:t>
      </w:r>
    </w:p>
    <w:p w:rsidR="00450BDD" w:rsidRPr="00343F12" w:rsidRDefault="00E469BA" w:rsidP="00E469BA">
      <w:pPr>
        <w:pStyle w:val="enumlev1"/>
        <w:rPr>
          <w:rFonts w:eastAsia="SimSun"/>
          <w:lang w:val="en-US" w:eastAsia="ja-JP"/>
        </w:rPr>
      </w:pPr>
      <w:r w:rsidRPr="00343F12">
        <w:rPr>
          <w:rFonts w:eastAsia="SimSun"/>
          <w:lang w:val="en-US" w:eastAsia="ja-JP"/>
        </w:rPr>
        <w:t>–</w:t>
      </w:r>
      <w:r w:rsidRPr="00343F12">
        <w:rPr>
          <w:rFonts w:eastAsia="SimSun"/>
          <w:lang w:val="en-US" w:eastAsia="ja-JP"/>
        </w:rPr>
        <w:tab/>
      </w:r>
      <w:r w:rsidR="00450BDD" w:rsidRPr="00343F12">
        <w:rPr>
          <w:rFonts w:eastAsia="SimSun"/>
          <w:lang w:val="en-US" w:eastAsia="ja-JP"/>
        </w:rPr>
        <w:t xml:space="preserve">UIT-T Q.Sup67 </w:t>
      </w:r>
      <w:r w:rsidR="00B26079" w:rsidRPr="00343F12">
        <w:rPr>
          <w:rFonts w:eastAsia="SimSun"/>
          <w:lang w:val="en-US" w:eastAsia="ja-JP"/>
        </w:rPr>
        <w:t>"</w:t>
      </w:r>
      <w:r w:rsidR="00450BDD" w:rsidRPr="00343F12">
        <w:rPr>
          <w:rFonts w:eastAsia="SimSun"/>
          <w:lang w:val="en-US" w:eastAsia="ja-JP"/>
        </w:rPr>
        <w:t>Framework of signalling f</w:t>
      </w:r>
      <w:r w:rsidR="00B53B90" w:rsidRPr="00343F12">
        <w:rPr>
          <w:rFonts w:eastAsia="SimSun"/>
          <w:lang w:val="en-US" w:eastAsia="ja-JP"/>
        </w:rPr>
        <w:t>or Software Defined Networking</w:t>
      </w:r>
      <w:r w:rsidR="00B26079" w:rsidRPr="00343F12">
        <w:rPr>
          <w:rFonts w:eastAsia="SimSun"/>
          <w:lang w:val="en-US" w:eastAsia="ja-JP"/>
        </w:rPr>
        <w:t>"</w:t>
      </w:r>
      <w:r w:rsidR="00B53B90" w:rsidRPr="00343F12">
        <w:rPr>
          <w:rFonts w:eastAsia="SimSun"/>
          <w:lang w:val="en-US" w:eastAsia="ja-JP"/>
        </w:rPr>
        <w:t>.</w:t>
      </w:r>
    </w:p>
    <w:p w:rsidR="00450BDD" w:rsidRPr="00CA61A6" w:rsidRDefault="00E469BA" w:rsidP="00E469BA">
      <w:pPr>
        <w:pStyle w:val="enumlev1"/>
        <w:rPr>
          <w:rFonts w:eastAsia="SimSun"/>
          <w:lang w:eastAsia="ja-JP"/>
        </w:rPr>
      </w:pPr>
      <w:r w:rsidRPr="00CA61A6">
        <w:rPr>
          <w:rFonts w:eastAsia="SimSun"/>
          <w:lang w:eastAsia="ja-JP"/>
        </w:rPr>
        <w:t>–</w:t>
      </w:r>
      <w:r w:rsidRPr="00CA61A6">
        <w:rPr>
          <w:rFonts w:eastAsia="SimSun"/>
          <w:lang w:eastAsia="ja-JP"/>
        </w:rPr>
        <w:tab/>
      </w:r>
      <w:r w:rsidR="00450BDD" w:rsidRPr="00CA61A6">
        <w:rPr>
          <w:rFonts w:eastAsia="SimSun"/>
          <w:lang w:eastAsia="ja-JP"/>
        </w:rPr>
        <w:t xml:space="preserve">UIT-T Q.3316 </w:t>
      </w:r>
      <w:r w:rsidR="00B26079" w:rsidRPr="00CA61A6">
        <w:rPr>
          <w:rFonts w:eastAsia="SimSun"/>
          <w:lang w:eastAsia="ja-JP"/>
        </w:rPr>
        <w:t>"</w:t>
      </w:r>
      <w:r w:rsidR="00450BDD" w:rsidRPr="00CA61A6">
        <w:rPr>
          <w:rFonts w:eastAsia="SimSun"/>
          <w:lang w:eastAsia="ja-JP"/>
        </w:rPr>
        <w:t>Especificaciones y requisitos de interfaz y señalización para la optimizac</w:t>
      </w:r>
      <w:r w:rsidR="00B53B90" w:rsidRPr="00CA61A6">
        <w:rPr>
          <w:rFonts w:eastAsia="SimSun"/>
          <w:lang w:eastAsia="ja-JP"/>
        </w:rPr>
        <w:t>ión transversal</w:t>
      </w:r>
      <w:r w:rsidR="00B26079" w:rsidRPr="00CA61A6">
        <w:rPr>
          <w:rFonts w:eastAsia="SimSun"/>
          <w:lang w:eastAsia="ja-JP"/>
        </w:rPr>
        <w:t>"</w:t>
      </w:r>
      <w:r w:rsidR="00B53B90" w:rsidRPr="00CA61A6">
        <w:rPr>
          <w:rFonts w:eastAsia="SimSun"/>
          <w:lang w:eastAsia="ja-JP"/>
        </w:rPr>
        <w:t>.</w:t>
      </w:r>
    </w:p>
    <w:p w:rsidR="00450BDD" w:rsidRPr="00CA61A6" w:rsidRDefault="00E469BA" w:rsidP="00E469BA">
      <w:pPr>
        <w:pStyle w:val="enumlev1"/>
        <w:rPr>
          <w:rFonts w:eastAsia="SimSun"/>
          <w:lang w:eastAsia="ja-JP"/>
        </w:rPr>
      </w:pPr>
      <w:r w:rsidRPr="00CA61A6">
        <w:rPr>
          <w:rFonts w:eastAsia="SimSun"/>
          <w:lang w:eastAsia="ja-JP"/>
        </w:rPr>
        <w:t>–</w:t>
      </w:r>
      <w:r w:rsidRPr="00CA61A6">
        <w:rPr>
          <w:rFonts w:eastAsia="SimSun"/>
          <w:lang w:eastAsia="ja-JP"/>
        </w:rPr>
        <w:tab/>
      </w:r>
      <w:r w:rsidR="00450BDD" w:rsidRPr="00CA61A6">
        <w:rPr>
          <w:rFonts w:eastAsia="SimSun"/>
          <w:lang w:eastAsia="ja-JP"/>
        </w:rPr>
        <w:t>UIT-T Q.3315 "Requisitos de señalización para la combinación de servicios de red flexibles en pasarelas de red de banda ancha"</w:t>
      </w:r>
      <w:r w:rsidR="00B53B90" w:rsidRPr="00CA61A6">
        <w:rPr>
          <w:rFonts w:eastAsia="SimSun"/>
          <w:lang w:eastAsia="ja-JP"/>
        </w:rPr>
        <w:t>.</w:t>
      </w:r>
    </w:p>
    <w:p w:rsidR="00450BDD" w:rsidRPr="00CA61A6" w:rsidRDefault="00450BDD" w:rsidP="00857781">
      <w:pPr>
        <w:keepNext/>
        <w:keepLines/>
        <w:rPr>
          <w:rFonts w:eastAsia="SimSun"/>
          <w:szCs w:val="24"/>
          <w:lang w:eastAsia="ja-JP"/>
        </w:rPr>
      </w:pPr>
      <w:r w:rsidRPr="00CA61A6">
        <w:rPr>
          <w:rFonts w:eastAsia="SimSun"/>
          <w:szCs w:val="24"/>
          <w:lang w:eastAsia="ja-JP"/>
        </w:rPr>
        <w:lastRenderedPageBreak/>
        <w:t>La CE</w:t>
      </w:r>
      <w:r w:rsidR="008B5B32" w:rsidRPr="00CA61A6">
        <w:rPr>
          <w:rFonts w:eastAsia="SimSun"/>
          <w:szCs w:val="24"/>
          <w:lang w:eastAsia="ja-JP"/>
        </w:rPr>
        <w:t> </w:t>
      </w:r>
      <w:r w:rsidRPr="00CA61A6">
        <w:rPr>
          <w:rFonts w:eastAsia="SimSun"/>
          <w:szCs w:val="24"/>
          <w:lang w:eastAsia="ja-JP"/>
        </w:rPr>
        <w:t>11 está trabajando actualmente en los siguientes documentos:</w:t>
      </w:r>
    </w:p>
    <w:p w:rsidR="00450BDD" w:rsidRPr="00CA61A6" w:rsidRDefault="00EC2CBF" w:rsidP="00857781">
      <w:pPr>
        <w:pStyle w:val="enumlev1"/>
        <w:keepNext/>
        <w:keepLines/>
        <w:rPr>
          <w:rFonts w:eastAsia="SimSun"/>
          <w:szCs w:val="24"/>
          <w:lang w:eastAsia="ja-JP"/>
        </w:rPr>
      </w:pPr>
      <w:r w:rsidRPr="00CA61A6">
        <w:rPr>
          <w:rFonts w:eastAsia="SimSun"/>
          <w:lang w:eastAsia="ja-JP"/>
        </w:rPr>
        <w:t>–</w:t>
      </w:r>
      <w:r w:rsidRPr="00CA61A6">
        <w:rPr>
          <w:rFonts w:eastAsia="SimSun"/>
          <w:lang w:eastAsia="ja-JP"/>
        </w:rPr>
        <w:tab/>
      </w:r>
      <w:r w:rsidR="00450BDD" w:rsidRPr="00CA61A6">
        <w:rPr>
          <w:rFonts w:eastAsia="SimSun"/>
          <w:lang w:eastAsia="ja-JP"/>
        </w:rPr>
        <w:t>Proyecto</w:t>
      </w:r>
      <w:r w:rsidR="00450BDD" w:rsidRPr="00CA61A6">
        <w:rPr>
          <w:rFonts w:eastAsia="SimSun"/>
          <w:szCs w:val="24"/>
          <w:lang w:eastAsia="ja-JP"/>
        </w:rPr>
        <w:t xml:space="preserve"> de Recomendación UIT-T Q.IPv6UIP "Casos y requisitos de señalización de una interfaz programable inteligente unificada para la implantación de servicios IPv6"</w:t>
      </w:r>
      <w:r w:rsidR="002E1856" w:rsidRPr="00CA61A6">
        <w:rPr>
          <w:rFonts w:eastAsia="SimSun"/>
          <w:szCs w:val="24"/>
          <w:lang w:eastAsia="ja-JP"/>
        </w:rPr>
        <w:t>.</w:t>
      </w:r>
    </w:p>
    <w:p w:rsidR="00450BDD" w:rsidRPr="00CA61A6" w:rsidRDefault="00EC2CBF" w:rsidP="00EC2CBF">
      <w:pPr>
        <w:pStyle w:val="enumlev1"/>
        <w:rPr>
          <w:rFonts w:eastAsia="SimSun"/>
          <w:szCs w:val="24"/>
          <w:lang w:eastAsia="ja-JP"/>
        </w:rPr>
      </w:pPr>
      <w:r w:rsidRPr="00CA61A6">
        <w:rPr>
          <w:rFonts w:eastAsia="SimSun"/>
          <w:lang w:eastAsia="ja-JP"/>
        </w:rPr>
        <w:t>–</w:t>
      </w:r>
      <w:r w:rsidRPr="00CA61A6">
        <w:rPr>
          <w:rFonts w:eastAsia="SimSun"/>
          <w:lang w:eastAsia="ja-JP"/>
        </w:rPr>
        <w:tab/>
      </w:r>
      <w:r w:rsidR="00450BDD" w:rsidRPr="00CA61A6">
        <w:rPr>
          <w:rFonts w:eastAsia="SimSun"/>
          <w:lang w:eastAsia="ja-JP"/>
        </w:rPr>
        <w:t>Proyecto</w:t>
      </w:r>
      <w:r w:rsidR="00450BDD" w:rsidRPr="00CA61A6">
        <w:rPr>
          <w:rFonts w:eastAsia="SimSun"/>
          <w:szCs w:val="24"/>
          <w:lang w:eastAsia="ja-JP"/>
        </w:rPr>
        <w:t xml:space="preserve"> de Recomendación UIT-T Q.PVMapping </w:t>
      </w:r>
      <w:r w:rsidR="00B26079" w:rsidRPr="00CA61A6">
        <w:rPr>
          <w:rFonts w:eastAsia="SimSun"/>
          <w:szCs w:val="24"/>
          <w:lang w:eastAsia="ja-JP"/>
        </w:rPr>
        <w:t>"</w:t>
      </w:r>
      <w:r w:rsidR="00450BDD" w:rsidRPr="00CA61A6">
        <w:rPr>
          <w:rFonts w:eastAsia="SimSun"/>
          <w:szCs w:val="24"/>
          <w:lang w:eastAsia="ja-JP"/>
        </w:rPr>
        <w:t>Requisitos de señalización para la correspondencia entre redes físicas y virtuales</w:t>
      </w:r>
      <w:r w:rsidR="00B26079" w:rsidRPr="00CA61A6">
        <w:rPr>
          <w:rFonts w:eastAsia="SimSun"/>
          <w:szCs w:val="24"/>
          <w:lang w:eastAsia="ja-JP"/>
        </w:rPr>
        <w:t>"</w:t>
      </w:r>
      <w:r w:rsidR="002E1856" w:rsidRPr="00CA61A6">
        <w:rPr>
          <w:rFonts w:eastAsia="SimSun"/>
          <w:szCs w:val="24"/>
          <w:lang w:eastAsia="ja-JP"/>
        </w:rPr>
        <w:t>.</w:t>
      </w:r>
    </w:p>
    <w:p w:rsidR="00450BDD" w:rsidRPr="00CA61A6" w:rsidRDefault="00EC2CBF" w:rsidP="00EC2CBF">
      <w:pPr>
        <w:pStyle w:val="enumlev1"/>
        <w:rPr>
          <w:rFonts w:eastAsia="SimSun"/>
          <w:szCs w:val="24"/>
          <w:lang w:eastAsia="ja-JP"/>
        </w:rPr>
      </w:pPr>
      <w:r w:rsidRPr="00CA61A6">
        <w:rPr>
          <w:rFonts w:eastAsia="SimSun"/>
          <w:lang w:eastAsia="ja-JP"/>
        </w:rPr>
        <w:t>–</w:t>
      </w:r>
      <w:r w:rsidRPr="00CA61A6">
        <w:rPr>
          <w:rFonts w:eastAsia="SimSun"/>
          <w:lang w:eastAsia="ja-JP"/>
        </w:rPr>
        <w:tab/>
      </w:r>
      <w:r w:rsidR="00450BDD" w:rsidRPr="00CA61A6">
        <w:rPr>
          <w:rFonts w:eastAsia="SimSun"/>
          <w:lang w:eastAsia="ja-JP"/>
        </w:rPr>
        <w:t>Proyecto</w:t>
      </w:r>
      <w:r w:rsidR="00450BDD" w:rsidRPr="00CA61A6">
        <w:rPr>
          <w:rFonts w:eastAsia="SimSun"/>
          <w:szCs w:val="24"/>
          <w:lang w:eastAsia="ja-JP"/>
        </w:rPr>
        <w:t xml:space="preserve"> de Recomendación UIT-T Q.SBAN </w:t>
      </w:r>
      <w:r w:rsidR="00B26079" w:rsidRPr="00CA61A6">
        <w:rPr>
          <w:rFonts w:eastAsia="SimSun"/>
          <w:szCs w:val="24"/>
          <w:lang w:eastAsia="ja-JP"/>
        </w:rPr>
        <w:t>"</w:t>
      </w:r>
      <w:r w:rsidR="00450BDD" w:rsidRPr="00CA61A6">
        <w:rPr>
          <w:rFonts w:eastAsia="SimSun"/>
          <w:szCs w:val="24"/>
          <w:lang w:eastAsia="ja-JP"/>
        </w:rPr>
        <w:t xml:space="preserve">Hipótesis y requisitos de señalización para las BAN definidas por software </w:t>
      </w:r>
      <w:r w:rsidR="002E1856" w:rsidRPr="00CA61A6">
        <w:rPr>
          <w:rFonts w:eastAsia="SimSun"/>
          <w:szCs w:val="24"/>
          <w:lang w:eastAsia="ja-JP"/>
        </w:rPr>
        <w:t>(SBAN)</w:t>
      </w:r>
      <w:r w:rsidR="00B26079" w:rsidRPr="00CA61A6">
        <w:rPr>
          <w:rFonts w:eastAsia="SimSun"/>
          <w:szCs w:val="24"/>
          <w:lang w:eastAsia="ja-JP"/>
        </w:rPr>
        <w:t>"</w:t>
      </w:r>
      <w:r w:rsidR="002E1856" w:rsidRPr="00CA61A6">
        <w:rPr>
          <w:rFonts w:eastAsia="SimSun"/>
          <w:szCs w:val="24"/>
          <w:lang w:eastAsia="ja-JP"/>
        </w:rPr>
        <w:t>.</w:t>
      </w:r>
    </w:p>
    <w:p w:rsidR="00450BDD" w:rsidRPr="00CA61A6" w:rsidRDefault="00EC2CBF" w:rsidP="00EC2CBF">
      <w:pPr>
        <w:pStyle w:val="enumlev1"/>
        <w:rPr>
          <w:rFonts w:eastAsia="SimSun"/>
          <w:szCs w:val="24"/>
          <w:lang w:eastAsia="ja-JP"/>
        </w:rPr>
      </w:pPr>
      <w:r w:rsidRPr="00CA61A6">
        <w:rPr>
          <w:rFonts w:eastAsia="SimSun"/>
          <w:lang w:eastAsia="ja-JP"/>
        </w:rPr>
        <w:t>–</w:t>
      </w:r>
      <w:r w:rsidRPr="00CA61A6">
        <w:rPr>
          <w:rFonts w:eastAsia="SimSun"/>
          <w:lang w:eastAsia="ja-JP"/>
        </w:rPr>
        <w:tab/>
      </w:r>
      <w:r w:rsidR="00450BDD" w:rsidRPr="00CA61A6">
        <w:rPr>
          <w:rFonts w:eastAsia="SimSun"/>
          <w:szCs w:val="24"/>
          <w:lang w:eastAsia="ja-JP"/>
        </w:rPr>
        <w:t xml:space="preserve">Proyecto de Recomendación UIT-T Q.SCO </w:t>
      </w:r>
      <w:r w:rsidR="00B26079" w:rsidRPr="00CA61A6">
        <w:rPr>
          <w:rFonts w:eastAsia="SimSun"/>
          <w:szCs w:val="24"/>
          <w:lang w:eastAsia="ja-JP"/>
        </w:rPr>
        <w:t>"</w:t>
      </w:r>
      <w:r w:rsidR="00450BDD" w:rsidRPr="00CA61A6">
        <w:rPr>
          <w:rFonts w:eastAsia="SimSun"/>
          <w:szCs w:val="24"/>
          <w:lang w:eastAsia="ja-JP"/>
        </w:rPr>
        <w:t>Hipótesis y requisitos de señalización para las centrales SDN</w:t>
      </w:r>
      <w:r w:rsidR="00B26079" w:rsidRPr="00CA61A6">
        <w:rPr>
          <w:rFonts w:eastAsia="SimSun"/>
          <w:szCs w:val="24"/>
          <w:lang w:eastAsia="ja-JP"/>
        </w:rPr>
        <w:t>"</w:t>
      </w:r>
      <w:r w:rsidR="002E1856" w:rsidRPr="00CA61A6">
        <w:rPr>
          <w:rFonts w:eastAsia="SimSun"/>
          <w:szCs w:val="24"/>
          <w:lang w:eastAsia="ja-JP"/>
        </w:rPr>
        <w:t>.</w:t>
      </w:r>
    </w:p>
    <w:p w:rsidR="00450BDD" w:rsidRPr="00CA61A6" w:rsidRDefault="00EC2CBF" w:rsidP="00EC2CBF">
      <w:pPr>
        <w:pStyle w:val="enumlev1"/>
        <w:rPr>
          <w:rFonts w:eastAsia="SimSun"/>
          <w:szCs w:val="24"/>
          <w:lang w:eastAsia="ja-JP"/>
        </w:rPr>
      </w:pPr>
      <w:r w:rsidRPr="00CA61A6">
        <w:rPr>
          <w:rFonts w:eastAsia="SimSun"/>
          <w:lang w:eastAsia="ja-JP"/>
        </w:rPr>
        <w:t>–</w:t>
      </w:r>
      <w:r w:rsidRPr="00CA61A6">
        <w:rPr>
          <w:rFonts w:eastAsia="SimSun"/>
          <w:lang w:eastAsia="ja-JP"/>
        </w:rPr>
        <w:tab/>
      </w:r>
      <w:r w:rsidR="00450BDD" w:rsidRPr="00CA61A6">
        <w:rPr>
          <w:rFonts w:eastAsia="SimSun"/>
          <w:szCs w:val="24"/>
          <w:lang w:eastAsia="ja-JP"/>
        </w:rPr>
        <w:t xml:space="preserve">Proyecto de Recomendación UIT-T Q.SMO </w:t>
      </w:r>
      <w:r w:rsidR="00B26079" w:rsidRPr="00CA61A6">
        <w:rPr>
          <w:rFonts w:eastAsia="SimSun"/>
          <w:szCs w:val="24"/>
          <w:lang w:eastAsia="ja-JP"/>
        </w:rPr>
        <w:t>"</w:t>
      </w:r>
      <w:r w:rsidR="00450BDD" w:rsidRPr="00CA61A6">
        <w:rPr>
          <w:rFonts w:eastAsia="SimSun"/>
          <w:szCs w:val="24"/>
          <w:lang w:eastAsia="ja-JP"/>
        </w:rPr>
        <w:t>Requisitos de señalización de la orquestación metropolitana por software</w:t>
      </w:r>
      <w:r w:rsidR="00B26079" w:rsidRPr="00CA61A6">
        <w:rPr>
          <w:rFonts w:eastAsia="SimSun"/>
          <w:szCs w:val="24"/>
          <w:lang w:eastAsia="ja-JP"/>
        </w:rPr>
        <w:t>"</w:t>
      </w:r>
      <w:r w:rsidR="002E1856" w:rsidRPr="00CA61A6">
        <w:rPr>
          <w:rFonts w:eastAsia="SimSun"/>
          <w:szCs w:val="24"/>
          <w:lang w:eastAsia="ja-JP"/>
        </w:rPr>
        <w:t>.</w:t>
      </w:r>
    </w:p>
    <w:p w:rsidR="00450BDD" w:rsidRPr="00CA61A6" w:rsidRDefault="00EC2CBF" w:rsidP="00DB1FED">
      <w:pPr>
        <w:pStyle w:val="enumlev1"/>
        <w:rPr>
          <w:rFonts w:eastAsia="SimSun"/>
          <w:szCs w:val="24"/>
          <w:lang w:eastAsia="ja-JP"/>
        </w:rPr>
      </w:pPr>
      <w:r w:rsidRPr="00CA61A6">
        <w:rPr>
          <w:rFonts w:eastAsia="SimSun"/>
          <w:lang w:eastAsia="ja-JP"/>
        </w:rPr>
        <w:t>–</w:t>
      </w:r>
      <w:r w:rsidRPr="00CA61A6">
        <w:rPr>
          <w:rFonts w:eastAsia="SimSun"/>
          <w:lang w:eastAsia="ja-JP"/>
        </w:rPr>
        <w:tab/>
      </w:r>
      <w:r w:rsidR="00450BDD" w:rsidRPr="00CA61A6">
        <w:rPr>
          <w:rFonts w:eastAsia="SimSun"/>
          <w:szCs w:val="24"/>
          <w:lang w:eastAsia="ja-JP"/>
        </w:rPr>
        <w:t xml:space="preserve">Proyecto de Recomendación UIT-T Q.SVDC </w:t>
      </w:r>
      <w:r w:rsidR="00B26079" w:rsidRPr="00CA61A6">
        <w:rPr>
          <w:rFonts w:eastAsia="SimSun"/>
          <w:szCs w:val="24"/>
          <w:lang w:eastAsia="ja-JP"/>
        </w:rPr>
        <w:t>"</w:t>
      </w:r>
      <w:r w:rsidR="00450BDD" w:rsidRPr="00CA61A6">
        <w:rPr>
          <w:rFonts w:eastAsia="SimSun"/>
          <w:szCs w:val="24"/>
          <w:lang w:eastAsia="ja-JP"/>
        </w:rPr>
        <w:t>Requisitos de señalización de la interfaz Sew para el centro de datos virtual</w:t>
      </w:r>
      <w:r w:rsidR="00B26079" w:rsidRPr="00CA61A6">
        <w:rPr>
          <w:rFonts w:eastAsia="SimSun"/>
          <w:szCs w:val="24"/>
          <w:lang w:eastAsia="ja-JP"/>
        </w:rPr>
        <w:t>"</w:t>
      </w:r>
      <w:r w:rsidR="00DB1FED" w:rsidRPr="00CA61A6">
        <w:rPr>
          <w:rFonts w:eastAsia="SimSun"/>
          <w:szCs w:val="24"/>
          <w:lang w:eastAsia="ja-JP"/>
        </w:rPr>
        <w:t>.</w:t>
      </w:r>
    </w:p>
    <w:p w:rsidR="00450BDD" w:rsidRPr="00CA61A6" w:rsidRDefault="00EC2CBF" w:rsidP="00EC2CBF">
      <w:pPr>
        <w:pStyle w:val="enumlev1"/>
        <w:rPr>
          <w:rFonts w:eastAsia="SimSun"/>
          <w:szCs w:val="24"/>
          <w:lang w:eastAsia="ja-JP"/>
        </w:rPr>
      </w:pPr>
      <w:r w:rsidRPr="00CA61A6">
        <w:rPr>
          <w:rFonts w:eastAsia="SimSun"/>
          <w:lang w:eastAsia="ja-JP"/>
        </w:rPr>
        <w:t>–</w:t>
      </w:r>
      <w:r w:rsidRPr="00CA61A6">
        <w:rPr>
          <w:rFonts w:eastAsia="SimSun"/>
          <w:lang w:eastAsia="ja-JP"/>
        </w:rPr>
        <w:tab/>
      </w:r>
      <w:r w:rsidR="00450BDD" w:rsidRPr="00CA61A6">
        <w:rPr>
          <w:rFonts w:eastAsia="SimSun"/>
          <w:szCs w:val="24"/>
          <w:lang w:eastAsia="ja-JP"/>
        </w:rPr>
        <w:t>Proyecto de Recomendación U</w:t>
      </w:r>
      <w:r w:rsidR="00C46C0D">
        <w:rPr>
          <w:rFonts w:eastAsia="SimSun"/>
          <w:szCs w:val="24"/>
          <w:lang w:eastAsia="ja-JP"/>
        </w:rPr>
        <w:t>I</w:t>
      </w:r>
      <w:r w:rsidR="00450BDD" w:rsidRPr="00CA61A6">
        <w:rPr>
          <w:rFonts w:eastAsia="SimSun"/>
          <w:szCs w:val="24"/>
          <w:lang w:eastAsia="ja-JP"/>
        </w:rPr>
        <w:t xml:space="preserve">T-T Q.BNG-DBoD </w:t>
      </w:r>
      <w:r w:rsidR="00B26079" w:rsidRPr="00CA61A6">
        <w:rPr>
          <w:rFonts w:eastAsia="SimSun"/>
          <w:szCs w:val="24"/>
          <w:lang w:eastAsia="ja-JP"/>
        </w:rPr>
        <w:t>"</w:t>
      </w:r>
      <w:r w:rsidR="00450BDD" w:rsidRPr="00CA61A6">
        <w:rPr>
          <w:rFonts w:eastAsia="SimSun"/>
          <w:szCs w:val="24"/>
          <w:lang w:eastAsia="ja-JP"/>
        </w:rPr>
        <w:t>Requisitos de señalización para el ajuste dinámico del ancho de banda en la pasarela de red de banda ancha utilizado por tecnologías SDN</w:t>
      </w:r>
      <w:r w:rsidR="00B26079" w:rsidRPr="00CA61A6">
        <w:rPr>
          <w:rFonts w:eastAsia="SimSun"/>
          <w:szCs w:val="24"/>
          <w:lang w:eastAsia="ja-JP"/>
        </w:rPr>
        <w:t>"</w:t>
      </w:r>
      <w:r w:rsidR="00450BDD" w:rsidRPr="00CA61A6">
        <w:rPr>
          <w:rFonts w:eastAsia="SimSun"/>
          <w:szCs w:val="24"/>
          <w:lang w:eastAsia="ja-JP"/>
        </w:rPr>
        <w:t>.</w:t>
      </w:r>
    </w:p>
    <w:p w:rsidR="00450BDD" w:rsidRPr="00CA61A6" w:rsidRDefault="00450BDD" w:rsidP="008B5B32">
      <w:pPr>
        <w:rPr>
          <w:rFonts w:eastAsia="SimSun"/>
          <w:szCs w:val="24"/>
          <w:lang w:eastAsia="ja-JP"/>
        </w:rPr>
      </w:pPr>
      <w:r w:rsidRPr="00CA61A6">
        <w:rPr>
          <w:rFonts w:eastAsia="SimSun"/>
          <w:szCs w:val="24"/>
          <w:lang w:eastAsia="ja-JP"/>
        </w:rPr>
        <w:t>En su reunión de 2013 el GANT designó a la CE</w:t>
      </w:r>
      <w:r w:rsidR="008B5B32" w:rsidRPr="00CA61A6">
        <w:rPr>
          <w:rFonts w:eastAsia="SimSun"/>
          <w:szCs w:val="24"/>
          <w:lang w:eastAsia="ja-JP"/>
        </w:rPr>
        <w:t> </w:t>
      </w:r>
      <w:r w:rsidRPr="00CA61A6">
        <w:rPr>
          <w:rFonts w:eastAsia="SimSun"/>
          <w:szCs w:val="24"/>
          <w:lang w:eastAsia="ja-JP"/>
        </w:rPr>
        <w:t>13 Comisión de Estudio rectora sobre las SDN y creó la JCA-SDN, que ya ha celebrado varias reuniones y se ocupa de mantener la hoja de ruta en que se consignan los resultados relativos a las SDN de dentro y fuera de la UIT.</w:t>
      </w:r>
    </w:p>
    <w:p w:rsidR="00450BDD" w:rsidRPr="00CA61A6" w:rsidRDefault="00450BDD" w:rsidP="007B3478">
      <w:pPr>
        <w:rPr>
          <w:rFonts w:eastAsia="SimSun"/>
          <w:szCs w:val="24"/>
          <w:lang w:eastAsia="ja-JP"/>
        </w:rPr>
      </w:pPr>
      <w:r w:rsidRPr="00CA61A6">
        <w:rPr>
          <w:rFonts w:eastAsia="SimSun"/>
          <w:szCs w:val="24"/>
          <w:lang w:eastAsia="ja-JP"/>
        </w:rPr>
        <w:t>La CE</w:t>
      </w:r>
      <w:r w:rsidR="008B5B32" w:rsidRPr="00CA61A6">
        <w:rPr>
          <w:rFonts w:eastAsia="SimSun"/>
          <w:szCs w:val="24"/>
          <w:lang w:eastAsia="ja-JP"/>
        </w:rPr>
        <w:t> </w:t>
      </w:r>
      <w:r w:rsidRPr="00CA61A6">
        <w:rPr>
          <w:rFonts w:eastAsia="SimSun"/>
          <w:szCs w:val="24"/>
          <w:lang w:eastAsia="ja-JP"/>
        </w:rPr>
        <w:t xml:space="preserve">13 aprobó en febrero de 2016 tres Recomendaciones sobre las SDN: UIT-T Y.3300 </w:t>
      </w:r>
      <w:r w:rsidR="00B26079" w:rsidRPr="00CA61A6">
        <w:rPr>
          <w:rFonts w:eastAsia="SimSun"/>
          <w:szCs w:val="24"/>
          <w:lang w:eastAsia="ja-JP"/>
        </w:rPr>
        <w:t>"</w:t>
      </w:r>
      <w:r w:rsidRPr="00CA61A6">
        <w:rPr>
          <w:rFonts w:eastAsia="SimSun"/>
          <w:szCs w:val="24"/>
          <w:lang w:eastAsia="ja-JP"/>
        </w:rPr>
        <w:t>Marco de creación de redes definidas por software</w:t>
      </w:r>
      <w:r w:rsidR="00B26079" w:rsidRPr="00CA61A6">
        <w:rPr>
          <w:rFonts w:eastAsia="SimSun"/>
          <w:szCs w:val="24"/>
          <w:lang w:eastAsia="ja-JP"/>
        </w:rPr>
        <w:t>"</w:t>
      </w:r>
      <w:r w:rsidRPr="00CA61A6">
        <w:rPr>
          <w:rFonts w:eastAsia="SimSun"/>
          <w:szCs w:val="24"/>
          <w:lang w:eastAsia="ja-JP"/>
        </w:rPr>
        <w:t xml:space="preserve">, UIT-T Y.3320 </w:t>
      </w:r>
      <w:r w:rsidR="00B26079" w:rsidRPr="00CA61A6">
        <w:rPr>
          <w:rFonts w:eastAsia="SimSun"/>
          <w:szCs w:val="24"/>
          <w:lang w:eastAsia="ja-JP"/>
        </w:rPr>
        <w:t>"</w:t>
      </w:r>
      <w:r w:rsidRPr="00CA61A6">
        <w:rPr>
          <w:rFonts w:eastAsia="SimSun"/>
          <w:szCs w:val="24"/>
          <w:lang w:eastAsia="ja-JP"/>
        </w:rPr>
        <w:t>Requisitos para la aplicación de métodos formales a redes definidas por software</w:t>
      </w:r>
      <w:r w:rsidR="00B26079" w:rsidRPr="00CA61A6">
        <w:rPr>
          <w:rFonts w:eastAsia="SimSun"/>
          <w:szCs w:val="24"/>
          <w:lang w:eastAsia="ja-JP"/>
        </w:rPr>
        <w:t>"</w:t>
      </w:r>
      <w:r w:rsidRPr="00CA61A6">
        <w:rPr>
          <w:rFonts w:eastAsia="SimSun"/>
          <w:szCs w:val="24"/>
          <w:lang w:eastAsia="ja-JP"/>
        </w:rPr>
        <w:t xml:space="preserve"> y UIT-T Y.3321 </w:t>
      </w:r>
      <w:r w:rsidR="00B26079" w:rsidRPr="00CA61A6">
        <w:rPr>
          <w:rFonts w:eastAsia="SimSun"/>
          <w:szCs w:val="24"/>
          <w:lang w:eastAsia="ja-JP"/>
        </w:rPr>
        <w:t>"</w:t>
      </w:r>
      <w:r w:rsidRPr="00CA61A6">
        <w:rPr>
          <w:rFonts w:eastAsia="SimSun"/>
          <w:szCs w:val="24"/>
          <w:lang w:eastAsia="ja-JP"/>
        </w:rPr>
        <w:t>Requisitos y marco de capacidad para la implementación de NICE mediante el uso de tecnologías de red definidas por software</w:t>
      </w:r>
      <w:r w:rsidR="00B26079" w:rsidRPr="00CA61A6">
        <w:rPr>
          <w:rFonts w:eastAsia="SimSun"/>
          <w:szCs w:val="24"/>
          <w:lang w:eastAsia="ja-JP"/>
        </w:rPr>
        <w:t>"</w:t>
      </w:r>
      <w:r w:rsidRPr="00CA61A6">
        <w:rPr>
          <w:rFonts w:eastAsia="SimSun"/>
          <w:szCs w:val="24"/>
          <w:lang w:eastAsia="ja-JP"/>
        </w:rPr>
        <w:t>. En su reunión de julio de 2016 la CE</w:t>
      </w:r>
      <w:r w:rsidR="008B5B32" w:rsidRPr="00CA61A6">
        <w:rPr>
          <w:rFonts w:eastAsia="SimSun"/>
          <w:szCs w:val="24"/>
          <w:lang w:eastAsia="ja-JP"/>
        </w:rPr>
        <w:t> </w:t>
      </w:r>
      <w:r w:rsidRPr="00CA61A6">
        <w:rPr>
          <w:rFonts w:eastAsia="SimSun"/>
          <w:szCs w:val="24"/>
          <w:lang w:eastAsia="ja-JP"/>
        </w:rPr>
        <w:t>13 tenía previsto otorgar el consentimiento a otras dos Recomendaciones básicas. Las Cuestiones 2/13, 7/13, 12/13 y 14/13 siguen trabajando sobre las SDN, que han sido uno de los temas más tratados en los talleres organizados por la CE</w:t>
      </w:r>
      <w:r w:rsidR="008B5B32" w:rsidRPr="00CA61A6">
        <w:rPr>
          <w:rFonts w:eastAsia="SimSun"/>
          <w:szCs w:val="24"/>
          <w:lang w:eastAsia="ja-JP"/>
        </w:rPr>
        <w:t> </w:t>
      </w:r>
      <w:r w:rsidRPr="00CA61A6">
        <w:rPr>
          <w:rFonts w:eastAsia="SimSun"/>
          <w:szCs w:val="24"/>
          <w:lang w:eastAsia="ja-JP"/>
        </w:rPr>
        <w:t>13 entre 2013 y 2016.</w:t>
      </w:r>
    </w:p>
    <w:p w:rsidR="00450BDD" w:rsidRPr="00CA61A6" w:rsidRDefault="00070D19" w:rsidP="004D18A3">
      <w:pPr>
        <w:pStyle w:val="Headingb"/>
        <w:keepLines/>
      </w:pPr>
      <w:bookmarkStart w:id="710" w:name="Item77_04"/>
      <w:r w:rsidRPr="00CA61A6">
        <w:t xml:space="preserve">Acción </w:t>
      </w:r>
      <w:r w:rsidR="00450BDD" w:rsidRPr="00CA61A6">
        <w:t>77-04</w:t>
      </w:r>
      <w:r w:rsidR="004D18A3" w:rsidRPr="00CA61A6">
        <w:t>: TSB</w:t>
      </w:r>
    </w:p>
    <w:bookmarkEnd w:id="710"/>
    <w:p w:rsidR="00450BDD" w:rsidRPr="00CA61A6" w:rsidRDefault="00450BDD" w:rsidP="007B3478">
      <w:pPr>
        <w:rPr>
          <w:rFonts w:eastAsia="SimSun"/>
          <w:szCs w:val="24"/>
          <w:lang w:eastAsia="ja-JP"/>
        </w:rPr>
      </w:pPr>
      <w:r w:rsidRPr="00CA61A6">
        <w:rPr>
          <w:rFonts w:eastAsia="SimSun"/>
          <w:szCs w:val="24"/>
          <w:lang w:eastAsia="ja-JP"/>
        </w:rPr>
        <w:t>En su reunión celebrada en Tailandia en noviembre de 2013, el CTO tomó nota de la evolución de los trabajos sobre las SDN y temas conexos. Tras un intercambio de opiniones, se consideró que el trabajo progresaba paulatinamente de manera prometedora. Las SDN, la NFV y otros temas conexos fueron temas principales de las reuniones CTO en 2014 y 2015. El trabajo del Grupo Temático sobre las IMT-2020 pone de manifiesto la importancia de la softwarización de la red para las futuras redes 5G.</w:t>
      </w:r>
    </w:p>
    <w:p w:rsidR="00450BDD" w:rsidRPr="00CA61A6" w:rsidRDefault="00070D19" w:rsidP="004D18A3">
      <w:pPr>
        <w:pStyle w:val="Headingb"/>
        <w:keepLines/>
      </w:pPr>
      <w:bookmarkStart w:id="711" w:name="Item77_05"/>
      <w:r w:rsidRPr="00CA61A6">
        <w:t xml:space="preserve">Acción </w:t>
      </w:r>
      <w:r w:rsidR="00450BDD" w:rsidRPr="00CA61A6">
        <w:t>77-05: TSB</w:t>
      </w:r>
    </w:p>
    <w:bookmarkEnd w:id="711"/>
    <w:p w:rsidR="00450BDD" w:rsidRPr="00CA61A6" w:rsidRDefault="00450BDD" w:rsidP="007B3478">
      <w:pPr>
        <w:rPr>
          <w:rFonts w:eastAsia="SimSun"/>
          <w:szCs w:val="24"/>
          <w:lang w:eastAsia="ja-JP"/>
        </w:rPr>
      </w:pPr>
      <w:r w:rsidRPr="00CA61A6">
        <w:rPr>
          <w:rFonts w:eastAsia="SimSun"/>
          <w:szCs w:val="24"/>
          <w:lang w:eastAsia="ja-JP"/>
        </w:rPr>
        <w:t xml:space="preserve">Coincidiendo con la reunión del GANT, el 4 de junio de 2013 se celebró un </w:t>
      </w:r>
      <w:hyperlink r:id="rId222" w:history="1">
        <w:r w:rsidR="00A518A6">
          <w:rPr>
            <w:rFonts w:eastAsia="SimSun"/>
            <w:color w:val="0000FF"/>
            <w:u w:val="single"/>
          </w:rPr>
          <w:t>t</w:t>
        </w:r>
        <w:r w:rsidRPr="00CA61A6">
          <w:rPr>
            <w:rFonts w:eastAsia="SimSun"/>
            <w:color w:val="0000FF"/>
            <w:u w:val="single"/>
          </w:rPr>
          <w:t>aller sobre las SDN</w:t>
        </w:r>
      </w:hyperlink>
      <w:r w:rsidRPr="00CA61A6">
        <w:rPr>
          <w:rFonts w:eastAsia="SimSun"/>
          <w:szCs w:val="24"/>
          <w:lang w:eastAsia="ja-JP"/>
        </w:rPr>
        <w:t xml:space="preserve"> y su normalización.</w:t>
      </w:r>
    </w:p>
    <w:p w:rsidR="00E84BA0" w:rsidRPr="00CA61A6" w:rsidRDefault="00110CAD" w:rsidP="00E84BA0">
      <w:hyperlink w:anchor="Top" w:history="1">
        <w:r w:rsidR="00E84BA0" w:rsidRPr="00CA61A6">
          <w:rPr>
            <w:rStyle w:val="Hyperlink"/>
          </w:rPr>
          <w:t>» Arriba</w:t>
        </w:r>
      </w:hyperlink>
    </w:p>
    <w:p w:rsidR="00450BDD" w:rsidRPr="00CA61A6" w:rsidRDefault="00316A7C" w:rsidP="00316A7C">
      <w:pPr>
        <w:pStyle w:val="Heading1"/>
      </w:pPr>
      <w:bookmarkStart w:id="712" w:name="_46_Resolución_78"/>
      <w:bookmarkStart w:id="713" w:name="_Toc463335797"/>
      <w:bookmarkEnd w:id="712"/>
      <w:r w:rsidRPr="00CA61A6">
        <w:lastRenderedPageBreak/>
        <w:t>46</w:t>
      </w:r>
      <w:r w:rsidRPr="00CA61A6">
        <w:tab/>
      </w:r>
      <w:r w:rsidR="00450BDD" w:rsidRPr="00CA61A6">
        <w:t>Resolución 78</w:t>
      </w:r>
      <w:r w:rsidRPr="00CA61A6">
        <w:t xml:space="preserve"> – </w:t>
      </w:r>
      <w:r w:rsidR="00450BDD" w:rsidRPr="00CA61A6">
        <w:t>Aplicaciones y normas de las tecnologías de la información y la comunicación para mejorar el acceso a los servicios de cibersalud</w:t>
      </w:r>
      <w:bookmarkEnd w:id="713"/>
    </w:p>
    <w:p w:rsidR="00776AC0" w:rsidRPr="00CA61A6" w:rsidRDefault="00776AC0" w:rsidP="00776AC0">
      <w:pPr>
        <w:pStyle w:val="Headingb"/>
        <w:keepLines/>
      </w:pPr>
      <w:r w:rsidRPr="00CA61A6">
        <w:t>Resolución 78</w:t>
      </w:r>
    </w:p>
    <w:p w:rsidR="00450BDD" w:rsidRPr="00CA61A6" w:rsidRDefault="00450BDD" w:rsidP="007B3478">
      <w:pPr>
        <w:pStyle w:val="Call"/>
      </w:pPr>
      <w:r w:rsidRPr="00CA61A6">
        <w:t>resuelve encargar al Director de la Oficina de Normalización de las Telecomunicaciones, en colaboración con el Director de la Oficina de Desarrollo de las Telecomunicaciones y el Director de la Oficina de Radiocomunicaciones</w:t>
      </w:r>
    </w:p>
    <w:p w:rsidR="00450BDD" w:rsidRPr="00CA61A6" w:rsidRDefault="00450BDD" w:rsidP="007B3478">
      <w:r w:rsidRPr="00CA61A6">
        <w:t>1</w:t>
      </w:r>
      <w:r w:rsidRPr="00CA61A6">
        <w:tab/>
        <w:t>que dé prioridad al estudio de la ampliación de las iniciativas de telecomunicaciones/TIC en el ámbito de la cibersalud y a la coordinación de sus actividades de normalización relacionadas;</w:t>
      </w:r>
    </w:p>
    <w:p w:rsidR="00450BDD" w:rsidRPr="00CA61A6" w:rsidRDefault="00450BDD" w:rsidP="007B3478">
      <w:r w:rsidRPr="00CA61A6">
        <w:t>2</w:t>
      </w:r>
      <w:r w:rsidRPr="00CA61A6">
        <w:tab/>
        <w:t>que prosiga las actividades de la UIT sobre aplicaciones de telecomunicaciones/TIC para la cibersalud con el fin de contribuir a los esfuerzos más amplios de ámbito mundial en materia de cibersalud;</w:t>
      </w:r>
    </w:p>
    <w:p w:rsidR="00450BDD" w:rsidRPr="00CA61A6" w:rsidRDefault="00450BDD" w:rsidP="007B3478">
      <w:r w:rsidRPr="00CA61A6">
        <w:t>3</w:t>
      </w:r>
      <w:r w:rsidRPr="00CA61A6">
        <w:tab/>
        <w:t>que colabore con la OMS, instituciones académicas y otras organizaciones competentes en actividades relacionadas con la cibersalud;</w:t>
      </w:r>
    </w:p>
    <w:p w:rsidR="00450BDD" w:rsidRPr="00CA61A6" w:rsidRDefault="00450BDD" w:rsidP="007B3478">
      <w:r w:rsidRPr="00CA61A6">
        <w:t>4</w:t>
      </w:r>
      <w:r w:rsidRPr="00CA61A6">
        <w:tab/>
        <w:t>que estudie la posibilidad de organizar una conferencia mundial en 2013 ó 2015 para la normalización de aplicaciones de cibersalud y utilizaciones de protocolos de cibersalud, en colaboración con la OMS y otras partes interesadas;</w:t>
      </w:r>
    </w:p>
    <w:p w:rsidR="00450BDD" w:rsidRPr="00CA61A6" w:rsidRDefault="00450BDD" w:rsidP="007B3478">
      <w:r w:rsidRPr="00CA61A6">
        <w:t>5</w:t>
      </w:r>
      <w:r w:rsidRPr="00CA61A6">
        <w:tab/>
        <w:t>que organice seminarios y talleres sobre cibersalud para los países en desarrollo</w:t>
      </w:r>
      <w:r w:rsidRPr="00CA61A6">
        <w:rPr>
          <w:rStyle w:val="FootnoteReference"/>
        </w:rPr>
        <w:footnoteReference w:id="11"/>
      </w:r>
      <w:r w:rsidRPr="00CA61A6">
        <w:t xml:space="preserve"> y evalúe las necesidades de esos países, que son los que más necesitan aplicaciones de cibersalud,</w:t>
      </w:r>
    </w:p>
    <w:p w:rsidR="00450BDD" w:rsidRPr="00CA61A6" w:rsidRDefault="00450BDD" w:rsidP="007B3478">
      <w:pPr>
        <w:pStyle w:val="Call"/>
      </w:pPr>
      <w:r w:rsidRPr="00CA61A6">
        <w:t>encarga a la Comisión de Estudio 16 del UIT-T, en colaboración con las Comisiones de Estudio competentes, especialmente las Comisiones de Estudio 11 y 17 del UIT-T</w:t>
      </w:r>
    </w:p>
    <w:p w:rsidR="00450BDD" w:rsidRPr="00CA61A6" w:rsidRDefault="00450BDD" w:rsidP="007B3478">
      <w:r w:rsidRPr="00CA61A6">
        <w:t>1</w:t>
      </w:r>
      <w:r w:rsidRPr="00CA61A6">
        <w:tab/>
        <w:t>que identifique y dé ejemplos de prácticas idóneas de cibersalud en el campo de las telecomunicaciones/TIC para su divulgación a los Estados Miembros y Miembros de Sector de la UIT;</w:t>
      </w:r>
    </w:p>
    <w:p w:rsidR="00450BDD" w:rsidRPr="00CA61A6" w:rsidRDefault="00450BDD" w:rsidP="007B3478">
      <w:r w:rsidRPr="00CA61A6">
        <w:t>2</w:t>
      </w:r>
      <w:r w:rsidRPr="00CA61A6">
        <w:tab/>
        <w:t>que coordine actividades y estudios relativos a la cibersalud entre las Comisiones de Estudio, los Grupos Temáticos y otros grupos competentes del UIT</w:t>
      </w:r>
      <w:r w:rsidRPr="00CA61A6">
        <w:noBreakHyphen/>
        <w:t>T, el Sector de Radiocomunicaciones de la UIT (UIT</w:t>
      </w:r>
      <w:r w:rsidRPr="00CA61A6">
        <w:noBreakHyphen/>
        <w:t>R) y el UIT</w:t>
      </w:r>
      <w:r w:rsidRPr="00CA61A6">
        <w:noBreakHyphen/>
        <w:t>D, a fin de fomentar en particular la sensibilización sobre las normas de telecomunicaciones/TIC que conciernen a la cibersalud;</w:t>
      </w:r>
    </w:p>
    <w:p w:rsidR="00450BDD" w:rsidRPr="00CA61A6" w:rsidRDefault="00450BDD" w:rsidP="007B3478">
      <w:r w:rsidRPr="00CA61A6">
        <w:t>3</w:t>
      </w:r>
      <w:r w:rsidRPr="00CA61A6">
        <w:tab/>
        <w:t>que estudie protocolos de comunicación relativos a la cibersalud, especialmente entre redes heterogéneas, para garantizar el amplio despliegue de servicios de cibersalud en diversas condiciones operativas;</w:t>
      </w:r>
    </w:p>
    <w:p w:rsidR="00450BDD" w:rsidRPr="00CA61A6" w:rsidRDefault="00450BDD" w:rsidP="007B3478">
      <w:r w:rsidRPr="00CA61A6">
        <w:t>4</w:t>
      </w:r>
      <w:r w:rsidRPr="00CA61A6">
        <w:tab/>
        <w:t xml:space="preserve">que, ajustándose al actual mandato de las Comisiones de Estudio del UIT-T, dé prioridad al estudio de normas de seguridad (por ejemplo, para comunicaciones, servicios, aspectos relacionados con redes y distintos servicios de bases de datos, tratamiento de registros, identificación, integridad y autentificación) relativos a la cibersalud habida cuenta del </w:t>
      </w:r>
      <w:r w:rsidRPr="00CA61A6">
        <w:rPr>
          <w:i/>
          <w:iCs/>
        </w:rPr>
        <w:t>reconociendo a)</w:t>
      </w:r>
      <w:r w:rsidRPr="00CA61A6">
        <w:t>,</w:t>
      </w:r>
    </w:p>
    <w:p w:rsidR="00450BDD" w:rsidRPr="00CA61A6" w:rsidRDefault="00450BDD" w:rsidP="007B3478">
      <w:pPr>
        <w:pStyle w:val="Call"/>
      </w:pPr>
      <w:r w:rsidRPr="00CA61A6">
        <w:lastRenderedPageBreak/>
        <w:t>invita a los Estados Miembros</w:t>
      </w:r>
    </w:p>
    <w:p w:rsidR="00450BDD" w:rsidRPr="00CA61A6" w:rsidRDefault="00450BDD" w:rsidP="007B3478">
      <w:r w:rsidRPr="00CA61A6">
        <w:t>a estudiar, si procede, la elaboración y la mejora de marcos, que pueden ser leyes, reglamentos, normas, códigos de conducta y directrices para fomentar el desarrollo de servicios, productos y terminales de telecomunicaciones/TIC para cibersalud y aplicaciones de cibersalud, en el marco de la Resolución 130 (Rev. Guadalajara, 2010) de la Conferencia de Plenipotenciarios,</w:t>
      </w:r>
    </w:p>
    <w:p w:rsidR="00450BDD" w:rsidRPr="00CA61A6" w:rsidRDefault="00450BDD" w:rsidP="007B3478">
      <w:pPr>
        <w:pStyle w:val="Call"/>
      </w:pPr>
      <w:r w:rsidRPr="00CA61A6">
        <w:t>alienta a los Estados Miembros, Miembros de Sector e instituciones académicas</w:t>
      </w:r>
    </w:p>
    <w:p w:rsidR="00450BDD" w:rsidRPr="00CA61A6" w:rsidRDefault="00450BDD" w:rsidP="00353AD2">
      <w:pPr>
        <w:spacing w:after="120"/>
      </w:pPr>
      <w:r w:rsidRPr="00CA61A6">
        <w:t>a participar activamente en los estudios del UIT-T sobre cibersalud presentando contribuciones y por otros medios apropiados.</w:t>
      </w:r>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4383"/>
        <w:gridCol w:w="1502"/>
        <w:gridCol w:w="1645"/>
        <w:gridCol w:w="1261"/>
      </w:tblGrid>
      <w:tr w:rsidR="00450BDD" w:rsidRPr="00CA61A6" w:rsidTr="00D44838">
        <w:trPr>
          <w:cantSplit/>
          <w:tblHeader/>
          <w:jc w:val="center"/>
        </w:trPr>
        <w:tc>
          <w:tcPr>
            <w:tcW w:w="1141" w:type="dxa"/>
            <w:tcBorders>
              <w:bottom w:val="double" w:sz="4" w:space="0" w:color="auto"/>
            </w:tcBorders>
            <w:shd w:val="clear" w:color="auto" w:fill="auto"/>
            <w:vAlign w:val="center"/>
          </w:tcPr>
          <w:p w:rsidR="00450BDD" w:rsidRPr="00CA61A6" w:rsidRDefault="00450BDD" w:rsidP="00EA62FB">
            <w:pPr>
              <w:pStyle w:val="Tablehead"/>
            </w:pPr>
            <w:r w:rsidRPr="00CA61A6">
              <w:t>Número</w:t>
            </w:r>
          </w:p>
        </w:tc>
        <w:tc>
          <w:tcPr>
            <w:tcW w:w="4383" w:type="dxa"/>
            <w:tcBorders>
              <w:bottom w:val="double" w:sz="4" w:space="0" w:color="auto"/>
            </w:tcBorders>
            <w:shd w:val="clear" w:color="auto" w:fill="auto"/>
            <w:vAlign w:val="center"/>
            <w:hideMark/>
          </w:tcPr>
          <w:p w:rsidR="00450BDD" w:rsidRPr="00CA61A6" w:rsidRDefault="00450BDD" w:rsidP="00EA62FB">
            <w:pPr>
              <w:pStyle w:val="Tablehead"/>
            </w:pPr>
            <w:r w:rsidRPr="00CA61A6">
              <w:t>Acción</w:t>
            </w:r>
          </w:p>
        </w:tc>
        <w:tc>
          <w:tcPr>
            <w:tcW w:w="1502" w:type="dxa"/>
            <w:tcBorders>
              <w:bottom w:val="double" w:sz="4" w:space="0" w:color="auto"/>
            </w:tcBorders>
            <w:shd w:val="clear" w:color="auto" w:fill="auto"/>
            <w:vAlign w:val="center"/>
            <w:hideMark/>
          </w:tcPr>
          <w:p w:rsidR="00450BDD" w:rsidRPr="00CA61A6" w:rsidRDefault="00450BDD" w:rsidP="00EA62FB">
            <w:pPr>
              <w:pStyle w:val="Tablehead"/>
            </w:pPr>
            <w:r w:rsidRPr="00CA61A6">
              <w:t>Fecha objetivo</w:t>
            </w:r>
          </w:p>
        </w:tc>
        <w:tc>
          <w:tcPr>
            <w:tcW w:w="1645" w:type="dxa"/>
            <w:tcBorders>
              <w:bottom w:val="double" w:sz="4" w:space="0" w:color="auto"/>
            </w:tcBorders>
            <w:shd w:val="clear" w:color="auto" w:fill="auto"/>
          </w:tcPr>
          <w:p w:rsidR="00450BDD" w:rsidRPr="00CA61A6" w:rsidRDefault="00302C48" w:rsidP="00EA62FB">
            <w:pPr>
              <w:pStyle w:val="Tablehead"/>
            </w:pPr>
            <w:r w:rsidRPr="00CA61A6">
              <w:t xml:space="preserve">Objetivos </w:t>
            </w:r>
            <w:r w:rsidR="00450BDD" w:rsidRPr="00CA61A6">
              <w:t>periódicos cumplidos</w:t>
            </w:r>
          </w:p>
        </w:tc>
        <w:tc>
          <w:tcPr>
            <w:tcW w:w="1261" w:type="dxa"/>
            <w:tcBorders>
              <w:bottom w:val="double" w:sz="4" w:space="0" w:color="auto"/>
            </w:tcBorders>
            <w:shd w:val="clear" w:color="auto" w:fill="auto"/>
            <w:vAlign w:val="center"/>
          </w:tcPr>
          <w:p w:rsidR="00450BDD" w:rsidRPr="00CA61A6" w:rsidRDefault="00450BDD" w:rsidP="00EA62FB">
            <w:pPr>
              <w:pStyle w:val="Tablehead"/>
            </w:pPr>
            <w:r w:rsidRPr="00CA61A6">
              <w:t>Completada</w:t>
            </w:r>
          </w:p>
        </w:tc>
      </w:tr>
      <w:tr w:rsidR="00450BDD" w:rsidRPr="00CA61A6" w:rsidTr="00D44838">
        <w:trPr>
          <w:cantSplit/>
          <w:jc w:val="center"/>
        </w:trPr>
        <w:tc>
          <w:tcPr>
            <w:tcW w:w="1141" w:type="dxa"/>
            <w:tcBorders>
              <w:top w:val="double" w:sz="4" w:space="0" w:color="auto"/>
            </w:tcBorders>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78_01" w:history="1">
              <w:r w:rsidR="00450BDD" w:rsidRPr="00CA61A6">
                <w:rPr>
                  <w:color w:val="0000FF"/>
                  <w:sz w:val="20"/>
                  <w:u w:val="single"/>
                </w:rPr>
                <w:t>78-01</w:t>
              </w:r>
            </w:hyperlink>
          </w:p>
        </w:tc>
        <w:tc>
          <w:tcPr>
            <w:tcW w:w="4383" w:type="dxa"/>
            <w:tcBorders>
              <w:top w:val="double" w:sz="4" w:space="0" w:color="auto"/>
            </w:tcBorders>
            <w:shd w:val="clear" w:color="auto" w:fill="auto"/>
            <w:hideMark/>
          </w:tcPr>
          <w:p w:rsidR="00450BDD" w:rsidRPr="00CA61A6" w:rsidRDefault="00FD49A1" w:rsidP="00FD49A1">
            <w:pPr>
              <w:pStyle w:val="Tabletext"/>
            </w:pPr>
            <w:r>
              <w:t>E</w:t>
            </w:r>
            <w:r w:rsidR="00450BDD" w:rsidRPr="00CA61A6">
              <w:t>l Director de la TSB, en colaboración con los Directores de la BDT y la BR, prepar</w:t>
            </w:r>
            <w:r>
              <w:t>ará</w:t>
            </w:r>
            <w:r w:rsidR="00450BDD" w:rsidRPr="00CA61A6">
              <w:t xml:space="preserve"> actividades de cibersalud en la UIT</w:t>
            </w:r>
          </w:p>
        </w:tc>
        <w:tc>
          <w:tcPr>
            <w:tcW w:w="1502" w:type="dxa"/>
            <w:tcBorders>
              <w:top w:val="double" w:sz="4" w:space="0" w:color="auto"/>
            </w:tcBorders>
            <w:shd w:val="clear" w:color="auto" w:fill="auto"/>
            <w:vAlign w:val="center"/>
          </w:tcPr>
          <w:p w:rsidR="00450BDD" w:rsidRPr="00CA61A6" w:rsidRDefault="00450BDD" w:rsidP="00E5582C">
            <w:pPr>
              <w:pStyle w:val="Tabletext"/>
              <w:jc w:val="center"/>
            </w:pPr>
            <w:r w:rsidRPr="00CA61A6">
              <w:t>En curso</w:t>
            </w:r>
          </w:p>
        </w:tc>
        <w:tc>
          <w:tcPr>
            <w:tcW w:w="1645" w:type="dxa"/>
            <w:tcBorders>
              <w:top w:val="double" w:sz="4" w:space="0" w:color="auto"/>
            </w:tcBorders>
            <w:shd w:val="clear" w:color="auto" w:fill="auto"/>
            <w:vAlign w:val="center"/>
          </w:tcPr>
          <w:p w:rsidR="00450BDD" w:rsidRPr="00CA61A6" w:rsidRDefault="00E5582C" w:rsidP="00E5582C">
            <w:pPr>
              <w:pStyle w:val="Tabletext"/>
              <w:jc w:val="center"/>
            </w:pPr>
            <w:r w:rsidRPr="00CA61A6">
              <w:sym w:font="Wingdings" w:char="F0FC"/>
            </w:r>
          </w:p>
        </w:tc>
        <w:tc>
          <w:tcPr>
            <w:tcW w:w="1261" w:type="dxa"/>
            <w:tcBorders>
              <w:top w:val="double" w:sz="4" w:space="0" w:color="auto"/>
            </w:tcBorders>
            <w:shd w:val="clear" w:color="auto" w:fill="auto"/>
            <w:vAlign w:val="center"/>
          </w:tcPr>
          <w:p w:rsidR="00450BDD" w:rsidRPr="00CA61A6" w:rsidRDefault="00450BDD" w:rsidP="00E5582C">
            <w:pPr>
              <w:pStyle w:val="Tabletext"/>
              <w:jc w:val="center"/>
            </w:pPr>
          </w:p>
        </w:tc>
      </w:tr>
      <w:tr w:rsidR="00450BDD" w:rsidRPr="00CA61A6" w:rsidTr="00D44838">
        <w:trPr>
          <w:cantSplit/>
          <w:jc w:val="center"/>
        </w:trPr>
        <w:tc>
          <w:tcPr>
            <w:tcW w:w="1141" w:type="dxa"/>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78_02" w:history="1">
              <w:r w:rsidR="00450BDD" w:rsidRPr="00CA61A6">
                <w:rPr>
                  <w:color w:val="0000FF"/>
                  <w:sz w:val="20"/>
                  <w:u w:val="single"/>
                </w:rPr>
                <w:t>78-02</w:t>
              </w:r>
            </w:hyperlink>
          </w:p>
        </w:tc>
        <w:tc>
          <w:tcPr>
            <w:tcW w:w="4383" w:type="dxa"/>
            <w:shd w:val="clear" w:color="auto" w:fill="auto"/>
          </w:tcPr>
          <w:p w:rsidR="00450BDD" w:rsidRPr="00CA61A6" w:rsidRDefault="00FD49A1" w:rsidP="00FD49A1">
            <w:pPr>
              <w:pStyle w:val="Tabletext"/>
            </w:pPr>
            <w:r>
              <w:t>E</w:t>
            </w:r>
            <w:r w:rsidR="00450BDD" w:rsidRPr="00CA61A6">
              <w:t>l Director de la TSB, en colaboración con la BDT y la BR, estudi</w:t>
            </w:r>
            <w:r>
              <w:t>ará</w:t>
            </w:r>
            <w:r w:rsidR="00450BDD" w:rsidRPr="00CA61A6">
              <w:t xml:space="preserve"> la posibilidad de organizar una conferencia mundial en 2013 ó 2015 sobre normalización de la cibersalud y utilizaciones de protocolos de cibersalud, en colaboración con la</w:t>
            </w:r>
            <w:r w:rsidR="0059516B" w:rsidRPr="00CA61A6">
              <w:t xml:space="preserve"> OMS y otras partes interesadas</w:t>
            </w:r>
          </w:p>
        </w:tc>
        <w:tc>
          <w:tcPr>
            <w:tcW w:w="1502" w:type="dxa"/>
            <w:shd w:val="clear" w:color="auto" w:fill="auto"/>
            <w:vAlign w:val="center"/>
          </w:tcPr>
          <w:p w:rsidR="00450BDD" w:rsidRPr="00CA61A6" w:rsidRDefault="00450BDD" w:rsidP="00E5582C">
            <w:pPr>
              <w:pStyle w:val="Tabletext"/>
              <w:jc w:val="center"/>
            </w:pPr>
            <w:r w:rsidRPr="00CA61A6">
              <w:t>En curso</w:t>
            </w:r>
          </w:p>
        </w:tc>
        <w:tc>
          <w:tcPr>
            <w:tcW w:w="1645" w:type="dxa"/>
            <w:shd w:val="clear" w:color="auto" w:fill="auto"/>
            <w:vAlign w:val="center"/>
          </w:tcPr>
          <w:p w:rsidR="00450BDD" w:rsidRPr="00CA61A6" w:rsidRDefault="00450BDD" w:rsidP="00E5582C">
            <w:pPr>
              <w:pStyle w:val="Tabletext"/>
              <w:jc w:val="center"/>
            </w:pPr>
            <w:r w:rsidRPr="00CA61A6">
              <w:t xml:space="preserve">Véase </w:t>
            </w:r>
            <w:r w:rsidRPr="0098226C">
              <w:rPr>
                <w:i/>
                <w:iCs/>
              </w:rPr>
              <w:t>infra</w:t>
            </w:r>
          </w:p>
        </w:tc>
        <w:tc>
          <w:tcPr>
            <w:tcW w:w="1261" w:type="dxa"/>
            <w:shd w:val="clear" w:color="auto" w:fill="auto"/>
            <w:vAlign w:val="center"/>
          </w:tcPr>
          <w:p w:rsidR="00450BDD" w:rsidRPr="00CA61A6" w:rsidRDefault="00450BDD" w:rsidP="00E5582C">
            <w:pPr>
              <w:pStyle w:val="Tabletext"/>
              <w:jc w:val="center"/>
            </w:pPr>
          </w:p>
        </w:tc>
      </w:tr>
      <w:tr w:rsidR="00450BDD" w:rsidRPr="00CA61A6" w:rsidTr="00D44838">
        <w:trPr>
          <w:cantSplit/>
          <w:jc w:val="center"/>
        </w:trPr>
        <w:tc>
          <w:tcPr>
            <w:tcW w:w="1141" w:type="dxa"/>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78_01" w:history="1">
              <w:r w:rsidR="00450BDD" w:rsidRPr="00CA61A6">
                <w:rPr>
                  <w:color w:val="0000FF"/>
                  <w:sz w:val="20"/>
                  <w:u w:val="single"/>
                </w:rPr>
                <w:t>78-03</w:t>
              </w:r>
            </w:hyperlink>
          </w:p>
        </w:tc>
        <w:tc>
          <w:tcPr>
            <w:tcW w:w="4383" w:type="dxa"/>
            <w:shd w:val="clear" w:color="auto" w:fill="auto"/>
            <w:hideMark/>
          </w:tcPr>
          <w:p w:rsidR="00450BDD" w:rsidRPr="00CA61A6" w:rsidRDefault="00FD49A1" w:rsidP="00DB64EC">
            <w:pPr>
              <w:pStyle w:val="Tabletext"/>
            </w:pPr>
            <w:r>
              <w:t>E</w:t>
            </w:r>
            <w:r w:rsidR="00450BDD" w:rsidRPr="00CA61A6">
              <w:t>l Director de la TSB, en colaboración con los Directores de la BDT y la BR, organi</w:t>
            </w:r>
            <w:r>
              <w:t>zará</w:t>
            </w:r>
            <w:r w:rsidR="00450BDD" w:rsidRPr="00CA61A6">
              <w:t xml:space="preserve"> seminarios y talleres sobre cibersalud</w:t>
            </w:r>
            <w:r w:rsidR="009D6932" w:rsidRPr="00CA61A6">
              <w:t xml:space="preserve"> para los países en desarrollo </w:t>
            </w:r>
            <w:r w:rsidR="00450BDD" w:rsidRPr="00CA61A6">
              <w:t>y eval</w:t>
            </w:r>
            <w:r w:rsidR="00DB64EC">
              <w:t>uará</w:t>
            </w:r>
            <w:r w:rsidR="00450BDD" w:rsidRPr="00CA61A6">
              <w:t xml:space="preserve"> las necesidades de esos países en la materia</w:t>
            </w:r>
          </w:p>
        </w:tc>
        <w:tc>
          <w:tcPr>
            <w:tcW w:w="1502" w:type="dxa"/>
            <w:shd w:val="clear" w:color="auto" w:fill="auto"/>
            <w:vAlign w:val="center"/>
          </w:tcPr>
          <w:p w:rsidR="00450BDD" w:rsidRPr="00CA61A6" w:rsidRDefault="00450BDD" w:rsidP="00E5582C">
            <w:pPr>
              <w:pStyle w:val="Tabletext"/>
              <w:jc w:val="center"/>
            </w:pPr>
            <w:r w:rsidRPr="00CA61A6">
              <w:t>En curso</w:t>
            </w:r>
          </w:p>
        </w:tc>
        <w:tc>
          <w:tcPr>
            <w:tcW w:w="1645" w:type="dxa"/>
            <w:shd w:val="clear" w:color="auto" w:fill="auto"/>
            <w:vAlign w:val="center"/>
          </w:tcPr>
          <w:p w:rsidR="00450BDD" w:rsidRPr="00CA61A6" w:rsidRDefault="00E5582C" w:rsidP="00E5582C">
            <w:pPr>
              <w:pStyle w:val="Tabletext"/>
              <w:jc w:val="center"/>
            </w:pPr>
            <w:r w:rsidRPr="00CA61A6">
              <w:sym w:font="Wingdings" w:char="F0FC"/>
            </w:r>
          </w:p>
        </w:tc>
        <w:tc>
          <w:tcPr>
            <w:tcW w:w="1261" w:type="dxa"/>
            <w:shd w:val="clear" w:color="auto" w:fill="auto"/>
            <w:vAlign w:val="center"/>
          </w:tcPr>
          <w:p w:rsidR="00450BDD" w:rsidRPr="00CA61A6" w:rsidRDefault="00450BDD" w:rsidP="00E5582C">
            <w:pPr>
              <w:pStyle w:val="Tabletext"/>
              <w:jc w:val="center"/>
            </w:pPr>
          </w:p>
        </w:tc>
      </w:tr>
      <w:tr w:rsidR="00450BDD" w:rsidRPr="00CA61A6" w:rsidTr="00D44838">
        <w:trPr>
          <w:cantSplit/>
          <w:jc w:val="center"/>
        </w:trPr>
        <w:tc>
          <w:tcPr>
            <w:tcW w:w="1141" w:type="dxa"/>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78_04" w:history="1">
              <w:r w:rsidR="00450BDD" w:rsidRPr="00CA61A6">
                <w:rPr>
                  <w:color w:val="0000FF"/>
                  <w:sz w:val="20"/>
                  <w:u w:val="single"/>
                </w:rPr>
                <w:t>78-04</w:t>
              </w:r>
            </w:hyperlink>
          </w:p>
        </w:tc>
        <w:tc>
          <w:tcPr>
            <w:tcW w:w="4383" w:type="dxa"/>
            <w:shd w:val="clear" w:color="auto" w:fill="auto"/>
            <w:hideMark/>
          </w:tcPr>
          <w:p w:rsidR="00450BDD" w:rsidRPr="00CA61A6" w:rsidRDefault="00FD49A1" w:rsidP="00FD49A1">
            <w:pPr>
              <w:pStyle w:val="Tabletext"/>
            </w:pPr>
            <w:r>
              <w:t>La</w:t>
            </w:r>
            <w:r w:rsidR="00450BDD" w:rsidRPr="00CA61A6">
              <w:t xml:space="preserve"> CE</w:t>
            </w:r>
            <w:r w:rsidR="008B5B32" w:rsidRPr="00CA61A6">
              <w:t> </w:t>
            </w:r>
            <w:r w:rsidR="00450BDD" w:rsidRPr="00CA61A6">
              <w:t>16, en colaboración con las CE pertinentes, en particular la CE</w:t>
            </w:r>
            <w:r w:rsidR="008B5B32" w:rsidRPr="00CA61A6">
              <w:t> </w:t>
            </w:r>
            <w:r w:rsidR="00450BDD" w:rsidRPr="00CA61A6">
              <w:t>11 y la CE</w:t>
            </w:r>
            <w:r w:rsidR="008B5B32" w:rsidRPr="00CA61A6">
              <w:t> </w:t>
            </w:r>
            <w:r w:rsidR="00450BDD" w:rsidRPr="00CA61A6">
              <w:t>17, identifi</w:t>
            </w:r>
            <w:r>
              <w:t>cará</w:t>
            </w:r>
            <w:r w:rsidR="00450BDD" w:rsidRPr="00CA61A6">
              <w:t xml:space="preserve"> y d</w:t>
            </w:r>
            <w:r>
              <w:t>ará</w:t>
            </w:r>
            <w:r w:rsidR="00450BDD" w:rsidRPr="00CA61A6">
              <w:t xml:space="preserve"> ejemplos de prácticas idóneas de cibersalud en el campo de las telecomunicaciones/TIC para su divulgación a los </w:t>
            </w:r>
            <w:r w:rsidR="00110CAD" w:rsidRPr="00CA61A6">
              <w:t xml:space="preserve">miembros </w:t>
            </w:r>
            <w:r w:rsidR="00450BDD" w:rsidRPr="00CA61A6">
              <w:t>de la UIT</w:t>
            </w:r>
          </w:p>
        </w:tc>
        <w:tc>
          <w:tcPr>
            <w:tcW w:w="1502" w:type="dxa"/>
            <w:shd w:val="clear" w:color="auto" w:fill="auto"/>
            <w:vAlign w:val="center"/>
          </w:tcPr>
          <w:p w:rsidR="00450BDD" w:rsidRPr="00CA61A6" w:rsidRDefault="00450BDD" w:rsidP="00E5582C">
            <w:pPr>
              <w:pStyle w:val="Tabletext"/>
              <w:jc w:val="center"/>
            </w:pPr>
            <w:r w:rsidRPr="00CA61A6">
              <w:t>En curso</w:t>
            </w:r>
          </w:p>
        </w:tc>
        <w:tc>
          <w:tcPr>
            <w:tcW w:w="1645" w:type="dxa"/>
            <w:shd w:val="clear" w:color="auto" w:fill="auto"/>
            <w:vAlign w:val="center"/>
          </w:tcPr>
          <w:p w:rsidR="00450BDD" w:rsidRPr="00CA61A6" w:rsidRDefault="00E5582C" w:rsidP="00E5582C">
            <w:pPr>
              <w:pStyle w:val="Tabletext"/>
              <w:jc w:val="center"/>
            </w:pPr>
            <w:r w:rsidRPr="00CA61A6">
              <w:sym w:font="Wingdings" w:char="F0FC"/>
            </w:r>
          </w:p>
        </w:tc>
        <w:tc>
          <w:tcPr>
            <w:tcW w:w="1261" w:type="dxa"/>
            <w:shd w:val="clear" w:color="auto" w:fill="auto"/>
            <w:vAlign w:val="center"/>
          </w:tcPr>
          <w:p w:rsidR="00450BDD" w:rsidRPr="00CA61A6" w:rsidRDefault="00450BDD" w:rsidP="00E5582C">
            <w:pPr>
              <w:pStyle w:val="Tabletext"/>
              <w:jc w:val="center"/>
            </w:pPr>
          </w:p>
        </w:tc>
      </w:tr>
      <w:tr w:rsidR="00450BDD" w:rsidRPr="00CA61A6" w:rsidTr="00D44838">
        <w:trPr>
          <w:cantSplit/>
          <w:jc w:val="center"/>
        </w:trPr>
        <w:tc>
          <w:tcPr>
            <w:tcW w:w="1141" w:type="dxa"/>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78_05" w:history="1">
              <w:r w:rsidR="00450BDD" w:rsidRPr="00CA61A6">
                <w:rPr>
                  <w:color w:val="0000FF"/>
                  <w:sz w:val="20"/>
                  <w:u w:val="single"/>
                </w:rPr>
                <w:t>78-05</w:t>
              </w:r>
            </w:hyperlink>
          </w:p>
        </w:tc>
        <w:tc>
          <w:tcPr>
            <w:tcW w:w="4383" w:type="dxa"/>
            <w:shd w:val="clear" w:color="auto" w:fill="auto"/>
          </w:tcPr>
          <w:p w:rsidR="00450BDD" w:rsidRPr="00CA61A6" w:rsidRDefault="00FD49A1" w:rsidP="00FD49A1">
            <w:pPr>
              <w:pStyle w:val="Tabletext"/>
            </w:pPr>
            <w:r>
              <w:t>L</w:t>
            </w:r>
            <w:r w:rsidR="00450BDD" w:rsidRPr="00CA61A6">
              <w:t>a CE</w:t>
            </w:r>
            <w:r w:rsidR="008B5B32" w:rsidRPr="00CA61A6">
              <w:t> </w:t>
            </w:r>
            <w:r w:rsidR="00450BDD" w:rsidRPr="00CA61A6">
              <w:t>16, en colaboración con las CE pertinentes, en particular la CE</w:t>
            </w:r>
            <w:r w:rsidR="008B5B32" w:rsidRPr="00CA61A6">
              <w:t> </w:t>
            </w:r>
            <w:r w:rsidR="00450BDD" w:rsidRPr="00CA61A6">
              <w:t>11 y la CE</w:t>
            </w:r>
            <w:r w:rsidR="008B5B32" w:rsidRPr="00CA61A6">
              <w:t> </w:t>
            </w:r>
            <w:r w:rsidR="00450BDD" w:rsidRPr="00CA61A6">
              <w:t>17, estudi</w:t>
            </w:r>
            <w:r>
              <w:t>ará</w:t>
            </w:r>
            <w:r w:rsidR="00450BDD" w:rsidRPr="00CA61A6">
              <w:t xml:space="preserve"> protocolos de comunicación relativos a la cibersalud</w:t>
            </w:r>
          </w:p>
        </w:tc>
        <w:tc>
          <w:tcPr>
            <w:tcW w:w="1502" w:type="dxa"/>
            <w:shd w:val="clear" w:color="auto" w:fill="auto"/>
            <w:vAlign w:val="center"/>
          </w:tcPr>
          <w:p w:rsidR="00450BDD" w:rsidRPr="00CA61A6" w:rsidRDefault="00450BDD" w:rsidP="00E5582C">
            <w:pPr>
              <w:pStyle w:val="Tabletext"/>
              <w:jc w:val="center"/>
            </w:pPr>
            <w:r w:rsidRPr="00CA61A6">
              <w:t>En curso</w:t>
            </w:r>
          </w:p>
        </w:tc>
        <w:tc>
          <w:tcPr>
            <w:tcW w:w="1645" w:type="dxa"/>
            <w:shd w:val="clear" w:color="auto" w:fill="auto"/>
            <w:vAlign w:val="center"/>
          </w:tcPr>
          <w:p w:rsidR="00450BDD" w:rsidRPr="00CA61A6" w:rsidRDefault="00E5582C" w:rsidP="00E5582C">
            <w:pPr>
              <w:pStyle w:val="Tabletext"/>
              <w:jc w:val="center"/>
            </w:pPr>
            <w:r w:rsidRPr="00CA61A6">
              <w:sym w:font="Wingdings" w:char="F0FC"/>
            </w:r>
          </w:p>
        </w:tc>
        <w:tc>
          <w:tcPr>
            <w:tcW w:w="1261" w:type="dxa"/>
            <w:shd w:val="clear" w:color="auto" w:fill="auto"/>
            <w:vAlign w:val="center"/>
          </w:tcPr>
          <w:p w:rsidR="00450BDD" w:rsidRPr="00CA61A6" w:rsidRDefault="00450BDD" w:rsidP="00E5582C">
            <w:pPr>
              <w:pStyle w:val="Tabletext"/>
              <w:jc w:val="center"/>
            </w:pPr>
          </w:p>
        </w:tc>
      </w:tr>
      <w:tr w:rsidR="00450BDD" w:rsidRPr="00CA61A6" w:rsidTr="00D44838">
        <w:trPr>
          <w:cantSplit/>
          <w:jc w:val="center"/>
        </w:trPr>
        <w:tc>
          <w:tcPr>
            <w:tcW w:w="1141" w:type="dxa"/>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78_06" w:history="1">
              <w:r w:rsidR="00450BDD" w:rsidRPr="00CA61A6">
                <w:rPr>
                  <w:color w:val="0000FF"/>
                  <w:sz w:val="20"/>
                  <w:u w:val="single"/>
                </w:rPr>
                <w:t>78-06</w:t>
              </w:r>
            </w:hyperlink>
          </w:p>
        </w:tc>
        <w:tc>
          <w:tcPr>
            <w:tcW w:w="4383" w:type="dxa"/>
            <w:shd w:val="clear" w:color="auto" w:fill="auto"/>
          </w:tcPr>
          <w:p w:rsidR="00450BDD" w:rsidRPr="00CA61A6" w:rsidRDefault="00FD49A1" w:rsidP="00FD49A1">
            <w:pPr>
              <w:pStyle w:val="Tabletext"/>
            </w:pPr>
            <w:r>
              <w:t>L</w:t>
            </w:r>
            <w:r w:rsidR="00450BDD" w:rsidRPr="00CA61A6">
              <w:t>a CE</w:t>
            </w:r>
            <w:r w:rsidR="008B5B32" w:rsidRPr="00CA61A6">
              <w:t> </w:t>
            </w:r>
            <w:r w:rsidR="00450BDD" w:rsidRPr="00CA61A6">
              <w:t>16, en colaboración con las CE pertinentes, en particular la CE</w:t>
            </w:r>
            <w:r w:rsidR="008B5B32" w:rsidRPr="00CA61A6">
              <w:t> </w:t>
            </w:r>
            <w:r w:rsidR="00450BDD" w:rsidRPr="00CA61A6">
              <w:t>11 y la CE</w:t>
            </w:r>
            <w:r w:rsidR="008B5B32" w:rsidRPr="00CA61A6">
              <w:t> </w:t>
            </w:r>
            <w:r w:rsidR="00450BDD" w:rsidRPr="00CA61A6">
              <w:t>17, d</w:t>
            </w:r>
            <w:r>
              <w:t>ará</w:t>
            </w:r>
            <w:r w:rsidR="00450BDD" w:rsidRPr="00CA61A6">
              <w:t xml:space="preserve"> prioridad al</w:t>
            </w:r>
            <w:r w:rsidR="009D6932" w:rsidRPr="00CA61A6">
              <w:t xml:space="preserve"> estudio de normas de seguridad</w:t>
            </w:r>
            <w:r w:rsidR="00450BDD" w:rsidRPr="00CA61A6">
              <w:t xml:space="preserve"> relativas a la cibersalud</w:t>
            </w:r>
          </w:p>
        </w:tc>
        <w:tc>
          <w:tcPr>
            <w:tcW w:w="1502" w:type="dxa"/>
            <w:shd w:val="clear" w:color="auto" w:fill="auto"/>
            <w:vAlign w:val="center"/>
          </w:tcPr>
          <w:p w:rsidR="00450BDD" w:rsidRPr="00CA61A6" w:rsidRDefault="00450BDD" w:rsidP="00E5582C">
            <w:pPr>
              <w:pStyle w:val="Tabletext"/>
              <w:jc w:val="center"/>
            </w:pPr>
            <w:r w:rsidRPr="00CA61A6">
              <w:t>En curso</w:t>
            </w:r>
          </w:p>
        </w:tc>
        <w:tc>
          <w:tcPr>
            <w:tcW w:w="1645" w:type="dxa"/>
            <w:shd w:val="clear" w:color="auto" w:fill="auto"/>
            <w:vAlign w:val="center"/>
          </w:tcPr>
          <w:p w:rsidR="00450BDD" w:rsidRPr="00CA61A6" w:rsidRDefault="00E5582C" w:rsidP="00E5582C">
            <w:pPr>
              <w:pStyle w:val="Tabletext"/>
              <w:jc w:val="center"/>
            </w:pPr>
            <w:r w:rsidRPr="00CA61A6">
              <w:sym w:font="Wingdings" w:char="F0FC"/>
            </w:r>
          </w:p>
        </w:tc>
        <w:tc>
          <w:tcPr>
            <w:tcW w:w="1261" w:type="dxa"/>
            <w:shd w:val="clear" w:color="auto" w:fill="auto"/>
            <w:vAlign w:val="center"/>
          </w:tcPr>
          <w:p w:rsidR="00450BDD" w:rsidRPr="00CA61A6" w:rsidRDefault="00450BDD" w:rsidP="00E5582C">
            <w:pPr>
              <w:pStyle w:val="Tabletext"/>
              <w:jc w:val="center"/>
            </w:pPr>
          </w:p>
        </w:tc>
      </w:tr>
    </w:tbl>
    <w:p w:rsidR="00450BDD" w:rsidRPr="00CA61A6" w:rsidRDefault="002B3D8D" w:rsidP="00A7257B">
      <w:pPr>
        <w:pStyle w:val="Headingb"/>
        <w:keepLines/>
      </w:pPr>
      <w:bookmarkStart w:id="714" w:name="Item78_01"/>
      <w:r w:rsidRPr="00CA61A6">
        <w:t>Acci</w:t>
      </w:r>
      <w:r w:rsidR="00B25D35" w:rsidRPr="00CA61A6">
        <w:t>o</w:t>
      </w:r>
      <w:r w:rsidRPr="00CA61A6">
        <w:t>n</w:t>
      </w:r>
      <w:r w:rsidR="00B25D35" w:rsidRPr="00CA61A6">
        <w:t>es</w:t>
      </w:r>
      <w:r w:rsidRPr="00CA61A6">
        <w:t xml:space="preserve"> </w:t>
      </w:r>
      <w:r w:rsidR="00450BDD" w:rsidRPr="00CA61A6">
        <w:t>78-01</w:t>
      </w:r>
      <w:r w:rsidR="00A7257B">
        <w:t xml:space="preserve"> y</w:t>
      </w:r>
      <w:r w:rsidR="00450BDD" w:rsidRPr="00CA61A6">
        <w:t xml:space="preserve"> </w:t>
      </w:r>
      <w:bookmarkStart w:id="715" w:name="Item78_03"/>
      <w:bookmarkEnd w:id="715"/>
      <w:r w:rsidR="00450BDD" w:rsidRPr="00CA61A6">
        <w:t>78-03: TSB</w:t>
      </w:r>
    </w:p>
    <w:bookmarkEnd w:id="714"/>
    <w:p w:rsidR="00450BDD" w:rsidRPr="00CA61A6" w:rsidRDefault="00450BDD" w:rsidP="009A33FC">
      <w:pPr>
        <w:rPr>
          <w:rFonts w:eastAsia="SimSun"/>
        </w:rPr>
      </w:pPr>
      <w:r w:rsidRPr="00CA61A6">
        <w:rPr>
          <w:rFonts w:eastAsia="SimSun"/>
          <w:szCs w:val="24"/>
          <w:lang w:eastAsia="ja-JP"/>
        </w:rPr>
        <w:t xml:space="preserve">La UIT organizó un </w:t>
      </w:r>
      <w:r w:rsidR="00A518A6" w:rsidRPr="00CA61A6">
        <w:rPr>
          <w:rFonts w:eastAsia="SimSun"/>
          <w:szCs w:val="24"/>
          <w:lang w:eastAsia="ja-JP"/>
        </w:rPr>
        <w:t xml:space="preserve">taller </w:t>
      </w:r>
      <w:r w:rsidRPr="00CA61A6">
        <w:rPr>
          <w:rFonts w:eastAsia="SimSun"/>
          <w:szCs w:val="24"/>
          <w:lang w:eastAsia="ja-JP"/>
        </w:rPr>
        <w:t>sobre "Servicios de cibersalud en situaciones de bajos recursos: Requisitos y papel de la UIT</w:t>
      </w:r>
      <w:r w:rsidR="00B26079" w:rsidRPr="00CA61A6">
        <w:rPr>
          <w:rFonts w:eastAsia="SimSun"/>
          <w:szCs w:val="24"/>
          <w:lang w:eastAsia="ja-JP"/>
        </w:rPr>
        <w:t>"</w:t>
      </w:r>
      <w:r w:rsidR="009A33FC" w:rsidRPr="00CA61A6">
        <w:rPr>
          <w:rStyle w:val="FootnoteReference"/>
          <w:rFonts w:eastAsia="SimSun"/>
          <w:szCs w:val="24"/>
          <w:lang w:eastAsia="ja-JP"/>
        </w:rPr>
        <w:footnoteReference w:customMarkFollows="1" w:id="12"/>
        <w:t>5</w:t>
      </w:r>
      <w:r w:rsidRPr="00CA61A6">
        <w:rPr>
          <w:rFonts w:eastAsia="SimSun"/>
          <w:szCs w:val="24"/>
          <w:lang w:eastAsia="ja-JP"/>
        </w:rPr>
        <w:t>, que se celebró en Tokyo, Japón, los días 4 y 5 de febrero de 2013</w:t>
      </w:r>
      <w:r w:rsidR="00F23A96" w:rsidRPr="00CA61A6">
        <w:rPr>
          <w:rFonts w:eastAsia="SimSun"/>
          <w:szCs w:val="24"/>
          <w:lang w:eastAsia="ja-JP"/>
        </w:rPr>
        <w:t>.</w:t>
      </w:r>
    </w:p>
    <w:p w:rsidR="00450BDD" w:rsidRPr="00CA61A6" w:rsidRDefault="002B3D8D" w:rsidP="00310AF9">
      <w:pPr>
        <w:pStyle w:val="Headingb"/>
        <w:keepLines/>
      </w:pPr>
      <w:bookmarkStart w:id="716" w:name="Item78_02"/>
      <w:r w:rsidRPr="00CA61A6">
        <w:t xml:space="preserve">Acción </w:t>
      </w:r>
      <w:r w:rsidR="00450BDD" w:rsidRPr="00CA61A6">
        <w:t>78-02: TSB</w:t>
      </w:r>
    </w:p>
    <w:bookmarkEnd w:id="716"/>
    <w:p w:rsidR="00450BDD" w:rsidRPr="00CA61A6" w:rsidRDefault="00450BDD" w:rsidP="007B3478">
      <w:pPr>
        <w:rPr>
          <w:rFonts w:eastAsia="SimSun"/>
          <w:szCs w:val="24"/>
          <w:lang w:eastAsia="ja-JP"/>
        </w:rPr>
      </w:pPr>
      <w:r w:rsidRPr="00CA61A6">
        <w:rPr>
          <w:rFonts w:eastAsia="SimSun"/>
          <w:szCs w:val="24"/>
          <w:lang w:eastAsia="ja-JP"/>
        </w:rPr>
        <w:t>Aunque el evento mundial BDT/TSB no se ha organizado durante este periodo de estudio, la BDT organizó el evento de alto nivel "</w:t>
      </w:r>
      <w:r w:rsidRPr="00CA61A6">
        <w:rPr>
          <w:rFonts w:eastAsia="SimSun"/>
          <w:i/>
          <w:szCs w:val="24"/>
          <w:lang w:eastAsia="ja-JP"/>
        </w:rPr>
        <w:t>Digital health for healthy lives and wellbeing for all</w:t>
      </w:r>
      <w:r w:rsidRPr="00CA61A6">
        <w:rPr>
          <w:rFonts w:eastAsia="SimSun"/>
          <w:szCs w:val="24"/>
          <w:lang w:eastAsia="ja-JP"/>
        </w:rPr>
        <w:t xml:space="preserve">" (Ginebra, 23-24 de mayo de 2016), que contó con la contribución de la TSB en la mesa redonda dedicada a la normalización. La TSB coorganizó con la OMS el </w:t>
      </w:r>
      <w:r w:rsidR="00B26079" w:rsidRPr="00CA61A6">
        <w:rPr>
          <w:rFonts w:eastAsia="SimSun"/>
          <w:szCs w:val="24"/>
          <w:lang w:eastAsia="ja-JP"/>
        </w:rPr>
        <w:t>"</w:t>
      </w:r>
      <w:r w:rsidRPr="00CA61A6">
        <w:rPr>
          <w:rFonts w:eastAsia="SimSun"/>
          <w:i/>
          <w:szCs w:val="24"/>
          <w:lang w:eastAsia="ja-JP"/>
        </w:rPr>
        <w:t xml:space="preserve">WHO-ITU Joint Stakeholders’ Consultation on </w:t>
      </w:r>
      <w:r w:rsidRPr="00CA61A6">
        <w:rPr>
          <w:rFonts w:eastAsia="SimSun"/>
          <w:i/>
          <w:szCs w:val="24"/>
          <w:lang w:eastAsia="ja-JP"/>
        </w:rPr>
        <w:lastRenderedPageBreak/>
        <w:t>Safe Listening Devices</w:t>
      </w:r>
      <w:r w:rsidR="00440FA9" w:rsidRPr="00CA61A6">
        <w:rPr>
          <w:rStyle w:val="FootnoteReference"/>
          <w:rFonts w:eastAsia="SimSun"/>
          <w:iCs/>
          <w:szCs w:val="24"/>
          <w:lang w:eastAsia="ja-JP"/>
        </w:rPr>
        <w:footnoteReference w:customMarkFollows="1" w:id="13"/>
        <w:t>6</w:t>
      </w:r>
      <w:r w:rsidR="00B26079" w:rsidRPr="00CA61A6">
        <w:rPr>
          <w:rFonts w:eastAsia="SimSun"/>
          <w:i/>
          <w:szCs w:val="24"/>
          <w:lang w:eastAsia="ja-JP"/>
        </w:rPr>
        <w:t>"</w:t>
      </w:r>
      <w:r w:rsidRPr="00CA61A6">
        <w:rPr>
          <w:rFonts w:eastAsia="SimSun"/>
          <w:szCs w:val="24"/>
          <w:lang w:eastAsia="ja-JP"/>
        </w:rPr>
        <w:t xml:space="preserve"> , que se celebró en Ginebra el 1 de octubre de 2015 y propició el inicio de nuevos trabajos en la CE</w:t>
      </w:r>
      <w:r w:rsidR="008B5B32" w:rsidRPr="00CA61A6">
        <w:rPr>
          <w:rFonts w:eastAsia="SimSun"/>
          <w:szCs w:val="24"/>
          <w:lang w:eastAsia="ja-JP"/>
        </w:rPr>
        <w:t> </w:t>
      </w:r>
      <w:r w:rsidRPr="00CA61A6">
        <w:rPr>
          <w:rFonts w:eastAsia="SimSun"/>
          <w:szCs w:val="24"/>
          <w:lang w:eastAsia="ja-JP"/>
        </w:rPr>
        <w:t>16.</w:t>
      </w:r>
    </w:p>
    <w:p w:rsidR="00450BDD" w:rsidRPr="00343F12" w:rsidRDefault="002B3D8D" w:rsidP="00310AF9">
      <w:pPr>
        <w:pStyle w:val="Headingb"/>
        <w:keepLines/>
        <w:rPr>
          <w:lang w:val="fr-CH"/>
        </w:rPr>
      </w:pPr>
      <w:bookmarkStart w:id="717" w:name="Item78_04"/>
      <w:r w:rsidRPr="00343F12">
        <w:rPr>
          <w:lang w:val="fr-CH"/>
        </w:rPr>
        <w:t xml:space="preserve">Acción </w:t>
      </w:r>
      <w:r w:rsidR="00450BDD" w:rsidRPr="00343F12">
        <w:rPr>
          <w:lang w:val="fr-CH"/>
        </w:rPr>
        <w:t>78-04: CE</w:t>
      </w:r>
      <w:r w:rsidR="00310AF9" w:rsidRPr="00343F12">
        <w:rPr>
          <w:lang w:val="fr-CH"/>
        </w:rPr>
        <w:t> </w:t>
      </w:r>
      <w:r w:rsidR="00450BDD" w:rsidRPr="00343F12">
        <w:rPr>
          <w:lang w:val="fr-CH"/>
        </w:rPr>
        <w:t>16, CE</w:t>
      </w:r>
      <w:r w:rsidR="00310AF9" w:rsidRPr="00343F12">
        <w:rPr>
          <w:lang w:val="fr-CH"/>
        </w:rPr>
        <w:t> </w:t>
      </w:r>
      <w:r w:rsidR="00450BDD" w:rsidRPr="00343F12">
        <w:rPr>
          <w:lang w:val="fr-CH"/>
        </w:rPr>
        <w:t>11 y CE</w:t>
      </w:r>
      <w:r w:rsidR="00310AF9" w:rsidRPr="00343F12">
        <w:rPr>
          <w:lang w:val="fr-CH"/>
        </w:rPr>
        <w:t> </w:t>
      </w:r>
      <w:r w:rsidR="00450BDD" w:rsidRPr="00343F12">
        <w:rPr>
          <w:lang w:val="fr-CH"/>
        </w:rPr>
        <w:t>17</w:t>
      </w:r>
    </w:p>
    <w:bookmarkEnd w:id="717"/>
    <w:p w:rsidR="00450BDD" w:rsidRPr="00CA61A6" w:rsidRDefault="00450BDD" w:rsidP="000B09C4">
      <w:pPr>
        <w:rPr>
          <w:rFonts w:eastAsia="SimSun"/>
          <w:szCs w:val="24"/>
          <w:lang w:eastAsia="ja-JP"/>
        </w:rPr>
      </w:pPr>
      <w:r w:rsidRPr="00CA61A6">
        <w:rPr>
          <w:rFonts w:eastAsia="SimSun"/>
          <w:szCs w:val="24"/>
          <w:lang w:eastAsia="ja-JP"/>
        </w:rPr>
        <w:t>La C9/17 colabora con la CE</w:t>
      </w:r>
      <w:r w:rsidR="008B5B32" w:rsidRPr="00CA61A6">
        <w:rPr>
          <w:rFonts w:eastAsia="SimSun"/>
          <w:szCs w:val="24"/>
          <w:lang w:eastAsia="ja-JP"/>
        </w:rPr>
        <w:t> </w:t>
      </w:r>
      <w:r w:rsidRPr="00CA61A6">
        <w:rPr>
          <w:rFonts w:eastAsia="SimSun"/>
          <w:szCs w:val="24"/>
          <w:lang w:eastAsia="ja-JP"/>
        </w:rPr>
        <w:t xml:space="preserve">16, el UIT-D, el ISO TC 12, el </w:t>
      </w:r>
      <w:r w:rsidR="000B09C4">
        <w:rPr>
          <w:rFonts w:eastAsia="SimSun"/>
          <w:szCs w:val="24"/>
          <w:lang w:eastAsia="ja-JP"/>
        </w:rPr>
        <w:t>CEI</w:t>
      </w:r>
      <w:r w:rsidRPr="00CA61A6">
        <w:rPr>
          <w:rFonts w:eastAsia="SimSun"/>
          <w:szCs w:val="24"/>
          <w:lang w:eastAsia="ja-JP"/>
        </w:rPr>
        <w:t xml:space="preserve"> TC 25 y la OMS en la identificación y documentación de ejemplos de prácticas idóneas de cibersalud en el ámbito de las telecomunicaciones/TIC.</w:t>
      </w:r>
    </w:p>
    <w:p w:rsidR="00450BDD" w:rsidRPr="00CA61A6" w:rsidRDefault="00450BDD" w:rsidP="007B3478">
      <w:pPr>
        <w:rPr>
          <w:rFonts w:eastAsia="SimSun"/>
          <w:szCs w:val="24"/>
          <w:lang w:eastAsia="ja-JP"/>
        </w:rPr>
      </w:pPr>
      <w:r w:rsidRPr="00CA61A6">
        <w:rPr>
          <w:rFonts w:eastAsia="SimSun"/>
          <w:szCs w:val="24"/>
          <w:lang w:eastAsia="ja-JP"/>
        </w:rPr>
        <w:t>La C9/17 colabora con las Comisiones de Estudio, Grupos Temáticos y demás grupos pertinentes del UIT-T, el UIT-R y el UIT-D a fin de dar a conocer las normas de telecomunicaciones/TIC que atañen a la cibersalud.</w:t>
      </w:r>
    </w:p>
    <w:p w:rsidR="00450BDD" w:rsidRPr="00CA61A6" w:rsidRDefault="00450BDD" w:rsidP="007B3478">
      <w:pPr>
        <w:rPr>
          <w:rFonts w:eastAsia="SimSun"/>
          <w:szCs w:val="24"/>
          <w:lang w:eastAsia="ja-JP"/>
        </w:rPr>
      </w:pPr>
      <w:r w:rsidRPr="00CA61A6">
        <w:rPr>
          <w:rFonts w:eastAsia="SimSun"/>
          <w:lang w:eastAsia="ja-JP"/>
        </w:rPr>
        <w:t>La CE</w:t>
      </w:r>
      <w:r w:rsidR="008B5B32" w:rsidRPr="00CA61A6">
        <w:rPr>
          <w:rFonts w:eastAsia="SimSun"/>
          <w:lang w:eastAsia="ja-JP"/>
        </w:rPr>
        <w:t> </w:t>
      </w:r>
      <w:r w:rsidRPr="00CA61A6">
        <w:rPr>
          <w:rFonts w:eastAsia="SimSun"/>
          <w:lang w:eastAsia="ja-JP"/>
        </w:rPr>
        <w:t xml:space="preserve">17 aprobó la Recomendación UIT-T X.1092, </w:t>
      </w:r>
      <w:r w:rsidR="00792AB1">
        <w:rPr>
          <w:rFonts w:eastAsia="SimSun"/>
          <w:lang w:eastAsia="ja-JP"/>
        </w:rPr>
        <w:t>"</w:t>
      </w:r>
      <w:r w:rsidRPr="00792AB1">
        <w:rPr>
          <w:rFonts w:eastAsia="SimSun"/>
          <w:lang w:eastAsia="ko-KR"/>
        </w:rPr>
        <w:t>Marco integrado para la protección de datos telebiométricos en cibersalud y telemedicina</w:t>
      </w:r>
      <w:r w:rsidR="00792AB1">
        <w:rPr>
          <w:rFonts w:eastAsia="SimSun"/>
          <w:lang w:eastAsia="ko-KR"/>
        </w:rPr>
        <w:t>"</w:t>
      </w:r>
      <w:r w:rsidRPr="00792AB1">
        <w:rPr>
          <w:rFonts w:eastAsia="SimSun"/>
          <w:lang w:eastAsia="ko-KR"/>
        </w:rPr>
        <w:t>.</w:t>
      </w:r>
    </w:p>
    <w:p w:rsidR="00450BDD" w:rsidRPr="00343F12" w:rsidRDefault="00B3575A" w:rsidP="00310AF9">
      <w:pPr>
        <w:pStyle w:val="Headingb"/>
        <w:keepLines/>
        <w:rPr>
          <w:lang w:val="fr-CH"/>
        </w:rPr>
      </w:pPr>
      <w:bookmarkStart w:id="718" w:name="Item78_05"/>
      <w:r w:rsidRPr="00343F12">
        <w:rPr>
          <w:lang w:val="fr-CH"/>
        </w:rPr>
        <w:t xml:space="preserve">Acción </w:t>
      </w:r>
      <w:r w:rsidR="00450BDD" w:rsidRPr="00343F12">
        <w:rPr>
          <w:lang w:val="fr-CH"/>
        </w:rPr>
        <w:t>78-05: CE</w:t>
      </w:r>
      <w:r w:rsidR="00F0642E" w:rsidRPr="00343F12">
        <w:rPr>
          <w:lang w:val="fr-CH"/>
        </w:rPr>
        <w:t> </w:t>
      </w:r>
      <w:r w:rsidR="00450BDD" w:rsidRPr="00343F12">
        <w:rPr>
          <w:lang w:val="fr-CH"/>
        </w:rPr>
        <w:t>16, CE</w:t>
      </w:r>
      <w:r w:rsidR="00F0642E" w:rsidRPr="00343F12">
        <w:rPr>
          <w:lang w:val="fr-CH"/>
        </w:rPr>
        <w:t> </w:t>
      </w:r>
      <w:r w:rsidR="00450BDD" w:rsidRPr="00343F12">
        <w:rPr>
          <w:lang w:val="fr-CH"/>
        </w:rPr>
        <w:t>11 y CE</w:t>
      </w:r>
      <w:r w:rsidR="00F0642E" w:rsidRPr="00343F12">
        <w:rPr>
          <w:lang w:val="fr-CH"/>
        </w:rPr>
        <w:t> </w:t>
      </w:r>
      <w:r w:rsidR="00450BDD" w:rsidRPr="00343F12">
        <w:rPr>
          <w:lang w:val="fr-CH"/>
        </w:rPr>
        <w:t>17</w:t>
      </w:r>
    </w:p>
    <w:bookmarkEnd w:id="718"/>
    <w:p w:rsidR="00450BDD" w:rsidRPr="00CA61A6" w:rsidRDefault="00450BDD" w:rsidP="00AA7AF3">
      <w:pPr>
        <w:rPr>
          <w:rFonts w:eastAsia="SimSun"/>
          <w:szCs w:val="24"/>
          <w:lang w:eastAsia="ja-JP"/>
        </w:rPr>
      </w:pPr>
      <w:r w:rsidRPr="00CA61A6">
        <w:rPr>
          <w:rFonts w:eastAsia="SimSun"/>
          <w:szCs w:val="24"/>
          <w:lang w:eastAsia="ja-JP"/>
        </w:rPr>
        <w:t>La CE</w:t>
      </w:r>
      <w:r w:rsidR="008B5B32" w:rsidRPr="00CA61A6">
        <w:rPr>
          <w:rFonts w:eastAsia="SimSun"/>
          <w:szCs w:val="24"/>
          <w:lang w:eastAsia="ja-JP"/>
        </w:rPr>
        <w:t> </w:t>
      </w:r>
      <w:r w:rsidRPr="00CA61A6">
        <w:rPr>
          <w:rFonts w:eastAsia="SimSun"/>
          <w:szCs w:val="24"/>
          <w:lang w:eastAsia="ja-JP"/>
        </w:rPr>
        <w:t xml:space="preserve">16 del UIT-T </w:t>
      </w:r>
      <w:r w:rsidR="00AA7AF3">
        <w:rPr>
          <w:rFonts w:eastAsia="SimSun"/>
          <w:szCs w:val="24"/>
          <w:lang w:eastAsia="ja-JP"/>
        </w:rPr>
        <w:t>(2013-01</w:t>
      </w:r>
      <w:r w:rsidR="00AA7AF3" w:rsidRPr="00CA61A6">
        <w:rPr>
          <w:rFonts w:eastAsia="SimSun"/>
          <w:szCs w:val="24"/>
          <w:lang w:eastAsia="ja-JP"/>
        </w:rPr>
        <w:t>)</w:t>
      </w:r>
      <w:r w:rsidR="00AA7AF3">
        <w:rPr>
          <w:rFonts w:eastAsia="SimSun"/>
          <w:szCs w:val="24"/>
          <w:lang w:eastAsia="ja-JP"/>
        </w:rPr>
        <w:t xml:space="preserve"> </w:t>
      </w:r>
      <w:r w:rsidRPr="00CA61A6">
        <w:rPr>
          <w:rFonts w:eastAsia="SimSun"/>
          <w:szCs w:val="24"/>
          <w:lang w:eastAsia="ja-JP"/>
        </w:rPr>
        <w:t>aprobó dos nuevas Recomendaciones, a saber, UIT-T H.860 (ex H.MEDX) "Servicios multimedios de intercambio de datos de cibersalud: esquema de datos y servicios de apoyo"</w:t>
      </w:r>
      <w:r w:rsidR="005F77C8" w:rsidRPr="00CA61A6">
        <w:rPr>
          <w:rStyle w:val="FootnoteReference"/>
          <w:rFonts w:eastAsia="SimSun"/>
          <w:szCs w:val="24"/>
          <w:lang w:eastAsia="ja-JP"/>
        </w:rPr>
        <w:footnoteReference w:customMarkFollows="1" w:id="14"/>
        <w:t>7</w:t>
      </w:r>
      <w:r w:rsidRPr="00CA61A6">
        <w:rPr>
          <w:rFonts w:eastAsia="SimSun"/>
          <w:szCs w:val="24"/>
          <w:lang w:eastAsia="ja-JP"/>
        </w:rPr>
        <w:t xml:space="preserve"> y UIT-T H.810 (ex H.IDGPHS) "Directrices de diseño de la interoperatibilidad para los sistemas personales de salud"</w:t>
      </w:r>
      <w:r w:rsidR="00EA61C2" w:rsidRPr="00CA61A6">
        <w:rPr>
          <w:rStyle w:val="FootnoteReference"/>
          <w:rFonts w:eastAsia="SimSun"/>
          <w:szCs w:val="24"/>
          <w:lang w:eastAsia="ja-JP"/>
        </w:rPr>
        <w:footnoteReference w:customMarkFollows="1" w:id="15"/>
        <w:t>8</w:t>
      </w:r>
      <w:r w:rsidRPr="00CA61A6">
        <w:rPr>
          <w:rFonts w:eastAsia="SimSun"/>
          <w:szCs w:val="24"/>
          <w:lang w:eastAsia="ja-JP"/>
        </w:rPr>
        <w:t xml:space="preserve">. Esta última es una transposición de las </w:t>
      </w:r>
      <w:r w:rsidRPr="00CA61A6">
        <w:rPr>
          <w:rFonts w:eastAsia="SimSun"/>
          <w:i/>
          <w:iCs/>
          <w:szCs w:val="24"/>
          <w:lang w:eastAsia="ja-JP"/>
        </w:rPr>
        <w:t>Continua Design Guidelines</w:t>
      </w:r>
      <w:r w:rsidRPr="00CA61A6">
        <w:rPr>
          <w:rFonts w:eastAsia="SimSun"/>
          <w:szCs w:val="24"/>
          <w:lang w:eastAsia="ja-JP"/>
        </w:rPr>
        <w:t>. La CE</w:t>
      </w:r>
      <w:r w:rsidR="008B5B32" w:rsidRPr="00CA61A6">
        <w:rPr>
          <w:rFonts w:eastAsia="SimSun"/>
          <w:szCs w:val="24"/>
          <w:lang w:eastAsia="ja-JP"/>
        </w:rPr>
        <w:t> </w:t>
      </w:r>
      <w:r w:rsidRPr="00CA61A6">
        <w:rPr>
          <w:rFonts w:eastAsia="SimSun"/>
          <w:szCs w:val="24"/>
          <w:lang w:eastAsia="ja-JP"/>
        </w:rPr>
        <w:t xml:space="preserve">16 del UIT-T también aprobó 32 Recomendaciones (H.820-H.849 </w:t>
      </w:r>
      <w:r w:rsidR="00B26079" w:rsidRPr="00CA61A6">
        <w:rPr>
          <w:rFonts w:eastAsia="SimSun"/>
          <w:szCs w:val="24"/>
          <w:lang w:eastAsia="ja-JP"/>
        </w:rPr>
        <w:t>"</w:t>
      </w:r>
      <w:r w:rsidRPr="00CA61A6">
        <w:rPr>
          <w:rFonts w:eastAsia="SimSun"/>
          <w:szCs w:val="24"/>
          <w:lang w:eastAsia="ja-JP"/>
        </w:rPr>
        <w:t>Pruebas de conformidad de la interoperatividad de sistemas personales de salud (HRN, PAN, LAN y WAN)</w:t>
      </w:r>
      <w:r w:rsidR="00B26079" w:rsidRPr="00CA61A6">
        <w:rPr>
          <w:rFonts w:eastAsia="SimSun"/>
          <w:szCs w:val="24"/>
          <w:lang w:eastAsia="ja-JP"/>
        </w:rPr>
        <w:t>"</w:t>
      </w:r>
      <w:r w:rsidRPr="00CA61A6">
        <w:rPr>
          <w:rFonts w:eastAsia="SimSun"/>
          <w:szCs w:val="24"/>
          <w:lang w:eastAsia="ja-JP"/>
        </w:rPr>
        <w:t xml:space="preserve"> que también son transposiciones de las series de pruebas diseñadas y utilizadas por la Continua Health Alliance en el programa de pruebas y eventos de interoperatividad UIT-T H.810. En octubre de 2013, el UIT-T celebró uno de estos eventos de interoperatividad. En octubre de 2015 la CE</w:t>
      </w:r>
      <w:r w:rsidR="008B5B32" w:rsidRPr="00CA61A6">
        <w:rPr>
          <w:rFonts w:eastAsia="SimSun"/>
          <w:szCs w:val="24"/>
          <w:lang w:eastAsia="ja-JP"/>
        </w:rPr>
        <w:t> </w:t>
      </w:r>
      <w:r w:rsidRPr="00CA61A6">
        <w:rPr>
          <w:rFonts w:eastAsia="SimSun"/>
          <w:szCs w:val="24"/>
          <w:lang w:eastAsia="ja-JP"/>
        </w:rPr>
        <w:t>16 finalizó la revisión (y reestructuración) de UIT-T H.810, que se dividió en ocho partes. También se finalizaron cinco nuevas especificaciones de pruebas de conformidad. La tercera edición de la serie UIT-T H.810 se aprobó en julio de 2016, junto con la 2ª edición de las especificaciones de pruebas de c</w:t>
      </w:r>
      <w:r w:rsidR="00773BA6">
        <w:rPr>
          <w:rFonts w:eastAsia="SimSun"/>
          <w:szCs w:val="24"/>
          <w:lang w:eastAsia="ja-JP"/>
        </w:rPr>
        <w:t>onformidad correspondientes (UIT</w:t>
      </w:r>
      <w:r w:rsidRPr="00CA61A6">
        <w:rPr>
          <w:rFonts w:eastAsia="SimSun"/>
          <w:szCs w:val="24"/>
          <w:lang w:eastAsia="ja-JP"/>
        </w:rPr>
        <w:t>-T H.820-H.850).</w:t>
      </w:r>
    </w:p>
    <w:p w:rsidR="00450BDD" w:rsidRPr="00CA61A6" w:rsidRDefault="00450BDD" w:rsidP="007B3478">
      <w:pPr>
        <w:rPr>
          <w:rFonts w:eastAsia="SimSun"/>
          <w:szCs w:val="24"/>
          <w:lang w:eastAsia="ja-JP"/>
        </w:rPr>
      </w:pPr>
      <w:r w:rsidRPr="00CA61A6">
        <w:rPr>
          <w:rFonts w:eastAsia="SimSun"/>
          <w:szCs w:val="24"/>
          <w:lang w:eastAsia="ja-JP"/>
        </w:rPr>
        <w:t>La CE</w:t>
      </w:r>
      <w:r w:rsidR="008B5B32" w:rsidRPr="00CA61A6">
        <w:rPr>
          <w:rFonts w:eastAsia="SimSun"/>
          <w:szCs w:val="24"/>
          <w:lang w:eastAsia="ja-JP"/>
        </w:rPr>
        <w:t> </w:t>
      </w:r>
      <w:r w:rsidRPr="00CA61A6">
        <w:rPr>
          <w:rFonts w:eastAsia="SimSun"/>
          <w:szCs w:val="24"/>
          <w:lang w:eastAsia="ja-JP"/>
        </w:rPr>
        <w:t xml:space="preserve">13 del UIT-T aprobó la Recomendación UIT-T Y.2065 (2014-03), </w:t>
      </w:r>
      <w:r w:rsidR="00710529">
        <w:rPr>
          <w:rFonts w:eastAsia="SimSun"/>
          <w:szCs w:val="24"/>
          <w:lang w:eastAsia="ja-JP"/>
        </w:rPr>
        <w:t>"</w:t>
      </w:r>
      <w:r w:rsidRPr="00CA61A6">
        <w:rPr>
          <w:rFonts w:eastAsia="SimSun"/>
          <w:szCs w:val="24"/>
          <w:lang w:eastAsia="ja-JP"/>
        </w:rPr>
        <w:t>Requisitos de servicio y capacidad para los servicios de seguimiento de cibersalud en la IoT</w:t>
      </w:r>
      <w:r w:rsidR="00710529">
        <w:rPr>
          <w:rFonts w:eastAsia="SimSun"/>
          <w:szCs w:val="24"/>
          <w:lang w:eastAsia="ja-JP"/>
        </w:rPr>
        <w:t>"</w:t>
      </w:r>
      <w:r w:rsidR="00F6345C" w:rsidRPr="00CA61A6">
        <w:rPr>
          <w:rStyle w:val="FootnoteReference"/>
          <w:rFonts w:eastAsia="SimSun"/>
          <w:szCs w:val="24"/>
          <w:lang w:eastAsia="ja-JP"/>
        </w:rPr>
        <w:footnoteReference w:customMarkFollows="1" w:id="16"/>
        <w:t>9</w:t>
      </w:r>
      <w:r w:rsidRPr="00CA61A6">
        <w:rPr>
          <w:rFonts w:eastAsia="SimSun"/>
          <w:szCs w:val="24"/>
          <w:lang w:eastAsia="ja-JP"/>
        </w:rPr>
        <w:t xml:space="preserve">. Puede encontrarse un marco de capacidades para los servicios de seguimiento de cibersalud en la nueva Recomendación </w:t>
      </w:r>
      <w:r w:rsidRPr="00A90CF1">
        <w:rPr>
          <w:rFonts w:eastAsia="SimSun"/>
          <w:szCs w:val="24"/>
          <w:lang w:eastAsia="ja-JP"/>
        </w:rPr>
        <w:t>UIT</w:t>
      </w:r>
      <w:r w:rsidR="00DA644B" w:rsidRPr="00A90CF1">
        <w:rPr>
          <w:rFonts w:eastAsia="SimSun"/>
          <w:szCs w:val="24"/>
          <w:lang w:eastAsia="ja-JP"/>
        </w:rPr>
        <w:noBreakHyphen/>
        <w:t>T </w:t>
      </w:r>
      <w:hyperlink r:id="rId223" w:history="1">
        <w:r w:rsidRPr="00A90CF1">
          <w:rPr>
            <w:rStyle w:val="Hyperlink"/>
            <w:rFonts w:eastAsia="SimSun"/>
            <w:szCs w:val="24"/>
            <w:lang w:eastAsia="ja-JP"/>
          </w:rPr>
          <w:t>Y.2075</w:t>
        </w:r>
      </w:hyperlink>
      <w:r w:rsidRPr="00CA61A6">
        <w:rPr>
          <w:rFonts w:eastAsia="SimSun"/>
          <w:szCs w:val="24"/>
          <w:lang w:eastAsia="ja-JP"/>
        </w:rPr>
        <w:t>.</w:t>
      </w:r>
    </w:p>
    <w:p w:rsidR="00450BDD" w:rsidRPr="00CA61A6" w:rsidRDefault="00450BDD" w:rsidP="007B3478">
      <w:pPr>
        <w:rPr>
          <w:rFonts w:eastAsia="SimSun"/>
          <w:szCs w:val="24"/>
          <w:lang w:eastAsia="ja-JP"/>
        </w:rPr>
      </w:pPr>
      <w:r w:rsidRPr="00CA61A6">
        <w:rPr>
          <w:rFonts w:eastAsia="SimSun"/>
          <w:szCs w:val="24"/>
          <w:lang w:eastAsia="ja-JP"/>
        </w:rPr>
        <w:t>La C9/17 colabora con la CE</w:t>
      </w:r>
      <w:r w:rsidR="008B5B32" w:rsidRPr="00CA61A6">
        <w:rPr>
          <w:rFonts w:eastAsia="SimSun"/>
          <w:szCs w:val="24"/>
          <w:lang w:eastAsia="ja-JP"/>
        </w:rPr>
        <w:t> </w:t>
      </w:r>
      <w:r w:rsidRPr="00CA61A6">
        <w:rPr>
          <w:rFonts w:eastAsia="SimSun"/>
          <w:szCs w:val="24"/>
          <w:lang w:eastAsia="ja-JP"/>
        </w:rPr>
        <w:t>11 en el estudio de protocolos de comunicación relativos a la cibersalud, especialmente entre redes heterogéneas, para garantizar el amplio despliegue de servicios de cibersalud en diversas condiciones operativas.</w:t>
      </w:r>
    </w:p>
    <w:p w:rsidR="00450BDD" w:rsidRPr="00CA61A6" w:rsidRDefault="00450BDD" w:rsidP="007B3478">
      <w:pPr>
        <w:rPr>
          <w:rFonts w:eastAsia="SimSun"/>
          <w:szCs w:val="24"/>
          <w:lang w:eastAsia="ja-JP"/>
        </w:rPr>
      </w:pPr>
      <w:r w:rsidRPr="00CA61A6">
        <w:rPr>
          <w:rFonts w:eastAsia="SimSun"/>
          <w:szCs w:val="24"/>
          <w:lang w:eastAsia="ja-JP"/>
        </w:rPr>
        <w:t>La CE</w:t>
      </w:r>
      <w:r w:rsidR="008B5B32" w:rsidRPr="00CA61A6">
        <w:rPr>
          <w:rFonts w:eastAsia="SimSun"/>
          <w:szCs w:val="24"/>
          <w:lang w:eastAsia="ja-JP"/>
        </w:rPr>
        <w:t> </w:t>
      </w:r>
      <w:r w:rsidRPr="00CA61A6">
        <w:rPr>
          <w:rFonts w:eastAsia="SimSun"/>
          <w:szCs w:val="24"/>
          <w:lang w:eastAsia="ja-JP"/>
        </w:rPr>
        <w:t xml:space="preserve">17 </w:t>
      </w:r>
      <w:r w:rsidRPr="00CA61A6">
        <w:rPr>
          <w:rFonts w:eastAsia="SimSun"/>
          <w:lang w:eastAsia="ja-JP"/>
        </w:rPr>
        <w:t xml:space="preserve">aprobó la Recomendación UIT-T </w:t>
      </w:r>
      <w:hyperlink r:id="rId224" w:tooltip="e-Health and world-wide telemedicines - Generic telecommunication protocol" w:history="1">
        <w:r w:rsidRPr="00CA61A6">
          <w:rPr>
            <w:rFonts w:eastAsia="SimSun"/>
            <w:color w:val="0000FF"/>
            <w:szCs w:val="24"/>
            <w:u w:val="single"/>
            <w:lang w:eastAsia="ja-JP"/>
          </w:rPr>
          <w:t>X.1080.1</w:t>
        </w:r>
      </w:hyperlink>
      <w:r w:rsidRPr="00CA61A6">
        <w:rPr>
          <w:rFonts w:eastAsia="SimSun"/>
          <w:szCs w:val="24"/>
          <w:lang w:eastAsia="ja-JP"/>
        </w:rPr>
        <w:t xml:space="preserve">, </w:t>
      </w:r>
      <w:r w:rsidR="000030FF">
        <w:rPr>
          <w:rFonts w:eastAsia="SimSun"/>
          <w:szCs w:val="24"/>
          <w:lang w:eastAsia="ja-JP"/>
        </w:rPr>
        <w:t>"</w:t>
      </w:r>
      <w:r w:rsidRPr="00CA61A6">
        <w:rPr>
          <w:rFonts w:eastAsia="SimSun"/>
          <w:szCs w:val="24"/>
          <w:lang w:eastAsia="ja-JP"/>
        </w:rPr>
        <w:t>Cibersalud y telemedicinas mundiales – Protocolo de telecomunicaciones genérico</w:t>
      </w:r>
      <w:r w:rsidR="000030FF">
        <w:rPr>
          <w:rFonts w:eastAsia="SimSun"/>
          <w:szCs w:val="24"/>
          <w:lang w:eastAsia="ja-JP"/>
        </w:rPr>
        <w:t>"</w:t>
      </w:r>
      <w:r w:rsidRPr="00CA61A6">
        <w:rPr>
          <w:rFonts w:eastAsia="SimSun"/>
          <w:szCs w:val="24"/>
          <w:lang w:eastAsia="ja-JP"/>
        </w:rPr>
        <w:t>.</w:t>
      </w:r>
    </w:p>
    <w:p w:rsidR="00450BDD" w:rsidRPr="00343F12" w:rsidRDefault="008D224E" w:rsidP="00074C7C">
      <w:pPr>
        <w:pStyle w:val="Headingb"/>
        <w:keepLines/>
        <w:rPr>
          <w:lang w:val="fr-CH"/>
        </w:rPr>
      </w:pPr>
      <w:bookmarkStart w:id="719" w:name="Item78_06"/>
      <w:r w:rsidRPr="00343F12">
        <w:rPr>
          <w:lang w:val="fr-CH"/>
        </w:rPr>
        <w:t xml:space="preserve">Acción </w:t>
      </w:r>
      <w:r w:rsidR="00450BDD" w:rsidRPr="00343F12">
        <w:rPr>
          <w:lang w:val="fr-CH"/>
        </w:rPr>
        <w:t>78-06: CE</w:t>
      </w:r>
      <w:r w:rsidR="008B5B32" w:rsidRPr="00343F12">
        <w:rPr>
          <w:lang w:val="fr-CH"/>
        </w:rPr>
        <w:t> </w:t>
      </w:r>
      <w:r w:rsidR="00450BDD" w:rsidRPr="00343F12">
        <w:rPr>
          <w:lang w:val="fr-CH"/>
        </w:rPr>
        <w:t>16, CE</w:t>
      </w:r>
      <w:r w:rsidR="008B5B32" w:rsidRPr="00343F12">
        <w:rPr>
          <w:lang w:val="fr-CH"/>
        </w:rPr>
        <w:t> </w:t>
      </w:r>
      <w:r w:rsidR="00450BDD" w:rsidRPr="00343F12">
        <w:rPr>
          <w:lang w:val="fr-CH"/>
        </w:rPr>
        <w:t>11 y CE</w:t>
      </w:r>
      <w:r w:rsidR="008B5B32" w:rsidRPr="00343F12">
        <w:rPr>
          <w:lang w:val="fr-CH"/>
        </w:rPr>
        <w:t> </w:t>
      </w:r>
      <w:r w:rsidR="00450BDD" w:rsidRPr="00343F12">
        <w:rPr>
          <w:lang w:val="fr-CH"/>
        </w:rPr>
        <w:t>17</w:t>
      </w:r>
    </w:p>
    <w:bookmarkEnd w:id="719"/>
    <w:p w:rsidR="00450BDD" w:rsidRPr="00CA61A6" w:rsidRDefault="00450BDD" w:rsidP="009769FA">
      <w:pPr>
        <w:rPr>
          <w:rFonts w:eastAsia="SimSun"/>
          <w:szCs w:val="24"/>
          <w:lang w:eastAsia="ja-JP"/>
        </w:rPr>
      </w:pPr>
      <w:r w:rsidRPr="00CA61A6">
        <w:rPr>
          <w:rFonts w:eastAsia="SimSun"/>
          <w:szCs w:val="24"/>
          <w:lang w:eastAsia="ja-JP"/>
        </w:rPr>
        <w:t xml:space="preserve">La Recomendación UIT-T H.810, </w:t>
      </w:r>
      <w:r w:rsidR="009769FA">
        <w:rPr>
          <w:rFonts w:eastAsia="SimSun"/>
          <w:szCs w:val="24"/>
          <w:lang w:eastAsia="ja-JP"/>
        </w:rPr>
        <w:t>"</w:t>
      </w:r>
      <w:r w:rsidRPr="00CA61A6">
        <w:rPr>
          <w:rFonts w:eastAsia="SimSun"/>
          <w:szCs w:val="24"/>
          <w:lang w:eastAsia="ja-JP"/>
        </w:rPr>
        <w:t>Directrices de diseño de la interoperatividad para los sistemas personales de salud</w:t>
      </w:r>
      <w:r w:rsidR="009769FA">
        <w:rPr>
          <w:rFonts w:eastAsia="SimSun"/>
          <w:szCs w:val="24"/>
          <w:lang w:eastAsia="ja-JP"/>
        </w:rPr>
        <w:t>"</w:t>
      </w:r>
      <w:r w:rsidR="00564957" w:rsidRPr="00564957">
        <w:rPr>
          <w:rStyle w:val="FootnoteReference"/>
          <w:rFonts w:eastAsia="SimSun"/>
        </w:rPr>
        <w:t>8</w:t>
      </w:r>
      <w:r w:rsidRPr="00CA61A6">
        <w:rPr>
          <w:rFonts w:eastAsia="SimSun"/>
          <w:szCs w:val="24"/>
          <w:lang w:eastAsia="ja-JP"/>
        </w:rPr>
        <w:t xml:space="preserve"> contiene consideraciones de seguridad sobre la utilización de dispositivos personales de salud.</w:t>
      </w:r>
    </w:p>
    <w:p w:rsidR="00450BDD" w:rsidRPr="00CA61A6" w:rsidRDefault="00450BDD" w:rsidP="007B3478">
      <w:pPr>
        <w:rPr>
          <w:rFonts w:eastAsia="SimSun"/>
          <w:szCs w:val="24"/>
          <w:lang w:eastAsia="ja-JP"/>
        </w:rPr>
      </w:pPr>
      <w:r w:rsidRPr="00CA61A6">
        <w:rPr>
          <w:rFonts w:eastAsia="SimSun"/>
          <w:szCs w:val="24"/>
          <w:lang w:eastAsia="ja-JP"/>
        </w:rPr>
        <w:lastRenderedPageBreak/>
        <w:t>La C9/17 está preparando Recomendaciones sobre la seguridad de los servicios de cibersalud (por ejemplo, para comunicaciones, servicios, aspectos relacionados con redes y distintos servicios de bases de datos, tratamiento de registros, identificación, integridad y autentificación), relacionadas con la cibersalud, teniendo en cuenta la importancia de salvaguardar los derechos y la privacidad del paciente</w:t>
      </w:r>
      <w:r w:rsidR="00A45526" w:rsidRPr="00CA61A6">
        <w:rPr>
          <w:rFonts w:eastAsia="SimSun"/>
          <w:szCs w:val="24"/>
          <w:lang w:eastAsia="ja-JP"/>
        </w:rPr>
        <w:t>.</w:t>
      </w:r>
    </w:p>
    <w:p w:rsidR="00450BDD" w:rsidRPr="00CA61A6" w:rsidRDefault="00450BDD" w:rsidP="007B3478">
      <w:pPr>
        <w:rPr>
          <w:rFonts w:eastAsia="SimSun"/>
          <w:szCs w:val="24"/>
          <w:lang w:eastAsia="ja-JP"/>
        </w:rPr>
      </w:pPr>
      <w:r w:rsidRPr="00CA61A6">
        <w:rPr>
          <w:rFonts w:eastAsia="SimSun"/>
          <w:szCs w:val="24"/>
          <w:lang w:eastAsia="ja-JP"/>
        </w:rPr>
        <w:t>La CE</w:t>
      </w:r>
      <w:r w:rsidR="008B5B32" w:rsidRPr="00CA61A6">
        <w:rPr>
          <w:rFonts w:eastAsia="SimSun"/>
          <w:szCs w:val="24"/>
          <w:lang w:eastAsia="ja-JP"/>
        </w:rPr>
        <w:t> </w:t>
      </w:r>
      <w:r w:rsidRPr="00CA61A6">
        <w:rPr>
          <w:rFonts w:eastAsia="SimSun"/>
          <w:szCs w:val="24"/>
          <w:lang w:eastAsia="ja-JP"/>
        </w:rPr>
        <w:t xml:space="preserve">17 aprobó la Recomendación UIT-T X.1092, </w:t>
      </w:r>
      <w:r w:rsidR="00B32E44">
        <w:rPr>
          <w:rFonts w:eastAsia="SimSun"/>
          <w:szCs w:val="24"/>
          <w:lang w:eastAsia="ja-JP"/>
        </w:rPr>
        <w:t>"</w:t>
      </w:r>
      <w:r w:rsidRPr="00CA61A6">
        <w:rPr>
          <w:rFonts w:eastAsia="SimSun"/>
          <w:szCs w:val="24"/>
          <w:lang w:eastAsia="ja-JP"/>
        </w:rPr>
        <w:t>Marco integrado para la protección de datos telebiométricos en cibersalud y telemedicina</w:t>
      </w:r>
      <w:r w:rsidR="00B32E44">
        <w:rPr>
          <w:rFonts w:eastAsia="SimSun"/>
          <w:szCs w:val="24"/>
          <w:lang w:eastAsia="ja-JP"/>
        </w:rPr>
        <w:t>"</w:t>
      </w:r>
      <w:r w:rsidRPr="00CA61A6">
        <w:rPr>
          <w:rFonts w:eastAsia="SimSun"/>
          <w:szCs w:val="24"/>
          <w:lang w:eastAsia="ja-JP"/>
        </w:rPr>
        <w:t>, en abril de 2013.</w:t>
      </w:r>
    </w:p>
    <w:p w:rsidR="00DA3485" w:rsidRPr="00CA61A6" w:rsidRDefault="00110CAD" w:rsidP="00DA3485">
      <w:hyperlink w:anchor="Top" w:history="1">
        <w:r w:rsidR="00DA3485" w:rsidRPr="00CA61A6">
          <w:rPr>
            <w:rStyle w:val="Hyperlink"/>
          </w:rPr>
          <w:t>» Arriba</w:t>
        </w:r>
      </w:hyperlink>
    </w:p>
    <w:p w:rsidR="00450BDD" w:rsidRPr="00CA61A6" w:rsidRDefault="0086084F" w:rsidP="0086084F">
      <w:pPr>
        <w:pStyle w:val="Heading1"/>
      </w:pPr>
      <w:bookmarkStart w:id="720" w:name="_47_Resolución_79"/>
      <w:bookmarkStart w:id="721" w:name="_Toc463335798"/>
      <w:bookmarkEnd w:id="720"/>
      <w:r w:rsidRPr="00CA61A6">
        <w:t>47</w:t>
      </w:r>
      <w:r w:rsidRPr="00CA61A6">
        <w:tab/>
        <w:t xml:space="preserve">Resolución </w:t>
      </w:r>
      <w:r w:rsidR="00450BDD" w:rsidRPr="00CA61A6">
        <w:t>79</w:t>
      </w:r>
      <w:r w:rsidRPr="00CA61A6">
        <w:t xml:space="preserve"> – </w:t>
      </w:r>
      <w:r w:rsidR="00450BDD" w:rsidRPr="00CA61A6">
        <w:t>Función de las telecomunicaciones/tecnologías de la información y la comunicación en el tratamiento y el control de residuos electrónicos de equipos de telecomunicaciones y tecnologías de la información, y métodos para su procesamiento</w:t>
      </w:r>
      <w:bookmarkEnd w:id="721"/>
    </w:p>
    <w:p w:rsidR="00724F64" w:rsidRPr="00CA61A6" w:rsidRDefault="00724F64" w:rsidP="00724F64">
      <w:pPr>
        <w:pStyle w:val="Headingb"/>
        <w:keepLines/>
      </w:pPr>
      <w:r w:rsidRPr="00CA61A6">
        <w:t>Resolución 79</w:t>
      </w:r>
    </w:p>
    <w:p w:rsidR="00450BDD" w:rsidRPr="00CA61A6" w:rsidRDefault="00450BDD" w:rsidP="007B3478">
      <w:pPr>
        <w:pStyle w:val="Call"/>
      </w:pPr>
      <w:r w:rsidRPr="00CA61A6">
        <w:t>resuelve encargar al Director de la Oficina de Normalización de las Telecomunicaciones, en colaboración con el Director de la Oficina de Desarrollo de las Telecomunicaciones</w:t>
      </w:r>
    </w:p>
    <w:p w:rsidR="00450BDD" w:rsidRPr="00CA61A6" w:rsidRDefault="00450BDD" w:rsidP="007B3478">
      <w:r w:rsidRPr="00CA61A6">
        <w:t>1</w:t>
      </w:r>
      <w:r w:rsidRPr="00CA61A6">
        <w:tab/>
        <w:t>que prosiga y refuerce las actividades de la UIT relativas al tratamiento y el control de residuos electrónicos de equipos de telecomunicaciones y tecnología de la información, y métodos para su procesamiento;</w:t>
      </w:r>
    </w:p>
    <w:p w:rsidR="00450BDD" w:rsidRPr="00CA61A6" w:rsidRDefault="00450BDD" w:rsidP="007B3478">
      <w:pPr>
        <w:spacing w:before="100"/>
      </w:pPr>
      <w:r w:rsidRPr="00CA61A6">
        <w:t>2</w:t>
      </w:r>
      <w:r w:rsidRPr="00CA61A6">
        <w:tab/>
        <w:t>que ayude a los países en desarrollo a realizar una evaluación adecuada de la magnitud de los residuos electrónicos;</w:t>
      </w:r>
    </w:p>
    <w:p w:rsidR="00450BDD" w:rsidRPr="00CA61A6" w:rsidRDefault="00450BDD" w:rsidP="007B3478">
      <w:pPr>
        <w:spacing w:before="100"/>
      </w:pPr>
      <w:r w:rsidRPr="00CA61A6">
        <w:t>3</w:t>
      </w:r>
      <w:r w:rsidRPr="00CA61A6">
        <w:tab/>
        <w:t>que examine el tratamiento y control de los residuos electrónicos y contribuya a los esfuerzos mundiales para hacer frente a los crecientes peligros que plantean;</w:t>
      </w:r>
    </w:p>
    <w:p w:rsidR="00450BDD" w:rsidRPr="00CA61A6" w:rsidRDefault="00450BDD" w:rsidP="007B3478">
      <w:r w:rsidRPr="00CA61A6">
        <w:t>4</w:t>
      </w:r>
      <w:r w:rsidRPr="00CA61A6">
        <w:tab/>
        <w:t>que trabaje en colaboración con los asociados correspondientes, incluidas las instituciones académicas y organizaciones pertinentes y que coordine las actividades entre las Comisiones de Estudio, Grupos Temáticos y otros grupos de la UIT relativas a los residuos electrónicos;</w:t>
      </w:r>
    </w:p>
    <w:p w:rsidR="00450BDD" w:rsidRPr="00CA61A6" w:rsidRDefault="00450BDD" w:rsidP="007B3478">
      <w:pPr>
        <w:spacing w:before="100"/>
      </w:pPr>
      <w:r w:rsidRPr="00CA61A6">
        <w:t>5</w:t>
      </w:r>
      <w:r w:rsidRPr="00CA61A6">
        <w:tab/>
        <w:t>que organice seminarios y talleres para aumentar la sensibilización acerca de los peligros inherentes a los residuos electrónicos y sus métodos de procesamiento, especialmente en países en desarrollo, y que determine las necesidades de los países en desarrollo, que son los que más sufren los peligros de los residuos electrónicos,</w:t>
      </w:r>
    </w:p>
    <w:p w:rsidR="00450BDD" w:rsidRPr="00CA61A6" w:rsidRDefault="00450BDD" w:rsidP="007B3478">
      <w:pPr>
        <w:pStyle w:val="Call"/>
        <w:spacing w:before="140"/>
      </w:pPr>
      <w:r w:rsidRPr="00CA61A6">
        <w:t>encarga a la Comisión de Estudio 5 del UIT-T, en colaboración con las Comisiones de Estudio pertinentes de la UIT</w:t>
      </w:r>
    </w:p>
    <w:p w:rsidR="00450BDD" w:rsidRPr="00CA61A6" w:rsidRDefault="00450BDD" w:rsidP="007B3478">
      <w:pPr>
        <w:spacing w:before="100"/>
      </w:pPr>
      <w:r w:rsidRPr="00CA61A6">
        <w:t>1</w:t>
      </w:r>
      <w:r w:rsidRPr="00CA61A6">
        <w:tab/>
        <w:t>que elabore y documente ejemplos de prácticas idóneas para el tratamiento y el control de residuos electrónicos de telecomunicaciones /TIC y métodos para su procesamiento y reciclaje, a fin de divulgarlos entre los Estados Miembros y Miembros de Sector de la UIT;</w:t>
      </w:r>
    </w:p>
    <w:p w:rsidR="00450BDD" w:rsidRPr="00CA61A6" w:rsidRDefault="00450BDD" w:rsidP="007B3478">
      <w:pPr>
        <w:spacing w:before="100"/>
      </w:pPr>
      <w:r w:rsidRPr="00CA61A6">
        <w:t>2</w:t>
      </w:r>
      <w:r w:rsidRPr="00CA61A6">
        <w:tab/>
        <w:t>que elabore Recomendaciones, metodologías y otras publicaciones relativas al tratamiento y el control de residuos electrónicos de telecomunicaciones/TIC y métodos para su procesamiento, en el marco de las Comisiones de Estudio, Grupos Temáticos y otros grupos pertinentes de la UIT, para aumentar en particular la sensibilización acerca de los peligros ambientales que conllevan los residuos electrónicos;</w:t>
      </w:r>
    </w:p>
    <w:p w:rsidR="00450BDD" w:rsidRPr="00CA61A6" w:rsidRDefault="00450BDD" w:rsidP="007B3478">
      <w:pPr>
        <w:spacing w:before="100"/>
      </w:pPr>
      <w:r w:rsidRPr="00CA61A6">
        <w:lastRenderedPageBreak/>
        <w:t>3</w:t>
      </w:r>
      <w:r w:rsidRPr="00CA61A6">
        <w:tab/>
        <w:t xml:space="preserve">que estudie las repercusiones de llevar a los países en desarrollo equipos y productos de telecomunicaciones/TIC usados y facilite una orientación adecuada, teniendo en cuenta las indicaciones del </w:t>
      </w:r>
      <w:r w:rsidRPr="00CA61A6">
        <w:rPr>
          <w:i/>
          <w:iCs/>
        </w:rPr>
        <w:t>reconociendo además supra</w:t>
      </w:r>
      <w:r w:rsidRPr="00CA61A6">
        <w:t>, para prestar asistencia a los países en desarrollo,</w:t>
      </w:r>
    </w:p>
    <w:p w:rsidR="00450BDD" w:rsidRPr="00CA61A6" w:rsidRDefault="00450BDD" w:rsidP="007B3478">
      <w:pPr>
        <w:pStyle w:val="Call"/>
        <w:spacing w:before="140"/>
      </w:pPr>
      <w:r w:rsidRPr="00CA61A6">
        <w:t>invita a los Estados Miembros</w:t>
      </w:r>
    </w:p>
    <w:p w:rsidR="00450BDD" w:rsidRPr="00CA61A6" w:rsidRDefault="00450BDD" w:rsidP="007B3478">
      <w:pPr>
        <w:spacing w:before="100"/>
      </w:pPr>
      <w:r w:rsidRPr="00CA61A6">
        <w:t>1</w:t>
      </w:r>
      <w:r w:rsidRPr="00CA61A6">
        <w:tab/>
        <w:t>a adoptar todas las medidas necesarias para el tratamiento y control de residuos electrónicos con objeto de atenuar los peligros que pudieran causar los equipos de telecomunicaciones/TIC usados;</w:t>
      </w:r>
    </w:p>
    <w:p w:rsidR="00450BDD" w:rsidRPr="00CA61A6" w:rsidRDefault="00450BDD" w:rsidP="007B3478">
      <w:pPr>
        <w:spacing w:before="100"/>
      </w:pPr>
      <w:r w:rsidRPr="00CA61A6">
        <w:t>2</w:t>
      </w:r>
      <w:r w:rsidRPr="00CA61A6">
        <w:tab/>
        <w:t xml:space="preserve">a cooperar entre sí en este campo; </w:t>
      </w:r>
    </w:p>
    <w:p w:rsidR="00450BDD" w:rsidRPr="00CA61A6" w:rsidRDefault="00450BDD" w:rsidP="007B3478">
      <w:pPr>
        <w:spacing w:before="100"/>
      </w:pPr>
      <w:r w:rsidRPr="00CA61A6">
        <w:t>3</w:t>
      </w:r>
      <w:r w:rsidRPr="00CA61A6">
        <w:tab/>
        <w:t>a incorporar políticas de gestión de residuos electrónicos en sus estrategias nacionales en materia de TIC,</w:t>
      </w:r>
    </w:p>
    <w:p w:rsidR="00450BDD" w:rsidRPr="00CA61A6" w:rsidRDefault="00450BDD" w:rsidP="007B3478">
      <w:pPr>
        <w:pStyle w:val="Call"/>
        <w:spacing w:before="140"/>
      </w:pPr>
      <w:r w:rsidRPr="00CA61A6">
        <w:t>alienta a los Estados Miembros, Miembros de Sector e instituciones académicas</w:t>
      </w:r>
    </w:p>
    <w:p w:rsidR="00450BDD" w:rsidRPr="00CA61A6" w:rsidRDefault="00450BDD" w:rsidP="00724F64">
      <w:pPr>
        <w:spacing w:after="120"/>
      </w:pPr>
      <w:r w:rsidRPr="00CA61A6">
        <w:t>a participar activamente en los estudios del UIT-T relativos a los residuos electrónicos, mediante la presentación de contribuciones y otros mecanismos adecuados.</w:t>
      </w:r>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4808"/>
        <w:gridCol w:w="1574"/>
        <w:gridCol w:w="1148"/>
        <w:gridCol w:w="1261"/>
      </w:tblGrid>
      <w:tr w:rsidR="00450BDD" w:rsidRPr="00CA61A6" w:rsidTr="00190142">
        <w:trPr>
          <w:cantSplit/>
          <w:tblHeader/>
          <w:jc w:val="center"/>
        </w:trPr>
        <w:tc>
          <w:tcPr>
            <w:tcW w:w="1141" w:type="dxa"/>
            <w:tcBorders>
              <w:bottom w:val="double" w:sz="4" w:space="0" w:color="auto"/>
            </w:tcBorders>
            <w:shd w:val="clear" w:color="auto" w:fill="auto"/>
            <w:vAlign w:val="center"/>
          </w:tcPr>
          <w:p w:rsidR="00450BDD" w:rsidRPr="00CA61A6" w:rsidRDefault="00450BDD" w:rsidP="00DB183C">
            <w:pPr>
              <w:pStyle w:val="Tablehead"/>
            </w:pPr>
            <w:r w:rsidRPr="00CA61A6">
              <w:t>Número</w:t>
            </w:r>
          </w:p>
        </w:tc>
        <w:tc>
          <w:tcPr>
            <w:tcW w:w="4808" w:type="dxa"/>
            <w:tcBorders>
              <w:bottom w:val="double" w:sz="4" w:space="0" w:color="auto"/>
            </w:tcBorders>
            <w:shd w:val="clear" w:color="auto" w:fill="auto"/>
            <w:vAlign w:val="center"/>
            <w:hideMark/>
          </w:tcPr>
          <w:p w:rsidR="00450BDD" w:rsidRPr="00CA61A6" w:rsidRDefault="00450BDD" w:rsidP="00DB183C">
            <w:pPr>
              <w:pStyle w:val="Tablehead"/>
            </w:pPr>
            <w:r w:rsidRPr="00CA61A6">
              <w:t>Acción</w:t>
            </w:r>
          </w:p>
        </w:tc>
        <w:tc>
          <w:tcPr>
            <w:tcW w:w="1574" w:type="dxa"/>
            <w:tcBorders>
              <w:bottom w:val="double" w:sz="4" w:space="0" w:color="auto"/>
            </w:tcBorders>
            <w:shd w:val="clear" w:color="auto" w:fill="auto"/>
            <w:vAlign w:val="center"/>
            <w:hideMark/>
          </w:tcPr>
          <w:p w:rsidR="00450BDD" w:rsidRPr="00CA61A6" w:rsidRDefault="00450BDD" w:rsidP="00DB183C">
            <w:pPr>
              <w:pStyle w:val="Tablehead"/>
            </w:pPr>
            <w:r w:rsidRPr="00CA61A6">
              <w:t>Fecha objetivo</w:t>
            </w:r>
          </w:p>
        </w:tc>
        <w:tc>
          <w:tcPr>
            <w:tcW w:w="1148" w:type="dxa"/>
            <w:tcBorders>
              <w:bottom w:val="double" w:sz="4" w:space="0" w:color="auto"/>
            </w:tcBorders>
            <w:shd w:val="clear" w:color="auto" w:fill="auto"/>
          </w:tcPr>
          <w:p w:rsidR="00450BDD" w:rsidRPr="00CA61A6" w:rsidRDefault="00450BDD" w:rsidP="00DB183C">
            <w:pPr>
              <w:pStyle w:val="Tablehead"/>
            </w:pPr>
            <w:r w:rsidRPr="00CA61A6">
              <w:t>Objetivos periódicos cumplidos</w:t>
            </w:r>
          </w:p>
        </w:tc>
        <w:tc>
          <w:tcPr>
            <w:tcW w:w="1261" w:type="dxa"/>
            <w:tcBorders>
              <w:bottom w:val="double" w:sz="4" w:space="0" w:color="auto"/>
            </w:tcBorders>
            <w:shd w:val="clear" w:color="auto" w:fill="auto"/>
            <w:vAlign w:val="center"/>
          </w:tcPr>
          <w:p w:rsidR="00450BDD" w:rsidRPr="00CA61A6" w:rsidRDefault="00450BDD" w:rsidP="00DB183C">
            <w:pPr>
              <w:pStyle w:val="Tablehead"/>
            </w:pPr>
            <w:r w:rsidRPr="00CA61A6">
              <w:t>Completada</w:t>
            </w:r>
          </w:p>
        </w:tc>
      </w:tr>
      <w:tr w:rsidR="00450BDD" w:rsidRPr="00CA61A6" w:rsidTr="00190142">
        <w:trPr>
          <w:cantSplit/>
          <w:jc w:val="center"/>
        </w:trPr>
        <w:tc>
          <w:tcPr>
            <w:tcW w:w="1141" w:type="dxa"/>
            <w:tcBorders>
              <w:top w:val="double" w:sz="4" w:space="0" w:color="auto"/>
            </w:tcBorders>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79_01" w:history="1">
              <w:r w:rsidR="00450BDD" w:rsidRPr="00CA61A6">
                <w:rPr>
                  <w:color w:val="0000FF"/>
                  <w:sz w:val="20"/>
                  <w:u w:val="single"/>
                </w:rPr>
                <w:t>79-01</w:t>
              </w:r>
            </w:hyperlink>
          </w:p>
        </w:tc>
        <w:tc>
          <w:tcPr>
            <w:tcW w:w="4808" w:type="dxa"/>
            <w:tcBorders>
              <w:top w:val="double" w:sz="4" w:space="0" w:color="auto"/>
            </w:tcBorders>
            <w:shd w:val="clear" w:color="auto" w:fill="auto"/>
            <w:hideMark/>
          </w:tcPr>
          <w:p w:rsidR="00450BDD" w:rsidRPr="00CA61A6" w:rsidRDefault="00557094" w:rsidP="00557094">
            <w:pPr>
              <w:pStyle w:val="Tabletext"/>
            </w:pPr>
            <w:r>
              <w:t>E</w:t>
            </w:r>
            <w:r w:rsidR="00450BDD" w:rsidRPr="00CA61A6">
              <w:t>l Director de la TSB, en colaboración con el Director de la BDT, prepar</w:t>
            </w:r>
            <w:r>
              <w:t>ará</w:t>
            </w:r>
            <w:r w:rsidR="00450BDD" w:rsidRPr="00CA61A6">
              <w:t xml:space="preserve"> actividades para abordar, controlar y tratar los residuos-e de equipos de telecomunicaciones y TI</w:t>
            </w:r>
          </w:p>
        </w:tc>
        <w:tc>
          <w:tcPr>
            <w:tcW w:w="1574" w:type="dxa"/>
            <w:tcBorders>
              <w:top w:val="double" w:sz="4" w:space="0" w:color="auto"/>
            </w:tcBorders>
            <w:shd w:val="clear" w:color="auto" w:fill="auto"/>
            <w:vAlign w:val="center"/>
          </w:tcPr>
          <w:p w:rsidR="00450BDD" w:rsidRPr="00CA61A6" w:rsidRDefault="00450BDD" w:rsidP="00DB183C">
            <w:pPr>
              <w:pStyle w:val="Tabletext"/>
              <w:jc w:val="center"/>
            </w:pPr>
            <w:r w:rsidRPr="00CA61A6">
              <w:t>En curso</w:t>
            </w:r>
          </w:p>
        </w:tc>
        <w:tc>
          <w:tcPr>
            <w:tcW w:w="1148" w:type="dxa"/>
            <w:tcBorders>
              <w:top w:val="double" w:sz="4" w:space="0" w:color="auto"/>
            </w:tcBorders>
            <w:shd w:val="clear" w:color="auto" w:fill="auto"/>
            <w:vAlign w:val="center"/>
          </w:tcPr>
          <w:p w:rsidR="00450BDD" w:rsidRPr="00CA61A6" w:rsidRDefault="00DB183C" w:rsidP="00DB183C">
            <w:pPr>
              <w:pStyle w:val="Tabletext"/>
              <w:jc w:val="center"/>
            </w:pPr>
            <w:r w:rsidRPr="00CA61A6">
              <w:sym w:font="Wingdings" w:char="F0FC"/>
            </w:r>
          </w:p>
        </w:tc>
        <w:tc>
          <w:tcPr>
            <w:tcW w:w="1261" w:type="dxa"/>
            <w:tcBorders>
              <w:top w:val="double" w:sz="4" w:space="0" w:color="auto"/>
            </w:tcBorders>
            <w:shd w:val="clear" w:color="auto" w:fill="auto"/>
            <w:vAlign w:val="center"/>
          </w:tcPr>
          <w:p w:rsidR="00450BDD" w:rsidRPr="00CA61A6" w:rsidRDefault="00450BDD" w:rsidP="00DB183C">
            <w:pPr>
              <w:pStyle w:val="Tabletext"/>
              <w:jc w:val="center"/>
            </w:pPr>
          </w:p>
        </w:tc>
      </w:tr>
      <w:tr w:rsidR="00450BDD" w:rsidRPr="00CA61A6" w:rsidTr="00190142">
        <w:trPr>
          <w:cantSplit/>
          <w:jc w:val="center"/>
        </w:trPr>
        <w:tc>
          <w:tcPr>
            <w:tcW w:w="1141" w:type="dxa"/>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79_02" w:history="1">
              <w:r w:rsidR="00450BDD" w:rsidRPr="00CA61A6">
                <w:rPr>
                  <w:color w:val="0000FF"/>
                  <w:sz w:val="20"/>
                  <w:u w:val="single"/>
                </w:rPr>
                <w:t>79-02</w:t>
              </w:r>
            </w:hyperlink>
          </w:p>
        </w:tc>
        <w:tc>
          <w:tcPr>
            <w:tcW w:w="4808" w:type="dxa"/>
            <w:shd w:val="clear" w:color="auto" w:fill="auto"/>
          </w:tcPr>
          <w:p w:rsidR="00450BDD" w:rsidRPr="00CA61A6" w:rsidRDefault="00557094" w:rsidP="00E07063">
            <w:pPr>
              <w:pStyle w:val="Tabletext"/>
            </w:pPr>
            <w:r>
              <w:t>E</w:t>
            </w:r>
            <w:r w:rsidR="00450BDD" w:rsidRPr="00CA61A6">
              <w:t>l Director de la TSB, en colab</w:t>
            </w:r>
            <w:r w:rsidR="00E07063">
              <w:t>oración con el Director de la BDT</w:t>
            </w:r>
            <w:r w:rsidR="00450BDD" w:rsidRPr="00CA61A6">
              <w:t>, prest</w:t>
            </w:r>
            <w:r>
              <w:t>ará</w:t>
            </w:r>
            <w:r w:rsidR="00450BDD" w:rsidRPr="00CA61A6">
              <w:t xml:space="preserve"> a los países en desarrollo asistencia para realizar una evaluación adecuada del volumen de residuos-e</w:t>
            </w:r>
          </w:p>
        </w:tc>
        <w:tc>
          <w:tcPr>
            <w:tcW w:w="1574" w:type="dxa"/>
            <w:shd w:val="clear" w:color="auto" w:fill="auto"/>
            <w:vAlign w:val="center"/>
          </w:tcPr>
          <w:p w:rsidR="00450BDD" w:rsidRPr="00CA61A6" w:rsidRDefault="00450BDD" w:rsidP="00DB183C">
            <w:pPr>
              <w:pStyle w:val="Tabletext"/>
              <w:jc w:val="center"/>
            </w:pPr>
            <w:r w:rsidRPr="00CA61A6">
              <w:t>En curso</w:t>
            </w:r>
          </w:p>
        </w:tc>
        <w:tc>
          <w:tcPr>
            <w:tcW w:w="1148" w:type="dxa"/>
            <w:shd w:val="clear" w:color="auto" w:fill="auto"/>
            <w:vAlign w:val="center"/>
          </w:tcPr>
          <w:p w:rsidR="00450BDD" w:rsidRPr="00CA61A6" w:rsidRDefault="00DB183C" w:rsidP="00DB183C">
            <w:pPr>
              <w:pStyle w:val="Tabletext"/>
              <w:jc w:val="center"/>
            </w:pPr>
            <w:r w:rsidRPr="00CA61A6">
              <w:sym w:font="Wingdings" w:char="F0FC"/>
            </w:r>
          </w:p>
        </w:tc>
        <w:tc>
          <w:tcPr>
            <w:tcW w:w="1261" w:type="dxa"/>
            <w:shd w:val="clear" w:color="auto" w:fill="auto"/>
            <w:vAlign w:val="center"/>
          </w:tcPr>
          <w:p w:rsidR="00450BDD" w:rsidRPr="00CA61A6" w:rsidRDefault="00450BDD" w:rsidP="00DB183C">
            <w:pPr>
              <w:pStyle w:val="Tabletext"/>
              <w:jc w:val="center"/>
            </w:pPr>
          </w:p>
        </w:tc>
      </w:tr>
      <w:tr w:rsidR="00450BDD" w:rsidRPr="00CA61A6" w:rsidTr="00190142">
        <w:trPr>
          <w:cantSplit/>
          <w:jc w:val="center"/>
        </w:trPr>
        <w:tc>
          <w:tcPr>
            <w:tcW w:w="1141" w:type="dxa"/>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79_03" w:history="1">
              <w:r w:rsidR="00450BDD" w:rsidRPr="00CA61A6">
                <w:rPr>
                  <w:color w:val="0000FF"/>
                  <w:sz w:val="20"/>
                  <w:u w:val="single"/>
                </w:rPr>
                <w:t>79-03</w:t>
              </w:r>
            </w:hyperlink>
          </w:p>
        </w:tc>
        <w:tc>
          <w:tcPr>
            <w:tcW w:w="4808" w:type="dxa"/>
            <w:shd w:val="clear" w:color="auto" w:fill="auto"/>
            <w:hideMark/>
          </w:tcPr>
          <w:p w:rsidR="00450BDD" w:rsidRPr="00CA61A6" w:rsidRDefault="00557094" w:rsidP="00557094">
            <w:pPr>
              <w:pStyle w:val="Tabletext"/>
            </w:pPr>
            <w:r>
              <w:t>E</w:t>
            </w:r>
            <w:r w:rsidR="00450BDD" w:rsidRPr="00CA61A6">
              <w:t>l Director de la TSB, en colaboración con el Director de la BDT, organi</w:t>
            </w:r>
            <w:r>
              <w:t>zará</w:t>
            </w:r>
            <w:r w:rsidR="00450BDD" w:rsidRPr="00CA61A6">
              <w:t xml:space="preserve"> seminarios y talleres para los países en desarrollo y para determinar sus necesidades en relación con los residuos-e</w:t>
            </w:r>
          </w:p>
        </w:tc>
        <w:tc>
          <w:tcPr>
            <w:tcW w:w="1574" w:type="dxa"/>
            <w:shd w:val="clear" w:color="auto" w:fill="auto"/>
            <w:vAlign w:val="center"/>
          </w:tcPr>
          <w:p w:rsidR="00450BDD" w:rsidRPr="00CA61A6" w:rsidRDefault="00450BDD" w:rsidP="00DB183C">
            <w:pPr>
              <w:pStyle w:val="Tabletext"/>
              <w:jc w:val="center"/>
            </w:pPr>
            <w:r w:rsidRPr="00CA61A6">
              <w:t>En curso</w:t>
            </w:r>
          </w:p>
        </w:tc>
        <w:tc>
          <w:tcPr>
            <w:tcW w:w="1148" w:type="dxa"/>
            <w:shd w:val="clear" w:color="auto" w:fill="auto"/>
            <w:vAlign w:val="center"/>
          </w:tcPr>
          <w:p w:rsidR="00450BDD" w:rsidRPr="00CA61A6" w:rsidRDefault="00DB183C" w:rsidP="00DB183C">
            <w:pPr>
              <w:pStyle w:val="Tabletext"/>
              <w:jc w:val="center"/>
            </w:pPr>
            <w:r w:rsidRPr="00CA61A6">
              <w:sym w:font="Wingdings" w:char="F0FC"/>
            </w:r>
          </w:p>
        </w:tc>
        <w:tc>
          <w:tcPr>
            <w:tcW w:w="1261" w:type="dxa"/>
            <w:shd w:val="clear" w:color="auto" w:fill="auto"/>
            <w:vAlign w:val="center"/>
          </w:tcPr>
          <w:p w:rsidR="00450BDD" w:rsidRPr="00CA61A6" w:rsidRDefault="00450BDD" w:rsidP="00DB183C">
            <w:pPr>
              <w:pStyle w:val="Tabletext"/>
              <w:jc w:val="center"/>
            </w:pPr>
          </w:p>
        </w:tc>
      </w:tr>
      <w:tr w:rsidR="00450BDD" w:rsidRPr="00CA61A6" w:rsidTr="00190142">
        <w:trPr>
          <w:cantSplit/>
          <w:jc w:val="center"/>
        </w:trPr>
        <w:tc>
          <w:tcPr>
            <w:tcW w:w="1141" w:type="dxa"/>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79_04" w:history="1">
              <w:r w:rsidR="00450BDD" w:rsidRPr="00CA61A6">
                <w:rPr>
                  <w:color w:val="0000FF"/>
                  <w:sz w:val="20"/>
                  <w:u w:val="single"/>
                </w:rPr>
                <w:t>79-04</w:t>
              </w:r>
            </w:hyperlink>
          </w:p>
        </w:tc>
        <w:tc>
          <w:tcPr>
            <w:tcW w:w="4808" w:type="dxa"/>
            <w:shd w:val="clear" w:color="auto" w:fill="auto"/>
            <w:hideMark/>
          </w:tcPr>
          <w:p w:rsidR="00450BDD" w:rsidRPr="00CA61A6" w:rsidRDefault="00557094" w:rsidP="00557094">
            <w:pPr>
              <w:pStyle w:val="Tabletext"/>
            </w:pPr>
            <w:r>
              <w:t>L</w:t>
            </w:r>
            <w:r w:rsidR="00450BDD" w:rsidRPr="00CA61A6">
              <w:t>a CE</w:t>
            </w:r>
            <w:r w:rsidR="008B5B32" w:rsidRPr="00CA61A6">
              <w:t> </w:t>
            </w:r>
            <w:r w:rsidR="00450BDD" w:rsidRPr="00CA61A6">
              <w:t>5, en colaboración con las CE pertinentes, identifi</w:t>
            </w:r>
            <w:r>
              <w:t>cará, documentará y divulgará</w:t>
            </w:r>
            <w:r w:rsidR="00450BDD" w:rsidRPr="00CA61A6">
              <w:t xml:space="preserve"> a los </w:t>
            </w:r>
            <w:r w:rsidR="00110CAD" w:rsidRPr="00CA61A6">
              <w:t xml:space="preserve">miembros </w:t>
            </w:r>
            <w:r w:rsidR="00450BDD" w:rsidRPr="00CA61A6">
              <w:t>de la UIT las prácticas idóneas en materia de residuos-e</w:t>
            </w:r>
          </w:p>
        </w:tc>
        <w:tc>
          <w:tcPr>
            <w:tcW w:w="1574" w:type="dxa"/>
            <w:shd w:val="clear" w:color="auto" w:fill="auto"/>
            <w:vAlign w:val="center"/>
          </w:tcPr>
          <w:p w:rsidR="00450BDD" w:rsidRPr="00CA61A6" w:rsidRDefault="00450BDD" w:rsidP="00DB183C">
            <w:pPr>
              <w:pStyle w:val="Tabletext"/>
              <w:jc w:val="center"/>
            </w:pPr>
            <w:r w:rsidRPr="00CA61A6">
              <w:t>En curso</w:t>
            </w:r>
          </w:p>
        </w:tc>
        <w:tc>
          <w:tcPr>
            <w:tcW w:w="1148" w:type="dxa"/>
            <w:shd w:val="clear" w:color="auto" w:fill="auto"/>
            <w:vAlign w:val="center"/>
          </w:tcPr>
          <w:p w:rsidR="00450BDD" w:rsidRPr="00CA61A6" w:rsidRDefault="00DB183C" w:rsidP="00DB183C">
            <w:pPr>
              <w:pStyle w:val="Tabletext"/>
              <w:jc w:val="center"/>
            </w:pPr>
            <w:r w:rsidRPr="00CA61A6">
              <w:sym w:font="Wingdings" w:char="F0FC"/>
            </w:r>
          </w:p>
        </w:tc>
        <w:tc>
          <w:tcPr>
            <w:tcW w:w="1261" w:type="dxa"/>
            <w:shd w:val="clear" w:color="auto" w:fill="auto"/>
            <w:vAlign w:val="center"/>
          </w:tcPr>
          <w:p w:rsidR="00450BDD" w:rsidRPr="00CA61A6" w:rsidRDefault="00450BDD" w:rsidP="00DB183C">
            <w:pPr>
              <w:pStyle w:val="Tabletext"/>
              <w:jc w:val="center"/>
            </w:pPr>
          </w:p>
        </w:tc>
      </w:tr>
      <w:tr w:rsidR="00450BDD" w:rsidRPr="00CA61A6" w:rsidTr="00190142">
        <w:trPr>
          <w:cantSplit/>
          <w:jc w:val="center"/>
        </w:trPr>
        <w:tc>
          <w:tcPr>
            <w:tcW w:w="1141" w:type="dxa"/>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79_05" w:history="1">
              <w:r w:rsidR="00450BDD" w:rsidRPr="00CA61A6">
                <w:rPr>
                  <w:color w:val="0000FF"/>
                  <w:sz w:val="20"/>
                  <w:u w:val="single"/>
                </w:rPr>
                <w:t>79-05</w:t>
              </w:r>
            </w:hyperlink>
          </w:p>
        </w:tc>
        <w:tc>
          <w:tcPr>
            <w:tcW w:w="4808" w:type="dxa"/>
            <w:shd w:val="clear" w:color="auto" w:fill="auto"/>
          </w:tcPr>
          <w:p w:rsidR="00450BDD" w:rsidRPr="00CA61A6" w:rsidRDefault="00557094" w:rsidP="00557094">
            <w:pPr>
              <w:pStyle w:val="Tabletext"/>
            </w:pPr>
            <w:r>
              <w:t>L</w:t>
            </w:r>
            <w:r w:rsidR="00450BDD" w:rsidRPr="00CA61A6">
              <w:t>a CE</w:t>
            </w:r>
            <w:r w:rsidR="008B5B32" w:rsidRPr="00CA61A6">
              <w:t> </w:t>
            </w:r>
            <w:r w:rsidR="00450BDD" w:rsidRPr="00CA61A6">
              <w:t>5, en colaboración con las CE pertinentes, prepar</w:t>
            </w:r>
            <w:r>
              <w:t>ará</w:t>
            </w:r>
            <w:r w:rsidR="00450BDD" w:rsidRPr="00CA61A6">
              <w:t xml:space="preserve"> Recomendaciones, metodologías y demás publicaciones sobre los residuos-e</w:t>
            </w:r>
          </w:p>
        </w:tc>
        <w:tc>
          <w:tcPr>
            <w:tcW w:w="1574" w:type="dxa"/>
            <w:shd w:val="clear" w:color="auto" w:fill="auto"/>
            <w:vAlign w:val="center"/>
          </w:tcPr>
          <w:p w:rsidR="00450BDD" w:rsidRPr="00CA61A6" w:rsidRDefault="00450BDD" w:rsidP="00DB183C">
            <w:pPr>
              <w:pStyle w:val="Tabletext"/>
              <w:jc w:val="center"/>
            </w:pPr>
            <w:r w:rsidRPr="00CA61A6">
              <w:t>En curso</w:t>
            </w:r>
          </w:p>
        </w:tc>
        <w:tc>
          <w:tcPr>
            <w:tcW w:w="1148" w:type="dxa"/>
            <w:shd w:val="clear" w:color="auto" w:fill="auto"/>
            <w:vAlign w:val="center"/>
          </w:tcPr>
          <w:p w:rsidR="00450BDD" w:rsidRPr="00CA61A6" w:rsidRDefault="00DB183C" w:rsidP="00DB183C">
            <w:pPr>
              <w:pStyle w:val="Tabletext"/>
              <w:jc w:val="center"/>
            </w:pPr>
            <w:r w:rsidRPr="00CA61A6">
              <w:sym w:font="Wingdings" w:char="F0FC"/>
            </w:r>
          </w:p>
        </w:tc>
        <w:tc>
          <w:tcPr>
            <w:tcW w:w="1261" w:type="dxa"/>
            <w:shd w:val="clear" w:color="auto" w:fill="auto"/>
            <w:vAlign w:val="center"/>
          </w:tcPr>
          <w:p w:rsidR="00450BDD" w:rsidRPr="00CA61A6" w:rsidRDefault="00450BDD" w:rsidP="00DB183C">
            <w:pPr>
              <w:pStyle w:val="Tabletext"/>
              <w:jc w:val="center"/>
            </w:pPr>
          </w:p>
        </w:tc>
      </w:tr>
      <w:tr w:rsidR="00450BDD" w:rsidRPr="00CA61A6" w:rsidTr="00190142">
        <w:trPr>
          <w:cantSplit/>
          <w:jc w:val="center"/>
        </w:trPr>
        <w:tc>
          <w:tcPr>
            <w:tcW w:w="1141" w:type="dxa"/>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79_06" w:history="1">
              <w:r w:rsidR="00450BDD" w:rsidRPr="00CA61A6">
                <w:rPr>
                  <w:color w:val="0000FF"/>
                  <w:sz w:val="20"/>
                  <w:u w:val="single"/>
                </w:rPr>
                <w:t>79-06</w:t>
              </w:r>
            </w:hyperlink>
          </w:p>
        </w:tc>
        <w:tc>
          <w:tcPr>
            <w:tcW w:w="4808" w:type="dxa"/>
            <w:shd w:val="clear" w:color="auto" w:fill="auto"/>
          </w:tcPr>
          <w:p w:rsidR="00450BDD" w:rsidRPr="00CA61A6" w:rsidRDefault="00557094" w:rsidP="00557094">
            <w:pPr>
              <w:pStyle w:val="Tabletext"/>
            </w:pPr>
            <w:r>
              <w:t>L</w:t>
            </w:r>
            <w:r w:rsidR="00450BDD" w:rsidRPr="00CA61A6">
              <w:t>a CE</w:t>
            </w:r>
            <w:r w:rsidR="008B5B32" w:rsidRPr="00CA61A6">
              <w:t> </w:t>
            </w:r>
            <w:r w:rsidR="00450BDD" w:rsidRPr="00CA61A6">
              <w:t>5, en colaboración con las CE pertinentes, estudi</w:t>
            </w:r>
            <w:r>
              <w:t>ará</w:t>
            </w:r>
            <w:r w:rsidR="00450BDD" w:rsidRPr="00CA61A6">
              <w:t xml:space="preserve"> las repercusiones de los residuos-e de telecomunicaciones/TIC pa</w:t>
            </w:r>
            <w:r w:rsidR="00973723">
              <w:t>ra los países en desarrollo y dará</w:t>
            </w:r>
            <w:r w:rsidR="00450BDD" w:rsidRPr="00CA61A6">
              <w:t xml:space="preserve"> orientaciones para la asistencia a esos países</w:t>
            </w:r>
          </w:p>
        </w:tc>
        <w:tc>
          <w:tcPr>
            <w:tcW w:w="1574" w:type="dxa"/>
            <w:shd w:val="clear" w:color="auto" w:fill="auto"/>
            <w:vAlign w:val="center"/>
          </w:tcPr>
          <w:p w:rsidR="00450BDD" w:rsidRPr="00CA61A6" w:rsidRDefault="00450BDD" w:rsidP="00DB183C">
            <w:pPr>
              <w:pStyle w:val="Tabletext"/>
              <w:jc w:val="center"/>
            </w:pPr>
            <w:r w:rsidRPr="00CA61A6">
              <w:t>En curso</w:t>
            </w:r>
          </w:p>
        </w:tc>
        <w:tc>
          <w:tcPr>
            <w:tcW w:w="1148" w:type="dxa"/>
            <w:shd w:val="clear" w:color="auto" w:fill="auto"/>
            <w:vAlign w:val="center"/>
          </w:tcPr>
          <w:p w:rsidR="00450BDD" w:rsidRPr="00CA61A6" w:rsidRDefault="00DB183C" w:rsidP="00DB183C">
            <w:pPr>
              <w:pStyle w:val="Tabletext"/>
              <w:jc w:val="center"/>
            </w:pPr>
            <w:r w:rsidRPr="00CA61A6">
              <w:sym w:font="Wingdings" w:char="F0FC"/>
            </w:r>
          </w:p>
        </w:tc>
        <w:tc>
          <w:tcPr>
            <w:tcW w:w="1261" w:type="dxa"/>
            <w:shd w:val="clear" w:color="auto" w:fill="auto"/>
            <w:vAlign w:val="center"/>
          </w:tcPr>
          <w:p w:rsidR="00450BDD" w:rsidRPr="00CA61A6" w:rsidRDefault="00450BDD" w:rsidP="00DB183C">
            <w:pPr>
              <w:pStyle w:val="Tabletext"/>
              <w:jc w:val="center"/>
            </w:pPr>
          </w:p>
        </w:tc>
      </w:tr>
    </w:tbl>
    <w:p w:rsidR="00450BDD" w:rsidRPr="00CA61A6" w:rsidRDefault="0019747C" w:rsidP="0019747C">
      <w:pPr>
        <w:pStyle w:val="Headingb"/>
        <w:keepLines/>
      </w:pPr>
      <w:bookmarkStart w:id="722" w:name="Item79_01"/>
      <w:bookmarkEnd w:id="722"/>
      <w:r w:rsidRPr="00CA61A6">
        <w:t xml:space="preserve">Acción </w:t>
      </w:r>
      <w:r w:rsidR="00450BDD" w:rsidRPr="00CA61A6">
        <w:t>79-01: TSB y CE</w:t>
      </w:r>
      <w:r w:rsidR="008B5B32" w:rsidRPr="00CA61A6">
        <w:t> </w:t>
      </w:r>
      <w:r w:rsidR="00450BDD" w:rsidRPr="00CA61A6">
        <w:t>5</w:t>
      </w:r>
    </w:p>
    <w:p w:rsidR="00450BDD" w:rsidRPr="00CA61A6" w:rsidRDefault="00450BDD" w:rsidP="00325C4E">
      <w:pPr>
        <w:rPr>
          <w:rFonts w:eastAsia="SimSun"/>
          <w:szCs w:val="24"/>
          <w:lang w:eastAsia="ja-JP"/>
        </w:rPr>
      </w:pPr>
      <w:r w:rsidRPr="00CA61A6">
        <w:rPr>
          <w:rFonts w:eastAsia="SimSun"/>
          <w:szCs w:val="24"/>
          <w:lang w:eastAsia="ja-JP"/>
        </w:rPr>
        <w:t>La TSB ha representado a la UIT en las reuniones de las iniciativas Step, PACE y Global Partnership on Waste Management (GPWM). La TSB también ha estado colaborando con l</w:t>
      </w:r>
      <w:r w:rsidR="00325C4E">
        <w:rPr>
          <w:rFonts w:eastAsia="SimSun"/>
          <w:szCs w:val="24"/>
          <w:lang w:eastAsia="ja-JP"/>
        </w:rPr>
        <w:t>a</w:t>
      </w:r>
      <w:r w:rsidRPr="00CA61A6">
        <w:rPr>
          <w:rFonts w:eastAsia="SimSun"/>
          <w:szCs w:val="24"/>
          <w:lang w:eastAsia="ja-JP"/>
        </w:rPr>
        <w:t xml:space="preserve"> Convención de Basilea, la OMS y la ONUDI sobre cuestiones de gestión de los residuos-e.</w:t>
      </w:r>
    </w:p>
    <w:p w:rsidR="00450BDD" w:rsidRPr="00CA61A6" w:rsidRDefault="00450BDD" w:rsidP="007B3478">
      <w:pPr>
        <w:rPr>
          <w:rFonts w:eastAsia="SimSun"/>
          <w:szCs w:val="24"/>
          <w:lang w:eastAsia="ja-JP"/>
        </w:rPr>
      </w:pPr>
      <w:r w:rsidRPr="00CA61A6">
        <w:rPr>
          <w:rFonts w:eastAsia="SimSun"/>
          <w:szCs w:val="24"/>
          <w:lang w:eastAsia="ja-JP"/>
        </w:rPr>
        <w:t xml:space="preserve">La TSB ha representado a la UIT en el reciente Grupo de Gestión de Problemas (GGP) sobre </w:t>
      </w:r>
      <w:r w:rsidR="00B26079" w:rsidRPr="00CA61A6">
        <w:rPr>
          <w:rFonts w:eastAsia="SimSun"/>
          <w:szCs w:val="24"/>
          <w:lang w:eastAsia="ja-JP"/>
        </w:rPr>
        <w:t>"</w:t>
      </w:r>
      <w:r w:rsidRPr="00CA61A6">
        <w:rPr>
          <w:rFonts w:eastAsia="SimSun"/>
          <w:szCs w:val="24"/>
          <w:lang w:eastAsia="ja-JP"/>
        </w:rPr>
        <w:t>Contra los residuos-e: hacia el diseño ecológico y la adopción de un enfoque global para los productos-e</w:t>
      </w:r>
      <w:r w:rsidR="00B26079" w:rsidRPr="00CA61A6">
        <w:rPr>
          <w:rFonts w:eastAsia="SimSun"/>
          <w:szCs w:val="24"/>
          <w:lang w:eastAsia="ja-JP"/>
        </w:rPr>
        <w:t>"</w:t>
      </w:r>
      <w:r w:rsidRPr="00CA61A6">
        <w:rPr>
          <w:rFonts w:eastAsia="SimSun"/>
          <w:szCs w:val="24"/>
          <w:lang w:eastAsia="ja-JP"/>
        </w:rPr>
        <w:t>.</w:t>
      </w:r>
    </w:p>
    <w:p w:rsidR="00450BDD" w:rsidRPr="00CA61A6" w:rsidRDefault="00450BDD" w:rsidP="007B3478">
      <w:pPr>
        <w:rPr>
          <w:rFonts w:eastAsia="SimSun"/>
          <w:szCs w:val="24"/>
          <w:lang w:eastAsia="ja-JP"/>
        </w:rPr>
      </w:pPr>
      <w:r w:rsidRPr="00CA61A6">
        <w:rPr>
          <w:rFonts w:eastAsia="SimSun"/>
          <w:szCs w:val="24"/>
          <w:lang w:eastAsia="ja-JP"/>
        </w:rPr>
        <w:t>La UIT posee además un portal sobre residuos-e donde se pueden encontrar los últimos informes sobre la materia.</w:t>
      </w:r>
    </w:p>
    <w:p w:rsidR="00450BDD" w:rsidRPr="00CA61A6" w:rsidRDefault="00450BDD" w:rsidP="007B3478">
      <w:pPr>
        <w:rPr>
          <w:rFonts w:eastAsia="SimSun"/>
          <w:szCs w:val="24"/>
          <w:lang w:eastAsia="ja-JP"/>
        </w:rPr>
      </w:pPr>
      <w:r w:rsidRPr="00CA61A6">
        <w:rPr>
          <w:rFonts w:eastAsia="SimSun"/>
          <w:szCs w:val="24"/>
          <w:lang w:eastAsia="ja-JP"/>
        </w:rPr>
        <w:lastRenderedPageBreak/>
        <w:t>La TSB/UIT, junto con la CE</w:t>
      </w:r>
      <w:r w:rsidR="008B5B32" w:rsidRPr="00CA61A6">
        <w:rPr>
          <w:rFonts w:eastAsia="SimSun"/>
          <w:szCs w:val="24"/>
          <w:lang w:eastAsia="ja-JP"/>
        </w:rPr>
        <w:t> </w:t>
      </w:r>
      <w:r w:rsidR="00E40CAA">
        <w:rPr>
          <w:rFonts w:eastAsia="SimSun"/>
          <w:szCs w:val="24"/>
          <w:lang w:eastAsia="ja-JP"/>
        </w:rPr>
        <w:t>5 del UIT-T, la</w:t>
      </w:r>
      <w:r w:rsidRPr="00CA61A6">
        <w:rPr>
          <w:rFonts w:eastAsia="SimSun"/>
          <w:szCs w:val="24"/>
          <w:lang w:eastAsia="ja-JP"/>
        </w:rPr>
        <w:t xml:space="preserve"> Convención de Basilea, la UNU y la ONUDI, está trabajando en la preparación de dos planes para alcanzar las metas fijadas en la Agenda Conectar 2020. Se presentó a la reunión </w:t>
      </w:r>
      <w:r w:rsidR="00B962E8">
        <w:rPr>
          <w:rFonts w:eastAsia="SimSun"/>
          <w:szCs w:val="24"/>
          <w:lang w:eastAsia="ja-JP"/>
        </w:rPr>
        <w:t>d</w:t>
      </w:r>
      <w:r w:rsidRPr="00CA61A6">
        <w:rPr>
          <w:rFonts w:eastAsia="SimSun"/>
          <w:szCs w:val="24"/>
          <w:lang w:eastAsia="ja-JP"/>
        </w:rPr>
        <w:t xml:space="preserve">e 2016 del Consejo una actualización del proyecto de propuesta. El proyecto revisado se preparó junto con la ONUDI, la UNU y la Secretaría de la Convención de Basilea, que acordaron adoptar la </w:t>
      </w:r>
      <w:r w:rsidR="00B26079" w:rsidRPr="00CA61A6">
        <w:rPr>
          <w:rFonts w:eastAsia="SimSun"/>
          <w:szCs w:val="24"/>
          <w:lang w:eastAsia="ja-JP"/>
        </w:rPr>
        <w:t>"</w:t>
      </w:r>
      <w:r w:rsidRPr="00CA61A6">
        <w:rPr>
          <w:rFonts w:eastAsia="SimSun"/>
          <w:szCs w:val="24"/>
          <w:lang w:eastAsia="ja-JP"/>
        </w:rPr>
        <w:t>Agenda Conectar 2020 – Objetivos medioambientales</w:t>
      </w:r>
      <w:r w:rsidR="00B26079" w:rsidRPr="00CA61A6">
        <w:rPr>
          <w:rFonts w:eastAsia="SimSun"/>
          <w:szCs w:val="24"/>
          <w:lang w:eastAsia="ja-JP"/>
        </w:rPr>
        <w:t>"</w:t>
      </w:r>
      <w:r w:rsidRPr="00CA61A6">
        <w:rPr>
          <w:rFonts w:eastAsia="SimSun"/>
          <w:szCs w:val="24"/>
          <w:lang w:eastAsia="ja-JP"/>
        </w:rPr>
        <w:t xml:space="preserve"> como agenda global común en materia de gestión de residuos-e. En el contexto de la Meta 3 de la Agenda Conectar 2020, la UIT pretende también solucionar el problema de los residuos-e reduciendo el volumen de residuos-e en un 50% antes de 2020.</w:t>
      </w:r>
    </w:p>
    <w:p w:rsidR="00450BDD" w:rsidRPr="00CA61A6" w:rsidRDefault="00261FD0" w:rsidP="00261FD0">
      <w:pPr>
        <w:pStyle w:val="Headingb"/>
        <w:keepLines/>
      </w:pPr>
      <w:bookmarkStart w:id="723" w:name="Item79_02"/>
      <w:r w:rsidRPr="00CA61A6">
        <w:t xml:space="preserve">Acción </w:t>
      </w:r>
      <w:r w:rsidR="00450BDD" w:rsidRPr="00CA61A6">
        <w:t>79-02: TSB y CE</w:t>
      </w:r>
      <w:r w:rsidR="008B5B32" w:rsidRPr="00CA61A6">
        <w:t> </w:t>
      </w:r>
      <w:r w:rsidR="00450BDD" w:rsidRPr="00CA61A6">
        <w:t>5</w:t>
      </w:r>
    </w:p>
    <w:bookmarkEnd w:id="723"/>
    <w:p w:rsidR="00450BDD" w:rsidRPr="00CA61A6" w:rsidRDefault="00450BDD" w:rsidP="007B3478">
      <w:pPr>
        <w:rPr>
          <w:rFonts w:eastAsia="SimSun"/>
          <w:szCs w:val="24"/>
          <w:lang w:eastAsia="ja-JP"/>
        </w:rPr>
      </w:pPr>
      <w:r w:rsidRPr="00CA61A6">
        <w:rPr>
          <w:rFonts w:eastAsia="SimSun"/>
          <w:szCs w:val="24"/>
          <w:lang w:eastAsia="ja-JP"/>
        </w:rPr>
        <w:t>En mayo de 2015, la UIT, en colaboración con la Convención de Basilea, la UNU, la CEPAL, la UNESCO, la ONUDI, la OMPI, la OMS y CRBAS, elaboró un Informe sobre gestión sostenible de equipos eléctricos y electrónicos en América Latina. En ese Informe se introducen brevemente los principios generales de la gestión de residuos-e, así como los procesos y tecnologías conexos. Se presenta además una visión general de las políticas, estrategias y marcos reglamentarios que han tenido éxito a la hora de promover la gestión sostenible desde el punto de vista medioambiental de los residuos-e en otras regiones del mundo. La finalidad principal del Informe es proponer unas directrices para que América Latina defina una hoja de ruta hacia la gestión sostenible desde el punto de vista medioambiental de los residuos-e. En el Informe se destaca asimismo la importancia de la aplicación de las Recomendaciones UIT-T sobre residuos-e.</w:t>
      </w:r>
    </w:p>
    <w:p w:rsidR="00450BDD" w:rsidRPr="00CA61A6" w:rsidRDefault="0007577E" w:rsidP="0007577E">
      <w:pPr>
        <w:pStyle w:val="Headingb"/>
        <w:keepLines/>
      </w:pPr>
      <w:bookmarkStart w:id="724" w:name="Item79_03"/>
      <w:r w:rsidRPr="00CA61A6">
        <w:t xml:space="preserve">Acción </w:t>
      </w:r>
      <w:r w:rsidR="00450BDD" w:rsidRPr="00CA61A6">
        <w:t>79-03: TSB y CE</w:t>
      </w:r>
      <w:r w:rsidR="008B5B32" w:rsidRPr="00CA61A6">
        <w:t> </w:t>
      </w:r>
      <w:r w:rsidR="00450BDD" w:rsidRPr="00CA61A6">
        <w:t>5</w:t>
      </w:r>
    </w:p>
    <w:bookmarkEnd w:id="724"/>
    <w:p w:rsidR="00450BDD" w:rsidRPr="00CA61A6" w:rsidRDefault="00450BDD" w:rsidP="007B3478">
      <w:pPr>
        <w:rPr>
          <w:rFonts w:eastAsia="SimSun"/>
          <w:szCs w:val="24"/>
          <w:lang w:eastAsia="ja-JP"/>
        </w:rPr>
      </w:pPr>
      <w:r w:rsidRPr="00CA61A6">
        <w:rPr>
          <w:rFonts w:eastAsia="SimSun"/>
          <w:szCs w:val="24"/>
          <w:lang w:eastAsia="ja-JP"/>
        </w:rPr>
        <w:t xml:space="preserve">Por la amable invitación del Ministerio de Comunicaciones de Sudáfrica, la UIT organizó un </w:t>
      </w:r>
      <w:r w:rsidR="00A518A6" w:rsidRPr="00CA61A6">
        <w:rPr>
          <w:rFonts w:eastAsia="SimSun"/>
          <w:szCs w:val="24"/>
          <w:lang w:eastAsia="ja-JP"/>
        </w:rPr>
        <w:t xml:space="preserve">taller </w:t>
      </w:r>
      <w:r w:rsidRPr="00CA61A6">
        <w:rPr>
          <w:rFonts w:eastAsia="SimSun"/>
          <w:szCs w:val="24"/>
          <w:lang w:eastAsia="ja-JP"/>
        </w:rPr>
        <w:t>de un día sobre el "Manejo ambientalmente racional de los ciberdesechos" en el Centro Internacional de Convenciones de Durban (Sudáfrica) el 9 de julio de 2013.</w:t>
      </w:r>
    </w:p>
    <w:p w:rsidR="00450BDD" w:rsidRPr="00CA61A6" w:rsidRDefault="00450BDD" w:rsidP="007B3478">
      <w:pPr>
        <w:rPr>
          <w:rFonts w:eastAsia="SimSun"/>
          <w:szCs w:val="24"/>
          <w:lang w:eastAsia="ja-JP"/>
        </w:rPr>
      </w:pPr>
      <w:r w:rsidRPr="00CA61A6">
        <w:rPr>
          <w:rFonts w:eastAsia="SimSun"/>
          <w:szCs w:val="24"/>
          <w:lang w:eastAsia="ja-JP"/>
        </w:rPr>
        <w:t xml:space="preserve">El principal objetivo del </w:t>
      </w:r>
      <w:r w:rsidR="00A518A6" w:rsidRPr="00CA61A6">
        <w:rPr>
          <w:rFonts w:eastAsia="SimSun"/>
          <w:szCs w:val="24"/>
          <w:lang w:eastAsia="ja-JP"/>
        </w:rPr>
        <w:t xml:space="preserve">taller </w:t>
      </w:r>
      <w:r w:rsidRPr="00CA61A6">
        <w:rPr>
          <w:rFonts w:eastAsia="SimSun"/>
          <w:szCs w:val="24"/>
          <w:lang w:eastAsia="ja-JP"/>
        </w:rPr>
        <w:t>fue presentar un panorama de las prácticas idóneas en materia de política, reglamentación y normalización internacional para mejorar la gestión de los residuos-e. Se habló de cómo los residuos de equipos eléctricos y electrónicos (WEEE) tienen consecuencias negativas para el medio ambiente y la salud humana, pero también ofrecen oportunidades de creación laboral, prevención sanitaria, reducción de emisiones con efecto invernadero, así como incentivos económicos para la recuperación de metales valiosos a partir de TIC sobrantes, excedentes u obsoletas.</w:t>
      </w:r>
    </w:p>
    <w:p w:rsidR="00450BDD" w:rsidRPr="00CA61A6" w:rsidRDefault="00450BDD" w:rsidP="007B3478">
      <w:pPr>
        <w:rPr>
          <w:rFonts w:eastAsia="SimSun"/>
          <w:szCs w:val="24"/>
          <w:lang w:eastAsia="ja-JP"/>
        </w:rPr>
      </w:pPr>
      <w:r w:rsidRPr="00CA61A6">
        <w:rPr>
          <w:rFonts w:eastAsia="SimSun"/>
          <w:szCs w:val="24"/>
          <w:lang w:eastAsia="ja-JP"/>
        </w:rPr>
        <w:t xml:space="preserve">La UIT organizó un </w:t>
      </w:r>
      <w:r w:rsidR="00A518A6" w:rsidRPr="00CA61A6">
        <w:rPr>
          <w:rFonts w:eastAsia="SimSun"/>
          <w:szCs w:val="24"/>
          <w:lang w:eastAsia="ja-JP"/>
        </w:rPr>
        <w:t xml:space="preserve">taller </w:t>
      </w:r>
      <w:r w:rsidRPr="00CA61A6">
        <w:rPr>
          <w:rFonts w:eastAsia="SimSun"/>
          <w:szCs w:val="24"/>
          <w:lang w:eastAsia="ja-JP"/>
        </w:rPr>
        <w:t xml:space="preserve">sobre gestión responsable desde el punto de vista medioambiental de los residuos-e en América Latina, que se celebró los días 13 y 14 de agosto de 2013 en Quito, Ecuador. </w:t>
      </w:r>
    </w:p>
    <w:p w:rsidR="00450BDD" w:rsidRPr="00CA61A6" w:rsidRDefault="00450BDD" w:rsidP="007B3478">
      <w:pPr>
        <w:rPr>
          <w:rFonts w:eastAsia="SimSun"/>
          <w:szCs w:val="24"/>
          <w:lang w:eastAsia="ja-JP"/>
        </w:rPr>
      </w:pPr>
      <w:r w:rsidRPr="00CA61A6">
        <w:rPr>
          <w:rFonts w:eastAsia="SimSun"/>
          <w:szCs w:val="24"/>
          <w:lang w:eastAsia="ja-JP"/>
        </w:rPr>
        <w:t xml:space="preserve">El </w:t>
      </w:r>
      <w:r w:rsidR="00A518A6" w:rsidRPr="00CA61A6">
        <w:rPr>
          <w:rFonts w:eastAsia="SimSun"/>
          <w:szCs w:val="24"/>
          <w:lang w:eastAsia="ja-JP"/>
        </w:rPr>
        <w:t xml:space="preserve">taller </w:t>
      </w:r>
      <w:r w:rsidRPr="00CA61A6">
        <w:rPr>
          <w:rFonts w:eastAsia="SimSun"/>
          <w:szCs w:val="24"/>
          <w:lang w:eastAsia="ja-JP"/>
        </w:rPr>
        <w:t xml:space="preserve">sobre residuos-e, celebrado por invitación de Telefónica, intentó determinar cuáles son los principales desafíos y estrategias ligados a la gestión de los residuos-e en América Latina con arreglo al principio político de la responsabilidad ampliada del productor y la aplicación de la normativa internacional. Además, este </w:t>
      </w:r>
      <w:r w:rsidR="00A518A6" w:rsidRPr="00CA61A6">
        <w:rPr>
          <w:rFonts w:eastAsia="SimSun"/>
          <w:szCs w:val="24"/>
          <w:lang w:eastAsia="ja-JP"/>
        </w:rPr>
        <w:t xml:space="preserve">taller </w:t>
      </w:r>
      <w:r w:rsidRPr="00CA61A6">
        <w:rPr>
          <w:rFonts w:eastAsia="SimSun"/>
          <w:szCs w:val="24"/>
          <w:lang w:eastAsia="ja-JP"/>
        </w:rPr>
        <w:t>propició el debate entre los fabricantes de equipos originales (OEM), las empresas de reciclado, las organizaciones de responsabilidad de los productores (ORP), las autoridades gubernamentales y las instituciones académicas, a fin de hacer posible el análisis de las experiencias existentes y la definición de enfoques apropiados para hacer frente a los desafíos, incluido el estudio del potencial de las soluciones regionales y el papel de las asociaciones público privadas.</w:t>
      </w:r>
    </w:p>
    <w:p w:rsidR="00450BDD" w:rsidRPr="00CA61A6" w:rsidRDefault="00450BDD" w:rsidP="007B3478">
      <w:pPr>
        <w:rPr>
          <w:rFonts w:eastAsia="SimSun"/>
          <w:szCs w:val="24"/>
          <w:lang w:eastAsia="ja-JP"/>
        </w:rPr>
      </w:pPr>
      <w:r w:rsidRPr="00CA61A6">
        <w:rPr>
          <w:rFonts w:eastAsia="SimSun"/>
          <w:szCs w:val="24"/>
          <w:lang w:eastAsia="ja-JP"/>
        </w:rPr>
        <w:t xml:space="preserve">La UIT, el PNUMA, la UNU y CEDARE organizaron un Foro sobre </w:t>
      </w:r>
      <w:r w:rsidR="00B26079" w:rsidRPr="00CA61A6">
        <w:rPr>
          <w:rFonts w:eastAsia="SimSun"/>
          <w:szCs w:val="24"/>
          <w:lang w:eastAsia="ja-JP"/>
        </w:rPr>
        <w:t>"</w:t>
      </w:r>
      <w:r w:rsidRPr="00CA61A6">
        <w:rPr>
          <w:rFonts w:eastAsia="SimSun"/>
          <w:szCs w:val="24"/>
          <w:lang w:eastAsia="ja-JP"/>
        </w:rPr>
        <w:t xml:space="preserve">What Are the </w:t>
      </w:r>
      <w:r w:rsidR="008158D9">
        <w:rPr>
          <w:rFonts w:eastAsia="SimSun"/>
          <w:szCs w:val="24"/>
          <w:lang w:eastAsia="ja-JP"/>
        </w:rPr>
        <w:t>Next Steps on E-waste Resources</w:t>
      </w:r>
      <w:r w:rsidRPr="00CA61A6">
        <w:rPr>
          <w:rFonts w:eastAsia="SimSun"/>
          <w:szCs w:val="24"/>
          <w:lang w:eastAsia="ja-JP"/>
        </w:rPr>
        <w:t>?</w:t>
      </w:r>
      <w:r w:rsidR="00B26079" w:rsidRPr="00CA61A6">
        <w:rPr>
          <w:rFonts w:eastAsia="SimSun"/>
          <w:szCs w:val="24"/>
          <w:lang w:eastAsia="ja-JP"/>
        </w:rPr>
        <w:t>"</w:t>
      </w:r>
      <w:r w:rsidRPr="00CA61A6">
        <w:rPr>
          <w:rFonts w:eastAsia="SimSun"/>
          <w:szCs w:val="24"/>
          <w:lang w:eastAsia="ja-JP"/>
        </w:rPr>
        <w:t xml:space="preserve">, que se celebró el 16 de septiembre de 2013 en el marco de la </w:t>
      </w:r>
      <w:r w:rsidR="008158D9">
        <w:rPr>
          <w:rFonts w:eastAsia="SimSun"/>
          <w:szCs w:val="24"/>
          <w:lang w:eastAsia="ja-JP"/>
        </w:rPr>
        <w:t>3ª Semana de las Normas Verdes.</w:t>
      </w:r>
    </w:p>
    <w:p w:rsidR="00450BDD" w:rsidRPr="00CA61A6" w:rsidRDefault="00450BDD" w:rsidP="0034201A">
      <w:pPr>
        <w:keepNext/>
        <w:keepLines/>
        <w:rPr>
          <w:rFonts w:eastAsia="SimSun"/>
          <w:szCs w:val="24"/>
          <w:lang w:eastAsia="ja-JP"/>
        </w:rPr>
      </w:pPr>
      <w:r w:rsidRPr="00CA61A6">
        <w:rPr>
          <w:rFonts w:eastAsia="SimSun"/>
          <w:szCs w:val="24"/>
          <w:lang w:eastAsia="ja-JP"/>
        </w:rPr>
        <w:lastRenderedPageBreak/>
        <w:t>Se han recibido informes alarmantes sobre la mala gestión de los residuos-e en muchos países, en particular los menos adelantados y los países con economías en transición. Los residuos-e son una de las grandes consecuencias de la industria de las TIC para el medio ambiente y es urgente adoptar a nivel mundial medidas para solucionar este problema a fin de que la industria cumpla sus compromisos para con un futuro sostenible.</w:t>
      </w:r>
    </w:p>
    <w:p w:rsidR="00450BDD" w:rsidRPr="00CA61A6" w:rsidRDefault="00450BDD" w:rsidP="007B3478">
      <w:pPr>
        <w:rPr>
          <w:rFonts w:eastAsia="SimSun"/>
          <w:szCs w:val="24"/>
          <w:lang w:eastAsia="ja-JP"/>
        </w:rPr>
      </w:pPr>
      <w:r w:rsidRPr="00CA61A6">
        <w:rPr>
          <w:rFonts w:eastAsia="SimSun"/>
          <w:szCs w:val="24"/>
          <w:lang w:eastAsia="ja-JP"/>
        </w:rPr>
        <w:t>Este Foro ofreció una plataforma para debatir qué hacer con los residuos-e a partir de ahora.</w:t>
      </w:r>
    </w:p>
    <w:p w:rsidR="00450BDD" w:rsidRPr="00CA61A6" w:rsidRDefault="00450BDD" w:rsidP="007B3478">
      <w:pPr>
        <w:rPr>
          <w:rFonts w:eastAsia="SimSun"/>
          <w:szCs w:val="24"/>
          <w:lang w:eastAsia="ja-JP"/>
        </w:rPr>
      </w:pPr>
      <w:r w:rsidRPr="00CA61A6">
        <w:rPr>
          <w:rFonts w:eastAsia="SimSun"/>
          <w:szCs w:val="24"/>
          <w:lang w:eastAsia="ja-JP"/>
        </w:rPr>
        <w:t xml:space="preserve">Un </w:t>
      </w:r>
      <w:r w:rsidR="00A518A6" w:rsidRPr="00CA61A6">
        <w:rPr>
          <w:rFonts w:eastAsia="SimSun"/>
          <w:szCs w:val="24"/>
          <w:lang w:eastAsia="ja-JP"/>
        </w:rPr>
        <w:t xml:space="preserve">taller </w:t>
      </w:r>
      <w:r w:rsidRPr="00CA61A6">
        <w:rPr>
          <w:rFonts w:eastAsia="SimSun"/>
          <w:szCs w:val="24"/>
          <w:lang w:eastAsia="ja-JP"/>
        </w:rPr>
        <w:t xml:space="preserve">de un día sobre el "Manejo ambientalmente racional de los ciberdesechos", organizado conjuntamente por la Unión Internacional de Telecomunicaciones (UIT) y la CITEL, se celebró en Mendoza, Argentina, el 9 de octubre de 2013, seguido de la primera reunión del Grupo Regional de la Comisión de Estudio 5 del UIT-T para las Américas (GRCE5-AMR), que tuvo lugar el 9 de octubre de 2013. El principal objetivo del </w:t>
      </w:r>
      <w:r w:rsidR="00A518A6" w:rsidRPr="00CA61A6">
        <w:rPr>
          <w:rFonts w:eastAsia="SimSun"/>
          <w:szCs w:val="24"/>
          <w:lang w:eastAsia="ja-JP"/>
        </w:rPr>
        <w:t xml:space="preserve">taller </w:t>
      </w:r>
      <w:r w:rsidRPr="00CA61A6">
        <w:rPr>
          <w:rFonts w:eastAsia="SimSun"/>
          <w:szCs w:val="24"/>
          <w:lang w:eastAsia="ja-JP"/>
        </w:rPr>
        <w:t>era presentar un panorama de las prácticas idóneas en materia de política, reglamentación y normalización internacional para mejorar la gestión de los residuos-e.</w:t>
      </w:r>
    </w:p>
    <w:p w:rsidR="00450BDD" w:rsidRPr="00CA61A6" w:rsidRDefault="00450BDD" w:rsidP="007B3478">
      <w:pPr>
        <w:rPr>
          <w:rFonts w:eastAsia="SimSun"/>
          <w:szCs w:val="24"/>
          <w:lang w:eastAsia="ja-JP"/>
        </w:rPr>
      </w:pPr>
      <w:r w:rsidRPr="00CA61A6">
        <w:rPr>
          <w:rFonts w:eastAsia="SimSun"/>
          <w:szCs w:val="24"/>
          <w:lang w:eastAsia="ja-JP"/>
        </w:rPr>
        <w:t xml:space="preserve">Por invitación del gobierno de Uruguay, la UIT y la Organización de las Naciones Unidas para la Educación, la Ciencia y la Cultura (UNESCO) organizaron una serie de eventos dedicados a las </w:t>
      </w:r>
      <w:r w:rsidR="00B26079" w:rsidRPr="00CA61A6">
        <w:rPr>
          <w:rFonts w:eastAsia="SimSun"/>
          <w:szCs w:val="24"/>
          <w:lang w:eastAsia="ja-JP"/>
        </w:rPr>
        <w:t>"</w:t>
      </w:r>
      <w:r w:rsidRPr="00CA61A6">
        <w:rPr>
          <w:rFonts w:eastAsia="SimSun"/>
          <w:szCs w:val="24"/>
          <w:lang w:eastAsia="ja-JP"/>
        </w:rPr>
        <w:t>Ciudades inteligentes y sostenibles ". Estos eventos se celebraron en Montevideo, Uruguay, del 11 al 14 de marzo y en ellos se trataron temas tales como las ciudades sostenibles e inteligentes, la gestión de residuos-e, la exposición de las personas a los campos electromagnéticos y la colaboración con las Instituciones Académicas. Estos eventos reunieron a especialistas destacados en esta materia, desde altos responsables políticos hasta ingenieros, diseñadores, planificadores, funcionarios gubernamentales, organismos reguladores, expertos en normas, etc.</w:t>
      </w:r>
    </w:p>
    <w:p w:rsidR="00450BDD" w:rsidRPr="00CA61A6" w:rsidRDefault="00450BDD" w:rsidP="007B3478">
      <w:pPr>
        <w:rPr>
          <w:rFonts w:eastAsia="SimSun"/>
          <w:szCs w:val="24"/>
          <w:lang w:eastAsia="ja-JP"/>
        </w:rPr>
      </w:pPr>
      <w:r w:rsidRPr="00CA61A6">
        <w:rPr>
          <w:rFonts w:eastAsia="SimSun"/>
          <w:szCs w:val="24"/>
          <w:lang w:eastAsia="ja-JP"/>
        </w:rPr>
        <w:t>En el marco de la 4ª Semana de las Normas Verdes, el 23 de septiembre de 2014 se celebró un Foro sobre "E-w</w:t>
      </w:r>
      <w:r w:rsidR="00BA2D8A" w:rsidRPr="00CA61A6">
        <w:rPr>
          <w:rFonts w:eastAsia="SimSun"/>
          <w:szCs w:val="24"/>
          <w:lang w:eastAsia="ja-JP"/>
        </w:rPr>
        <w:t>aste: the inconvenient truth".</w:t>
      </w:r>
    </w:p>
    <w:p w:rsidR="00450BDD" w:rsidRPr="00CA61A6" w:rsidRDefault="00450BDD" w:rsidP="007B3478">
      <w:pPr>
        <w:rPr>
          <w:rFonts w:eastAsia="SimSun"/>
          <w:szCs w:val="24"/>
          <w:lang w:eastAsia="ja-JP"/>
        </w:rPr>
      </w:pPr>
      <w:r w:rsidRPr="00CA61A6">
        <w:rPr>
          <w:rFonts w:eastAsia="SimSun"/>
          <w:szCs w:val="24"/>
          <w:lang w:eastAsia="ja-JP"/>
        </w:rPr>
        <w:t>El 11 de mayo de 2015 tuvo lugar en Ginebra, Suiza, un evento paralelo conjunto UNU-UIT-ONUDI-OMPI-CEPAL-Convención de Basilea, el "1st Global E-waste Monitor and the Specific Situation in Latin America", durante las reuniones de las conferencias de las partes en las Convenciones de Basilea, Rotterdam y Estocolmo (BC COP-12, RC COP-7, SC COP-7). Esos eventos fueron acogidos por la Secretaría de las Convenciones de Basilea, Rotterdam y Estocolmo. El evento ofreció</w:t>
      </w:r>
      <w:r w:rsidR="0017103B">
        <w:rPr>
          <w:rFonts w:eastAsia="SimSun"/>
          <w:szCs w:val="24"/>
          <w:lang w:eastAsia="ja-JP"/>
        </w:rPr>
        <w:t xml:space="preserve"> una plataforma donde tratar </w:t>
      </w:r>
      <w:r w:rsidRPr="00CA61A6">
        <w:rPr>
          <w:rFonts w:eastAsia="SimSun"/>
          <w:szCs w:val="24"/>
          <w:lang w:eastAsia="ja-JP"/>
        </w:rPr>
        <w:t>las principales estrategias y retos asociados a la gestión de los residuos-e.</w:t>
      </w:r>
    </w:p>
    <w:p w:rsidR="00450BDD" w:rsidRPr="00CA61A6" w:rsidRDefault="00E41882" w:rsidP="00E41882">
      <w:pPr>
        <w:pStyle w:val="Headingb"/>
        <w:keepLines/>
      </w:pPr>
      <w:bookmarkStart w:id="725" w:name="Item79_04"/>
      <w:r w:rsidRPr="00CA61A6">
        <w:t xml:space="preserve">Acción </w:t>
      </w:r>
      <w:r w:rsidR="00450BDD" w:rsidRPr="00CA61A6">
        <w:t>79-04</w:t>
      </w:r>
      <w:r w:rsidRPr="00CA61A6">
        <w:t>: CE</w:t>
      </w:r>
      <w:r w:rsidR="008B5B32" w:rsidRPr="00CA61A6">
        <w:t> </w:t>
      </w:r>
      <w:r w:rsidR="00450BDD" w:rsidRPr="00CA61A6">
        <w:t>5</w:t>
      </w:r>
    </w:p>
    <w:bookmarkEnd w:id="725"/>
    <w:p w:rsidR="00450BDD" w:rsidRPr="00CA61A6" w:rsidRDefault="00450BDD" w:rsidP="008B5B32">
      <w:pPr>
        <w:rPr>
          <w:rFonts w:eastAsia="SimSun"/>
          <w:szCs w:val="24"/>
          <w:lang w:eastAsia="ja-JP"/>
        </w:rPr>
      </w:pPr>
      <w:r w:rsidRPr="00CA61A6">
        <w:rPr>
          <w:rFonts w:eastAsia="SimSun"/>
          <w:szCs w:val="24"/>
          <w:lang w:eastAsia="ja-JP"/>
        </w:rPr>
        <w:t>La CE</w:t>
      </w:r>
      <w:r w:rsidR="008B5B32" w:rsidRPr="00CA61A6">
        <w:rPr>
          <w:rFonts w:eastAsia="SimSun"/>
          <w:szCs w:val="24"/>
          <w:lang w:eastAsia="ja-JP"/>
        </w:rPr>
        <w:t> </w:t>
      </w:r>
      <w:r w:rsidRPr="00CA61A6">
        <w:rPr>
          <w:rFonts w:eastAsia="SimSun"/>
          <w:szCs w:val="24"/>
          <w:lang w:eastAsia="ja-JP"/>
        </w:rPr>
        <w:t>5 también ha preparado una serie de prácticas idóneas en materia de gestión de residuos-e que comprenden un Suplemento sobre Directrices para la elaboración de un sistema de gestión sostenible de los residuos-e y un Suplemento sobre la Gestión del ciclo de vida de los productos de TIC</w:t>
      </w:r>
      <w:r w:rsidR="009D6932" w:rsidRPr="00CA61A6">
        <w:rPr>
          <w:rFonts w:eastAsia="SimSun"/>
          <w:szCs w:val="24"/>
          <w:lang w:eastAsia="ja-JP"/>
        </w:rPr>
        <w:t>.</w:t>
      </w:r>
    </w:p>
    <w:p w:rsidR="00450BDD" w:rsidRPr="00CA61A6" w:rsidRDefault="00E41882" w:rsidP="00E41882">
      <w:pPr>
        <w:pStyle w:val="Headingb"/>
        <w:keepLines/>
      </w:pPr>
      <w:bookmarkStart w:id="726" w:name="Item79_05"/>
      <w:r w:rsidRPr="00CA61A6">
        <w:t xml:space="preserve">Acción </w:t>
      </w:r>
      <w:r w:rsidR="00450BDD" w:rsidRPr="00CA61A6">
        <w:t>79-05: CE</w:t>
      </w:r>
      <w:r w:rsidR="008B5B32" w:rsidRPr="00CA61A6">
        <w:t> </w:t>
      </w:r>
      <w:r w:rsidR="00450BDD" w:rsidRPr="00CA61A6">
        <w:t>5</w:t>
      </w:r>
    </w:p>
    <w:bookmarkEnd w:id="726"/>
    <w:p w:rsidR="00450BDD" w:rsidRPr="00CA61A6" w:rsidRDefault="00450BDD" w:rsidP="007B3478">
      <w:pPr>
        <w:keepNext/>
        <w:keepLines/>
        <w:rPr>
          <w:rFonts w:eastAsia="SimSun"/>
          <w:szCs w:val="24"/>
          <w:lang w:eastAsia="ja-JP"/>
        </w:rPr>
      </w:pPr>
      <w:r w:rsidRPr="00CA61A6">
        <w:rPr>
          <w:rFonts w:eastAsia="SimSun"/>
          <w:szCs w:val="24"/>
          <w:lang w:eastAsia="ja-JP"/>
        </w:rPr>
        <w:t>La CE</w:t>
      </w:r>
      <w:r w:rsidR="008B5B32" w:rsidRPr="00CA61A6">
        <w:rPr>
          <w:rFonts w:eastAsia="SimSun"/>
          <w:szCs w:val="24"/>
          <w:lang w:eastAsia="ja-JP"/>
        </w:rPr>
        <w:t> </w:t>
      </w:r>
      <w:r w:rsidRPr="00CA61A6">
        <w:rPr>
          <w:rFonts w:eastAsia="SimSun"/>
          <w:szCs w:val="24"/>
          <w:lang w:eastAsia="ja-JP"/>
        </w:rPr>
        <w:t>5 ha elaborado varias Recomendaciones para reducir los residuos-e:</w:t>
      </w:r>
    </w:p>
    <w:p w:rsidR="00450BDD" w:rsidRPr="00CA61A6" w:rsidRDefault="00071D13" w:rsidP="00071D13">
      <w:pPr>
        <w:pStyle w:val="enumlev1"/>
        <w:rPr>
          <w:rFonts w:eastAsia="SimSun"/>
          <w:lang w:eastAsia="ja-JP"/>
        </w:rPr>
      </w:pPr>
      <w:r w:rsidRPr="00CA61A6">
        <w:rPr>
          <w:rFonts w:eastAsia="SimSun"/>
          <w:lang w:eastAsia="ja-JP"/>
        </w:rPr>
        <w:t>–</w:t>
      </w:r>
      <w:r w:rsidRPr="00CA61A6">
        <w:rPr>
          <w:rFonts w:eastAsia="SimSun"/>
          <w:lang w:eastAsia="ja-JP"/>
        </w:rPr>
        <w:tab/>
      </w:r>
      <w:r w:rsidR="00450BDD" w:rsidRPr="00CA61A6">
        <w:rPr>
          <w:rFonts w:eastAsia="SimSun"/>
          <w:lang w:eastAsia="ja-JP"/>
        </w:rPr>
        <w:t>UIT-T L.1000: Solución universal de adaptador y cargador de energía para terminales móviles y otros dispositivos de las TIC</w:t>
      </w:r>
      <w:r w:rsidRPr="00CA61A6">
        <w:rPr>
          <w:rFonts w:eastAsia="SimSun"/>
          <w:lang w:eastAsia="ja-JP"/>
        </w:rPr>
        <w:t>.</w:t>
      </w:r>
    </w:p>
    <w:p w:rsidR="00450BDD" w:rsidRPr="00CA61A6" w:rsidRDefault="00071D13" w:rsidP="00071D13">
      <w:pPr>
        <w:pStyle w:val="enumlev1"/>
        <w:rPr>
          <w:rFonts w:eastAsia="SimSun"/>
          <w:lang w:eastAsia="ja-JP"/>
        </w:rPr>
      </w:pPr>
      <w:r w:rsidRPr="00CA61A6">
        <w:rPr>
          <w:rFonts w:eastAsia="SimSun"/>
          <w:lang w:eastAsia="ja-JP"/>
        </w:rPr>
        <w:t>–</w:t>
      </w:r>
      <w:r w:rsidRPr="00CA61A6">
        <w:rPr>
          <w:rFonts w:eastAsia="SimSun"/>
          <w:lang w:eastAsia="ja-JP"/>
        </w:rPr>
        <w:tab/>
      </w:r>
      <w:r w:rsidR="00450BDD" w:rsidRPr="00CA61A6">
        <w:rPr>
          <w:rFonts w:eastAsia="SimSun"/>
          <w:lang w:eastAsia="ja-JP"/>
        </w:rPr>
        <w:t>UIT-T L.1001: Soluciones de adaptador de potencia universal externo para dispositivos estacionarios de tecnología de la información y la comunicación</w:t>
      </w:r>
      <w:r w:rsidRPr="00CA61A6">
        <w:rPr>
          <w:rFonts w:eastAsia="SimSun"/>
          <w:lang w:eastAsia="ja-JP"/>
        </w:rPr>
        <w:t>.</w:t>
      </w:r>
    </w:p>
    <w:p w:rsidR="00450BDD" w:rsidRPr="00CA61A6" w:rsidRDefault="00071D13" w:rsidP="00071D13">
      <w:pPr>
        <w:pStyle w:val="enumlev1"/>
        <w:rPr>
          <w:rFonts w:eastAsia="SimSun"/>
          <w:lang w:eastAsia="ja-JP"/>
        </w:rPr>
      </w:pPr>
      <w:r w:rsidRPr="00CA61A6">
        <w:rPr>
          <w:rFonts w:eastAsia="SimSun"/>
          <w:lang w:eastAsia="ja-JP"/>
        </w:rPr>
        <w:t>–</w:t>
      </w:r>
      <w:r w:rsidRPr="00CA61A6">
        <w:rPr>
          <w:rFonts w:eastAsia="SimSun"/>
          <w:lang w:eastAsia="ja-JP"/>
        </w:rPr>
        <w:tab/>
      </w:r>
      <w:r w:rsidR="00450BDD" w:rsidRPr="00CA61A6">
        <w:rPr>
          <w:rFonts w:eastAsia="SimSun"/>
          <w:lang w:eastAsia="ja-JP"/>
        </w:rPr>
        <w:t>UIT-T L.1010: Soluciones de baterías ecológicas para teléfonos móviles y otros dispositivos portátiles que utilizan las tecnologías de la información y la comunicación</w:t>
      </w:r>
      <w:r w:rsidRPr="00CA61A6">
        <w:rPr>
          <w:rFonts w:eastAsia="SimSun"/>
          <w:lang w:eastAsia="ja-JP"/>
        </w:rPr>
        <w:t>.</w:t>
      </w:r>
    </w:p>
    <w:p w:rsidR="00450BDD" w:rsidRPr="00CA61A6" w:rsidRDefault="00071D13" w:rsidP="00071D13">
      <w:pPr>
        <w:pStyle w:val="enumlev1"/>
        <w:rPr>
          <w:rFonts w:eastAsia="SimSun"/>
          <w:lang w:eastAsia="ja-JP"/>
        </w:rPr>
      </w:pPr>
      <w:r w:rsidRPr="00CA61A6">
        <w:rPr>
          <w:rFonts w:eastAsia="SimSun"/>
          <w:lang w:eastAsia="ja-JP"/>
        </w:rPr>
        <w:t>–</w:t>
      </w:r>
      <w:r w:rsidRPr="00CA61A6">
        <w:rPr>
          <w:rFonts w:eastAsia="SimSun"/>
          <w:lang w:eastAsia="ja-JP"/>
        </w:rPr>
        <w:tab/>
      </w:r>
      <w:r w:rsidR="00450BDD" w:rsidRPr="00CA61A6">
        <w:rPr>
          <w:rFonts w:eastAsia="SimSun"/>
          <w:lang w:eastAsia="ja-JP"/>
        </w:rPr>
        <w:t>UIT-T L.1100: Procedimiento para reciclar los metales raros de los bienes de las tecnologías de la información y la comunicación</w:t>
      </w:r>
      <w:r w:rsidRPr="00CA61A6">
        <w:rPr>
          <w:rFonts w:eastAsia="SimSun"/>
          <w:lang w:eastAsia="ja-JP"/>
        </w:rPr>
        <w:t>.</w:t>
      </w:r>
    </w:p>
    <w:p w:rsidR="00450BDD" w:rsidRPr="00CA61A6" w:rsidRDefault="00071D13" w:rsidP="00071D13">
      <w:pPr>
        <w:pStyle w:val="enumlev1"/>
        <w:rPr>
          <w:rFonts w:eastAsia="SimSun"/>
          <w:lang w:eastAsia="ja-JP"/>
        </w:rPr>
      </w:pPr>
      <w:r w:rsidRPr="00CA61A6">
        <w:rPr>
          <w:rFonts w:eastAsia="SimSun"/>
          <w:lang w:eastAsia="ja-JP"/>
        </w:rPr>
        <w:lastRenderedPageBreak/>
        <w:t>–</w:t>
      </w:r>
      <w:r w:rsidRPr="00CA61A6">
        <w:rPr>
          <w:rFonts w:eastAsia="SimSun"/>
          <w:lang w:eastAsia="ja-JP"/>
        </w:rPr>
        <w:tab/>
      </w:r>
      <w:r w:rsidR="00450BDD" w:rsidRPr="00CA61A6">
        <w:rPr>
          <w:rFonts w:eastAsia="SimSun"/>
          <w:lang w:eastAsia="ja-JP"/>
        </w:rPr>
        <w:t>UIT-T L.1101: Métodos de medición para calificar los metales raros presentes en los bienes de las tecnologías de la información y la comunicación</w:t>
      </w:r>
      <w:r w:rsidRPr="00CA61A6">
        <w:rPr>
          <w:rFonts w:eastAsia="SimSun"/>
          <w:lang w:eastAsia="ja-JP"/>
        </w:rPr>
        <w:t>.</w:t>
      </w:r>
    </w:p>
    <w:p w:rsidR="00450BDD" w:rsidRPr="00CA61A6" w:rsidRDefault="00071D13" w:rsidP="00071D13">
      <w:pPr>
        <w:pStyle w:val="enumlev1"/>
        <w:rPr>
          <w:rFonts w:eastAsia="SimSun"/>
          <w:lang w:eastAsia="ja-JP"/>
        </w:rPr>
      </w:pPr>
      <w:r w:rsidRPr="00CA61A6">
        <w:rPr>
          <w:rFonts w:eastAsia="SimSun"/>
          <w:lang w:eastAsia="ja-JP"/>
        </w:rPr>
        <w:t>–</w:t>
      </w:r>
      <w:r w:rsidRPr="00CA61A6">
        <w:rPr>
          <w:rFonts w:eastAsia="SimSun"/>
          <w:lang w:eastAsia="ja-JP"/>
        </w:rPr>
        <w:tab/>
      </w:r>
      <w:r w:rsidR="00450BDD" w:rsidRPr="00CA61A6">
        <w:rPr>
          <w:rFonts w:eastAsia="SimSun"/>
          <w:lang w:eastAsia="ja-JP"/>
        </w:rPr>
        <w:t>La CE</w:t>
      </w:r>
      <w:r w:rsidR="008B5B32" w:rsidRPr="00CA61A6">
        <w:rPr>
          <w:rFonts w:eastAsia="SimSun"/>
          <w:lang w:eastAsia="ja-JP"/>
        </w:rPr>
        <w:t> </w:t>
      </w:r>
      <w:r w:rsidR="00450BDD" w:rsidRPr="00CA61A6">
        <w:rPr>
          <w:rFonts w:eastAsia="SimSun"/>
          <w:lang w:eastAsia="ja-JP"/>
        </w:rPr>
        <w:t>5 también ha otorgado el consentimiento al (proyecto de) Recomendación UIT-T L.1102: Utilización de etiquetas impresas para comunicar información sobre metales raros presentes en los bienes de las tecnologías de la información y la comunicación, que ofrece, como método de comunicación, la impresión de etiquetas para divulgar a consumidores y recicladores información sobre los metales raros presentes en los productos de TIC.</w:t>
      </w:r>
    </w:p>
    <w:p w:rsidR="00450BDD" w:rsidRPr="00CA61A6" w:rsidRDefault="0072753C" w:rsidP="0072753C">
      <w:pPr>
        <w:pStyle w:val="Headingb"/>
        <w:keepLines/>
      </w:pPr>
      <w:bookmarkStart w:id="727" w:name="Item79_06"/>
      <w:r w:rsidRPr="00CA61A6">
        <w:t xml:space="preserve">Acción </w:t>
      </w:r>
      <w:r w:rsidR="00450BDD" w:rsidRPr="00CA61A6">
        <w:t>79-06: CE</w:t>
      </w:r>
      <w:r w:rsidR="008B5B32" w:rsidRPr="00CA61A6">
        <w:t> </w:t>
      </w:r>
      <w:r w:rsidR="00450BDD" w:rsidRPr="00CA61A6">
        <w:t>5</w:t>
      </w:r>
    </w:p>
    <w:bookmarkEnd w:id="727"/>
    <w:p w:rsidR="00450BDD" w:rsidRPr="00CA61A6" w:rsidRDefault="00450BDD" w:rsidP="008B5B32">
      <w:pPr>
        <w:rPr>
          <w:rFonts w:eastAsia="SimSun"/>
          <w:szCs w:val="24"/>
          <w:lang w:eastAsia="ja-JP"/>
        </w:rPr>
      </w:pPr>
      <w:r w:rsidRPr="00CA61A6">
        <w:rPr>
          <w:rFonts w:eastAsia="SimSun"/>
          <w:szCs w:val="24"/>
          <w:lang w:eastAsia="ja-JP"/>
        </w:rPr>
        <w:t xml:space="preserve">La TSB, junto con la </w:t>
      </w:r>
      <w:r w:rsidR="008B5B32" w:rsidRPr="00CA61A6">
        <w:rPr>
          <w:rFonts w:eastAsia="SimSun"/>
          <w:szCs w:val="24"/>
          <w:lang w:eastAsia="ja-JP"/>
        </w:rPr>
        <w:t>CE </w:t>
      </w:r>
      <w:r w:rsidR="009C61EA">
        <w:rPr>
          <w:rFonts w:eastAsia="SimSun"/>
          <w:szCs w:val="24"/>
          <w:lang w:eastAsia="ja-JP"/>
        </w:rPr>
        <w:t>5 y 50 interesados más, preparó</w:t>
      </w:r>
      <w:r w:rsidRPr="00CA61A6">
        <w:rPr>
          <w:rFonts w:eastAsia="SimSun"/>
          <w:szCs w:val="24"/>
          <w:lang w:eastAsia="ja-JP"/>
        </w:rPr>
        <w:t xml:space="preserve"> la Herramienta de gestión del final de la vida útil, que puede encontrarse en: </w:t>
      </w:r>
      <w:hyperlink r:id="rId225" w:history="1">
        <w:r w:rsidRPr="00CA61A6">
          <w:rPr>
            <w:rFonts w:eastAsia="SimSun"/>
            <w:color w:val="0000FF"/>
            <w:szCs w:val="24"/>
            <w:u w:val="single"/>
            <w:lang w:eastAsia="ja-JP"/>
          </w:rPr>
          <w:t>http://www.itu.int/dms_pub/itu-t/oth/4B/04/T4B0400000B0013PDFE.pdf</w:t>
        </w:r>
      </w:hyperlink>
      <w:r w:rsidR="0072753C" w:rsidRPr="00CA61A6">
        <w:rPr>
          <w:rFonts w:eastAsia="SimSun"/>
          <w:szCs w:val="24"/>
          <w:lang w:eastAsia="ja-JP"/>
        </w:rPr>
        <w:t>.</w:t>
      </w:r>
    </w:p>
    <w:p w:rsidR="00450BDD" w:rsidRPr="00CA61A6" w:rsidRDefault="00450BDD" w:rsidP="00B1438E">
      <w:pPr>
        <w:rPr>
          <w:rFonts w:eastAsia="SimSun"/>
          <w:szCs w:val="24"/>
          <w:lang w:eastAsia="ja-JP"/>
        </w:rPr>
      </w:pPr>
      <w:r w:rsidRPr="00CA61A6">
        <w:rPr>
          <w:rFonts w:eastAsia="SimSun"/>
          <w:szCs w:val="24"/>
          <w:lang w:eastAsia="ja-JP"/>
        </w:rPr>
        <w:t xml:space="preserve">La TSB </w:t>
      </w:r>
      <w:r w:rsidR="00B1438E">
        <w:rPr>
          <w:rFonts w:eastAsia="SimSun"/>
          <w:szCs w:val="24"/>
          <w:lang w:eastAsia="ja-JP"/>
        </w:rPr>
        <w:t>preparó</w:t>
      </w:r>
      <w:r w:rsidR="00B1438E" w:rsidRPr="00CA61A6">
        <w:rPr>
          <w:rFonts w:eastAsia="SimSun"/>
          <w:szCs w:val="24"/>
          <w:lang w:eastAsia="ja-JP"/>
        </w:rPr>
        <w:t xml:space="preserve"> </w:t>
      </w:r>
      <w:r w:rsidRPr="00CA61A6">
        <w:rPr>
          <w:rFonts w:eastAsia="SimSun"/>
          <w:szCs w:val="24"/>
          <w:lang w:eastAsia="ja-JP"/>
        </w:rPr>
        <w:t xml:space="preserve">también un folleto sobre residuos-e que puede consultarse en: </w:t>
      </w:r>
      <w:hyperlink r:id="rId226" w:history="1">
        <w:r w:rsidRPr="00CA61A6">
          <w:rPr>
            <w:rFonts w:eastAsia="SimSun"/>
            <w:color w:val="0000FF"/>
            <w:szCs w:val="24"/>
            <w:u w:val="single"/>
            <w:lang w:eastAsia="ja-JP"/>
          </w:rPr>
          <w:t>http://www.itu.int/oth/T0B04000052/en</w:t>
        </w:r>
      </w:hyperlink>
      <w:r w:rsidR="006C7B3F" w:rsidRPr="00CA61A6">
        <w:rPr>
          <w:rFonts w:eastAsia="SimSun"/>
          <w:szCs w:val="24"/>
          <w:lang w:eastAsia="ja-JP"/>
        </w:rPr>
        <w:t>.</w:t>
      </w:r>
    </w:p>
    <w:p w:rsidR="00342866" w:rsidRPr="00CA61A6" w:rsidRDefault="00110CAD" w:rsidP="00342866">
      <w:hyperlink w:anchor="Top" w:history="1">
        <w:r w:rsidR="00342866" w:rsidRPr="00CA61A6">
          <w:rPr>
            <w:rStyle w:val="Hyperlink"/>
          </w:rPr>
          <w:t>» Arriba</w:t>
        </w:r>
      </w:hyperlink>
    </w:p>
    <w:p w:rsidR="00450BDD" w:rsidRPr="00CA61A6" w:rsidRDefault="00CE565D" w:rsidP="00CE565D">
      <w:pPr>
        <w:pStyle w:val="Heading1"/>
      </w:pPr>
      <w:bookmarkStart w:id="728" w:name="_48_Resolución_80"/>
      <w:bookmarkStart w:id="729" w:name="_Toc463335799"/>
      <w:bookmarkEnd w:id="728"/>
      <w:r w:rsidRPr="00CA61A6">
        <w:t>48</w:t>
      </w:r>
      <w:r w:rsidRPr="00CA61A6">
        <w:tab/>
        <w:t xml:space="preserve">Resolución </w:t>
      </w:r>
      <w:r w:rsidR="00450BDD" w:rsidRPr="00CA61A6">
        <w:t>80</w:t>
      </w:r>
      <w:r w:rsidRPr="00CA61A6">
        <w:t xml:space="preserve"> – </w:t>
      </w:r>
      <w:r w:rsidR="00450BDD" w:rsidRPr="00CA61A6">
        <w:t>Reconocimiento de la participación activa de los Miembros en los resultados</w:t>
      </w:r>
      <w:r w:rsidRPr="00CA61A6">
        <w:t xml:space="preserve"> </w:t>
      </w:r>
      <w:r w:rsidR="00450BDD" w:rsidRPr="00CA61A6">
        <w:t>del Sector de Normalización de las Telecomunicaciones de la UIT</w:t>
      </w:r>
      <w:bookmarkEnd w:id="729"/>
    </w:p>
    <w:p w:rsidR="00910644" w:rsidRPr="00CA61A6" w:rsidRDefault="00910644" w:rsidP="00910644">
      <w:pPr>
        <w:pStyle w:val="Headingb"/>
        <w:keepLines/>
      </w:pPr>
      <w:r w:rsidRPr="00CA61A6">
        <w:t>Resolución 80</w:t>
      </w:r>
    </w:p>
    <w:p w:rsidR="00450BDD" w:rsidRPr="00CA61A6" w:rsidRDefault="00450BDD" w:rsidP="007B3478">
      <w:pPr>
        <w:pStyle w:val="Call"/>
        <w:rPr>
          <w:lang w:eastAsia="en-AU"/>
        </w:rPr>
      </w:pPr>
      <w:r w:rsidRPr="00CA61A6">
        <w:rPr>
          <w:lang w:eastAsia="en-AU"/>
        </w:rPr>
        <w:t>resuelve</w:t>
      </w:r>
    </w:p>
    <w:p w:rsidR="00450BDD" w:rsidRPr="00CA61A6" w:rsidRDefault="00450BDD" w:rsidP="007B3478">
      <w:pPr>
        <w:rPr>
          <w:lang w:eastAsia="en-AU"/>
        </w:rPr>
      </w:pPr>
      <w:r w:rsidRPr="00CA61A6">
        <w:rPr>
          <w:lang w:eastAsia="en-AU"/>
        </w:rPr>
        <w:t>que es importante que dé reconocimiento a las personas que han contribuido de manera significativa a la labor de la UIT,</w:t>
      </w:r>
    </w:p>
    <w:p w:rsidR="00450BDD" w:rsidRPr="00CA61A6" w:rsidRDefault="00450BDD" w:rsidP="007B3478">
      <w:pPr>
        <w:pStyle w:val="Call"/>
        <w:rPr>
          <w:lang w:eastAsia="en-AU"/>
        </w:rPr>
      </w:pPr>
      <w:r w:rsidRPr="00CA61A6">
        <w:rPr>
          <w:lang w:eastAsia="en-AU"/>
        </w:rPr>
        <w:t>encarga al Director de la Oficina de Normalización de las Telecomunicaciones</w:t>
      </w:r>
    </w:p>
    <w:p w:rsidR="00450BDD" w:rsidRPr="00CA61A6" w:rsidRDefault="00450BDD" w:rsidP="007B3478">
      <w:r w:rsidRPr="00CA61A6">
        <w:t>que reconozca el valor de la participación activa de los Miembros, en particular las instituciones académicas, las universidades y los institutos de investigación asociados, en las actividades de normalización de la UIT, que colaboran estrechamente con los Estados Miembros y sus respectivos organismos encargados de formular políticas públicas en ámbitos como la educación, la ciencia y la tecnología y la industria y el comercio para subrayar la importancia de la contribución a los resultados de las Comisiones de Estudio del UIT-T,</w:t>
      </w:r>
    </w:p>
    <w:p w:rsidR="00450BDD" w:rsidRPr="00CA61A6" w:rsidRDefault="00450BDD" w:rsidP="007B3478">
      <w:pPr>
        <w:pStyle w:val="Call"/>
      </w:pPr>
      <w:r w:rsidRPr="00CA61A6">
        <w:t>encarga al Grupo Asesor de Normalización de las Telecomunicaciones</w:t>
      </w:r>
    </w:p>
    <w:p w:rsidR="00450BDD" w:rsidRPr="00CA61A6" w:rsidRDefault="00450BDD" w:rsidP="007B3478">
      <w:r w:rsidRPr="00CA61A6">
        <w:t>1</w:t>
      </w:r>
      <w:r w:rsidRPr="00CA61A6">
        <w:tab/>
        <w:t>que estudie de qué manera puede darse reconocimiento a las personas que han contribuido de manera significativa a elaborar los resultados de las Comisiones de Estudio;</w:t>
      </w:r>
    </w:p>
    <w:p w:rsidR="00450BDD" w:rsidRPr="00CA61A6" w:rsidRDefault="00450BDD" w:rsidP="007B3478">
      <w:r w:rsidRPr="00CA61A6">
        <w:t>2</w:t>
      </w:r>
      <w:r w:rsidRPr="00CA61A6">
        <w:tab/>
        <w:t>que, en colaboración con los Miembros de la UIT, se definan unos criterios objetivos por los que se guiarán las Comisiones de Estudio para identificar a las personas que han contribuido de manera significativa,</w:t>
      </w:r>
    </w:p>
    <w:p w:rsidR="00450BDD" w:rsidRPr="00CA61A6" w:rsidRDefault="00450BDD" w:rsidP="007B3478">
      <w:pPr>
        <w:pStyle w:val="Call"/>
      </w:pPr>
      <w:r w:rsidRPr="00CA61A6">
        <w:t>invita a los Estados Miembros</w:t>
      </w:r>
    </w:p>
    <w:p w:rsidR="00450BDD" w:rsidRPr="00CA61A6" w:rsidRDefault="00450BDD" w:rsidP="00010EE6">
      <w:pPr>
        <w:spacing w:after="120"/>
      </w:pPr>
      <w:r w:rsidRPr="00CA61A6">
        <w:t>a estudiar, si procede, la participación de las instituciones académicas en el proceso de contribución al UIT-T y proporcionar visibilidad y reconocimiento a sus contribuciones, labores de edición y otros resultados de tal manera que puedan ser consideradas actividades aptas para la evaluación de la productividad en materia de investigación y desarrollo.</w:t>
      </w:r>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4809"/>
        <w:gridCol w:w="1575"/>
        <w:gridCol w:w="1147"/>
        <w:gridCol w:w="1261"/>
      </w:tblGrid>
      <w:tr w:rsidR="00450BDD" w:rsidRPr="00CA61A6" w:rsidTr="006C747A">
        <w:trPr>
          <w:cantSplit/>
          <w:tblHeader/>
          <w:jc w:val="center"/>
        </w:trPr>
        <w:tc>
          <w:tcPr>
            <w:tcW w:w="1140" w:type="dxa"/>
            <w:tcBorders>
              <w:bottom w:val="double" w:sz="4" w:space="0" w:color="auto"/>
            </w:tcBorders>
            <w:shd w:val="clear" w:color="auto" w:fill="auto"/>
            <w:vAlign w:val="center"/>
          </w:tcPr>
          <w:p w:rsidR="00450BDD" w:rsidRPr="00CA61A6" w:rsidRDefault="00450BDD" w:rsidP="009B787E">
            <w:pPr>
              <w:pStyle w:val="Tablehead"/>
            </w:pPr>
            <w:r w:rsidRPr="00CA61A6">
              <w:lastRenderedPageBreak/>
              <w:t>Número</w:t>
            </w:r>
          </w:p>
        </w:tc>
        <w:tc>
          <w:tcPr>
            <w:tcW w:w="4809" w:type="dxa"/>
            <w:tcBorders>
              <w:bottom w:val="double" w:sz="4" w:space="0" w:color="auto"/>
            </w:tcBorders>
            <w:shd w:val="clear" w:color="auto" w:fill="auto"/>
            <w:vAlign w:val="center"/>
            <w:hideMark/>
          </w:tcPr>
          <w:p w:rsidR="00450BDD" w:rsidRPr="00CA61A6" w:rsidRDefault="00450BDD" w:rsidP="009B787E">
            <w:pPr>
              <w:pStyle w:val="Tablehead"/>
            </w:pPr>
            <w:r w:rsidRPr="00CA61A6">
              <w:t>Acción</w:t>
            </w:r>
          </w:p>
        </w:tc>
        <w:tc>
          <w:tcPr>
            <w:tcW w:w="1575" w:type="dxa"/>
            <w:tcBorders>
              <w:bottom w:val="double" w:sz="4" w:space="0" w:color="auto"/>
            </w:tcBorders>
            <w:shd w:val="clear" w:color="auto" w:fill="auto"/>
            <w:vAlign w:val="center"/>
            <w:hideMark/>
          </w:tcPr>
          <w:p w:rsidR="00450BDD" w:rsidRPr="00CA61A6" w:rsidRDefault="00450BDD" w:rsidP="009B787E">
            <w:pPr>
              <w:pStyle w:val="Tablehead"/>
            </w:pPr>
            <w:r w:rsidRPr="00CA61A6">
              <w:t>Fecha objetivo</w:t>
            </w:r>
          </w:p>
        </w:tc>
        <w:tc>
          <w:tcPr>
            <w:tcW w:w="1147" w:type="dxa"/>
            <w:tcBorders>
              <w:bottom w:val="double" w:sz="4" w:space="0" w:color="auto"/>
            </w:tcBorders>
            <w:shd w:val="clear" w:color="auto" w:fill="auto"/>
          </w:tcPr>
          <w:p w:rsidR="00450BDD" w:rsidRPr="00CA61A6" w:rsidRDefault="0040316E" w:rsidP="009B787E">
            <w:pPr>
              <w:pStyle w:val="Tablehead"/>
            </w:pPr>
            <w:r w:rsidRPr="00CA61A6">
              <w:t>Objetivos</w:t>
            </w:r>
            <w:r w:rsidR="00450BDD" w:rsidRPr="00CA61A6">
              <w:t xml:space="preserve"> periódicos cumplidos</w:t>
            </w:r>
          </w:p>
        </w:tc>
        <w:tc>
          <w:tcPr>
            <w:tcW w:w="1261" w:type="dxa"/>
            <w:tcBorders>
              <w:bottom w:val="double" w:sz="4" w:space="0" w:color="auto"/>
            </w:tcBorders>
            <w:shd w:val="clear" w:color="auto" w:fill="auto"/>
            <w:vAlign w:val="center"/>
          </w:tcPr>
          <w:p w:rsidR="00450BDD" w:rsidRPr="00CA61A6" w:rsidRDefault="00450BDD" w:rsidP="009B787E">
            <w:pPr>
              <w:pStyle w:val="Tablehead"/>
            </w:pPr>
            <w:r w:rsidRPr="00CA61A6">
              <w:t>Completada</w:t>
            </w:r>
          </w:p>
        </w:tc>
      </w:tr>
      <w:tr w:rsidR="00450BDD" w:rsidRPr="00CA61A6" w:rsidTr="006C747A">
        <w:trPr>
          <w:cantSplit/>
          <w:jc w:val="center"/>
        </w:trPr>
        <w:tc>
          <w:tcPr>
            <w:tcW w:w="1140" w:type="dxa"/>
            <w:tcBorders>
              <w:top w:val="double" w:sz="4" w:space="0" w:color="auto"/>
            </w:tcBorders>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80_01" w:history="1">
              <w:r w:rsidR="00450BDD" w:rsidRPr="00DD009F">
                <w:rPr>
                  <w:rStyle w:val="Hyperlink"/>
                  <w:sz w:val="20"/>
                </w:rPr>
                <w:t>80-01</w:t>
              </w:r>
            </w:hyperlink>
          </w:p>
        </w:tc>
        <w:tc>
          <w:tcPr>
            <w:tcW w:w="4809" w:type="dxa"/>
            <w:tcBorders>
              <w:top w:val="double" w:sz="4" w:space="0" w:color="auto"/>
            </w:tcBorders>
            <w:shd w:val="clear" w:color="auto" w:fill="auto"/>
            <w:hideMark/>
          </w:tcPr>
          <w:p w:rsidR="00450BDD" w:rsidRPr="00CA61A6" w:rsidRDefault="001E7267" w:rsidP="001E7267">
            <w:pPr>
              <w:pStyle w:val="Tabletext"/>
            </w:pPr>
            <w:r>
              <w:t>E</w:t>
            </w:r>
            <w:r w:rsidR="00450BDD" w:rsidRPr="00CA61A6">
              <w:t>l Director colabor</w:t>
            </w:r>
            <w:r>
              <w:t>ará</w:t>
            </w:r>
            <w:r w:rsidR="00450BDD" w:rsidRPr="00CA61A6">
              <w:t xml:space="preserve"> con los Estados Miembros para reconocer el valor de la participación activa de los Miembros y sus contribuciones a los resultados de las CE del UIT-T</w:t>
            </w:r>
          </w:p>
        </w:tc>
        <w:tc>
          <w:tcPr>
            <w:tcW w:w="1575" w:type="dxa"/>
            <w:tcBorders>
              <w:top w:val="double" w:sz="4" w:space="0" w:color="auto"/>
            </w:tcBorders>
            <w:shd w:val="clear" w:color="auto" w:fill="auto"/>
            <w:vAlign w:val="center"/>
          </w:tcPr>
          <w:p w:rsidR="00450BDD" w:rsidRPr="00CA61A6" w:rsidRDefault="00450BDD" w:rsidP="009B787E">
            <w:pPr>
              <w:pStyle w:val="Tabletext"/>
              <w:jc w:val="center"/>
            </w:pPr>
            <w:r w:rsidRPr="00CA61A6">
              <w:t>En curso</w:t>
            </w:r>
          </w:p>
        </w:tc>
        <w:tc>
          <w:tcPr>
            <w:tcW w:w="1147" w:type="dxa"/>
            <w:tcBorders>
              <w:top w:val="double" w:sz="4" w:space="0" w:color="auto"/>
            </w:tcBorders>
            <w:shd w:val="clear" w:color="auto" w:fill="auto"/>
            <w:vAlign w:val="center"/>
          </w:tcPr>
          <w:p w:rsidR="00450BDD" w:rsidRPr="00CA61A6" w:rsidRDefault="009B787E" w:rsidP="009B787E">
            <w:pPr>
              <w:pStyle w:val="Tabletext"/>
              <w:jc w:val="center"/>
            </w:pPr>
            <w:r w:rsidRPr="00CA61A6">
              <w:sym w:font="Wingdings" w:char="F0FC"/>
            </w:r>
          </w:p>
        </w:tc>
        <w:tc>
          <w:tcPr>
            <w:tcW w:w="1261" w:type="dxa"/>
            <w:tcBorders>
              <w:top w:val="double" w:sz="4" w:space="0" w:color="auto"/>
            </w:tcBorders>
            <w:shd w:val="clear" w:color="auto" w:fill="auto"/>
            <w:vAlign w:val="center"/>
          </w:tcPr>
          <w:p w:rsidR="00450BDD" w:rsidRPr="00CA61A6" w:rsidRDefault="00450BDD" w:rsidP="009B787E">
            <w:pPr>
              <w:pStyle w:val="Tabletext"/>
              <w:jc w:val="center"/>
            </w:pPr>
          </w:p>
        </w:tc>
      </w:tr>
      <w:tr w:rsidR="00450BDD" w:rsidRPr="00CA61A6" w:rsidTr="006C747A">
        <w:trPr>
          <w:cantSplit/>
          <w:jc w:val="center"/>
        </w:trPr>
        <w:tc>
          <w:tcPr>
            <w:tcW w:w="1140" w:type="dxa"/>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80_02" w:history="1">
              <w:r w:rsidR="00450BDD" w:rsidRPr="00DD009F">
                <w:rPr>
                  <w:rStyle w:val="Hyperlink"/>
                  <w:sz w:val="20"/>
                </w:rPr>
                <w:t>80-02</w:t>
              </w:r>
            </w:hyperlink>
          </w:p>
        </w:tc>
        <w:tc>
          <w:tcPr>
            <w:tcW w:w="4809" w:type="dxa"/>
            <w:shd w:val="clear" w:color="auto" w:fill="auto"/>
            <w:hideMark/>
          </w:tcPr>
          <w:p w:rsidR="00450BDD" w:rsidRPr="00CA61A6" w:rsidRDefault="001E7267" w:rsidP="001E7267">
            <w:pPr>
              <w:pStyle w:val="Tabletext"/>
            </w:pPr>
            <w:r>
              <w:t>E</w:t>
            </w:r>
            <w:r w:rsidR="00450BDD" w:rsidRPr="00CA61A6">
              <w:t>l GANT estudi</w:t>
            </w:r>
            <w:r>
              <w:t>ará</w:t>
            </w:r>
            <w:r w:rsidR="00450BDD" w:rsidRPr="00CA61A6">
              <w:t xml:space="preserve"> distintas opciones para dar a los principales contribuyentes un claro reconocimiento</w:t>
            </w:r>
          </w:p>
        </w:tc>
        <w:tc>
          <w:tcPr>
            <w:tcW w:w="1575" w:type="dxa"/>
            <w:shd w:val="clear" w:color="auto" w:fill="auto"/>
            <w:vAlign w:val="center"/>
          </w:tcPr>
          <w:p w:rsidR="00450BDD" w:rsidRPr="00CA61A6" w:rsidRDefault="006C747A" w:rsidP="009B787E">
            <w:pPr>
              <w:pStyle w:val="Tabletext"/>
              <w:jc w:val="center"/>
            </w:pPr>
            <w:r>
              <w:t>GANT junio de </w:t>
            </w:r>
            <w:r w:rsidR="00450BDD" w:rsidRPr="00CA61A6">
              <w:t>2013</w:t>
            </w:r>
          </w:p>
        </w:tc>
        <w:tc>
          <w:tcPr>
            <w:tcW w:w="1147" w:type="dxa"/>
            <w:shd w:val="clear" w:color="auto" w:fill="auto"/>
            <w:vAlign w:val="center"/>
          </w:tcPr>
          <w:p w:rsidR="00450BDD" w:rsidRPr="00CA61A6" w:rsidRDefault="009B787E" w:rsidP="009B787E">
            <w:pPr>
              <w:pStyle w:val="Tabletext"/>
              <w:jc w:val="center"/>
            </w:pPr>
            <w:r w:rsidRPr="00CA61A6">
              <w:sym w:font="Wingdings" w:char="F0FC"/>
            </w:r>
          </w:p>
        </w:tc>
        <w:tc>
          <w:tcPr>
            <w:tcW w:w="1261" w:type="dxa"/>
            <w:shd w:val="clear" w:color="auto" w:fill="auto"/>
            <w:vAlign w:val="center"/>
          </w:tcPr>
          <w:p w:rsidR="00450BDD" w:rsidRPr="00CA61A6" w:rsidRDefault="00450BDD" w:rsidP="009B787E">
            <w:pPr>
              <w:pStyle w:val="Tabletext"/>
              <w:jc w:val="center"/>
            </w:pPr>
          </w:p>
        </w:tc>
      </w:tr>
      <w:tr w:rsidR="00450BDD" w:rsidRPr="00CA61A6" w:rsidTr="006C747A">
        <w:trPr>
          <w:cantSplit/>
          <w:jc w:val="center"/>
        </w:trPr>
        <w:tc>
          <w:tcPr>
            <w:tcW w:w="1140" w:type="dxa"/>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80_03" w:history="1">
              <w:r w:rsidR="00450BDD" w:rsidRPr="00DD009F">
                <w:rPr>
                  <w:rStyle w:val="Hyperlink"/>
                  <w:sz w:val="20"/>
                </w:rPr>
                <w:t>80-03</w:t>
              </w:r>
            </w:hyperlink>
          </w:p>
        </w:tc>
        <w:tc>
          <w:tcPr>
            <w:tcW w:w="4809" w:type="dxa"/>
            <w:shd w:val="clear" w:color="auto" w:fill="auto"/>
            <w:hideMark/>
          </w:tcPr>
          <w:p w:rsidR="00450BDD" w:rsidRPr="00CA61A6" w:rsidRDefault="001E7267" w:rsidP="001E7267">
            <w:pPr>
              <w:pStyle w:val="Tabletext"/>
            </w:pPr>
            <w:r>
              <w:t>E</w:t>
            </w:r>
            <w:r w:rsidR="00450BDD" w:rsidRPr="00CA61A6">
              <w:t>l GANT defin</w:t>
            </w:r>
            <w:r>
              <w:t>irá</w:t>
            </w:r>
            <w:r w:rsidR="00450BDD" w:rsidRPr="00CA61A6">
              <w:t xml:space="preserve"> unos criterios objetivos por los que se guiarán las Comisiones de Estudio para identificar a las personas que han contribuido de manera significativa</w:t>
            </w:r>
          </w:p>
        </w:tc>
        <w:tc>
          <w:tcPr>
            <w:tcW w:w="1575" w:type="dxa"/>
            <w:shd w:val="clear" w:color="auto" w:fill="auto"/>
            <w:vAlign w:val="center"/>
          </w:tcPr>
          <w:p w:rsidR="00450BDD" w:rsidRPr="00CA61A6" w:rsidRDefault="00450BDD" w:rsidP="006C747A">
            <w:pPr>
              <w:pStyle w:val="Tabletext"/>
              <w:jc w:val="center"/>
            </w:pPr>
            <w:r w:rsidRPr="00CA61A6">
              <w:t>GANT febrero de</w:t>
            </w:r>
            <w:r w:rsidR="006C747A">
              <w:t> </w:t>
            </w:r>
            <w:r w:rsidRPr="00CA61A6">
              <w:t>2016</w:t>
            </w:r>
          </w:p>
        </w:tc>
        <w:tc>
          <w:tcPr>
            <w:tcW w:w="1147" w:type="dxa"/>
            <w:shd w:val="clear" w:color="auto" w:fill="auto"/>
            <w:vAlign w:val="center"/>
          </w:tcPr>
          <w:p w:rsidR="00450BDD" w:rsidRPr="00CA61A6" w:rsidRDefault="009B787E" w:rsidP="009B787E">
            <w:pPr>
              <w:pStyle w:val="Tabletext"/>
              <w:jc w:val="center"/>
            </w:pPr>
            <w:r w:rsidRPr="00CA61A6">
              <w:sym w:font="Wingdings" w:char="F0FC"/>
            </w:r>
          </w:p>
        </w:tc>
        <w:tc>
          <w:tcPr>
            <w:tcW w:w="1261" w:type="dxa"/>
            <w:shd w:val="clear" w:color="auto" w:fill="auto"/>
            <w:vAlign w:val="center"/>
          </w:tcPr>
          <w:p w:rsidR="00450BDD" w:rsidRPr="00CA61A6" w:rsidRDefault="00450BDD" w:rsidP="009B787E">
            <w:pPr>
              <w:pStyle w:val="Tabletext"/>
              <w:jc w:val="center"/>
            </w:pPr>
          </w:p>
        </w:tc>
      </w:tr>
    </w:tbl>
    <w:p w:rsidR="00450BDD" w:rsidRPr="00CA61A6" w:rsidRDefault="00840CD1" w:rsidP="00840CD1">
      <w:pPr>
        <w:pStyle w:val="Headingb"/>
        <w:keepLines/>
      </w:pPr>
      <w:bookmarkStart w:id="730" w:name="Item80_01"/>
      <w:r w:rsidRPr="00CA61A6">
        <w:t xml:space="preserve">Acción </w:t>
      </w:r>
      <w:r w:rsidR="00450BDD" w:rsidRPr="00CA61A6">
        <w:t>80-01: TSB</w:t>
      </w:r>
    </w:p>
    <w:bookmarkEnd w:id="730"/>
    <w:p w:rsidR="00450BDD" w:rsidRPr="00CA61A6" w:rsidRDefault="00450BDD" w:rsidP="007B3478">
      <w:pPr>
        <w:rPr>
          <w:rFonts w:eastAsia="SimSun"/>
          <w:szCs w:val="24"/>
          <w:lang w:eastAsia="ja-JP"/>
        </w:rPr>
      </w:pPr>
      <w:r w:rsidRPr="00CA61A6">
        <w:rPr>
          <w:rFonts w:eastAsia="SimSun"/>
          <w:szCs w:val="24"/>
          <w:lang w:eastAsia="ja-JP"/>
        </w:rPr>
        <w:t xml:space="preserve">Se pidió a la </w:t>
      </w:r>
      <w:r w:rsidRPr="00CA61A6" w:rsidDel="00B4004D">
        <w:rPr>
          <w:rFonts w:eastAsia="SimSun"/>
          <w:szCs w:val="24"/>
          <w:lang w:eastAsia="ja-JP"/>
        </w:rPr>
        <w:t xml:space="preserve">TSB </w:t>
      </w:r>
      <w:r w:rsidRPr="00CA61A6">
        <w:rPr>
          <w:rFonts w:eastAsia="SimSun"/>
          <w:szCs w:val="24"/>
          <w:lang w:eastAsia="ja-JP"/>
        </w:rPr>
        <w:t>que estudiase si las Recomendaciones UIT-T pueden indexarse en bases de datos de resúmenes y citas y en servicios de búsqueda y, en tal caso, de qué manera. Los estudios están en curso.</w:t>
      </w:r>
    </w:p>
    <w:p w:rsidR="00450BDD" w:rsidRPr="00CA61A6" w:rsidRDefault="00840CD1" w:rsidP="00840CD1">
      <w:pPr>
        <w:pStyle w:val="Headingb"/>
        <w:keepLines/>
      </w:pPr>
      <w:bookmarkStart w:id="731" w:name="Item80_02"/>
      <w:r w:rsidRPr="00CA61A6">
        <w:t xml:space="preserve">Acción </w:t>
      </w:r>
      <w:r w:rsidR="00450BDD" w:rsidRPr="00CA61A6">
        <w:t>80-02: GANT</w:t>
      </w:r>
    </w:p>
    <w:bookmarkEnd w:id="731"/>
    <w:p w:rsidR="00450BDD" w:rsidRPr="00CA61A6" w:rsidRDefault="00450BDD" w:rsidP="007B3478">
      <w:pPr>
        <w:rPr>
          <w:rFonts w:eastAsia="SimSun"/>
          <w:szCs w:val="24"/>
          <w:lang w:eastAsia="ja-JP"/>
        </w:rPr>
      </w:pPr>
      <w:r w:rsidRPr="00CA61A6">
        <w:rPr>
          <w:rFonts w:eastAsia="SimSun"/>
          <w:szCs w:val="24"/>
          <w:lang w:eastAsia="ja-JP"/>
        </w:rPr>
        <w:t xml:space="preserve">De acuerdo con </w:t>
      </w:r>
      <w:hyperlink r:id="rId227" w:history="1">
        <w:r w:rsidRPr="00CA61A6">
          <w:rPr>
            <w:rFonts w:eastAsia="SimSun"/>
            <w:color w:val="0000FF"/>
            <w:szCs w:val="24"/>
            <w:u w:val="single"/>
            <w:lang w:eastAsia="ja-JP"/>
          </w:rPr>
          <w:t>TSAG-C.18</w:t>
        </w:r>
      </w:hyperlink>
      <w:r w:rsidRPr="00CA61A6">
        <w:rPr>
          <w:rFonts w:eastAsia="SimSun"/>
          <w:szCs w:val="24"/>
          <w:lang w:eastAsia="ja-JP"/>
        </w:rPr>
        <w:t>, el GANT pidió a la CE</w:t>
      </w:r>
      <w:r w:rsidR="002E7CFD" w:rsidRPr="00CA61A6">
        <w:rPr>
          <w:rFonts w:eastAsia="SimSun"/>
          <w:szCs w:val="24"/>
          <w:lang w:eastAsia="ja-JP"/>
        </w:rPr>
        <w:t> </w:t>
      </w:r>
      <w:r w:rsidRPr="00CA61A6">
        <w:rPr>
          <w:rFonts w:eastAsia="SimSun"/>
          <w:szCs w:val="24"/>
          <w:lang w:eastAsia="ja-JP"/>
        </w:rPr>
        <w:t>9 del UIT-T que se ocupase de hablar y coordinarse con las distintas CE. El primer Informe del Presidente de la CE</w:t>
      </w:r>
      <w:r w:rsidR="002E7CFD" w:rsidRPr="00CA61A6">
        <w:rPr>
          <w:rFonts w:eastAsia="SimSun"/>
          <w:szCs w:val="24"/>
          <w:lang w:eastAsia="ja-JP"/>
        </w:rPr>
        <w:t> </w:t>
      </w:r>
      <w:r w:rsidRPr="00CA61A6">
        <w:rPr>
          <w:rFonts w:eastAsia="SimSun"/>
          <w:szCs w:val="24"/>
          <w:lang w:eastAsia="ja-JP"/>
        </w:rPr>
        <w:t xml:space="preserve">9 con los resultados de los estudios preliminares se presentó a la consideración del GANT en el Documento </w:t>
      </w:r>
      <w:hyperlink r:id="rId228" w:history="1">
        <w:r w:rsidR="0065525C">
          <w:rPr>
            <w:rFonts w:eastAsia="SimSun"/>
            <w:color w:val="0000FF"/>
            <w:szCs w:val="24"/>
            <w:u w:val="single"/>
            <w:lang w:eastAsia="ja-JP"/>
          </w:rPr>
          <w:t>TD </w:t>
        </w:r>
        <w:r w:rsidRPr="00CA61A6">
          <w:rPr>
            <w:rFonts w:eastAsia="SimSun"/>
            <w:color w:val="0000FF"/>
            <w:szCs w:val="24"/>
            <w:u w:val="single"/>
            <w:lang w:eastAsia="ja-JP"/>
          </w:rPr>
          <w:t>134/TSAG</w:t>
        </w:r>
      </w:hyperlink>
      <w:r w:rsidRPr="00CA61A6">
        <w:rPr>
          <w:rFonts w:eastAsia="SimSun"/>
          <w:szCs w:val="24"/>
          <w:lang w:eastAsia="ja-JP"/>
        </w:rPr>
        <w:t xml:space="preserve"> (2014-06).</w:t>
      </w:r>
    </w:p>
    <w:p w:rsidR="00450BDD" w:rsidRPr="00CA61A6" w:rsidRDefault="00450BDD" w:rsidP="00EB46F9">
      <w:pPr>
        <w:rPr>
          <w:rFonts w:eastAsia="SimSun"/>
          <w:szCs w:val="24"/>
          <w:lang w:eastAsia="ja-JP"/>
        </w:rPr>
      </w:pPr>
      <w:r w:rsidRPr="00CA61A6">
        <w:rPr>
          <w:rFonts w:eastAsia="SimSun"/>
          <w:szCs w:val="24"/>
          <w:lang w:eastAsia="ja-JP"/>
        </w:rPr>
        <w:t>Sobre la base del examen y posterior estudio del GANT, la CE</w:t>
      </w:r>
      <w:r w:rsidR="002E7CFD" w:rsidRPr="00CA61A6">
        <w:rPr>
          <w:rFonts w:eastAsia="SimSun"/>
          <w:szCs w:val="24"/>
          <w:lang w:eastAsia="ja-JP"/>
        </w:rPr>
        <w:t> </w:t>
      </w:r>
      <w:r w:rsidRPr="00CA61A6">
        <w:rPr>
          <w:rFonts w:eastAsia="SimSun"/>
          <w:szCs w:val="24"/>
          <w:lang w:eastAsia="ja-JP"/>
        </w:rPr>
        <w:t>9 del UIT-T prepar</w:t>
      </w:r>
      <w:r w:rsidR="00EB46F9">
        <w:rPr>
          <w:rFonts w:eastAsia="SimSun"/>
          <w:szCs w:val="24"/>
          <w:lang w:eastAsia="ja-JP"/>
        </w:rPr>
        <w:t>ó</w:t>
      </w:r>
      <w:r w:rsidRPr="00CA61A6">
        <w:rPr>
          <w:rFonts w:eastAsia="SimSun"/>
          <w:szCs w:val="24"/>
          <w:lang w:eastAsia="ja-JP"/>
        </w:rPr>
        <w:t xml:space="preserve"> una directrices (</w:t>
      </w:r>
      <w:r w:rsidR="00B26079" w:rsidRPr="00CA61A6">
        <w:rPr>
          <w:rFonts w:eastAsia="SimSun"/>
          <w:szCs w:val="24"/>
          <w:lang w:eastAsia="ja-JP"/>
        </w:rPr>
        <w:t>"</w:t>
      </w:r>
      <w:r w:rsidRPr="004D6968">
        <w:rPr>
          <w:rFonts w:eastAsia="SimSun"/>
          <w:b/>
          <w:bCs/>
          <w:szCs w:val="24"/>
          <w:lang w:eastAsia="ja-JP"/>
        </w:rPr>
        <w:t>Directrices de la CE</w:t>
      </w:r>
      <w:r w:rsidR="002E7CFD" w:rsidRPr="004D6968">
        <w:rPr>
          <w:rFonts w:eastAsia="SimSun"/>
          <w:b/>
          <w:bCs/>
          <w:szCs w:val="24"/>
          <w:lang w:eastAsia="ja-JP"/>
        </w:rPr>
        <w:t> </w:t>
      </w:r>
      <w:r w:rsidRPr="004D6968">
        <w:rPr>
          <w:rFonts w:eastAsia="SimSun"/>
          <w:b/>
          <w:bCs/>
          <w:szCs w:val="24"/>
          <w:lang w:eastAsia="ja-JP"/>
        </w:rPr>
        <w:t>9</w:t>
      </w:r>
      <w:r w:rsidR="00B26079" w:rsidRPr="00CA61A6">
        <w:rPr>
          <w:rFonts w:eastAsia="SimSun"/>
          <w:szCs w:val="24"/>
          <w:lang w:eastAsia="ja-JP"/>
        </w:rPr>
        <w:t>"</w:t>
      </w:r>
      <w:r w:rsidRPr="00CA61A6">
        <w:rPr>
          <w:rFonts w:eastAsia="SimSun"/>
          <w:szCs w:val="24"/>
          <w:lang w:eastAsia="ja-JP"/>
        </w:rPr>
        <w:t xml:space="preserve">, véase el Documento </w:t>
      </w:r>
      <w:hyperlink r:id="rId229" w:history="1">
        <w:r w:rsidRPr="00CA61A6">
          <w:rPr>
            <w:rFonts w:eastAsia="SimSun"/>
            <w:color w:val="0000FF"/>
            <w:szCs w:val="24"/>
            <w:u w:val="single"/>
            <w:lang w:eastAsia="ja-JP"/>
          </w:rPr>
          <w:t>TD 899 (GEN/9)</w:t>
        </w:r>
      </w:hyperlink>
      <w:r w:rsidRPr="00CA61A6">
        <w:rPr>
          <w:rFonts w:eastAsia="SimSun"/>
          <w:szCs w:val="24"/>
          <w:lang w:eastAsia="ja-JP"/>
        </w:rPr>
        <w:t>) e inició un proyecto piloto para probar la implementación de los puntos 1, 3 y 4 de esas Directrices</w:t>
      </w:r>
      <w:r w:rsidR="00742D06" w:rsidRPr="00CA61A6">
        <w:rPr>
          <w:rFonts w:eastAsia="SimSun"/>
          <w:szCs w:val="24"/>
          <w:lang w:eastAsia="ja-JP"/>
        </w:rPr>
        <w:t>.</w:t>
      </w:r>
    </w:p>
    <w:p w:rsidR="00450BDD" w:rsidRPr="00CA61A6" w:rsidRDefault="00450BDD" w:rsidP="007B3478">
      <w:pPr>
        <w:rPr>
          <w:rFonts w:eastAsia="SimSun"/>
          <w:szCs w:val="24"/>
          <w:lang w:eastAsia="ja-JP"/>
        </w:rPr>
      </w:pPr>
      <w:r w:rsidRPr="00CA61A6">
        <w:rPr>
          <w:rFonts w:eastAsia="SimSun"/>
          <w:szCs w:val="24"/>
          <w:lang w:eastAsia="ja-JP"/>
        </w:rPr>
        <w:t>Al mismo tiempo, se pidió a la TSB que estudiase si era posible indexar</w:t>
      </w:r>
      <w:r w:rsidR="00003C11">
        <w:rPr>
          <w:rFonts w:eastAsia="SimSun"/>
          <w:szCs w:val="24"/>
          <w:lang w:eastAsia="ja-JP"/>
        </w:rPr>
        <w:t xml:space="preserve"> las Recomendaciones UIT</w:t>
      </w:r>
      <w:r w:rsidR="00003C11">
        <w:rPr>
          <w:rFonts w:eastAsia="SimSun"/>
          <w:szCs w:val="24"/>
          <w:lang w:eastAsia="ja-JP"/>
        </w:rPr>
        <w:noBreakHyphen/>
      </w:r>
      <w:r w:rsidRPr="00CA61A6">
        <w:rPr>
          <w:rFonts w:eastAsia="SimSun"/>
          <w:szCs w:val="24"/>
          <w:lang w:eastAsia="ja-JP"/>
        </w:rPr>
        <w:t>T en bases de datos de resúmenes y citas y en servicios de búsqueda y, en tal caso, cuál era la mejor manera de hacerlo, de acuerdo con el punto 2 de las Directrices de la CE</w:t>
      </w:r>
      <w:r w:rsidR="002E7CFD" w:rsidRPr="00CA61A6">
        <w:rPr>
          <w:rFonts w:eastAsia="SimSun"/>
          <w:szCs w:val="24"/>
          <w:lang w:eastAsia="ja-JP"/>
        </w:rPr>
        <w:t> </w:t>
      </w:r>
      <w:r w:rsidR="009D57A9">
        <w:rPr>
          <w:rFonts w:eastAsia="SimSun"/>
          <w:szCs w:val="24"/>
          <w:lang w:eastAsia="ja-JP"/>
        </w:rPr>
        <w:t>9 (véase el Documento </w:t>
      </w:r>
      <w:hyperlink r:id="rId230" w:history="1">
        <w:r w:rsidRPr="00B93B09">
          <w:rPr>
            <w:rStyle w:val="Hyperlink"/>
            <w:rFonts w:eastAsia="SimSun"/>
            <w:szCs w:val="24"/>
            <w:lang w:eastAsia="ja-JP"/>
          </w:rPr>
          <w:t>TD</w:t>
        </w:r>
        <w:r w:rsidR="009D57A9" w:rsidRPr="00B93B09">
          <w:rPr>
            <w:rStyle w:val="Hyperlink"/>
            <w:rFonts w:eastAsia="SimSun"/>
            <w:szCs w:val="24"/>
            <w:lang w:eastAsia="ja-JP"/>
          </w:rPr>
          <w:t> </w:t>
        </w:r>
        <w:r w:rsidRPr="00B93B09">
          <w:rPr>
            <w:rStyle w:val="Hyperlink"/>
            <w:rFonts w:eastAsia="SimSun"/>
            <w:szCs w:val="24"/>
            <w:lang w:eastAsia="ja-JP"/>
          </w:rPr>
          <w:t>816 Rev1 (Gen/9)</w:t>
        </w:r>
      </w:hyperlink>
      <w:r w:rsidRPr="00B93B09">
        <w:rPr>
          <w:rFonts w:eastAsia="SimSun"/>
          <w:szCs w:val="24"/>
          <w:lang w:eastAsia="ja-JP"/>
        </w:rPr>
        <w:t>)</w:t>
      </w:r>
      <w:r w:rsidR="001116B8" w:rsidRPr="00B93B09">
        <w:rPr>
          <w:rFonts w:eastAsia="SimSun"/>
          <w:szCs w:val="24"/>
          <w:lang w:eastAsia="ja-JP"/>
        </w:rPr>
        <w:t>.</w:t>
      </w:r>
    </w:p>
    <w:p w:rsidR="00450BDD" w:rsidRPr="00CA61A6" w:rsidRDefault="00840CD1" w:rsidP="00113784">
      <w:pPr>
        <w:pStyle w:val="Headingb"/>
        <w:keepLines/>
      </w:pPr>
      <w:bookmarkStart w:id="732" w:name="Item80_03"/>
      <w:r w:rsidRPr="00CA61A6">
        <w:t xml:space="preserve">Acción </w:t>
      </w:r>
      <w:r w:rsidR="00450BDD" w:rsidRPr="00CA61A6">
        <w:t xml:space="preserve">80-03: </w:t>
      </w:r>
      <w:r w:rsidR="00113784">
        <w:t>GANT</w:t>
      </w:r>
    </w:p>
    <w:bookmarkEnd w:id="732"/>
    <w:p w:rsidR="00450BDD" w:rsidRPr="00CA61A6" w:rsidRDefault="00450BDD" w:rsidP="007B3478">
      <w:pPr>
        <w:rPr>
          <w:rFonts w:eastAsia="SimSun"/>
          <w:szCs w:val="24"/>
          <w:lang w:eastAsia="ja-JP"/>
        </w:rPr>
      </w:pPr>
      <w:r w:rsidRPr="00CA61A6">
        <w:rPr>
          <w:rFonts w:eastAsia="SimSun"/>
          <w:szCs w:val="24"/>
          <w:lang w:eastAsia="ja-JP"/>
        </w:rPr>
        <w:t>En la reunión del GANT celebrada en Ginebra del 1 al 5 de febrero de 2016, la CE</w:t>
      </w:r>
      <w:r w:rsidR="002E7CFD" w:rsidRPr="00CA61A6">
        <w:rPr>
          <w:rFonts w:eastAsia="SimSun"/>
          <w:szCs w:val="24"/>
          <w:lang w:eastAsia="ja-JP"/>
        </w:rPr>
        <w:t> </w:t>
      </w:r>
      <w:r w:rsidRPr="00CA61A6">
        <w:rPr>
          <w:rFonts w:eastAsia="SimSun"/>
          <w:szCs w:val="24"/>
          <w:lang w:eastAsia="ja-JP"/>
        </w:rPr>
        <w:t>9 rindió informe sobre la implementación de las Directrices de la CE</w:t>
      </w:r>
      <w:r w:rsidR="002E7CFD" w:rsidRPr="00CA61A6">
        <w:rPr>
          <w:rFonts w:eastAsia="SimSun"/>
          <w:szCs w:val="24"/>
          <w:lang w:eastAsia="ja-JP"/>
        </w:rPr>
        <w:t> </w:t>
      </w:r>
      <w:r w:rsidRPr="00CA61A6">
        <w:rPr>
          <w:rFonts w:eastAsia="SimSun"/>
          <w:szCs w:val="24"/>
          <w:lang w:eastAsia="ja-JP"/>
        </w:rPr>
        <w:t>9.</w:t>
      </w:r>
    </w:p>
    <w:p w:rsidR="00450BDD" w:rsidRPr="00CA61A6" w:rsidRDefault="00450BDD" w:rsidP="007B3478">
      <w:pPr>
        <w:rPr>
          <w:rFonts w:eastAsia="SimSun"/>
          <w:szCs w:val="24"/>
          <w:lang w:eastAsia="ja-JP"/>
        </w:rPr>
      </w:pPr>
      <w:r w:rsidRPr="00CA61A6">
        <w:t>El GANT acordó que el expe</w:t>
      </w:r>
      <w:r w:rsidR="002E7CFD" w:rsidRPr="00CA61A6">
        <w:t>rimento llevado a cabo en la CE </w:t>
      </w:r>
      <w:r w:rsidRPr="00CA61A6">
        <w:t>9 del UIT-T a fin de reconocer la participación en los resultados de las Comisiones de Estudio se lleve a cabo también en las demás Comisiones de Estudio del UIT-T que tendrán, entonces, las siguientes opciones derivadas de las Directrices de la CE</w:t>
      </w:r>
      <w:r w:rsidR="002E7CFD" w:rsidRPr="00CA61A6">
        <w:t> </w:t>
      </w:r>
      <w:r w:rsidRPr="00CA61A6">
        <w:t>9:</w:t>
      </w:r>
    </w:p>
    <w:p w:rsidR="00450BDD" w:rsidRPr="00CA61A6" w:rsidRDefault="000A145C" w:rsidP="000A145C">
      <w:pPr>
        <w:pStyle w:val="enumlev1"/>
      </w:pPr>
      <w:r w:rsidRPr="00CA61A6">
        <w:t>•</w:t>
      </w:r>
      <w:r w:rsidRPr="00CA61A6">
        <w:tab/>
      </w:r>
      <w:r w:rsidR="00450BDD" w:rsidRPr="00CA61A6">
        <w:t>Fomentar la utilización de referencias bibliográficas de publicaciones arbitradas que corroboren las decisiones técnicas adoptadas en las Recomendaciones UIT-T (</w:t>
      </w:r>
      <w:r w:rsidR="00450BDD" w:rsidRPr="00CA61A6">
        <w:rPr>
          <w:b/>
          <w:bCs/>
        </w:rPr>
        <w:t>punto 1 de las Directrices de la CE</w:t>
      </w:r>
      <w:r w:rsidR="002E7CFD" w:rsidRPr="00CA61A6">
        <w:rPr>
          <w:b/>
          <w:bCs/>
        </w:rPr>
        <w:t> </w:t>
      </w:r>
      <w:r w:rsidR="00450BDD" w:rsidRPr="00CA61A6">
        <w:rPr>
          <w:b/>
          <w:bCs/>
        </w:rPr>
        <w:t>9</w:t>
      </w:r>
      <w:r w:rsidR="00450BDD" w:rsidRPr="00CA61A6">
        <w:t>).</w:t>
      </w:r>
    </w:p>
    <w:p w:rsidR="00450BDD" w:rsidRPr="00CA61A6" w:rsidRDefault="000A145C" w:rsidP="00126BCC">
      <w:pPr>
        <w:pStyle w:val="enumlev1"/>
      </w:pPr>
      <w:r w:rsidRPr="00CA61A6">
        <w:t>•</w:t>
      </w:r>
      <w:r w:rsidRPr="00CA61A6">
        <w:tab/>
      </w:r>
      <w:r w:rsidR="00450BDD" w:rsidRPr="00CA61A6">
        <w:t>Crear una página para cada periodo de estudios en la que se haga constancia de todos los participantes y contribuyentes por cada reunión. Véase, por ejemplo, la</w:t>
      </w:r>
      <w:r w:rsidR="002E7CFD" w:rsidRPr="00CA61A6">
        <w:t xml:space="preserve"> página piloto creada por la CE </w:t>
      </w:r>
      <w:r w:rsidR="00450BDD" w:rsidRPr="00CA61A6">
        <w:t xml:space="preserve">9 </w:t>
      </w:r>
      <w:hyperlink r:id="rId231" w:history="1">
        <w:r w:rsidR="00450BDD" w:rsidRPr="00CA61A6">
          <w:rPr>
            <w:rStyle w:val="Hyperlink"/>
          </w:rPr>
          <w:t>http://www.itu.int/en/ITU-T/studygroups/2013-2016/09/Pages/acknowledgements.aspx</w:t>
        </w:r>
      </w:hyperlink>
      <w:r w:rsidR="00AF505A" w:rsidRPr="00CA61A6">
        <w:t xml:space="preserve"> </w:t>
      </w:r>
      <w:r w:rsidR="00450BDD" w:rsidRPr="00CA61A6">
        <w:t>(</w:t>
      </w:r>
      <w:r w:rsidR="00450BDD" w:rsidRPr="00CA61A6">
        <w:rPr>
          <w:b/>
          <w:bCs/>
        </w:rPr>
        <w:t>punto 3 de las Directrices de la CE</w:t>
      </w:r>
      <w:r w:rsidR="002E7CFD" w:rsidRPr="00CA61A6">
        <w:rPr>
          <w:b/>
          <w:bCs/>
        </w:rPr>
        <w:t> </w:t>
      </w:r>
      <w:r w:rsidR="00450BDD" w:rsidRPr="00CA61A6">
        <w:rPr>
          <w:b/>
          <w:bCs/>
        </w:rPr>
        <w:t>9</w:t>
      </w:r>
      <w:r w:rsidR="00450BDD" w:rsidRPr="00CA61A6">
        <w:t>)</w:t>
      </w:r>
      <w:r w:rsidR="00130DB1" w:rsidRPr="00CA61A6">
        <w:t>.</w:t>
      </w:r>
    </w:p>
    <w:p w:rsidR="00450BDD" w:rsidRPr="00CA61A6" w:rsidRDefault="000A145C" w:rsidP="00B869F3">
      <w:pPr>
        <w:pStyle w:val="enumlev1"/>
        <w:keepNext/>
        <w:keepLines/>
      </w:pPr>
      <w:r w:rsidRPr="00CA61A6">
        <w:lastRenderedPageBreak/>
        <w:t>•</w:t>
      </w:r>
      <w:r w:rsidRPr="00CA61A6">
        <w:tab/>
      </w:r>
      <w:r w:rsidR="00450BDD" w:rsidRPr="00CA61A6">
        <w:t>En la página de publicación de una determinada Recomendación UIT-T, añadir un enlace a una página en la que se enumere a todos aquellos que presentaron al menos una contribución que hizo avanzar la Recomendación (</w:t>
      </w:r>
      <w:r w:rsidR="00450BDD" w:rsidRPr="00CA61A6">
        <w:rPr>
          <w:b/>
          <w:bCs/>
        </w:rPr>
        <w:t>punto 4 de las Directrices de la CE</w:t>
      </w:r>
      <w:r w:rsidR="00A21816" w:rsidRPr="00CA61A6">
        <w:rPr>
          <w:b/>
          <w:bCs/>
        </w:rPr>
        <w:t> </w:t>
      </w:r>
      <w:r w:rsidR="00450BDD" w:rsidRPr="00CA61A6">
        <w:rPr>
          <w:b/>
          <w:bCs/>
        </w:rPr>
        <w:t>9</w:t>
      </w:r>
      <w:r w:rsidR="00450BDD" w:rsidRPr="00CA61A6">
        <w:t>)</w:t>
      </w:r>
      <w:r w:rsidR="0020639B" w:rsidRPr="00CA61A6">
        <w:t>.</w:t>
      </w:r>
    </w:p>
    <w:p w:rsidR="00450BDD" w:rsidRPr="00CA61A6" w:rsidRDefault="00450BDD" w:rsidP="007B3478">
      <w:pPr>
        <w:rPr>
          <w:rFonts w:eastAsia="SimSun"/>
          <w:szCs w:val="24"/>
          <w:lang w:eastAsia="ja-JP"/>
        </w:rPr>
      </w:pPr>
      <w:r w:rsidRPr="00CA61A6">
        <w:rPr>
          <w:rFonts w:eastAsia="SimSun"/>
          <w:szCs w:val="24"/>
          <w:lang w:eastAsia="ja-JP"/>
        </w:rPr>
        <w:t>Algunos aspectos de las Directrices de la CE</w:t>
      </w:r>
      <w:r w:rsidR="002E7CFD" w:rsidRPr="00CA61A6">
        <w:rPr>
          <w:rFonts w:eastAsia="SimSun"/>
          <w:szCs w:val="24"/>
          <w:lang w:eastAsia="ja-JP"/>
        </w:rPr>
        <w:t> </w:t>
      </w:r>
      <w:r w:rsidRPr="00CA61A6">
        <w:rPr>
          <w:rFonts w:eastAsia="SimSun"/>
          <w:szCs w:val="24"/>
          <w:lang w:eastAsia="ja-JP"/>
        </w:rPr>
        <w:t>9 siguen en estudio, por lo que se ha invitado a todas las Comisiones de Estudio del UIT-T a tener esas Directrices en cuenta a la hora de elegir alguna de las opciones anteriores.</w:t>
      </w:r>
    </w:p>
    <w:p w:rsidR="00450BDD" w:rsidRPr="00CA61A6" w:rsidRDefault="00450BDD" w:rsidP="007B3478">
      <w:pPr>
        <w:rPr>
          <w:rFonts w:eastAsia="SimSun"/>
          <w:szCs w:val="24"/>
          <w:lang w:eastAsia="ja-JP"/>
        </w:rPr>
      </w:pPr>
      <w:r w:rsidRPr="00CA61A6">
        <w:rPr>
          <w:rFonts w:eastAsia="SimSun"/>
          <w:lang w:eastAsia="ja-JP"/>
        </w:rPr>
        <w:t>La CE</w:t>
      </w:r>
      <w:r w:rsidR="008B5B32" w:rsidRPr="00CA61A6">
        <w:rPr>
          <w:rFonts w:eastAsia="SimSun"/>
          <w:lang w:eastAsia="ja-JP"/>
        </w:rPr>
        <w:t> </w:t>
      </w:r>
      <w:r w:rsidRPr="00CA61A6">
        <w:rPr>
          <w:rFonts w:eastAsia="SimSun"/>
          <w:lang w:eastAsia="ja-JP"/>
        </w:rPr>
        <w:t xml:space="preserve">17 consideró el Documento del GANT </w:t>
      </w:r>
      <w:hyperlink r:id="rId232" w:history="1">
        <w:r w:rsidRPr="00CA61A6">
          <w:rPr>
            <w:rFonts w:eastAsia="SimSun"/>
            <w:bCs/>
            <w:color w:val="0000FF"/>
            <w:u w:val="single"/>
            <w:lang w:eastAsia="ja-JP"/>
          </w:rPr>
          <w:t>TSAG TD 460 Rev.1</w:t>
        </w:r>
      </w:hyperlink>
      <w:r w:rsidRPr="00CA61A6">
        <w:rPr>
          <w:rFonts w:eastAsia="SimSun"/>
          <w:bCs/>
          <w:color w:val="0000FF"/>
          <w:u w:val="single"/>
          <w:lang w:eastAsia="ja-JP"/>
        </w:rPr>
        <w:t xml:space="preserve">, </w:t>
      </w:r>
      <w:r w:rsidR="008E50A5">
        <w:rPr>
          <w:rFonts w:eastAsia="SimSun"/>
          <w:bCs/>
          <w:color w:val="0000FF"/>
          <w:u w:val="single"/>
          <w:lang w:eastAsia="ja-JP"/>
        </w:rPr>
        <w:t>"</w:t>
      </w:r>
      <w:r w:rsidRPr="00CA61A6">
        <w:rPr>
          <w:rFonts w:eastAsia="SimSun"/>
          <w:bCs/>
          <w:color w:val="0000FF"/>
          <w:u w:val="single"/>
          <w:lang w:eastAsia="ja-JP"/>
        </w:rPr>
        <w:t>Options to acknowledge contributors to the development of study group deliverables</w:t>
      </w:r>
      <w:r w:rsidR="008E50A5">
        <w:rPr>
          <w:rFonts w:eastAsia="SimSun"/>
          <w:bCs/>
          <w:color w:val="0000FF"/>
          <w:u w:val="single"/>
          <w:lang w:eastAsia="ja-JP"/>
        </w:rPr>
        <w:t>"</w:t>
      </w:r>
      <w:r w:rsidRPr="00CE4ED1">
        <w:rPr>
          <w:rFonts w:eastAsia="SimSun"/>
        </w:rPr>
        <w:t xml:space="preserve">; </w:t>
      </w:r>
      <w:r w:rsidRPr="00CA61A6">
        <w:rPr>
          <w:rFonts w:eastAsia="SimSun"/>
          <w:bCs/>
          <w:lang w:eastAsia="ja-JP"/>
        </w:rPr>
        <w:t>se añadió un enlace en la página web de la CE</w:t>
      </w:r>
      <w:r w:rsidR="008B5B32" w:rsidRPr="00CA61A6">
        <w:rPr>
          <w:rFonts w:eastAsia="SimSun"/>
          <w:bCs/>
          <w:lang w:eastAsia="ja-JP"/>
        </w:rPr>
        <w:t> </w:t>
      </w:r>
      <w:r w:rsidRPr="00CA61A6">
        <w:rPr>
          <w:rFonts w:eastAsia="SimSun"/>
          <w:bCs/>
          <w:lang w:eastAsia="ja-JP"/>
        </w:rPr>
        <w:t>17 para dar reconocimiento al Equipo de Dirección de la CE</w:t>
      </w:r>
      <w:r w:rsidR="008B5B32" w:rsidRPr="00CA61A6">
        <w:rPr>
          <w:rFonts w:eastAsia="SimSun"/>
          <w:bCs/>
          <w:lang w:eastAsia="ja-JP"/>
        </w:rPr>
        <w:t> </w:t>
      </w:r>
      <w:r w:rsidRPr="00CA61A6">
        <w:rPr>
          <w:rFonts w:eastAsia="SimSun"/>
          <w:bCs/>
          <w:lang w:eastAsia="ja-JP"/>
        </w:rPr>
        <w:t>17, los Relatores y Relatores Asociados de la CE</w:t>
      </w:r>
      <w:r w:rsidR="008B5B32" w:rsidRPr="00CA61A6">
        <w:rPr>
          <w:rFonts w:eastAsia="SimSun"/>
          <w:bCs/>
          <w:lang w:eastAsia="ja-JP"/>
        </w:rPr>
        <w:t> </w:t>
      </w:r>
      <w:r w:rsidRPr="00CA61A6">
        <w:rPr>
          <w:rFonts w:eastAsia="SimSun"/>
          <w:bCs/>
          <w:lang w:eastAsia="ja-JP"/>
        </w:rPr>
        <w:t>17, los editores y los contribuyentes de la CE</w:t>
      </w:r>
      <w:r w:rsidR="008B5B32" w:rsidRPr="00CA61A6">
        <w:rPr>
          <w:rFonts w:eastAsia="SimSun"/>
          <w:bCs/>
          <w:lang w:eastAsia="ja-JP"/>
        </w:rPr>
        <w:t> </w:t>
      </w:r>
      <w:r w:rsidRPr="00CA61A6">
        <w:rPr>
          <w:rFonts w:eastAsia="SimSun"/>
          <w:bCs/>
          <w:lang w:eastAsia="ja-JP"/>
        </w:rPr>
        <w:t>17. La CE</w:t>
      </w:r>
      <w:r w:rsidR="008B5B32" w:rsidRPr="00CA61A6">
        <w:rPr>
          <w:rFonts w:eastAsia="SimSun"/>
          <w:bCs/>
          <w:lang w:eastAsia="ja-JP"/>
        </w:rPr>
        <w:t> </w:t>
      </w:r>
      <w:r w:rsidRPr="00CA61A6">
        <w:rPr>
          <w:rFonts w:eastAsia="SimSun"/>
          <w:bCs/>
          <w:lang w:eastAsia="ja-JP"/>
        </w:rPr>
        <w:t>5, la CE</w:t>
      </w:r>
      <w:r w:rsidR="008B5B32" w:rsidRPr="00CA61A6">
        <w:rPr>
          <w:rFonts w:eastAsia="SimSun"/>
          <w:bCs/>
          <w:lang w:eastAsia="ja-JP"/>
        </w:rPr>
        <w:t> </w:t>
      </w:r>
      <w:r w:rsidRPr="00CA61A6">
        <w:rPr>
          <w:rFonts w:eastAsia="SimSun"/>
          <w:bCs/>
          <w:lang w:eastAsia="ja-JP"/>
        </w:rPr>
        <w:t>11 y la CE</w:t>
      </w:r>
      <w:r w:rsidR="008B5B32" w:rsidRPr="00CA61A6">
        <w:rPr>
          <w:rFonts w:eastAsia="SimSun"/>
          <w:bCs/>
          <w:lang w:eastAsia="ja-JP"/>
        </w:rPr>
        <w:t> </w:t>
      </w:r>
      <w:r w:rsidRPr="00CA61A6">
        <w:rPr>
          <w:rFonts w:eastAsia="SimSun"/>
          <w:bCs/>
          <w:lang w:eastAsia="ja-JP"/>
        </w:rPr>
        <w:t>12 están considerando seguir el buen ejemplo dado por la CE</w:t>
      </w:r>
      <w:r w:rsidR="008B5B32" w:rsidRPr="00CA61A6">
        <w:rPr>
          <w:rFonts w:eastAsia="SimSun"/>
          <w:bCs/>
          <w:lang w:eastAsia="ja-JP"/>
        </w:rPr>
        <w:t> </w:t>
      </w:r>
      <w:r w:rsidRPr="00CA61A6">
        <w:rPr>
          <w:rFonts w:eastAsia="SimSun"/>
          <w:bCs/>
          <w:lang w:eastAsia="ja-JP"/>
        </w:rPr>
        <w:t>9.</w:t>
      </w:r>
    </w:p>
    <w:p w:rsidR="00766924" w:rsidRPr="00CA61A6" w:rsidRDefault="00110CAD" w:rsidP="00766924">
      <w:hyperlink w:anchor="Top" w:history="1">
        <w:r w:rsidR="00766924" w:rsidRPr="00CA61A6">
          <w:rPr>
            <w:rStyle w:val="Hyperlink"/>
          </w:rPr>
          <w:t>» Arriba</w:t>
        </w:r>
      </w:hyperlink>
    </w:p>
    <w:p w:rsidR="00450BDD" w:rsidRPr="00CA61A6" w:rsidRDefault="007273BF" w:rsidP="007273BF">
      <w:pPr>
        <w:pStyle w:val="Heading1"/>
      </w:pPr>
      <w:bookmarkStart w:id="733" w:name="_49_Resolución_81"/>
      <w:bookmarkStart w:id="734" w:name="_Toc463335800"/>
      <w:bookmarkEnd w:id="733"/>
      <w:r w:rsidRPr="00CA61A6">
        <w:t>49</w:t>
      </w:r>
      <w:r w:rsidRPr="00CA61A6">
        <w:tab/>
        <w:t xml:space="preserve">Resolución </w:t>
      </w:r>
      <w:r w:rsidR="00450BDD" w:rsidRPr="00CA61A6">
        <w:t>81</w:t>
      </w:r>
      <w:r w:rsidRPr="00CA61A6">
        <w:t xml:space="preserve"> – </w:t>
      </w:r>
      <w:r w:rsidR="00450BDD" w:rsidRPr="00CA61A6">
        <w:t>Fortalecimiento de la colaboración</w:t>
      </w:r>
      <w:bookmarkEnd w:id="734"/>
    </w:p>
    <w:p w:rsidR="00A37545" w:rsidRPr="00CA61A6" w:rsidRDefault="00A37545" w:rsidP="00A37545">
      <w:pPr>
        <w:pStyle w:val="Headingb"/>
        <w:keepLines/>
      </w:pPr>
      <w:r w:rsidRPr="00CA61A6">
        <w:t>Resolución 81</w:t>
      </w:r>
    </w:p>
    <w:p w:rsidR="00450BDD" w:rsidRPr="00CA61A6" w:rsidRDefault="00450BDD" w:rsidP="007B3478">
      <w:pPr>
        <w:pStyle w:val="Call"/>
      </w:pPr>
      <w:r w:rsidRPr="00CA61A6">
        <w:t>resuelve</w:t>
      </w:r>
    </w:p>
    <w:p w:rsidR="00450BDD" w:rsidRPr="00CA61A6" w:rsidRDefault="00450BDD" w:rsidP="007B3478">
      <w:r w:rsidRPr="00CA61A6">
        <w:t>1</w:t>
      </w:r>
      <w:r w:rsidRPr="00CA61A6">
        <w:tab/>
        <w:t>que el GANT prepare un plan de acción que permita:</w:t>
      </w:r>
    </w:p>
    <w:p w:rsidR="00450BDD" w:rsidRPr="00CA61A6" w:rsidRDefault="00450BDD" w:rsidP="007B3478">
      <w:pPr>
        <w:pStyle w:val="enumlev1"/>
      </w:pPr>
      <w:r w:rsidRPr="00CA61A6">
        <w:t>•</w:t>
      </w:r>
      <w:r w:rsidRPr="00CA61A6">
        <w:tab/>
        <w:t>identificar los aspectos que es preciso mejorar, teniendo en cuenta los resultados de la reunión CTO y del SMN;</w:t>
      </w:r>
    </w:p>
    <w:p w:rsidR="00450BDD" w:rsidRPr="00CA61A6" w:rsidRDefault="00450BDD" w:rsidP="007B3478">
      <w:pPr>
        <w:pStyle w:val="enumlev1"/>
        <w:rPr>
          <w:color w:val="000000"/>
          <w:szCs w:val="24"/>
        </w:rPr>
      </w:pPr>
      <w:r w:rsidRPr="00CA61A6">
        <w:rPr>
          <w:color w:val="000000"/>
          <w:szCs w:val="24"/>
        </w:rPr>
        <w:t>•</w:t>
      </w:r>
      <w:r w:rsidRPr="00CA61A6">
        <w:rPr>
          <w:color w:val="000000"/>
          <w:szCs w:val="24"/>
        </w:rPr>
        <w:tab/>
        <w:t>crear un mecanismo interno en el UIT-T para lograr este objetivo; y</w:t>
      </w:r>
    </w:p>
    <w:p w:rsidR="00450BDD" w:rsidRPr="00CA61A6" w:rsidRDefault="00450BDD" w:rsidP="007B3478">
      <w:pPr>
        <w:pStyle w:val="enumlev1"/>
        <w:rPr>
          <w:color w:val="000000"/>
          <w:szCs w:val="24"/>
        </w:rPr>
      </w:pPr>
      <w:r w:rsidRPr="00CA61A6">
        <w:rPr>
          <w:color w:val="000000"/>
          <w:szCs w:val="24"/>
        </w:rPr>
        <w:t>•</w:t>
      </w:r>
      <w:r w:rsidRPr="00CA61A6">
        <w:rPr>
          <w:color w:val="000000"/>
          <w:szCs w:val="24"/>
        </w:rPr>
        <w:tab/>
        <w:t>documentar este mecanismo definiendo etapas concretas sobre cómo mejorar la coordinación de actividades con otros organismos de normalización pertinentes en relación con la preparación de nuevas Cuestiones relativas a nuevos ámbitos y nuevos temas de estudio para dichas Cuestiones;</w:t>
      </w:r>
    </w:p>
    <w:p w:rsidR="00450BDD" w:rsidRPr="00CA61A6" w:rsidRDefault="00450BDD" w:rsidP="007B3478">
      <w:r w:rsidRPr="00CA61A6">
        <w:t>2</w:t>
      </w:r>
      <w:r w:rsidRPr="00CA61A6">
        <w:rPr>
          <w:b/>
        </w:rPr>
        <w:tab/>
      </w:r>
      <w:r w:rsidRPr="00CA61A6">
        <w:t>que este mecanismo, que podría ser un Grupo de Trabajo o un Grupo del GANT, y podría trabajar además entre las reuniones del GANT con el fin de asegurar la continuidad de los debates sobre este tema:</w:t>
      </w:r>
    </w:p>
    <w:p w:rsidR="00450BDD" w:rsidRPr="00CA61A6" w:rsidRDefault="00450BDD" w:rsidP="007B3478">
      <w:pPr>
        <w:pStyle w:val="enumlev1"/>
      </w:pPr>
      <w:r w:rsidRPr="00CA61A6">
        <w:t>•</w:t>
      </w:r>
      <w:r w:rsidRPr="00CA61A6">
        <w:tab/>
        <w:t>lleve a cabo las actividades necesarias, entre ellas dar a conocer la voluntad del UIT-T de trabajar con otros organismos de normalización para mejorar la cooperación;</w:t>
      </w:r>
    </w:p>
    <w:p w:rsidR="00450BDD" w:rsidRPr="00CA61A6" w:rsidRDefault="00450BDD" w:rsidP="007B3478">
      <w:pPr>
        <w:pStyle w:val="enumlev1"/>
      </w:pPr>
      <w:r w:rsidRPr="00CA61A6">
        <w:t>•</w:t>
      </w:r>
      <w:r w:rsidRPr="00CA61A6">
        <w:tab/>
        <w:t>remita un informe al GANT sobre los resultados de las medidas adoptadas, que luego se transmitirá a la AMNT-16,</w:t>
      </w:r>
    </w:p>
    <w:p w:rsidR="00450BDD" w:rsidRPr="00CA61A6" w:rsidRDefault="00450BDD" w:rsidP="007B3478">
      <w:pPr>
        <w:pStyle w:val="Call"/>
      </w:pPr>
      <w:r w:rsidRPr="00CA61A6">
        <w:t>invita al GANT</w:t>
      </w:r>
    </w:p>
    <w:p w:rsidR="00450BDD" w:rsidRDefault="00450BDD" w:rsidP="00881D96">
      <w:pPr>
        <w:spacing w:after="120"/>
      </w:pPr>
      <w:r w:rsidRPr="00CA61A6">
        <w:t>a establecer y mantener una estrecha relación con el Comité de Examen con miras a desarrollar sinergias destinadas a la elaboración de Recomendaciones con el objetivo de fortalecer la colaboración entre el UIT-T y otros organismos de normalización.</w:t>
      </w:r>
    </w:p>
    <w:p w:rsidR="009574ED" w:rsidRPr="00CA61A6" w:rsidRDefault="009574ED" w:rsidP="00881D96">
      <w:pPr>
        <w:spacing w:after="120"/>
      </w:pPr>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2"/>
        <w:gridCol w:w="4807"/>
        <w:gridCol w:w="1574"/>
        <w:gridCol w:w="1148"/>
        <w:gridCol w:w="1261"/>
      </w:tblGrid>
      <w:tr w:rsidR="00450BDD" w:rsidRPr="00CA61A6" w:rsidTr="009574ED">
        <w:trPr>
          <w:cantSplit/>
          <w:tblHeader/>
          <w:jc w:val="center"/>
        </w:trPr>
        <w:tc>
          <w:tcPr>
            <w:tcW w:w="1142" w:type="dxa"/>
            <w:tcBorders>
              <w:bottom w:val="double" w:sz="4" w:space="0" w:color="auto"/>
            </w:tcBorders>
            <w:shd w:val="clear" w:color="auto" w:fill="auto"/>
            <w:vAlign w:val="center"/>
          </w:tcPr>
          <w:p w:rsidR="00450BDD" w:rsidRPr="00CA61A6" w:rsidRDefault="00450BDD" w:rsidP="00D64893">
            <w:pPr>
              <w:pStyle w:val="Tablehead"/>
            </w:pPr>
            <w:r w:rsidRPr="00CA61A6">
              <w:lastRenderedPageBreak/>
              <w:t>Número</w:t>
            </w:r>
          </w:p>
        </w:tc>
        <w:tc>
          <w:tcPr>
            <w:tcW w:w="4807" w:type="dxa"/>
            <w:tcBorders>
              <w:bottom w:val="double" w:sz="4" w:space="0" w:color="auto"/>
            </w:tcBorders>
            <w:shd w:val="clear" w:color="auto" w:fill="auto"/>
            <w:vAlign w:val="center"/>
            <w:hideMark/>
          </w:tcPr>
          <w:p w:rsidR="00450BDD" w:rsidRPr="00CA61A6" w:rsidRDefault="00450BDD" w:rsidP="00D64893">
            <w:pPr>
              <w:pStyle w:val="Tablehead"/>
            </w:pPr>
            <w:r w:rsidRPr="00CA61A6">
              <w:t>Acción</w:t>
            </w:r>
          </w:p>
        </w:tc>
        <w:tc>
          <w:tcPr>
            <w:tcW w:w="1574" w:type="dxa"/>
            <w:tcBorders>
              <w:bottom w:val="double" w:sz="4" w:space="0" w:color="auto"/>
            </w:tcBorders>
            <w:shd w:val="clear" w:color="auto" w:fill="auto"/>
            <w:vAlign w:val="center"/>
            <w:hideMark/>
          </w:tcPr>
          <w:p w:rsidR="00450BDD" w:rsidRPr="00CA61A6" w:rsidRDefault="00450BDD" w:rsidP="00D64893">
            <w:pPr>
              <w:pStyle w:val="Tablehead"/>
            </w:pPr>
            <w:r w:rsidRPr="00CA61A6">
              <w:t>Fecha objetivo</w:t>
            </w:r>
          </w:p>
        </w:tc>
        <w:tc>
          <w:tcPr>
            <w:tcW w:w="1148" w:type="dxa"/>
            <w:tcBorders>
              <w:bottom w:val="double" w:sz="4" w:space="0" w:color="auto"/>
            </w:tcBorders>
            <w:shd w:val="clear" w:color="auto" w:fill="auto"/>
          </w:tcPr>
          <w:p w:rsidR="00450BDD" w:rsidRPr="00CA61A6" w:rsidRDefault="00450BDD" w:rsidP="00D64893">
            <w:pPr>
              <w:pStyle w:val="Tablehead"/>
            </w:pPr>
            <w:r w:rsidRPr="00CA61A6">
              <w:t>Objetivos periódicos cumplidos</w:t>
            </w:r>
          </w:p>
        </w:tc>
        <w:tc>
          <w:tcPr>
            <w:tcW w:w="1261" w:type="dxa"/>
            <w:tcBorders>
              <w:bottom w:val="double" w:sz="4" w:space="0" w:color="auto"/>
            </w:tcBorders>
            <w:shd w:val="clear" w:color="auto" w:fill="auto"/>
            <w:vAlign w:val="center"/>
          </w:tcPr>
          <w:p w:rsidR="00450BDD" w:rsidRPr="00CA61A6" w:rsidRDefault="00450BDD" w:rsidP="00D64893">
            <w:pPr>
              <w:pStyle w:val="Tablehead"/>
            </w:pPr>
            <w:r w:rsidRPr="00CA61A6">
              <w:t>Completada</w:t>
            </w:r>
          </w:p>
        </w:tc>
      </w:tr>
      <w:tr w:rsidR="00450BDD" w:rsidRPr="00CA61A6" w:rsidTr="009574ED">
        <w:trPr>
          <w:cantSplit/>
          <w:jc w:val="center"/>
        </w:trPr>
        <w:tc>
          <w:tcPr>
            <w:tcW w:w="1142" w:type="dxa"/>
            <w:tcBorders>
              <w:top w:val="double" w:sz="4" w:space="0" w:color="auto"/>
            </w:tcBorders>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81_01_02" w:history="1">
              <w:r w:rsidR="00450BDD" w:rsidRPr="00FA139E">
                <w:rPr>
                  <w:rStyle w:val="Hyperlink"/>
                  <w:sz w:val="20"/>
                </w:rPr>
                <w:t>81-01</w:t>
              </w:r>
            </w:hyperlink>
          </w:p>
        </w:tc>
        <w:tc>
          <w:tcPr>
            <w:tcW w:w="4807" w:type="dxa"/>
            <w:tcBorders>
              <w:top w:val="double" w:sz="4" w:space="0" w:color="auto"/>
            </w:tcBorders>
            <w:shd w:val="clear" w:color="auto" w:fill="auto"/>
            <w:hideMark/>
          </w:tcPr>
          <w:p w:rsidR="00450BDD" w:rsidRPr="00CA61A6" w:rsidRDefault="001E7267" w:rsidP="001E7267">
            <w:pPr>
              <w:pStyle w:val="Tabletext"/>
            </w:pPr>
            <w:r>
              <w:t>E</w:t>
            </w:r>
            <w:r w:rsidR="00450BDD" w:rsidRPr="00CA61A6">
              <w:t>l GANT prepar</w:t>
            </w:r>
            <w:r>
              <w:t>ará</w:t>
            </w:r>
            <w:r w:rsidR="00450BDD" w:rsidRPr="00CA61A6">
              <w:t xml:space="preserve"> un plan de acción y un mecanismo para definir las fases de mejora de la coordinación con otros organismos de normalización a la hora de elaborar nuevas Cuestiones sobre nuevos ámbitos y temas de estudio</w:t>
            </w:r>
          </w:p>
        </w:tc>
        <w:tc>
          <w:tcPr>
            <w:tcW w:w="1574" w:type="dxa"/>
            <w:tcBorders>
              <w:top w:val="double" w:sz="4" w:space="0" w:color="auto"/>
            </w:tcBorders>
            <w:shd w:val="clear" w:color="auto" w:fill="auto"/>
            <w:vAlign w:val="center"/>
            <w:hideMark/>
          </w:tcPr>
          <w:p w:rsidR="00450BDD" w:rsidRPr="00CA61A6" w:rsidRDefault="00450BDD" w:rsidP="00D64893">
            <w:pPr>
              <w:pStyle w:val="Tabletext"/>
              <w:jc w:val="center"/>
            </w:pPr>
            <w:r w:rsidRPr="00CA61A6">
              <w:t>En curso</w:t>
            </w:r>
          </w:p>
        </w:tc>
        <w:tc>
          <w:tcPr>
            <w:tcW w:w="1148" w:type="dxa"/>
            <w:tcBorders>
              <w:top w:val="double" w:sz="4" w:space="0" w:color="auto"/>
            </w:tcBorders>
            <w:shd w:val="clear" w:color="auto" w:fill="auto"/>
            <w:vAlign w:val="center"/>
          </w:tcPr>
          <w:p w:rsidR="00450BDD" w:rsidRPr="00CA61A6" w:rsidRDefault="00D64893" w:rsidP="00D64893">
            <w:pPr>
              <w:pStyle w:val="Tabletext"/>
              <w:jc w:val="center"/>
            </w:pPr>
            <w:r w:rsidRPr="00CA61A6">
              <w:sym w:font="Wingdings" w:char="F0FC"/>
            </w:r>
          </w:p>
        </w:tc>
        <w:tc>
          <w:tcPr>
            <w:tcW w:w="1261" w:type="dxa"/>
            <w:tcBorders>
              <w:top w:val="double" w:sz="4" w:space="0" w:color="auto"/>
            </w:tcBorders>
            <w:shd w:val="clear" w:color="auto" w:fill="auto"/>
            <w:vAlign w:val="center"/>
          </w:tcPr>
          <w:p w:rsidR="00450BDD" w:rsidRPr="00CA61A6" w:rsidRDefault="00450BDD" w:rsidP="00D64893">
            <w:pPr>
              <w:pStyle w:val="Tabletext"/>
              <w:jc w:val="center"/>
            </w:pPr>
          </w:p>
        </w:tc>
      </w:tr>
      <w:tr w:rsidR="00450BDD" w:rsidRPr="00CA61A6" w:rsidTr="009574ED">
        <w:trPr>
          <w:cantSplit/>
          <w:jc w:val="center"/>
        </w:trPr>
        <w:tc>
          <w:tcPr>
            <w:tcW w:w="1142" w:type="dxa"/>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81_01_02" w:history="1">
              <w:r w:rsidR="00450BDD" w:rsidRPr="00FA139E">
                <w:rPr>
                  <w:rStyle w:val="Hyperlink"/>
                  <w:sz w:val="20"/>
                </w:rPr>
                <w:t>81-02</w:t>
              </w:r>
            </w:hyperlink>
          </w:p>
        </w:tc>
        <w:tc>
          <w:tcPr>
            <w:tcW w:w="4807" w:type="dxa"/>
            <w:shd w:val="clear" w:color="auto" w:fill="auto"/>
          </w:tcPr>
          <w:p w:rsidR="00450BDD" w:rsidRPr="00CA61A6" w:rsidRDefault="00330C3E" w:rsidP="00330C3E">
            <w:pPr>
              <w:pStyle w:val="Tabletext"/>
            </w:pPr>
            <w:r>
              <w:t>E</w:t>
            </w:r>
            <w:r w:rsidR="00450BDD" w:rsidRPr="00CA61A6">
              <w:t>l GANT cre</w:t>
            </w:r>
            <w:r>
              <w:t>ará</w:t>
            </w:r>
            <w:r w:rsidR="00450BDD" w:rsidRPr="00CA61A6">
              <w:t xml:space="preserve"> un Grupo de Trabajo para estudiar este asunto y rendirle informe</w:t>
            </w:r>
          </w:p>
        </w:tc>
        <w:tc>
          <w:tcPr>
            <w:tcW w:w="1574" w:type="dxa"/>
            <w:shd w:val="clear" w:color="auto" w:fill="auto"/>
            <w:vAlign w:val="center"/>
          </w:tcPr>
          <w:p w:rsidR="00450BDD" w:rsidRPr="00CA61A6" w:rsidRDefault="00450BDD" w:rsidP="00D64893">
            <w:pPr>
              <w:pStyle w:val="Tabletext"/>
              <w:jc w:val="center"/>
            </w:pPr>
            <w:r w:rsidRPr="00CA61A6">
              <w:t>En curso</w:t>
            </w:r>
          </w:p>
        </w:tc>
        <w:tc>
          <w:tcPr>
            <w:tcW w:w="1148" w:type="dxa"/>
            <w:shd w:val="clear" w:color="auto" w:fill="auto"/>
            <w:vAlign w:val="center"/>
          </w:tcPr>
          <w:p w:rsidR="00450BDD" w:rsidRPr="00CA61A6" w:rsidRDefault="00D64893" w:rsidP="00D64893">
            <w:pPr>
              <w:pStyle w:val="Tabletext"/>
              <w:jc w:val="center"/>
            </w:pPr>
            <w:r w:rsidRPr="00CA61A6">
              <w:sym w:font="Wingdings" w:char="F0FC"/>
            </w:r>
          </w:p>
        </w:tc>
        <w:tc>
          <w:tcPr>
            <w:tcW w:w="1261" w:type="dxa"/>
            <w:shd w:val="clear" w:color="auto" w:fill="auto"/>
            <w:vAlign w:val="center"/>
          </w:tcPr>
          <w:p w:rsidR="00450BDD" w:rsidRPr="00CA61A6" w:rsidRDefault="00450BDD" w:rsidP="00D64893">
            <w:pPr>
              <w:pStyle w:val="Tabletext"/>
              <w:jc w:val="center"/>
            </w:pPr>
          </w:p>
        </w:tc>
      </w:tr>
      <w:tr w:rsidR="00450BDD" w:rsidRPr="00CA61A6" w:rsidTr="009574ED">
        <w:trPr>
          <w:cantSplit/>
          <w:jc w:val="center"/>
        </w:trPr>
        <w:tc>
          <w:tcPr>
            <w:tcW w:w="1142" w:type="dxa"/>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81_03" w:history="1">
              <w:r w:rsidR="00450BDD" w:rsidRPr="00FA139E">
                <w:rPr>
                  <w:rStyle w:val="Hyperlink"/>
                  <w:sz w:val="20"/>
                </w:rPr>
                <w:t>81-03</w:t>
              </w:r>
            </w:hyperlink>
          </w:p>
        </w:tc>
        <w:tc>
          <w:tcPr>
            <w:tcW w:w="4807" w:type="dxa"/>
            <w:shd w:val="clear" w:color="auto" w:fill="auto"/>
            <w:hideMark/>
          </w:tcPr>
          <w:p w:rsidR="00450BDD" w:rsidRPr="00CA61A6" w:rsidRDefault="00330C3E" w:rsidP="00330C3E">
            <w:pPr>
              <w:pStyle w:val="Tabletext"/>
            </w:pPr>
            <w:r>
              <w:t>E</w:t>
            </w:r>
            <w:r w:rsidR="00450BDD" w:rsidRPr="00CA61A6">
              <w:t>l GANT r</w:t>
            </w:r>
            <w:r>
              <w:t>endirá</w:t>
            </w:r>
            <w:r w:rsidR="00450BDD" w:rsidRPr="00CA61A6">
              <w:t xml:space="preserve"> informe a la AMNT-16</w:t>
            </w:r>
          </w:p>
        </w:tc>
        <w:tc>
          <w:tcPr>
            <w:tcW w:w="1574" w:type="dxa"/>
            <w:shd w:val="clear" w:color="auto" w:fill="auto"/>
            <w:vAlign w:val="center"/>
          </w:tcPr>
          <w:p w:rsidR="00450BDD" w:rsidRPr="00CA61A6" w:rsidRDefault="00450BDD" w:rsidP="00D64893">
            <w:pPr>
              <w:pStyle w:val="Tabletext"/>
              <w:jc w:val="center"/>
            </w:pPr>
            <w:r w:rsidRPr="00CA61A6">
              <w:t>GANT 2016</w:t>
            </w:r>
          </w:p>
        </w:tc>
        <w:tc>
          <w:tcPr>
            <w:tcW w:w="1148" w:type="dxa"/>
            <w:shd w:val="clear" w:color="auto" w:fill="auto"/>
            <w:vAlign w:val="center"/>
          </w:tcPr>
          <w:p w:rsidR="00450BDD" w:rsidRPr="00CA61A6" w:rsidRDefault="00D64893" w:rsidP="00D64893">
            <w:pPr>
              <w:pStyle w:val="Tabletext"/>
              <w:jc w:val="center"/>
            </w:pPr>
            <w:r w:rsidRPr="00CA61A6">
              <w:sym w:font="Wingdings" w:char="F0FC"/>
            </w:r>
          </w:p>
        </w:tc>
        <w:tc>
          <w:tcPr>
            <w:tcW w:w="1261" w:type="dxa"/>
            <w:shd w:val="clear" w:color="auto" w:fill="auto"/>
            <w:vAlign w:val="center"/>
          </w:tcPr>
          <w:p w:rsidR="00450BDD" w:rsidRPr="00CA61A6" w:rsidRDefault="00450BDD" w:rsidP="00D64893">
            <w:pPr>
              <w:pStyle w:val="Tabletext"/>
              <w:jc w:val="center"/>
            </w:pPr>
          </w:p>
        </w:tc>
      </w:tr>
    </w:tbl>
    <w:p w:rsidR="00450BDD" w:rsidRPr="00CA61A6" w:rsidRDefault="00124488" w:rsidP="00124488">
      <w:pPr>
        <w:pStyle w:val="Headingb"/>
        <w:keepLines/>
      </w:pPr>
      <w:bookmarkStart w:id="735" w:name="Item81_01_02"/>
      <w:r w:rsidRPr="00CA61A6">
        <w:t xml:space="preserve">Acciones </w:t>
      </w:r>
      <w:r w:rsidR="00450BDD" w:rsidRPr="00CA61A6">
        <w:t>81-01 y 81-02: GANT</w:t>
      </w:r>
    </w:p>
    <w:bookmarkEnd w:id="735"/>
    <w:p w:rsidR="00450BDD" w:rsidRPr="00CA61A6" w:rsidRDefault="00450BDD" w:rsidP="007B3478">
      <w:pPr>
        <w:rPr>
          <w:rFonts w:eastAsia="SimSun"/>
          <w:szCs w:val="24"/>
          <w:lang w:eastAsia="ja-JP"/>
        </w:rPr>
      </w:pPr>
      <w:r w:rsidRPr="00CA61A6">
        <w:rPr>
          <w:rFonts w:eastAsia="SimSun"/>
          <w:szCs w:val="24"/>
          <w:lang w:eastAsia="ja-JP"/>
        </w:rPr>
        <w:t>En su reunión de junio de 2013 el GANT creó el Grupo de Relator del GANT sobre el fortalecimiento de la colaboración y le otorgó un mandato. El Grupo ha celebrado las siguientes reuniones:</w:t>
      </w:r>
    </w:p>
    <w:p w:rsidR="00450BDD" w:rsidRPr="00CA61A6" w:rsidRDefault="00734C1B" w:rsidP="00734C1B">
      <w:pPr>
        <w:pStyle w:val="enumlev1"/>
        <w:rPr>
          <w:rFonts w:eastAsia="SimSun"/>
          <w:lang w:eastAsia="ja-JP"/>
        </w:rPr>
      </w:pPr>
      <w:r w:rsidRPr="00CA61A6">
        <w:rPr>
          <w:rFonts w:eastAsia="SimSun"/>
          <w:lang w:eastAsia="ja-JP"/>
        </w:rPr>
        <w:t>–</w:t>
      </w:r>
      <w:r w:rsidRPr="00CA61A6">
        <w:rPr>
          <w:rFonts w:eastAsia="SimSun"/>
          <w:lang w:eastAsia="ja-JP"/>
        </w:rPr>
        <w:tab/>
      </w:r>
      <w:r w:rsidR="00450BDD" w:rsidRPr="00CA61A6">
        <w:rPr>
          <w:rFonts w:eastAsia="SimSun"/>
          <w:lang w:eastAsia="ja-JP"/>
        </w:rPr>
        <w:t>Reunión elect</w:t>
      </w:r>
      <w:r w:rsidRPr="00CA61A6">
        <w:rPr>
          <w:rFonts w:eastAsia="SimSun"/>
          <w:lang w:eastAsia="ja-JP"/>
        </w:rPr>
        <w:t>rónica el 17 de octubre de 2013.</w:t>
      </w:r>
    </w:p>
    <w:p w:rsidR="00450BDD" w:rsidRPr="00CA61A6" w:rsidRDefault="00734C1B" w:rsidP="00734C1B">
      <w:pPr>
        <w:pStyle w:val="enumlev1"/>
        <w:rPr>
          <w:rFonts w:eastAsia="SimSun"/>
          <w:lang w:eastAsia="ja-JP"/>
        </w:rPr>
      </w:pPr>
      <w:r w:rsidRPr="00CA61A6">
        <w:rPr>
          <w:rFonts w:eastAsia="SimSun"/>
          <w:lang w:eastAsia="ja-JP"/>
        </w:rPr>
        <w:t>–</w:t>
      </w:r>
      <w:r w:rsidRPr="00CA61A6">
        <w:rPr>
          <w:rFonts w:eastAsia="SimSun"/>
          <w:lang w:eastAsia="ja-JP"/>
        </w:rPr>
        <w:tab/>
      </w:r>
      <w:r w:rsidR="00450BDD" w:rsidRPr="00CA61A6">
        <w:rPr>
          <w:rFonts w:eastAsia="SimSun"/>
          <w:lang w:eastAsia="ja-JP"/>
        </w:rPr>
        <w:t>Reunión presencial los días 14 y 15 de enero de 2014</w:t>
      </w:r>
      <w:r w:rsidRPr="00CA61A6">
        <w:rPr>
          <w:rFonts w:eastAsia="SimSun"/>
          <w:lang w:eastAsia="ja-JP"/>
        </w:rPr>
        <w:t>.</w:t>
      </w:r>
    </w:p>
    <w:p w:rsidR="00450BDD" w:rsidRPr="00CA61A6" w:rsidRDefault="00734C1B" w:rsidP="00734C1B">
      <w:pPr>
        <w:pStyle w:val="enumlev1"/>
        <w:rPr>
          <w:rFonts w:eastAsia="SimSun"/>
          <w:lang w:eastAsia="ja-JP"/>
        </w:rPr>
      </w:pPr>
      <w:r w:rsidRPr="00CA61A6">
        <w:rPr>
          <w:rFonts w:eastAsia="SimSun"/>
          <w:lang w:eastAsia="ja-JP"/>
        </w:rPr>
        <w:t>–</w:t>
      </w:r>
      <w:r w:rsidRPr="00CA61A6">
        <w:rPr>
          <w:rFonts w:eastAsia="SimSun"/>
          <w:lang w:eastAsia="ja-JP"/>
        </w:rPr>
        <w:tab/>
      </w:r>
      <w:r w:rsidR="00450BDD" w:rsidRPr="00CA61A6">
        <w:rPr>
          <w:rFonts w:eastAsia="SimSun"/>
          <w:lang w:eastAsia="ja-JP"/>
        </w:rPr>
        <w:t>Reunión electrónica el 17 de abril de 2014</w:t>
      </w:r>
      <w:r w:rsidRPr="00CA61A6">
        <w:rPr>
          <w:rFonts w:eastAsia="SimSun"/>
          <w:lang w:eastAsia="ja-JP"/>
        </w:rPr>
        <w:t>.</w:t>
      </w:r>
    </w:p>
    <w:p w:rsidR="00450BDD" w:rsidRPr="00CA61A6" w:rsidRDefault="00734C1B" w:rsidP="00734C1B">
      <w:pPr>
        <w:pStyle w:val="enumlev1"/>
        <w:rPr>
          <w:rFonts w:eastAsia="SimSun"/>
          <w:lang w:eastAsia="ja-JP"/>
        </w:rPr>
      </w:pPr>
      <w:r w:rsidRPr="00CA61A6">
        <w:rPr>
          <w:rFonts w:eastAsia="SimSun"/>
          <w:lang w:eastAsia="ja-JP"/>
        </w:rPr>
        <w:t>–</w:t>
      </w:r>
      <w:r w:rsidRPr="00CA61A6">
        <w:rPr>
          <w:rFonts w:eastAsia="SimSun"/>
          <w:lang w:eastAsia="ja-JP"/>
        </w:rPr>
        <w:tab/>
      </w:r>
      <w:r w:rsidR="00450BDD" w:rsidRPr="00CA61A6">
        <w:rPr>
          <w:rFonts w:eastAsia="SimSun"/>
          <w:lang w:eastAsia="ja-JP"/>
        </w:rPr>
        <w:t>Reunión presencial en junio de 2014 (GANT)</w:t>
      </w:r>
      <w:r w:rsidRPr="00CA61A6">
        <w:rPr>
          <w:rFonts w:eastAsia="SimSun"/>
          <w:lang w:eastAsia="ja-JP"/>
        </w:rPr>
        <w:t>.</w:t>
      </w:r>
    </w:p>
    <w:p w:rsidR="00450BDD" w:rsidRPr="00CA61A6" w:rsidRDefault="00734C1B" w:rsidP="00734C1B">
      <w:pPr>
        <w:pStyle w:val="enumlev1"/>
        <w:rPr>
          <w:rFonts w:eastAsia="SimSun"/>
          <w:lang w:eastAsia="ja-JP"/>
        </w:rPr>
      </w:pPr>
      <w:r w:rsidRPr="00CA61A6">
        <w:rPr>
          <w:rFonts w:eastAsia="SimSun"/>
          <w:lang w:eastAsia="ja-JP"/>
        </w:rPr>
        <w:t>–</w:t>
      </w:r>
      <w:r w:rsidRPr="00CA61A6">
        <w:rPr>
          <w:rFonts w:eastAsia="SimSun"/>
          <w:lang w:eastAsia="ja-JP"/>
        </w:rPr>
        <w:tab/>
      </w:r>
      <w:r w:rsidR="00450BDD" w:rsidRPr="00CA61A6">
        <w:rPr>
          <w:rFonts w:eastAsia="SimSun"/>
          <w:lang w:eastAsia="ja-JP"/>
        </w:rPr>
        <w:t>Reunión electrónica el 20 de noviembre de 2014</w:t>
      </w:r>
      <w:r w:rsidRPr="00CA61A6">
        <w:rPr>
          <w:rFonts w:eastAsia="SimSun"/>
          <w:lang w:eastAsia="ja-JP"/>
        </w:rPr>
        <w:t>.</w:t>
      </w:r>
    </w:p>
    <w:p w:rsidR="00450BDD" w:rsidRPr="00CA61A6" w:rsidRDefault="00734C1B" w:rsidP="00734C1B">
      <w:pPr>
        <w:pStyle w:val="enumlev1"/>
        <w:rPr>
          <w:rFonts w:eastAsia="SimSun"/>
          <w:lang w:eastAsia="ja-JP"/>
        </w:rPr>
      </w:pPr>
      <w:r w:rsidRPr="00CA61A6">
        <w:rPr>
          <w:rFonts w:eastAsia="SimSun"/>
          <w:lang w:eastAsia="ja-JP"/>
        </w:rPr>
        <w:t>–</w:t>
      </w:r>
      <w:r w:rsidRPr="00CA61A6">
        <w:rPr>
          <w:rFonts w:eastAsia="SimSun"/>
          <w:lang w:eastAsia="ja-JP"/>
        </w:rPr>
        <w:tab/>
      </w:r>
      <w:r w:rsidR="00450BDD" w:rsidRPr="00CA61A6">
        <w:rPr>
          <w:rFonts w:eastAsia="SimSun"/>
          <w:lang w:eastAsia="ja-JP"/>
        </w:rPr>
        <w:t>Reunión presencial en Túnez los días 22 y 23 de enero de 2015</w:t>
      </w:r>
      <w:r w:rsidRPr="00CA61A6">
        <w:rPr>
          <w:rFonts w:eastAsia="SimSun"/>
          <w:lang w:eastAsia="ja-JP"/>
        </w:rPr>
        <w:t>.</w:t>
      </w:r>
    </w:p>
    <w:p w:rsidR="00450BDD" w:rsidRPr="00CA61A6" w:rsidRDefault="00734C1B" w:rsidP="00734C1B">
      <w:pPr>
        <w:pStyle w:val="enumlev1"/>
        <w:rPr>
          <w:rFonts w:eastAsia="SimSun"/>
          <w:lang w:eastAsia="ja-JP"/>
        </w:rPr>
      </w:pPr>
      <w:r w:rsidRPr="00CA61A6">
        <w:rPr>
          <w:rFonts w:eastAsia="SimSun"/>
          <w:lang w:eastAsia="ja-JP"/>
        </w:rPr>
        <w:t>–</w:t>
      </w:r>
      <w:r w:rsidRPr="00CA61A6">
        <w:rPr>
          <w:rFonts w:eastAsia="SimSun"/>
          <w:lang w:eastAsia="ja-JP"/>
        </w:rPr>
        <w:tab/>
      </w:r>
      <w:r w:rsidR="00450BDD" w:rsidRPr="00CA61A6">
        <w:rPr>
          <w:rFonts w:eastAsia="SimSun"/>
          <w:lang w:eastAsia="ja-JP"/>
        </w:rPr>
        <w:t>Reunión electrónica el 23 de abril de 2015</w:t>
      </w:r>
      <w:r w:rsidRPr="00CA61A6">
        <w:rPr>
          <w:rFonts w:eastAsia="SimSun"/>
          <w:lang w:eastAsia="ja-JP"/>
        </w:rPr>
        <w:t>.</w:t>
      </w:r>
    </w:p>
    <w:p w:rsidR="00450BDD" w:rsidRPr="00CA61A6" w:rsidRDefault="00734C1B" w:rsidP="00734C1B">
      <w:pPr>
        <w:pStyle w:val="enumlev1"/>
        <w:rPr>
          <w:rFonts w:eastAsia="SimSun"/>
          <w:lang w:eastAsia="ja-JP"/>
        </w:rPr>
      </w:pPr>
      <w:r w:rsidRPr="00CA61A6">
        <w:rPr>
          <w:rFonts w:eastAsia="SimSun"/>
          <w:lang w:eastAsia="ja-JP"/>
        </w:rPr>
        <w:t>–</w:t>
      </w:r>
      <w:r w:rsidRPr="00CA61A6">
        <w:rPr>
          <w:rFonts w:eastAsia="SimSun"/>
          <w:lang w:eastAsia="ja-JP"/>
        </w:rPr>
        <w:tab/>
      </w:r>
      <w:r w:rsidR="00450BDD" w:rsidRPr="00CA61A6">
        <w:rPr>
          <w:rFonts w:eastAsia="SimSun"/>
          <w:lang w:eastAsia="ja-JP"/>
        </w:rPr>
        <w:t>Reunión presencial en junio de 2015 (GANT)</w:t>
      </w:r>
      <w:r w:rsidRPr="00CA61A6">
        <w:rPr>
          <w:rFonts w:eastAsia="SimSun"/>
          <w:lang w:eastAsia="ja-JP"/>
        </w:rPr>
        <w:t>.</w:t>
      </w:r>
    </w:p>
    <w:p w:rsidR="00450BDD" w:rsidRPr="00CA61A6" w:rsidRDefault="00734C1B" w:rsidP="00734C1B">
      <w:pPr>
        <w:pStyle w:val="enumlev1"/>
        <w:rPr>
          <w:rFonts w:eastAsia="SimSun"/>
          <w:lang w:eastAsia="ja-JP"/>
        </w:rPr>
      </w:pPr>
      <w:r w:rsidRPr="00CA61A6">
        <w:rPr>
          <w:rFonts w:eastAsia="SimSun"/>
          <w:lang w:eastAsia="ja-JP"/>
        </w:rPr>
        <w:t>–</w:t>
      </w:r>
      <w:r w:rsidRPr="00CA61A6">
        <w:rPr>
          <w:rFonts w:eastAsia="SimSun"/>
          <w:lang w:eastAsia="ja-JP"/>
        </w:rPr>
        <w:tab/>
      </w:r>
      <w:r w:rsidR="00450BDD" w:rsidRPr="00CA61A6">
        <w:rPr>
          <w:rFonts w:eastAsia="SimSun"/>
          <w:lang w:eastAsia="ja-JP"/>
        </w:rPr>
        <w:t>Reunión electrónica el 8 de octubre de 2015</w:t>
      </w:r>
      <w:r w:rsidRPr="00CA61A6">
        <w:rPr>
          <w:rFonts w:eastAsia="SimSun"/>
          <w:lang w:eastAsia="ja-JP"/>
        </w:rPr>
        <w:t>.</w:t>
      </w:r>
    </w:p>
    <w:p w:rsidR="00450BDD" w:rsidRPr="00CA61A6" w:rsidRDefault="00734C1B" w:rsidP="00734C1B">
      <w:pPr>
        <w:pStyle w:val="enumlev1"/>
        <w:rPr>
          <w:rFonts w:eastAsia="SimSun"/>
          <w:lang w:eastAsia="ja-JP"/>
        </w:rPr>
      </w:pPr>
      <w:r w:rsidRPr="00CA61A6">
        <w:rPr>
          <w:rFonts w:eastAsia="SimSun"/>
          <w:lang w:eastAsia="ja-JP"/>
        </w:rPr>
        <w:t>–</w:t>
      </w:r>
      <w:r w:rsidRPr="00CA61A6">
        <w:rPr>
          <w:rFonts w:eastAsia="SimSun"/>
          <w:lang w:eastAsia="ja-JP"/>
        </w:rPr>
        <w:tab/>
      </w:r>
      <w:r w:rsidR="00450BDD" w:rsidRPr="00CA61A6">
        <w:rPr>
          <w:rFonts w:eastAsia="SimSun"/>
          <w:lang w:eastAsia="ja-JP"/>
        </w:rPr>
        <w:t>Reunión presencial en febrero de 2016 (GANT)</w:t>
      </w:r>
      <w:r w:rsidRPr="00CA61A6">
        <w:rPr>
          <w:rFonts w:eastAsia="SimSun"/>
          <w:lang w:eastAsia="ja-JP"/>
        </w:rPr>
        <w:t>.</w:t>
      </w:r>
    </w:p>
    <w:p w:rsidR="00450BDD" w:rsidRPr="00CA61A6" w:rsidRDefault="00734C1B" w:rsidP="00734C1B">
      <w:pPr>
        <w:pStyle w:val="enumlev1"/>
        <w:rPr>
          <w:rFonts w:eastAsia="SimSun"/>
          <w:lang w:eastAsia="ja-JP"/>
        </w:rPr>
      </w:pPr>
      <w:r w:rsidRPr="00CA61A6">
        <w:rPr>
          <w:rFonts w:eastAsia="SimSun"/>
          <w:lang w:eastAsia="ja-JP"/>
        </w:rPr>
        <w:t>–</w:t>
      </w:r>
      <w:r w:rsidRPr="00CA61A6">
        <w:rPr>
          <w:rFonts w:eastAsia="SimSun"/>
          <w:lang w:eastAsia="ja-JP"/>
        </w:rPr>
        <w:tab/>
      </w:r>
      <w:r w:rsidR="00450BDD" w:rsidRPr="00CA61A6">
        <w:rPr>
          <w:rFonts w:eastAsia="SimSun"/>
          <w:lang w:eastAsia="ja-JP"/>
        </w:rPr>
        <w:t>Reunión electrónica el 9 de junio de 2016</w:t>
      </w:r>
      <w:r w:rsidRPr="00CA61A6">
        <w:rPr>
          <w:rFonts w:eastAsia="SimSun"/>
          <w:lang w:eastAsia="ja-JP"/>
        </w:rPr>
        <w:t>.</w:t>
      </w:r>
    </w:p>
    <w:p w:rsidR="00450BDD" w:rsidRPr="00CA61A6" w:rsidRDefault="00734C1B" w:rsidP="00734C1B">
      <w:pPr>
        <w:pStyle w:val="enumlev1"/>
        <w:rPr>
          <w:rFonts w:eastAsia="SimSun"/>
          <w:lang w:eastAsia="ja-JP"/>
        </w:rPr>
      </w:pPr>
      <w:r w:rsidRPr="00CA61A6">
        <w:rPr>
          <w:rFonts w:eastAsia="SimSun"/>
          <w:lang w:eastAsia="ja-JP"/>
        </w:rPr>
        <w:t>–</w:t>
      </w:r>
      <w:r w:rsidRPr="00CA61A6">
        <w:rPr>
          <w:rFonts w:eastAsia="SimSun"/>
          <w:lang w:eastAsia="ja-JP"/>
        </w:rPr>
        <w:tab/>
      </w:r>
      <w:r w:rsidR="00450BDD" w:rsidRPr="00CA61A6">
        <w:rPr>
          <w:rFonts w:eastAsia="SimSun"/>
          <w:lang w:eastAsia="ja-JP"/>
        </w:rPr>
        <w:t>Reunión presencial en julio de 2016 (GANT).</w:t>
      </w:r>
    </w:p>
    <w:p w:rsidR="00450BDD" w:rsidRPr="00CA61A6" w:rsidRDefault="00450BDD" w:rsidP="007B3478">
      <w:pPr>
        <w:rPr>
          <w:rFonts w:eastAsia="SimSun"/>
          <w:szCs w:val="24"/>
          <w:lang w:eastAsia="ja-JP"/>
        </w:rPr>
      </w:pPr>
      <w:r w:rsidRPr="00CA61A6">
        <w:rPr>
          <w:rFonts w:eastAsia="SimSun"/>
          <w:szCs w:val="24"/>
          <w:lang w:eastAsia="ja-JP"/>
        </w:rPr>
        <w:t xml:space="preserve">El Grupo de Relator se ha centrado en la revisión de las Recomendaciones UIT-T A.4, A.5 y A.6. A las reuniones del GANT de junio de 2015 y febrero de 2016 se presentaron numerosas contribuciones sobre las Recomendaciones UIT-T A.4, A.5 y A.6. En junio de 2015, el GANT acordó que las Recomendaciones UIT-T A.4 y A.6 no se fusionarían ni modificarían y que permanecerían en vigor. En febrero de 2016 el GANT aprobó el proyecto de revisión de la Recomendación UIT-T A.5, </w:t>
      </w:r>
      <w:r w:rsidR="001D174B">
        <w:rPr>
          <w:rFonts w:eastAsia="SimSun"/>
          <w:szCs w:val="24"/>
          <w:lang w:eastAsia="ja-JP"/>
        </w:rPr>
        <w:t>"</w:t>
      </w:r>
      <w:r w:rsidRPr="00CA61A6">
        <w:rPr>
          <w:rFonts w:eastAsia="SimSun"/>
          <w:szCs w:val="24"/>
          <w:lang w:eastAsia="ja-JP"/>
        </w:rPr>
        <w:t>Procedimientos genéricos para la inclusión de referencias a documentos de otras organizaciones en las Recomendaciones del Sector de Normalización de las Telecomunicaciones de la UIT</w:t>
      </w:r>
      <w:r w:rsidR="001D174B">
        <w:rPr>
          <w:rFonts w:eastAsia="SimSun"/>
          <w:szCs w:val="24"/>
          <w:lang w:eastAsia="ja-JP"/>
        </w:rPr>
        <w:t>"</w:t>
      </w:r>
      <w:r w:rsidRPr="00CA61A6">
        <w:rPr>
          <w:rFonts w:eastAsia="SimSun"/>
          <w:szCs w:val="24"/>
          <w:lang w:eastAsia="ja-JP"/>
        </w:rPr>
        <w:t xml:space="preserve">, el proyecto de nueva Recomendación UIT-T A.25 (ex A.incorp), </w:t>
      </w:r>
      <w:r w:rsidR="001D174B">
        <w:rPr>
          <w:rFonts w:eastAsia="SimSun"/>
          <w:szCs w:val="24"/>
          <w:lang w:eastAsia="ja-JP"/>
        </w:rPr>
        <w:t>"</w:t>
      </w:r>
      <w:r w:rsidRPr="00CA61A6">
        <w:rPr>
          <w:rFonts w:eastAsia="SimSun"/>
          <w:szCs w:val="24"/>
          <w:lang w:eastAsia="ja-JP"/>
        </w:rPr>
        <w:t>Procedimientos genéricos para la incorporación de textos entre el UIT-T y otras organizaciones</w:t>
      </w:r>
      <w:r w:rsidR="001D174B">
        <w:rPr>
          <w:rFonts w:eastAsia="SimSun"/>
          <w:szCs w:val="24"/>
          <w:lang w:eastAsia="ja-JP"/>
        </w:rPr>
        <w:t>"</w:t>
      </w:r>
      <w:r w:rsidRPr="00CA61A6">
        <w:rPr>
          <w:rFonts w:eastAsia="SimSun"/>
          <w:szCs w:val="24"/>
          <w:lang w:eastAsia="ja-JP"/>
        </w:rPr>
        <w:t xml:space="preserve">, y acordó el proyecto de nuevo Suplemento 5 a la </w:t>
      </w:r>
      <w:r w:rsidR="00D51738" w:rsidRPr="00CA61A6">
        <w:rPr>
          <w:rFonts w:eastAsia="SimSun"/>
          <w:szCs w:val="24"/>
          <w:lang w:eastAsia="ja-JP"/>
        </w:rPr>
        <w:t xml:space="preserve">serie </w:t>
      </w:r>
      <w:r w:rsidRPr="00CA61A6">
        <w:rPr>
          <w:rFonts w:eastAsia="SimSun"/>
          <w:szCs w:val="24"/>
          <w:lang w:eastAsia="ja-JP"/>
        </w:rPr>
        <w:t xml:space="preserve">A de Recomendaciones UIT-T (A.Sup5), </w:t>
      </w:r>
      <w:r w:rsidR="001D174B">
        <w:rPr>
          <w:rFonts w:eastAsia="SimSun"/>
          <w:szCs w:val="24"/>
          <w:lang w:eastAsia="ja-JP"/>
        </w:rPr>
        <w:t>"</w:t>
      </w:r>
      <w:r w:rsidRPr="00CA61A6">
        <w:rPr>
          <w:rFonts w:eastAsia="SimSun"/>
          <w:szCs w:val="24"/>
          <w:lang w:eastAsia="ja-JP"/>
        </w:rPr>
        <w:t>Directrices para la cooperación y el intercambio de información con otras organizaciones</w:t>
      </w:r>
      <w:r w:rsidR="001D174B">
        <w:rPr>
          <w:rFonts w:eastAsia="SimSun"/>
          <w:szCs w:val="24"/>
          <w:lang w:eastAsia="ja-JP"/>
        </w:rPr>
        <w:t>"</w:t>
      </w:r>
      <w:r w:rsidRPr="00CA61A6">
        <w:rPr>
          <w:rFonts w:eastAsia="SimSun"/>
          <w:szCs w:val="24"/>
          <w:lang w:eastAsia="ja-JP"/>
        </w:rPr>
        <w:t>.</w:t>
      </w:r>
    </w:p>
    <w:p w:rsidR="00450BDD" w:rsidRPr="00CA61A6" w:rsidRDefault="00450BDD" w:rsidP="005C467A">
      <w:pPr>
        <w:rPr>
          <w:rFonts w:eastAsia="SimSun"/>
          <w:szCs w:val="24"/>
          <w:lang w:eastAsia="ja-JP"/>
        </w:rPr>
      </w:pPr>
      <w:r w:rsidRPr="00CA61A6">
        <w:rPr>
          <w:rFonts w:eastAsia="SimSun"/>
          <w:szCs w:val="24"/>
          <w:lang w:eastAsia="ja-JP"/>
        </w:rPr>
        <w:t xml:space="preserve">El Grupo de Relator inició sus trabajos sobre un nuevo mecanismo de coordinación y colaboración mundial, incluso multilateral con otros organismos (GCC), y preparó un plan para modificar el Suplemento 5 a la </w:t>
      </w:r>
      <w:r w:rsidR="00D51738" w:rsidRPr="00CA61A6">
        <w:rPr>
          <w:rFonts w:eastAsia="SimSun"/>
          <w:szCs w:val="24"/>
          <w:lang w:eastAsia="ja-JP"/>
        </w:rPr>
        <w:t xml:space="preserve">serie </w:t>
      </w:r>
      <w:r w:rsidRPr="00CA61A6">
        <w:rPr>
          <w:rFonts w:eastAsia="SimSun"/>
          <w:szCs w:val="24"/>
          <w:lang w:eastAsia="ja-JP"/>
        </w:rPr>
        <w:t xml:space="preserve">A de Recomendaciones UIT-T para incluir a múltiples organizaciones. El Suplemento 5 a la </w:t>
      </w:r>
      <w:r w:rsidR="00D51738" w:rsidRPr="00CA61A6">
        <w:rPr>
          <w:rFonts w:eastAsia="SimSun"/>
          <w:szCs w:val="24"/>
          <w:lang w:eastAsia="ja-JP"/>
        </w:rPr>
        <w:t xml:space="preserve">serie </w:t>
      </w:r>
      <w:r w:rsidRPr="00CA61A6">
        <w:rPr>
          <w:rFonts w:eastAsia="SimSun"/>
          <w:szCs w:val="24"/>
          <w:lang w:eastAsia="ja-JP"/>
        </w:rPr>
        <w:t>A de Recomendaciones UIT-T revisado recibió e</w:t>
      </w:r>
      <w:r w:rsidR="005C467A">
        <w:rPr>
          <w:rFonts w:eastAsia="SimSun"/>
          <w:szCs w:val="24"/>
          <w:lang w:eastAsia="ja-JP"/>
        </w:rPr>
        <w:t>l</w:t>
      </w:r>
      <w:r w:rsidRPr="00CA61A6">
        <w:rPr>
          <w:rFonts w:eastAsia="SimSun"/>
          <w:szCs w:val="24"/>
          <w:lang w:eastAsia="ja-JP"/>
        </w:rPr>
        <w:t xml:space="preserve"> acuerdo del GANT en su reunión de julio de 2016. El Grupo de Relator ha empezado a estudiar la colaboración y la cooperación con comunidades de fuente abierta y ha pedido contribuciones destinadas a estudiar los temas incluidos en la lista evolutiva.</w:t>
      </w:r>
    </w:p>
    <w:p w:rsidR="00450BDD" w:rsidRPr="00CA61A6" w:rsidRDefault="00C5049D" w:rsidP="008347A2">
      <w:pPr>
        <w:pStyle w:val="Headingb"/>
        <w:keepLines/>
      </w:pPr>
      <w:bookmarkStart w:id="736" w:name="Item81_03"/>
      <w:r w:rsidRPr="00CA61A6">
        <w:lastRenderedPageBreak/>
        <w:t xml:space="preserve">Acción </w:t>
      </w:r>
      <w:r w:rsidR="00450BDD" w:rsidRPr="00CA61A6">
        <w:t>81-03: GANT</w:t>
      </w:r>
    </w:p>
    <w:bookmarkEnd w:id="736"/>
    <w:p w:rsidR="00450BDD" w:rsidRPr="00CA61A6" w:rsidRDefault="005810FA" w:rsidP="007B3478">
      <w:pPr>
        <w:rPr>
          <w:rFonts w:eastAsia="SimSun"/>
          <w:szCs w:val="24"/>
          <w:lang w:eastAsia="ja-JP"/>
        </w:rPr>
      </w:pPr>
      <w:r>
        <w:rPr>
          <w:rFonts w:eastAsia="SimSun"/>
          <w:szCs w:val="24"/>
          <w:lang w:eastAsia="ja-JP"/>
        </w:rPr>
        <w:t>Completada</w:t>
      </w:r>
      <w:r w:rsidR="00450BDD" w:rsidRPr="00CA61A6">
        <w:rPr>
          <w:rFonts w:eastAsia="SimSun"/>
          <w:szCs w:val="24"/>
          <w:lang w:eastAsia="ja-JP"/>
        </w:rPr>
        <w:t>. Véase el Informe del GANT a la AMNT-16.</w:t>
      </w:r>
    </w:p>
    <w:p w:rsidR="008347A2" w:rsidRPr="00CA61A6" w:rsidRDefault="00110CAD" w:rsidP="008347A2">
      <w:hyperlink w:anchor="Top" w:history="1">
        <w:r w:rsidR="008347A2" w:rsidRPr="00CA61A6">
          <w:rPr>
            <w:rStyle w:val="Hyperlink"/>
          </w:rPr>
          <w:t>» Arriba</w:t>
        </w:r>
      </w:hyperlink>
    </w:p>
    <w:p w:rsidR="00450BDD" w:rsidRPr="00CA61A6" w:rsidRDefault="001D74D1" w:rsidP="001D74D1">
      <w:pPr>
        <w:pStyle w:val="Heading1"/>
      </w:pPr>
      <w:bookmarkStart w:id="737" w:name="_50_Resolución_82"/>
      <w:bookmarkStart w:id="738" w:name="_Toc463335801"/>
      <w:bookmarkEnd w:id="737"/>
      <w:r w:rsidRPr="00CA61A6">
        <w:t>50</w:t>
      </w:r>
      <w:r w:rsidRPr="00CA61A6">
        <w:tab/>
        <w:t xml:space="preserve">Resolución </w:t>
      </w:r>
      <w:r w:rsidR="00450BDD" w:rsidRPr="00CA61A6">
        <w:t>82</w:t>
      </w:r>
      <w:r w:rsidRPr="00CA61A6">
        <w:t xml:space="preserve"> – </w:t>
      </w:r>
      <w:r w:rsidR="00450BDD" w:rsidRPr="00CA61A6">
        <w:t>Examen estratégico y estructural del UIT-T</w:t>
      </w:r>
      <w:bookmarkEnd w:id="738"/>
    </w:p>
    <w:p w:rsidR="00981BE1" w:rsidRPr="00CA61A6" w:rsidRDefault="00981BE1" w:rsidP="00981BE1">
      <w:pPr>
        <w:pStyle w:val="Headingb"/>
        <w:keepLines/>
      </w:pPr>
      <w:r w:rsidRPr="00CA61A6">
        <w:t>Resolución 82</w:t>
      </w:r>
    </w:p>
    <w:p w:rsidR="00450BDD" w:rsidRPr="00CA61A6" w:rsidRDefault="00450BDD" w:rsidP="007B3478">
      <w:pPr>
        <w:pStyle w:val="Call"/>
        <w:rPr>
          <w:lang w:eastAsia="ja-JP"/>
        </w:rPr>
      </w:pPr>
      <w:r w:rsidRPr="00CA61A6">
        <w:rPr>
          <w:lang w:eastAsia="ja-JP"/>
        </w:rPr>
        <w:t>resuelve</w:t>
      </w:r>
    </w:p>
    <w:p w:rsidR="00450BDD" w:rsidRPr="00CA61A6" w:rsidRDefault="00450BDD" w:rsidP="007B3478">
      <w:r w:rsidRPr="00CA61A6">
        <w:t>establecer, de conformidad con los números 191A y 191B del Convenio, un Comité de Examen cuyo funcionamiento se ajuste a las disposiciones pertinentes del Artículo 14A del Convenio, a los procedimientos expuestos a continuación y al mandato que se describe en el Anexo A, teniendo en cuenta el entorno actual de normalización y la evolución continua del UIT</w:t>
      </w:r>
      <w:r w:rsidRPr="00CA61A6">
        <w:noBreakHyphen/>
        <w:t>T,</w:t>
      </w:r>
    </w:p>
    <w:p w:rsidR="00450BDD" w:rsidRPr="00CA61A6" w:rsidRDefault="00450BDD" w:rsidP="007B3478">
      <w:pPr>
        <w:pStyle w:val="Call"/>
      </w:pPr>
      <w:r w:rsidRPr="00CA61A6">
        <w:rPr>
          <w:iCs/>
        </w:rPr>
        <w:t>encarga al Comité de Examen</w:t>
      </w:r>
    </w:p>
    <w:p w:rsidR="00450BDD" w:rsidRPr="00CA61A6" w:rsidRDefault="00450BDD" w:rsidP="007B3478">
      <w:r w:rsidRPr="00CA61A6">
        <w:t>1</w:t>
      </w:r>
      <w:r w:rsidRPr="00CA61A6">
        <w:tab/>
        <w:t>que informe periódicamente al GANT;</w:t>
      </w:r>
    </w:p>
    <w:p w:rsidR="00450BDD" w:rsidRPr="00CA61A6" w:rsidRDefault="00450BDD" w:rsidP="007B3478">
      <w:r w:rsidRPr="00CA61A6">
        <w:t>2</w:t>
      </w:r>
      <w:r w:rsidRPr="00CA61A6">
        <w:tab/>
        <w:t>que considere los resultados de las reuniones de los CTO, en particular sus Informes;</w:t>
      </w:r>
    </w:p>
    <w:p w:rsidR="00450BDD" w:rsidRPr="00CA61A6" w:rsidRDefault="00450BDD" w:rsidP="007B3478">
      <w:r w:rsidRPr="00CA61A6">
        <w:t>3</w:t>
      </w:r>
      <w:r w:rsidRPr="00CA61A6">
        <w:tab/>
        <w:t>que realice su examen inicial de manera oportuna con miras a proporcionar información al GANT para contribuir a la preparación del Plan Estratégico del UIT-T;</w:t>
      </w:r>
    </w:p>
    <w:p w:rsidR="00450BDD" w:rsidRPr="00CA61A6" w:rsidRDefault="00450BDD" w:rsidP="007B3478">
      <w:r w:rsidRPr="00CA61A6">
        <w:t>4</w:t>
      </w:r>
      <w:r w:rsidRPr="00CA61A6">
        <w:tab/>
        <w:t>que presente su Informe a la próxima AMNT a través del GANT,</w:t>
      </w:r>
    </w:p>
    <w:p w:rsidR="00450BDD" w:rsidRPr="00CA61A6" w:rsidRDefault="00450BDD" w:rsidP="007B3478">
      <w:pPr>
        <w:pStyle w:val="Call"/>
        <w:keepNext w:val="0"/>
        <w:keepLines w:val="0"/>
      </w:pPr>
      <w:r w:rsidRPr="00CA61A6">
        <w:t>encarga al Grupo Asesor de Normalización de las Telecomunicaciones</w:t>
      </w:r>
    </w:p>
    <w:p w:rsidR="00450BDD" w:rsidRPr="00CA61A6" w:rsidRDefault="00450BDD" w:rsidP="007B3478">
      <w:r w:rsidRPr="00CA61A6">
        <w:t>1</w:t>
      </w:r>
      <w:r w:rsidRPr="00CA61A6">
        <w:tab/>
        <w:t>que estudie el Informe del Comité de Examen así como, de conformidad con el Artículo 14A del Convenio, la posibilidad de aplicar, según lo estime conveniente, cualquier Recomendación, a la espera de que sea considerada en la próxima AMNT;</w:t>
      </w:r>
    </w:p>
    <w:p w:rsidR="00450BDD" w:rsidRPr="00CA61A6" w:rsidRDefault="00450BDD" w:rsidP="007B3478">
      <w:r w:rsidRPr="00CA61A6">
        <w:t>2</w:t>
      </w:r>
      <w:r w:rsidRPr="00CA61A6">
        <w:tab/>
        <w:t>que presente el Informe final del Comité de Examen, sin modificaciones, a la AMNT, junto con sus comentarios al respecto,</w:t>
      </w:r>
    </w:p>
    <w:p w:rsidR="00450BDD" w:rsidRPr="00CA61A6" w:rsidRDefault="00450BDD" w:rsidP="007B3478">
      <w:pPr>
        <w:pStyle w:val="Call"/>
      </w:pPr>
      <w:r w:rsidRPr="00CA61A6">
        <w:t>encarga al Director de la Oficina de Normalización de las Telecomunicaciones</w:t>
      </w:r>
    </w:p>
    <w:p w:rsidR="00450BDD" w:rsidRPr="00CA61A6" w:rsidRDefault="00450BDD" w:rsidP="007B3478">
      <w:pPr>
        <w:spacing w:before="80"/>
      </w:pPr>
      <w:r w:rsidRPr="00CA61A6">
        <w:t>1</w:t>
      </w:r>
      <w:r w:rsidRPr="00CA61A6">
        <w:tab/>
        <w:t>que apoye al Comité de Examen facilitando las actividades destinadas a dar cumplimiento a la presente Resolución;</w:t>
      </w:r>
    </w:p>
    <w:p w:rsidR="00450BDD" w:rsidRPr="00CA61A6" w:rsidRDefault="00450BDD" w:rsidP="00E875BA">
      <w:pPr>
        <w:spacing w:before="80" w:after="120"/>
      </w:pPr>
      <w:r w:rsidRPr="00CA61A6">
        <w:t>2</w:t>
      </w:r>
      <w:r w:rsidRPr="00CA61A6">
        <w:tab/>
        <w:t>que otorgue becas a los países en desarrollo que cumplan los requisitos.</w:t>
      </w:r>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2"/>
        <w:gridCol w:w="4807"/>
        <w:gridCol w:w="1574"/>
        <w:gridCol w:w="1148"/>
        <w:gridCol w:w="1261"/>
      </w:tblGrid>
      <w:tr w:rsidR="00450BDD" w:rsidRPr="00CA61A6" w:rsidTr="00AA47C1">
        <w:trPr>
          <w:cantSplit/>
          <w:tblHeader/>
          <w:jc w:val="center"/>
        </w:trPr>
        <w:tc>
          <w:tcPr>
            <w:tcW w:w="1142" w:type="dxa"/>
            <w:tcBorders>
              <w:bottom w:val="double" w:sz="4" w:space="0" w:color="auto"/>
            </w:tcBorders>
            <w:shd w:val="clear" w:color="auto" w:fill="auto"/>
            <w:vAlign w:val="center"/>
          </w:tcPr>
          <w:p w:rsidR="00450BDD" w:rsidRPr="00CA61A6" w:rsidRDefault="00450BDD" w:rsidP="00856D5C">
            <w:pPr>
              <w:pStyle w:val="Tablehead"/>
            </w:pPr>
            <w:r w:rsidRPr="00CA61A6">
              <w:t>Número</w:t>
            </w:r>
          </w:p>
        </w:tc>
        <w:tc>
          <w:tcPr>
            <w:tcW w:w="4807" w:type="dxa"/>
            <w:tcBorders>
              <w:bottom w:val="double" w:sz="4" w:space="0" w:color="auto"/>
            </w:tcBorders>
            <w:shd w:val="clear" w:color="auto" w:fill="auto"/>
            <w:vAlign w:val="center"/>
            <w:hideMark/>
          </w:tcPr>
          <w:p w:rsidR="00450BDD" w:rsidRPr="00CA61A6" w:rsidRDefault="00450BDD" w:rsidP="00856D5C">
            <w:pPr>
              <w:pStyle w:val="Tablehead"/>
            </w:pPr>
            <w:r w:rsidRPr="00CA61A6">
              <w:t>Acción</w:t>
            </w:r>
          </w:p>
        </w:tc>
        <w:tc>
          <w:tcPr>
            <w:tcW w:w="1574" w:type="dxa"/>
            <w:tcBorders>
              <w:bottom w:val="double" w:sz="4" w:space="0" w:color="auto"/>
            </w:tcBorders>
            <w:shd w:val="clear" w:color="auto" w:fill="auto"/>
            <w:vAlign w:val="center"/>
            <w:hideMark/>
          </w:tcPr>
          <w:p w:rsidR="00450BDD" w:rsidRPr="00CA61A6" w:rsidRDefault="00450BDD" w:rsidP="00856D5C">
            <w:pPr>
              <w:pStyle w:val="Tablehead"/>
            </w:pPr>
            <w:r w:rsidRPr="00CA61A6">
              <w:t>Fecha objetivo</w:t>
            </w:r>
          </w:p>
        </w:tc>
        <w:tc>
          <w:tcPr>
            <w:tcW w:w="1148" w:type="dxa"/>
            <w:tcBorders>
              <w:bottom w:val="double" w:sz="4" w:space="0" w:color="auto"/>
            </w:tcBorders>
            <w:shd w:val="clear" w:color="auto" w:fill="auto"/>
          </w:tcPr>
          <w:p w:rsidR="00450BDD" w:rsidRPr="00CA61A6" w:rsidRDefault="00450BDD" w:rsidP="00856D5C">
            <w:pPr>
              <w:pStyle w:val="Tablehead"/>
            </w:pPr>
            <w:r w:rsidRPr="00CA61A6">
              <w:t>Objetivos periódicos cumplidos</w:t>
            </w:r>
          </w:p>
        </w:tc>
        <w:tc>
          <w:tcPr>
            <w:tcW w:w="1261" w:type="dxa"/>
            <w:tcBorders>
              <w:bottom w:val="double" w:sz="4" w:space="0" w:color="auto"/>
            </w:tcBorders>
            <w:shd w:val="clear" w:color="auto" w:fill="auto"/>
            <w:vAlign w:val="center"/>
          </w:tcPr>
          <w:p w:rsidR="00450BDD" w:rsidRPr="00CA61A6" w:rsidRDefault="00450BDD" w:rsidP="00856D5C">
            <w:pPr>
              <w:pStyle w:val="Tablehead"/>
            </w:pPr>
            <w:r w:rsidRPr="00CA61A6">
              <w:t>Completada</w:t>
            </w:r>
          </w:p>
        </w:tc>
      </w:tr>
      <w:tr w:rsidR="00450BDD" w:rsidRPr="00CA61A6" w:rsidTr="00AA47C1">
        <w:trPr>
          <w:cantSplit/>
          <w:jc w:val="center"/>
        </w:trPr>
        <w:tc>
          <w:tcPr>
            <w:tcW w:w="1142" w:type="dxa"/>
            <w:tcBorders>
              <w:top w:val="double" w:sz="4" w:space="0" w:color="auto"/>
            </w:tcBorders>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82_01" w:history="1">
              <w:r w:rsidR="00450BDD" w:rsidRPr="00151E00">
                <w:rPr>
                  <w:rStyle w:val="Hyperlink"/>
                  <w:sz w:val="20"/>
                </w:rPr>
                <w:t>82-01</w:t>
              </w:r>
            </w:hyperlink>
          </w:p>
        </w:tc>
        <w:tc>
          <w:tcPr>
            <w:tcW w:w="4807" w:type="dxa"/>
            <w:tcBorders>
              <w:top w:val="double" w:sz="4" w:space="0" w:color="auto"/>
            </w:tcBorders>
            <w:shd w:val="clear" w:color="auto" w:fill="auto"/>
            <w:hideMark/>
          </w:tcPr>
          <w:p w:rsidR="00450BDD" w:rsidRPr="00CA61A6" w:rsidRDefault="00330C3E" w:rsidP="00330C3E">
            <w:pPr>
              <w:pStyle w:val="Tabletext"/>
            </w:pPr>
            <w:r>
              <w:t>E</w:t>
            </w:r>
            <w:r w:rsidR="00450BDD" w:rsidRPr="00CA61A6">
              <w:t>l Comité de Examen r</w:t>
            </w:r>
            <w:r>
              <w:t>endirá</w:t>
            </w:r>
            <w:r w:rsidR="00450BDD" w:rsidRPr="00CA61A6">
              <w:t xml:space="preserve"> periódicamente informe al GANT</w:t>
            </w:r>
          </w:p>
        </w:tc>
        <w:tc>
          <w:tcPr>
            <w:tcW w:w="1574" w:type="dxa"/>
            <w:tcBorders>
              <w:top w:val="double" w:sz="4" w:space="0" w:color="auto"/>
            </w:tcBorders>
            <w:shd w:val="clear" w:color="auto" w:fill="auto"/>
            <w:vAlign w:val="center"/>
            <w:hideMark/>
          </w:tcPr>
          <w:p w:rsidR="00450BDD" w:rsidRPr="00CA61A6" w:rsidRDefault="00450BDD" w:rsidP="00856D5C">
            <w:pPr>
              <w:pStyle w:val="Tabletext"/>
              <w:jc w:val="center"/>
            </w:pPr>
            <w:r w:rsidRPr="00CA61A6">
              <w:t>En curso</w:t>
            </w:r>
          </w:p>
        </w:tc>
        <w:tc>
          <w:tcPr>
            <w:tcW w:w="1148" w:type="dxa"/>
            <w:tcBorders>
              <w:top w:val="double" w:sz="4" w:space="0" w:color="auto"/>
            </w:tcBorders>
            <w:shd w:val="clear" w:color="auto" w:fill="auto"/>
            <w:vAlign w:val="center"/>
          </w:tcPr>
          <w:p w:rsidR="00450BDD" w:rsidRPr="00CA61A6" w:rsidRDefault="00856D5C" w:rsidP="00856D5C">
            <w:pPr>
              <w:pStyle w:val="Tabletext"/>
              <w:jc w:val="center"/>
            </w:pPr>
            <w:r w:rsidRPr="00CA61A6">
              <w:sym w:font="Wingdings" w:char="F0FC"/>
            </w:r>
          </w:p>
        </w:tc>
        <w:tc>
          <w:tcPr>
            <w:tcW w:w="1261" w:type="dxa"/>
            <w:tcBorders>
              <w:top w:val="double" w:sz="4" w:space="0" w:color="auto"/>
            </w:tcBorders>
            <w:shd w:val="clear" w:color="auto" w:fill="auto"/>
            <w:vAlign w:val="center"/>
          </w:tcPr>
          <w:p w:rsidR="00450BDD" w:rsidRPr="00CA61A6" w:rsidRDefault="00450BDD" w:rsidP="00856D5C">
            <w:pPr>
              <w:pStyle w:val="Tabletext"/>
              <w:jc w:val="center"/>
            </w:pPr>
          </w:p>
        </w:tc>
      </w:tr>
      <w:tr w:rsidR="00450BDD" w:rsidRPr="00CA61A6" w:rsidTr="00AA47C1">
        <w:trPr>
          <w:cantSplit/>
          <w:jc w:val="center"/>
        </w:trPr>
        <w:tc>
          <w:tcPr>
            <w:tcW w:w="1142" w:type="dxa"/>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82_02" w:history="1">
              <w:r w:rsidR="00450BDD" w:rsidRPr="00151E00">
                <w:rPr>
                  <w:rStyle w:val="Hyperlink"/>
                  <w:sz w:val="20"/>
                </w:rPr>
                <w:t>82-02</w:t>
              </w:r>
            </w:hyperlink>
          </w:p>
        </w:tc>
        <w:tc>
          <w:tcPr>
            <w:tcW w:w="4807" w:type="dxa"/>
            <w:shd w:val="clear" w:color="auto" w:fill="auto"/>
          </w:tcPr>
          <w:p w:rsidR="00450BDD" w:rsidRPr="00CA61A6" w:rsidRDefault="00330C3E" w:rsidP="00330C3E">
            <w:pPr>
              <w:pStyle w:val="Tabletext"/>
            </w:pPr>
            <w:r>
              <w:t>E</w:t>
            </w:r>
            <w:r w:rsidR="00450BDD" w:rsidRPr="00CA61A6">
              <w:t>l Comité de Examen reali</w:t>
            </w:r>
            <w:r>
              <w:t>zará</w:t>
            </w:r>
            <w:r w:rsidR="00450BDD" w:rsidRPr="00CA61A6">
              <w:t xml:space="preserve"> su examen inicial de manera oportuna con miras a proporcionar información al GANT para contribuir a la preparación del Plan Estratégico del UIT-T</w:t>
            </w:r>
          </w:p>
        </w:tc>
        <w:tc>
          <w:tcPr>
            <w:tcW w:w="1574" w:type="dxa"/>
            <w:shd w:val="clear" w:color="auto" w:fill="auto"/>
            <w:vAlign w:val="center"/>
          </w:tcPr>
          <w:p w:rsidR="00450BDD" w:rsidRPr="00CA61A6" w:rsidRDefault="00450BDD" w:rsidP="00856D5C">
            <w:pPr>
              <w:pStyle w:val="Tabletext"/>
              <w:jc w:val="center"/>
            </w:pPr>
            <w:r w:rsidRPr="00CA61A6">
              <w:t>En curso</w:t>
            </w:r>
          </w:p>
        </w:tc>
        <w:tc>
          <w:tcPr>
            <w:tcW w:w="1148" w:type="dxa"/>
            <w:shd w:val="clear" w:color="auto" w:fill="auto"/>
            <w:vAlign w:val="center"/>
          </w:tcPr>
          <w:p w:rsidR="00450BDD" w:rsidRPr="00CA61A6" w:rsidRDefault="00856D5C" w:rsidP="00856D5C">
            <w:pPr>
              <w:pStyle w:val="Tabletext"/>
              <w:jc w:val="center"/>
            </w:pPr>
            <w:r w:rsidRPr="00CA61A6">
              <w:sym w:font="Wingdings" w:char="F0FC"/>
            </w:r>
          </w:p>
        </w:tc>
        <w:tc>
          <w:tcPr>
            <w:tcW w:w="1261" w:type="dxa"/>
            <w:shd w:val="clear" w:color="auto" w:fill="auto"/>
            <w:vAlign w:val="center"/>
          </w:tcPr>
          <w:p w:rsidR="00450BDD" w:rsidRPr="00CA61A6" w:rsidRDefault="00450BDD" w:rsidP="00856D5C">
            <w:pPr>
              <w:pStyle w:val="Tabletext"/>
              <w:jc w:val="center"/>
            </w:pPr>
          </w:p>
        </w:tc>
      </w:tr>
      <w:tr w:rsidR="00450BDD" w:rsidRPr="00CA61A6" w:rsidTr="00AA47C1">
        <w:trPr>
          <w:cantSplit/>
          <w:jc w:val="center"/>
        </w:trPr>
        <w:tc>
          <w:tcPr>
            <w:tcW w:w="1142" w:type="dxa"/>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82_03" w:history="1">
              <w:r w:rsidR="00450BDD" w:rsidRPr="00151E00">
                <w:rPr>
                  <w:rStyle w:val="Hyperlink"/>
                  <w:sz w:val="20"/>
                </w:rPr>
                <w:t>82-03</w:t>
              </w:r>
            </w:hyperlink>
          </w:p>
        </w:tc>
        <w:tc>
          <w:tcPr>
            <w:tcW w:w="4807" w:type="dxa"/>
            <w:shd w:val="clear" w:color="auto" w:fill="auto"/>
            <w:hideMark/>
          </w:tcPr>
          <w:p w:rsidR="00450BDD" w:rsidRPr="00CA61A6" w:rsidRDefault="00330C3E" w:rsidP="00330C3E">
            <w:pPr>
              <w:pStyle w:val="Tabletext"/>
            </w:pPr>
            <w:r>
              <w:t>E</w:t>
            </w:r>
            <w:r w:rsidR="00450BDD" w:rsidRPr="00CA61A6">
              <w:t>l GANT consider</w:t>
            </w:r>
            <w:r>
              <w:t>ará</w:t>
            </w:r>
            <w:r w:rsidR="00450BDD" w:rsidRPr="00CA61A6">
              <w:t xml:space="preserve"> los Informes intermedios del Comité de Examen y presente su Informe final a la AMNT-16</w:t>
            </w:r>
          </w:p>
        </w:tc>
        <w:tc>
          <w:tcPr>
            <w:tcW w:w="1574" w:type="dxa"/>
            <w:shd w:val="clear" w:color="auto" w:fill="auto"/>
            <w:vAlign w:val="center"/>
          </w:tcPr>
          <w:p w:rsidR="00450BDD" w:rsidRPr="00CA61A6" w:rsidRDefault="00450BDD" w:rsidP="00856D5C">
            <w:pPr>
              <w:pStyle w:val="Tabletext"/>
              <w:jc w:val="center"/>
            </w:pPr>
            <w:r w:rsidRPr="00CA61A6">
              <w:t>GANT 2016</w:t>
            </w:r>
          </w:p>
        </w:tc>
        <w:tc>
          <w:tcPr>
            <w:tcW w:w="1148" w:type="dxa"/>
            <w:shd w:val="clear" w:color="auto" w:fill="auto"/>
            <w:vAlign w:val="center"/>
          </w:tcPr>
          <w:p w:rsidR="00450BDD" w:rsidRPr="00CA61A6" w:rsidRDefault="00856D5C" w:rsidP="00856D5C">
            <w:pPr>
              <w:pStyle w:val="Tabletext"/>
              <w:jc w:val="center"/>
            </w:pPr>
            <w:r w:rsidRPr="00CA61A6">
              <w:sym w:font="Wingdings" w:char="F0FC"/>
            </w:r>
          </w:p>
        </w:tc>
        <w:tc>
          <w:tcPr>
            <w:tcW w:w="1261" w:type="dxa"/>
            <w:shd w:val="clear" w:color="auto" w:fill="auto"/>
            <w:vAlign w:val="center"/>
          </w:tcPr>
          <w:p w:rsidR="00450BDD" w:rsidRPr="00CA61A6" w:rsidRDefault="00450BDD" w:rsidP="00856D5C">
            <w:pPr>
              <w:pStyle w:val="Tabletext"/>
              <w:jc w:val="center"/>
            </w:pPr>
          </w:p>
        </w:tc>
      </w:tr>
    </w:tbl>
    <w:p w:rsidR="00450BDD" w:rsidRPr="00CA61A6" w:rsidRDefault="00E0464D" w:rsidP="0079652D">
      <w:pPr>
        <w:pStyle w:val="Headingb"/>
        <w:keepLines/>
      </w:pPr>
      <w:bookmarkStart w:id="739" w:name="Item82_01"/>
      <w:r w:rsidRPr="00CA61A6">
        <w:t xml:space="preserve">Acción </w:t>
      </w:r>
      <w:r w:rsidR="00450BDD" w:rsidRPr="00CA61A6">
        <w:t>82-01: Comité de Examen</w:t>
      </w:r>
    </w:p>
    <w:bookmarkEnd w:id="739"/>
    <w:p w:rsidR="00450BDD" w:rsidRPr="00CA61A6" w:rsidRDefault="00450BDD" w:rsidP="007B3478">
      <w:pPr>
        <w:rPr>
          <w:rFonts w:eastAsia="SimSun"/>
          <w:szCs w:val="24"/>
          <w:lang w:eastAsia="ja-JP"/>
        </w:rPr>
      </w:pPr>
      <w:r w:rsidRPr="00CA61A6">
        <w:rPr>
          <w:rFonts w:eastAsia="SimSun"/>
          <w:szCs w:val="24"/>
          <w:lang w:eastAsia="ja-JP"/>
        </w:rPr>
        <w:t>El Comité de Examen rinde p</w:t>
      </w:r>
      <w:r w:rsidR="00276335" w:rsidRPr="00CA61A6">
        <w:rPr>
          <w:rFonts w:eastAsia="SimSun"/>
          <w:szCs w:val="24"/>
          <w:lang w:eastAsia="ja-JP"/>
        </w:rPr>
        <w:t>eriódicamente informe al GANT.</w:t>
      </w:r>
    </w:p>
    <w:p w:rsidR="00450BDD" w:rsidRPr="00CA61A6" w:rsidRDefault="00E0464D" w:rsidP="0079652D">
      <w:pPr>
        <w:pStyle w:val="Headingb"/>
        <w:keepLines/>
      </w:pPr>
      <w:bookmarkStart w:id="740" w:name="Item82_02"/>
      <w:r w:rsidRPr="00CA61A6">
        <w:lastRenderedPageBreak/>
        <w:t xml:space="preserve">Acción </w:t>
      </w:r>
      <w:r w:rsidR="00450BDD" w:rsidRPr="00CA61A6">
        <w:t>82-02: Comité de Examen</w:t>
      </w:r>
    </w:p>
    <w:bookmarkEnd w:id="740"/>
    <w:p w:rsidR="00450BDD" w:rsidRPr="00CA61A6" w:rsidRDefault="00450BDD" w:rsidP="007B3478">
      <w:pPr>
        <w:rPr>
          <w:rFonts w:eastAsia="SimSun"/>
          <w:szCs w:val="24"/>
          <w:lang w:eastAsia="ja-JP"/>
        </w:rPr>
      </w:pPr>
      <w:r w:rsidRPr="00CA61A6">
        <w:rPr>
          <w:rFonts w:eastAsia="SimSun"/>
          <w:szCs w:val="24"/>
          <w:lang w:eastAsia="ja-JP"/>
        </w:rPr>
        <w:t xml:space="preserve">El Plan Estratégico se debatió en las reuniones del Comité de </w:t>
      </w:r>
      <w:r w:rsidR="00276335" w:rsidRPr="00CA61A6">
        <w:rPr>
          <w:rFonts w:eastAsia="SimSun"/>
          <w:szCs w:val="24"/>
          <w:lang w:eastAsia="ja-JP"/>
        </w:rPr>
        <w:t>Examen.</w:t>
      </w:r>
    </w:p>
    <w:p w:rsidR="00450BDD" w:rsidRPr="00CA61A6" w:rsidRDefault="00E0464D" w:rsidP="0079652D">
      <w:pPr>
        <w:pStyle w:val="Headingb"/>
        <w:keepLines/>
      </w:pPr>
      <w:bookmarkStart w:id="741" w:name="Item82_03"/>
      <w:r w:rsidRPr="00CA61A6">
        <w:t xml:space="preserve">Acción </w:t>
      </w:r>
      <w:r w:rsidR="00450BDD" w:rsidRPr="00CA61A6">
        <w:t>82-03: GANT</w:t>
      </w:r>
    </w:p>
    <w:bookmarkEnd w:id="741"/>
    <w:p w:rsidR="00450BDD" w:rsidRPr="00CA61A6" w:rsidRDefault="00AA47C1" w:rsidP="007B3478">
      <w:pPr>
        <w:rPr>
          <w:rFonts w:eastAsia="SimSun"/>
          <w:szCs w:val="24"/>
          <w:lang w:eastAsia="ja-JP"/>
        </w:rPr>
      </w:pPr>
      <w:r>
        <w:rPr>
          <w:rFonts w:eastAsia="SimSun"/>
          <w:szCs w:val="24"/>
          <w:lang w:eastAsia="ja-JP"/>
        </w:rPr>
        <w:t>Completada</w:t>
      </w:r>
      <w:r w:rsidR="00450BDD" w:rsidRPr="00CA61A6">
        <w:rPr>
          <w:rFonts w:eastAsia="SimSun"/>
          <w:szCs w:val="24"/>
          <w:lang w:eastAsia="ja-JP"/>
        </w:rPr>
        <w:t>.</w:t>
      </w:r>
    </w:p>
    <w:p w:rsidR="004D778C" w:rsidRPr="00CA61A6" w:rsidRDefault="00110CAD" w:rsidP="004D778C">
      <w:hyperlink w:anchor="Top" w:history="1">
        <w:r w:rsidR="004D778C" w:rsidRPr="00CA61A6">
          <w:rPr>
            <w:rStyle w:val="Hyperlink"/>
          </w:rPr>
          <w:t>» Arriba</w:t>
        </w:r>
      </w:hyperlink>
    </w:p>
    <w:p w:rsidR="00450BDD" w:rsidRPr="00CA61A6" w:rsidRDefault="003031FC" w:rsidP="003031FC">
      <w:pPr>
        <w:pStyle w:val="Heading1"/>
      </w:pPr>
      <w:bookmarkStart w:id="742" w:name="_51_Opinión_1"/>
      <w:bookmarkStart w:id="743" w:name="_Toc463335802"/>
      <w:bookmarkEnd w:id="742"/>
      <w:r w:rsidRPr="00CA61A6">
        <w:t>51</w:t>
      </w:r>
      <w:r w:rsidRPr="00CA61A6">
        <w:tab/>
        <w:t xml:space="preserve">Opinión 1 – </w:t>
      </w:r>
      <w:r w:rsidR="00450BDD" w:rsidRPr="00CA61A6">
        <w:t>Aplicación efectiva de la prima de externalidad de red</w:t>
      </w:r>
      <w:bookmarkEnd w:id="743"/>
    </w:p>
    <w:p w:rsidR="00450BDD" w:rsidRPr="00CA61A6" w:rsidRDefault="0040316E" w:rsidP="007167EC">
      <w:pPr>
        <w:pStyle w:val="Headingb"/>
        <w:keepLines/>
      </w:pPr>
      <w:r w:rsidRPr="00CA61A6">
        <w:t>Opinión</w:t>
      </w:r>
      <w:r w:rsidR="00450BDD" w:rsidRPr="00CA61A6">
        <w:t xml:space="preserve"> 1</w:t>
      </w:r>
    </w:p>
    <w:p w:rsidR="00450BDD" w:rsidRPr="00CA61A6" w:rsidRDefault="00A47DD3" w:rsidP="007B3478">
      <w:pPr>
        <w:pStyle w:val="Call"/>
      </w:pPr>
      <w:r w:rsidRPr="00CA61A6">
        <w:t>opina que</w:t>
      </w:r>
    </w:p>
    <w:p w:rsidR="00450BDD" w:rsidRPr="00CA61A6" w:rsidRDefault="00450BDD" w:rsidP="007B3478">
      <w:r w:rsidRPr="00CA61A6">
        <w:t>teniendo en cuenta los avances logrados hasta ahora en la Comisión de Estudio 3, los Estados Miembros interesados tal vez deseen examinar las respectivas posiciones planteadas en la AMNT</w:t>
      </w:r>
      <w:r w:rsidRPr="00CA61A6">
        <w:noBreakHyphen/>
        <w:t>2008 y, posiblemente, retirar sus reservas con respecto a la Recomendación UIT-T D.156,</w:t>
      </w:r>
    </w:p>
    <w:p w:rsidR="00450BDD" w:rsidRPr="00CA61A6" w:rsidRDefault="00450BDD">
      <w:pPr>
        <w:pStyle w:val="Call"/>
        <w:pPrChange w:id="744" w:author="Carretero Miquau, Clara" w:date="2012-11-26T15:18:00Z">
          <w:pPr>
            <w:spacing w:line="720" w:lineRule="auto"/>
          </w:pPr>
        </w:pPrChange>
      </w:pPr>
      <w:r w:rsidRPr="00CA61A6">
        <w:t>invita a los Estados Miembros</w:t>
      </w:r>
    </w:p>
    <w:p w:rsidR="00450BDD" w:rsidRPr="00CA61A6" w:rsidRDefault="00450BDD" w:rsidP="007B3478">
      <w:r w:rsidRPr="00CA61A6">
        <w:t>a adoptar todas las medidas necesarias para la aplicación efectiva de la Recomendación UIT-T D.156,</w:t>
      </w:r>
    </w:p>
    <w:p w:rsidR="00450BDD" w:rsidRPr="00CA61A6" w:rsidRDefault="00450BDD" w:rsidP="007B3478">
      <w:pPr>
        <w:pStyle w:val="Call"/>
      </w:pPr>
      <w:r w:rsidRPr="00CA61A6">
        <w:t>invita al Consejo</w:t>
      </w:r>
    </w:p>
    <w:p w:rsidR="00450BDD" w:rsidRPr="00CA61A6" w:rsidRDefault="00450BDD" w:rsidP="000E73C9">
      <w:pPr>
        <w:spacing w:after="120"/>
      </w:pPr>
      <w:r w:rsidRPr="00CA61A6">
        <w:t>en su reunión de 2013 a remitir un Informe sobre esta cuestión a la Conferencia de Plenipotenciarios de 2014, de conformidad con lo dispuesto en la Resolución 22 (Rev. Antalya, 2006) de la Conferencia de Plenipotenciarios.</w:t>
      </w:r>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2"/>
        <w:gridCol w:w="4807"/>
        <w:gridCol w:w="1574"/>
        <w:gridCol w:w="1148"/>
        <w:gridCol w:w="1261"/>
      </w:tblGrid>
      <w:tr w:rsidR="00450BDD" w:rsidRPr="00CA61A6" w:rsidTr="00C63E6D">
        <w:trPr>
          <w:cantSplit/>
          <w:tblHeader/>
          <w:jc w:val="center"/>
        </w:trPr>
        <w:tc>
          <w:tcPr>
            <w:tcW w:w="1142" w:type="dxa"/>
            <w:tcBorders>
              <w:bottom w:val="double" w:sz="4" w:space="0" w:color="auto"/>
            </w:tcBorders>
            <w:shd w:val="clear" w:color="auto" w:fill="auto"/>
            <w:vAlign w:val="center"/>
          </w:tcPr>
          <w:p w:rsidR="00450BDD" w:rsidRPr="00CA61A6" w:rsidRDefault="00450BDD" w:rsidP="00CF4FC2">
            <w:pPr>
              <w:pStyle w:val="Tablehead"/>
            </w:pPr>
            <w:r w:rsidRPr="00CA61A6">
              <w:t>Número</w:t>
            </w:r>
          </w:p>
        </w:tc>
        <w:tc>
          <w:tcPr>
            <w:tcW w:w="4807" w:type="dxa"/>
            <w:tcBorders>
              <w:bottom w:val="double" w:sz="4" w:space="0" w:color="auto"/>
            </w:tcBorders>
            <w:shd w:val="clear" w:color="auto" w:fill="auto"/>
            <w:vAlign w:val="center"/>
            <w:hideMark/>
          </w:tcPr>
          <w:p w:rsidR="00450BDD" w:rsidRPr="00CA61A6" w:rsidRDefault="00450BDD" w:rsidP="00CF4FC2">
            <w:pPr>
              <w:pStyle w:val="Tablehead"/>
            </w:pPr>
            <w:r w:rsidRPr="00CA61A6">
              <w:t>Acción</w:t>
            </w:r>
          </w:p>
        </w:tc>
        <w:tc>
          <w:tcPr>
            <w:tcW w:w="1574" w:type="dxa"/>
            <w:tcBorders>
              <w:bottom w:val="double" w:sz="4" w:space="0" w:color="auto"/>
            </w:tcBorders>
            <w:shd w:val="clear" w:color="auto" w:fill="auto"/>
            <w:vAlign w:val="center"/>
            <w:hideMark/>
          </w:tcPr>
          <w:p w:rsidR="00450BDD" w:rsidRPr="00CA61A6" w:rsidRDefault="00450BDD" w:rsidP="00CF4FC2">
            <w:pPr>
              <w:pStyle w:val="Tablehead"/>
            </w:pPr>
            <w:r w:rsidRPr="00CA61A6">
              <w:t>Fecha objetivo</w:t>
            </w:r>
          </w:p>
        </w:tc>
        <w:tc>
          <w:tcPr>
            <w:tcW w:w="1148" w:type="dxa"/>
            <w:tcBorders>
              <w:bottom w:val="double" w:sz="4" w:space="0" w:color="auto"/>
            </w:tcBorders>
            <w:shd w:val="clear" w:color="auto" w:fill="auto"/>
          </w:tcPr>
          <w:p w:rsidR="00450BDD" w:rsidRPr="00CA61A6" w:rsidRDefault="00450BDD" w:rsidP="00CF4FC2">
            <w:pPr>
              <w:pStyle w:val="Tablehead"/>
            </w:pPr>
            <w:r w:rsidRPr="00CA61A6">
              <w:t>Objetivos periódicos cumplidos</w:t>
            </w:r>
          </w:p>
        </w:tc>
        <w:tc>
          <w:tcPr>
            <w:tcW w:w="1261" w:type="dxa"/>
            <w:tcBorders>
              <w:bottom w:val="double" w:sz="4" w:space="0" w:color="auto"/>
            </w:tcBorders>
            <w:shd w:val="clear" w:color="auto" w:fill="auto"/>
            <w:vAlign w:val="center"/>
          </w:tcPr>
          <w:p w:rsidR="00450BDD" w:rsidRPr="00CA61A6" w:rsidRDefault="00450BDD" w:rsidP="00CF4FC2">
            <w:pPr>
              <w:pStyle w:val="Tablehead"/>
            </w:pPr>
            <w:r w:rsidRPr="00CA61A6">
              <w:t>Completada</w:t>
            </w:r>
          </w:p>
        </w:tc>
      </w:tr>
      <w:tr w:rsidR="00450BDD" w:rsidRPr="00CA61A6" w:rsidTr="00C63E6D">
        <w:trPr>
          <w:cantSplit/>
          <w:jc w:val="center"/>
        </w:trPr>
        <w:tc>
          <w:tcPr>
            <w:tcW w:w="1142" w:type="dxa"/>
            <w:tcBorders>
              <w:top w:val="double" w:sz="4" w:space="0" w:color="auto"/>
            </w:tcBorders>
            <w:shd w:val="clear" w:color="auto" w:fill="auto"/>
            <w:vAlign w:val="center"/>
          </w:tcPr>
          <w:p w:rsidR="00450BDD" w:rsidRPr="00CA61A6" w:rsidRDefault="00450BD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CA61A6">
              <w:rPr>
                <w:sz w:val="20"/>
              </w:rPr>
              <w:t>Op-01</w:t>
            </w:r>
          </w:p>
        </w:tc>
        <w:tc>
          <w:tcPr>
            <w:tcW w:w="4807" w:type="dxa"/>
            <w:tcBorders>
              <w:top w:val="double" w:sz="4" w:space="0" w:color="auto"/>
            </w:tcBorders>
            <w:shd w:val="clear" w:color="auto" w:fill="auto"/>
            <w:hideMark/>
          </w:tcPr>
          <w:p w:rsidR="00450BDD" w:rsidRPr="00CA61A6" w:rsidRDefault="0069256A" w:rsidP="0069256A">
            <w:pPr>
              <w:pStyle w:val="Tabletext"/>
            </w:pPr>
            <w:r>
              <w:t>L</w:t>
            </w:r>
            <w:r w:rsidR="00450BDD" w:rsidRPr="00CA61A6">
              <w:t>os Estados Miembros tom</w:t>
            </w:r>
            <w:r>
              <w:t>arán</w:t>
            </w:r>
            <w:r w:rsidR="00450BDD" w:rsidRPr="00CA61A6">
              <w:t xml:space="preserve"> todas las medidas oportunas para la efectiva aplicación de la Recomendación UIT-T D.156</w:t>
            </w:r>
          </w:p>
        </w:tc>
        <w:tc>
          <w:tcPr>
            <w:tcW w:w="1574" w:type="dxa"/>
            <w:tcBorders>
              <w:top w:val="double" w:sz="4" w:space="0" w:color="auto"/>
            </w:tcBorders>
            <w:shd w:val="clear" w:color="auto" w:fill="auto"/>
            <w:vAlign w:val="center"/>
            <w:hideMark/>
          </w:tcPr>
          <w:p w:rsidR="00450BDD" w:rsidRPr="00CA61A6" w:rsidRDefault="00450BDD" w:rsidP="00CF4FC2">
            <w:pPr>
              <w:pStyle w:val="Tabletext"/>
              <w:jc w:val="center"/>
            </w:pPr>
          </w:p>
        </w:tc>
        <w:tc>
          <w:tcPr>
            <w:tcW w:w="1148" w:type="dxa"/>
            <w:tcBorders>
              <w:top w:val="double" w:sz="4" w:space="0" w:color="auto"/>
            </w:tcBorders>
            <w:shd w:val="clear" w:color="auto" w:fill="auto"/>
            <w:vAlign w:val="center"/>
          </w:tcPr>
          <w:p w:rsidR="00450BDD" w:rsidRPr="00CA61A6" w:rsidRDefault="00450BDD" w:rsidP="00CF4FC2">
            <w:pPr>
              <w:pStyle w:val="Tabletext"/>
              <w:jc w:val="center"/>
            </w:pPr>
          </w:p>
        </w:tc>
        <w:tc>
          <w:tcPr>
            <w:tcW w:w="1261" w:type="dxa"/>
            <w:tcBorders>
              <w:top w:val="double" w:sz="4" w:space="0" w:color="auto"/>
            </w:tcBorders>
            <w:shd w:val="clear" w:color="auto" w:fill="auto"/>
            <w:vAlign w:val="center"/>
          </w:tcPr>
          <w:p w:rsidR="00450BDD" w:rsidRPr="00CA61A6" w:rsidRDefault="00450BDD" w:rsidP="00CF4FC2">
            <w:pPr>
              <w:pStyle w:val="Tabletext"/>
              <w:jc w:val="center"/>
            </w:pPr>
          </w:p>
        </w:tc>
      </w:tr>
      <w:tr w:rsidR="00450BDD" w:rsidRPr="00CA61A6" w:rsidTr="00C63E6D">
        <w:trPr>
          <w:cantSplit/>
          <w:jc w:val="center"/>
        </w:trPr>
        <w:tc>
          <w:tcPr>
            <w:tcW w:w="1142" w:type="dxa"/>
            <w:shd w:val="clear" w:color="auto" w:fill="auto"/>
            <w:vAlign w:val="center"/>
          </w:tcPr>
          <w:p w:rsidR="00450BDD" w:rsidRPr="00CA61A6" w:rsidRDefault="00110CAD" w:rsidP="007B34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hyperlink w:anchor="ItemOp_02" w:history="1">
              <w:r w:rsidR="00450BDD" w:rsidRPr="00CA61A6">
                <w:rPr>
                  <w:color w:val="0000FF"/>
                  <w:sz w:val="20"/>
                  <w:u w:val="single"/>
                </w:rPr>
                <w:t>Op-02</w:t>
              </w:r>
            </w:hyperlink>
          </w:p>
        </w:tc>
        <w:tc>
          <w:tcPr>
            <w:tcW w:w="4807" w:type="dxa"/>
            <w:shd w:val="clear" w:color="auto" w:fill="auto"/>
          </w:tcPr>
          <w:p w:rsidR="00450BDD" w:rsidRPr="00CA61A6" w:rsidRDefault="0069256A" w:rsidP="0069256A">
            <w:pPr>
              <w:pStyle w:val="Tabletext"/>
            </w:pPr>
            <w:r>
              <w:t>E</w:t>
            </w:r>
            <w:r w:rsidR="00450BDD" w:rsidRPr="00CA61A6">
              <w:t>l Director invit</w:t>
            </w:r>
            <w:r>
              <w:t>ará</w:t>
            </w:r>
            <w:r w:rsidR="00450BDD" w:rsidRPr="00CA61A6">
              <w:t xml:space="preserve"> a la reunión del Consejo de 2013 a considerar la Opinión 1 de la AMNT-12 y rendir informe al respecto a la PP-14</w:t>
            </w:r>
          </w:p>
        </w:tc>
        <w:tc>
          <w:tcPr>
            <w:tcW w:w="1574" w:type="dxa"/>
            <w:shd w:val="clear" w:color="auto" w:fill="auto"/>
            <w:vAlign w:val="center"/>
          </w:tcPr>
          <w:p w:rsidR="00450BDD" w:rsidRPr="00CA61A6" w:rsidRDefault="00450BDD" w:rsidP="00CF4FC2">
            <w:pPr>
              <w:pStyle w:val="Tabletext"/>
              <w:jc w:val="center"/>
            </w:pPr>
            <w:r w:rsidRPr="00CA61A6">
              <w:t>Junio de 2013</w:t>
            </w:r>
          </w:p>
        </w:tc>
        <w:tc>
          <w:tcPr>
            <w:tcW w:w="1148" w:type="dxa"/>
            <w:shd w:val="clear" w:color="auto" w:fill="auto"/>
            <w:vAlign w:val="center"/>
          </w:tcPr>
          <w:p w:rsidR="00450BDD" w:rsidRPr="00CA61A6" w:rsidRDefault="00450BDD" w:rsidP="00CF4FC2">
            <w:pPr>
              <w:pStyle w:val="Tabletext"/>
              <w:jc w:val="center"/>
            </w:pPr>
          </w:p>
        </w:tc>
        <w:tc>
          <w:tcPr>
            <w:tcW w:w="1261" w:type="dxa"/>
            <w:shd w:val="clear" w:color="auto" w:fill="auto"/>
            <w:vAlign w:val="center"/>
          </w:tcPr>
          <w:p w:rsidR="00450BDD" w:rsidRPr="00CA61A6" w:rsidRDefault="00CF4FC2" w:rsidP="00CF4FC2">
            <w:pPr>
              <w:pStyle w:val="Tabletext"/>
              <w:jc w:val="center"/>
            </w:pPr>
            <w:r w:rsidRPr="00CA61A6">
              <w:sym w:font="Wingdings" w:char="F0FC"/>
            </w:r>
          </w:p>
        </w:tc>
      </w:tr>
    </w:tbl>
    <w:p w:rsidR="00450BDD" w:rsidRPr="00CA61A6" w:rsidRDefault="007167EC" w:rsidP="007167EC">
      <w:pPr>
        <w:pStyle w:val="Headingb"/>
        <w:keepLines/>
      </w:pPr>
      <w:bookmarkStart w:id="745" w:name="ItemOp_02"/>
      <w:bookmarkEnd w:id="745"/>
      <w:r w:rsidRPr="00CA61A6">
        <w:t xml:space="preserve">Acción </w:t>
      </w:r>
      <w:r w:rsidR="00450BDD" w:rsidRPr="00CA61A6">
        <w:t>Op-02: TSB</w:t>
      </w:r>
    </w:p>
    <w:p w:rsidR="00450BDD" w:rsidRPr="00CA61A6" w:rsidRDefault="00146149" w:rsidP="0088406B">
      <w:pPr>
        <w:rPr>
          <w:rFonts w:eastAsia="SimSun"/>
          <w:szCs w:val="24"/>
          <w:lang w:eastAsia="ja-JP"/>
        </w:rPr>
      </w:pPr>
      <w:r>
        <w:rPr>
          <w:rFonts w:eastAsia="SimSun"/>
          <w:szCs w:val="24"/>
          <w:lang w:eastAsia="ja-JP"/>
        </w:rPr>
        <w:t>Completada</w:t>
      </w:r>
      <w:r w:rsidR="00450BDD" w:rsidRPr="00CA61A6">
        <w:rPr>
          <w:rFonts w:eastAsia="SimSun"/>
          <w:szCs w:val="24"/>
          <w:lang w:eastAsia="ja-JP"/>
        </w:rPr>
        <w:t>. El Director de la TSB presentó al Consejo información sobre la Opinión 1 en su Informe de la AMNT-12 a la reunión de 2013 del Consejo (</w:t>
      </w:r>
      <w:hyperlink r:id="rId233" w:history="1">
        <w:r w:rsidR="00450BDD" w:rsidRPr="00CA61A6">
          <w:rPr>
            <w:rFonts w:eastAsia="SimSun"/>
            <w:szCs w:val="24"/>
            <w:lang w:eastAsia="ja-JP"/>
          </w:rPr>
          <w:t>C13/22</w:t>
        </w:r>
      </w:hyperlink>
      <w:r w:rsidR="00450BDD" w:rsidRPr="00CA61A6">
        <w:rPr>
          <w:rFonts w:eastAsia="SimSun"/>
          <w:szCs w:val="24"/>
          <w:lang w:eastAsia="ja-JP"/>
        </w:rPr>
        <w:t>).</w:t>
      </w:r>
    </w:p>
    <w:p w:rsidR="007167EC" w:rsidRPr="00CA61A6" w:rsidRDefault="00110CAD" w:rsidP="007167EC">
      <w:hyperlink w:anchor="Top" w:history="1">
        <w:r w:rsidR="007167EC" w:rsidRPr="00CA61A6">
          <w:rPr>
            <w:rStyle w:val="Hyperlink"/>
          </w:rPr>
          <w:t>» Arriba</w:t>
        </w:r>
      </w:hyperlink>
    </w:p>
    <w:p w:rsidR="00B53591" w:rsidRPr="00CA61A6" w:rsidRDefault="00B53591" w:rsidP="00CA61A6">
      <w:pPr>
        <w:pStyle w:val="Reasons"/>
      </w:pPr>
    </w:p>
    <w:p w:rsidR="00B53591" w:rsidRPr="00CA61A6" w:rsidRDefault="00B53591">
      <w:pPr>
        <w:jc w:val="center"/>
      </w:pPr>
      <w:r w:rsidRPr="00CA61A6">
        <w:t>______________</w:t>
      </w:r>
    </w:p>
    <w:sectPr w:rsidR="00B53591" w:rsidRPr="00CA61A6" w:rsidSect="00D87832">
      <w:headerReference w:type="default" r:id="rId234"/>
      <w:footerReference w:type="even" r:id="rId235"/>
      <w:footerReference w:type="default" r:id="rId236"/>
      <w:footerReference w:type="first" r:id="rId237"/>
      <w:pgSz w:w="11907" w:h="16840" w:code="9"/>
      <w:pgMar w:top="1417" w:right="1134" w:bottom="1417" w:left="1134" w:header="720" w:footer="720" w:gutter="0"/>
      <w:paperSrc w:first="15" w:other="15"/>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78CF" w:rsidRDefault="00FA78CF">
      <w:r>
        <w:separator/>
      </w:r>
    </w:p>
  </w:endnote>
  <w:endnote w:type="continuationSeparator" w:id="0">
    <w:p w:rsidR="00FA78CF" w:rsidRDefault="00FA7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78CF" w:rsidRDefault="00FA78C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A78CF" w:rsidRPr="006E0078" w:rsidRDefault="00FA78CF">
    <w:pPr>
      <w:ind w:right="360"/>
      <w:rPr>
        <w:lang w:val="fr-CH"/>
      </w:rPr>
    </w:pPr>
    <w:r>
      <w:fldChar w:fldCharType="begin"/>
    </w:r>
    <w:r w:rsidRPr="006E0078">
      <w:rPr>
        <w:lang w:val="fr-CH"/>
      </w:rPr>
      <w:instrText xml:space="preserve"> FILENAME \p  \* MERGEFORMAT </w:instrText>
    </w:r>
    <w:r>
      <w:fldChar w:fldCharType="separate"/>
    </w:r>
    <w:r>
      <w:rPr>
        <w:noProof/>
        <w:lang w:val="fr-CH"/>
      </w:rPr>
      <w:t>P:\ESP\ITU-T\CONF-T\WTSA16\000\035S.docx</w:t>
    </w:r>
    <w:r>
      <w:fldChar w:fldCharType="end"/>
    </w:r>
    <w:r w:rsidRPr="006E0078">
      <w:rPr>
        <w:lang w:val="fr-CH"/>
      </w:rPr>
      <w:tab/>
    </w:r>
    <w:r>
      <w:fldChar w:fldCharType="begin"/>
    </w:r>
    <w:r>
      <w:instrText xml:space="preserve"> SAVEDATE \@ DD.MM.YY </w:instrText>
    </w:r>
    <w:r>
      <w:fldChar w:fldCharType="separate"/>
    </w:r>
    <w:r w:rsidR="000856D6">
      <w:rPr>
        <w:noProof/>
      </w:rPr>
      <w:t>11.10.16</w:t>
    </w:r>
    <w:r>
      <w:fldChar w:fldCharType="end"/>
    </w:r>
    <w:r w:rsidRPr="006E0078">
      <w:rPr>
        <w:lang w:val="fr-CH"/>
      </w:rPr>
      <w:tab/>
    </w:r>
    <w:r>
      <w:fldChar w:fldCharType="begin"/>
    </w:r>
    <w:r>
      <w:instrText xml:space="preserve"> PRINTDATE \@ DD.MM.YY </w:instrText>
    </w:r>
    <w:r>
      <w:fldChar w:fldCharType="separate"/>
    </w:r>
    <w:r>
      <w:rPr>
        <w:noProof/>
      </w:rPr>
      <w:t>06.10.16</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78CF" w:rsidRPr="00C57CF6" w:rsidRDefault="00FA78CF" w:rsidP="00D20F1B">
    <w:pPr>
      <w:pStyle w:val="Footer"/>
      <w:rPr>
        <w:lang w:val="fr-CH"/>
      </w:rPr>
    </w:pPr>
    <w:r>
      <w:fldChar w:fldCharType="begin"/>
    </w:r>
    <w:r w:rsidRPr="00C57CF6">
      <w:rPr>
        <w:lang w:val="fr-CH"/>
      </w:rPr>
      <w:instrText xml:space="preserve"> FILENAME \p  \* MERGEFORMAT </w:instrText>
    </w:r>
    <w:r>
      <w:fldChar w:fldCharType="separate"/>
    </w:r>
    <w:r>
      <w:rPr>
        <w:lang w:val="fr-CH"/>
      </w:rPr>
      <w:t>P:\ESP\ITU-T\CONF-T\WTSA16\000\035S.docx</w:t>
    </w:r>
    <w:r>
      <w:fldChar w:fldCharType="end"/>
    </w:r>
    <w:r w:rsidRPr="00C57CF6">
      <w:rPr>
        <w:lang w:val="fr-CH"/>
      </w:rPr>
      <w:t xml:space="preserve"> (400264)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Borders>
        <w:top w:val="single" w:sz="2" w:space="0" w:color="auto"/>
      </w:tblBorders>
      <w:tblLayout w:type="fixed"/>
      <w:tblCellMar>
        <w:left w:w="57" w:type="dxa"/>
        <w:right w:w="57" w:type="dxa"/>
      </w:tblCellMar>
      <w:tblLook w:val="0000" w:firstRow="0" w:lastRow="0" w:firstColumn="0" w:lastColumn="0" w:noHBand="0" w:noVBand="0"/>
    </w:tblPr>
    <w:tblGrid>
      <w:gridCol w:w="1617"/>
      <w:gridCol w:w="3912"/>
      <w:gridCol w:w="4394"/>
    </w:tblGrid>
    <w:tr w:rsidR="00FA78CF" w:rsidRPr="0019796C" w:rsidTr="0019796C">
      <w:trPr>
        <w:cantSplit/>
        <w:trHeight w:val="204"/>
        <w:jc w:val="center"/>
      </w:trPr>
      <w:tc>
        <w:tcPr>
          <w:tcW w:w="1617" w:type="dxa"/>
        </w:tcPr>
        <w:p w:rsidR="00FA78CF" w:rsidRPr="00AF4AF7" w:rsidRDefault="00FA78CF" w:rsidP="00974697">
          <w:pPr>
            <w:rPr>
              <w:b/>
              <w:bCs/>
              <w:szCs w:val="24"/>
            </w:rPr>
          </w:pPr>
          <w:r>
            <w:rPr>
              <w:b/>
              <w:bCs/>
              <w:szCs w:val="24"/>
            </w:rPr>
            <w:t>Diríjase a:</w:t>
          </w:r>
        </w:p>
      </w:tc>
      <w:tc>
        <w:tcPr>
          <w:tcW w:w="3912" w:type="dxa"/>
        </w:tcPr>
        <w:p w:rsidR="00FA78CF" w:rsidRPr="00AF4AF7" w:rsidRDefault="00FA78CF" w:rsidP="00974697">
          <w:pPr>
            <w:rPr>
              <w:szCs w:val="24"/>
            </w:rPr>
          </w:pPr>
          <w:r w:rsidRPr="00974697">
            <w:rPr>
              <w:szCs w:val="24"/>
            </w:rPr>
            <w:t>Xiaoya YANG</w:t>
          </w:r>
        </w:p>
        <w:p w:rsidR="00FA78CF" w:rsidRPr="00AF4AF7" w:rsidRDefault="00FA78CF" w:rsidP="00974697">
          <w:pPr>
            <w:spacing w:before="0"/>
            <w:rPr>
              <w:szCs w:val="24"/>
            </w:rPr>
          </w:pPr>
          <w:r w:rsidRPr="00974697">
            <w:rPr>
              <w:szCs w:val="24"/>
            </w:rPr>
            <w:t>TSB</w:t>
          </w:r>
        </w:p>
      </w:tc>
      <w:tc>
        <w:tcPr>
          <w:tcW w:w="4394" w:type="dxa"/>
        </w:tcPr>
        <w:p w:rsidR="00FA78CF" w:rsidRDefault="00FA78CF" w:rsidP="00974697">
          <w:pPr>
            <w:rPr>
              <w:szCs w:val="24"/>
              <w:lang w:val="fr-CH"/>
            </w:rPr>
          </w:pPr>
          <w:r w:rsidRPr="00AF4AF7">
            <w:rPr>
              <w:szCs w:val="24"/>
              <w:lang w:val="fr-CH"/>
            </w:rPr>
            <w:t>Tel</w:t>
          </w:r>
          <w:r>
            <w:rPr>
              <w:szCs w:val="24"/>
              <w:lang w:val="fr-CH"/>
            </w:rPr>
            <w:t>.</w:t>
          </w:r>
          <w:r w:rsidRPr="00AF4AF7">
            <w:rPr>
              <w:szCs w:val="24"/>
              <w:lang w:val="fr-CH"/>
            </w:rPr>
            <w:t>:</w:t>
          </w:r>
          <w:r>
            <w:rPr>
              <w:szCs w:val="24"/>
              <w:lang w:val="fr-CH"/>
            </w:rPr>
            <w:tab/>
          </w:r>
          <w:r w:rsidRPr="00974697">
            <w:rPr>
              <w:szCs w:val="24"/>
              <w:lang w:val="fr-CH"/>
            </w:rPr>
            <w:t>+ 41 22 730 6206</w:t>
          </w:r>
        </w:p>
        <w:p w:rsidR="00FA78CF" w:rsidRPr="00AF4AF7" w:rsidRDefault="00FA78CF" w:rsidP="0019796C">
          <w:pPr>
            <w:spacing w:before="0"/>
            <w:rPr>
              <w:szCs w:val="24"/>
              <w:lang w:val="fr-CH"/>
            </w:rPr>
          </w:pPr>
          <w:bookmarkStart w:id="746" w:name="lt_pId007"/>
          <w:r w:rsidRPr="0019796C">
            <w:rPr>
              <w:szCs w:val="24"/>
              <w:lang w:val="fr-CH"/>
            </w:rPr>
            <w:t>Fax:</w:t>
          </w:r>
          <w:bookmarkEnd w:id="746"/>
          <w:r w:rsidRPr="0019796C">
            <w:rPr>
              <w:szCs w:val="24"/>
              <w:lang w:val="fr-CH"/>
            </w:rPr>
            <w:tab/>
            <w:t>+ 41 22 730 5853</w:t>
          </w:r>
        </w:p>
        <w:p w:rsidR="00FA78CF" w:rsidRPr="00C6310C" w:rsidRDefault="00FA78CF" w:rsidP="00974697">
          <w:pPr>
            <w:spacing w:before="0"/>
            <w:rPr>
              <w:szCs w:val="24"/>
              <w:lang w:val="fr-CH"/>
            </w:rPr>
          </w:pPr>
          <w:r w:rsidRPr="00C6310C">
            <w:rPr>
              <w:szCs w:val="24"/>
              <w:lang w:val="fr-CH"/>
            </w:rPr>
            <w:t>Correo-e:</w:t>
          </w:r>
          <w:r w:rsidRPr="00C6310C">
            <w:rPr>
              <w:szCs w:val="24"/>
              <w:lang w:val="fr-CH"/>
            </w:rPr>
            <w:tab/>
          </w:r>
          <w:hyperlink r:id="rId1" w:history="1">
            <w:r w:rsidRPr="0019796C">
              <w:rPr>
                <w:rStyle w:val="Hyperlink"/>
                <w:lang w:val="fr-CH"/>
              </w:rPr>
              <w:t>xiaoya.yang@itu.int</w:t>
            </w:r>
          </w:hyperlink>
        </w:p>
      </w:tc>
    </w:tr>
  </w:tbl>
  <w:p w:rsidR="00FA78CF" w:rsidRPr="00FC3528" w:rsidRDefault="00FA78CF" w:rsidP="00135AF8">
    <w:pPr>
      <w:pStyle w:val="Footer"/>
      <w:rPr>
        <w:lang w:val="en-G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78CF" w:rsidRDefault="00FA78CF">
      <w:r>
        <w:rPr>
          <w:b/>
        </w:rPr>
        <w:t>_______________</w:t>
      </w:r>
    </w:p>
  </w:footnote>
  <w:footnote w:type="continuationSeparator" w:id="0">
    <w:p w:rsidR="00FA78CF" w:rsidRDefault="00FA78CF">
      <w:r>
        <w:continuationSeparator/>
      </w:r>
    </w:p>
  </w:footnote>
  <w:footnote w:id="1">
    <w:p w:rsidR="00FA78CF" w:rsidRPr="00F51AC0" w:rsidRDefault="00FA78CF" w:rsidP="005F60C9">
      <w:pPr>
        <w:pStyle w:val="FootnoteText"/>
        <w:tabs>
          <w:tab w:val="clear" w:pos="255"/>
          <w:tab w:val="clear" w:pos="1134"/>
          <w:tab w:val="left" w:pos="0"/>
          <w:tab w:val="left" w:pos="284"/>
        </w:tabs>
      </w:pPr>
      <w:r>
        <w:rPr>
          <w:rStyle w:val="FootnoteReference"/>
        </w:rPr>
        <w:t>1</w:t>
      </w:r>
      <w:r w:rsidRPr="00800FC4">
        <w:tab/>
      </w:r>
      <w:r>
        <w:t xml:space="preserve">El </w:t>
      </w:r>
      <w:r w:rsidRPr="00800FC4">
        <w:t>Consejo de la UIT aprobó la fecha y el lugar de</w:t>
      </w:r>
      <w:r>
        <w:t xml:space="preserve"> celebración de</w:t>
      </w:r>
      <w:r w:rsidRPr="00800FC4">
        <w:t xml:space="preserve"> la AMNT-16</w:t>
      </w:r>
      <w:r>
        <w:t xml:space="preserve">, a saber, </w:t>
      </w:r>
      <w:r w:rsidRPr="00800FC4">
        <w:t>del 25 de octubre al 3 de noviembre de 2016</w:t>
      </w:r>
      <w:r>
        <w:t xml:space="preserve"> en Yasmine Hammamet (Túnez)</w:t>
      </w:r>
      <w:r w:rsidRPr="00800FC4">
        <w:t xml:space="preserve">. </w:t>
      </w:r>
      <w:r>
        <w:t>Se procuró obtener la aprobación de la mayoría de los Estados Miembros</w:t>
      </w:r>
      <w:r w:rsidRPr="00800FC4">
        <w:t xml:space="preserve"> de la UIT hasta el 15 de </w:t>
      </w:r>
      <w:r>
        <w:t>febrero</w:t>
      </w:r>
      <w:r w:rsidRPr="00800FC4">
        <w:t xml:space="preserve"> de 2016.</w:t>
      </w:r>
    </w:p>
  </w:footnote>
  <w:footnote w:id="2">
    <w:p w:rsidR="00FA78CF" w:rsidRPr="003D02A1" w:rsidRDefault="00FA78CF" w:rsidP="006417FD">
      <w:pPr>
        <w:pStyle w:val="FootnoteText"/>
      </w:pPr>
      <w:r w:rsidRPr="003D02A1">
        <w:rPr>
          <w:rStyle w:val="FootnoteReference"/>
        </w:rPr>
        <w:t>1</w:t>
      </w:r>
      <w:r w:rsidRPr="003D02A1">
        <w:tab/>
        <w:t>Este término incluye también a los países menos adelantados, los pequeños Estados insulares en desarrollo, los países en desarrollo sin litoral y los países con economías en transición.</w:t>
      </w:r>
    </w:p>
  </w:footnote>
  <w:footnote w:id="3">
    <w:p w:rsidR="00FA78CF" w:rsidRPr="00B0077F" w:rsidRDefault="00FA78CF" w:rsidP="009F5D5A">
      <w:pPr>
        <w:pStyle w:val="FootnoteText"/>
      </w:pPr>
      <w:r>
        <w:rPr>
          <w:rStyle w:val="FootnoteReference"/>
        </w:rPr>
        <w:t>2</w:t>
      </w:r>
      <w:r>
        <w:tab/>
      </w:r>
      <w:hyperlink r:id="rId1" w:history="1">
        <w:r w:rsidRPr="006A1A82">
          <w:rPr>
            <w:rStyle w:val="Hyperlink"/>
          </w:rPr>
          <w:t>http://itu.int/md/T13-TSB-CIR-0019</w:t>
        </w:r>
      </w:hyperlink>
      <w:r w:rsidRPr="00E72F27">
        <w:rPr>
          <w:szCs w:val="24"/>
          <w:lang w:eastAsia="ja-JP"/>
        </w:rPr>
        <w:t>.</w:t>
      </w:r>
    </w:p>
  </w:footnote>
  <w:footnote w:id="4">
    <w:p w:rsidR="00FA78CF" w:rsidRPr="0062564D" w:rsidRDefault="00FA78CF" w:rsidP="00450BDD">
      <w:pPr>
        <w:pStyle w:val="FootnoteText"/>
      </w:pPr>
      <w:r>
        <w:rPr>
          <w:rStyle w:val="FootnoteReference"/>
        </w:rPr>
        <w:t>3</w:t>
      </w:r>
      <w:r>
        <w:tab/>
      </w:r>
      <w:hyperlink r:id="rId2" w:history="1">
        <w:r w:rsidRPr="006A1A82">
          <w:rPr>
            <w:rStyle w:val="Hyperlink"/>
          </w:rPr>
          <w:t>http://itu.int/ITU-T/inr/enum/</w:t>
        </w:r>
      </w:hyperlink>
      <w:r>
        <w:t>.</w:t>
      </w:r>
    </w:p>
  </w:footnote>
  <w:footnote w:id="5">
    <w:p w:rsidR="00FA78CF" w:rsidRPr="009B7146" w:rsidRDefault="00FA78CF" w:rsidP="006014A9">
      <w:pPr>
        <w:pStyle w:val="FootnoteText"/>
        <w:tabs>
          <w:tab w:val="clear" w:pos="255"/>
          <w:tab w:val="left" w:pos="284"/>
        </w:tabs>
      </w:pPr>
      <w:r w:rsidRPr="009B7146">
        <w:rPr>
          <w:rStyle w:val="FootnoteReference"/>
        </w:rPr>
        <w:t>2</w:t>
      </w:r>
      <w:r w:rsidRPr="009B7146">
        <w:tab/>
      </w:r>
      <w:r w:rsidRPr="0044102A">
        <w:rPr>
          <w:lang w:val="es-ES"/>
        </w:rPr>
        <w:t>Los servicios de retransmisión de telecomunicaciones permiten a los usuarios de las distintas modalidades de comunicación (por ejemplo, texto, signos, voz) interactuar gracias a la convergencia de los modos de comunicación, por lo general a través de operadores humanos</w:t>
      </w:r>
      <w:r>
        <w:rPr>
          <w:lang w:val="es-ES"/>
        </w:rPr>
        <w:t>.</w:t>
      </w:r>
    </w:p>
  </w:footnote>
  <w:footnote w:id="6">
    <w:p w:rsidR="00FA78CF" w:rsidRPr="009B7146" w:rsidRDefault="00FA78CF" w:rsidP="00B74A82">
      <w:pPr>
        <w:pStyle w:val="FootnoteText"/>
        <w:tabs>
          <w:tab w:val="clear" w:pos="255"/>
          <w:tab w:val="left" w:pos="284"/>
          <w:tab w:val="left" w:pos="426"/>
        </w:tabs>
      </w:pPr>
      <w:r w:rsidRPr="009B7146">
        <w:rPr>
          <w:rStyle w:val="FootnoteReference"/>
        </w:rPr>
        <w:t>2</w:t>
      </w:r>
      <w:r w:rsidRPr="009B7146">
        <w:tab/>
        <w:t>Este término comprende a los países menos adelantados, los pequeños Estados insulares en desarrollo, los países en desarrollo sin litoral y los países con economías en transición.</w:t>
      </w:r>
    </w:p>
  </w:footnote>
  <w:footnote w:id="7">
    <w:p w:rsidR="00FA78CF" w:rsidRPr="009B7146" w:rsidRDefault="00FA78CF" w:rsidP="00B74A82">
      <w:pPr>
        <w:pStyle w:val="FootnoteText"/>
        <w:tabs>
          <w:tab w:val="clear" w:pos="255"/>
          <w:tab w:val="clear" w:pos="1134"/>
          <w:tab w:val="left" w:pos="0"/>
          <w:tab w:val="left" w:pos="284"/>
        </w:tabs>
        <w:rPr>
          <w:szCs w:val="24"/>
        </w:rPr>
      </w:pPr>
      <w:r w:rsidRPr="009B7146">
        <w:rPr>
          <w:rStyle w:val="FootnoteReference"/>
        </w:rPr>
        <w:t>3</w:t>
      </w:r>
      <w:r>
        <w:tab/>
      </w:r>
      <w:r w:rsidRPr="009B7146">
        <w:rPr>
          <w:rFonts w:asciiTheme="majorBidi" w:hAnsiTheme="majorBidi" w:cstheme="majorBidi"/>
          <w:szCs w:val="24"/>
        </w:rPr>
        <w:t xml:space="preserve">Teniendo en cuenta la Resolución 58 (Rev. Guadalajara, 2010) de la Conferencia de Plenipotenciarios con respecto a </w:t>
      </w:r>
      <w:r w:rsidRPr="009B7146">
        <w:rPr>
          <w:rFonts w:asciiTheme="majorBidi" w:hAnsiTheme="majorBidi" w:cstheme="majorBidi"/>
          <w:color w:val="231F20"/>
          <w:szCs w:val="24"/>
          <w:lang w:eastAsia="zh-CN"/>
        </w:rPr>
        <w:t>las seis principales organizaciones regionales de telecomunicaciones, a saber, la Telecomunidad Asia-Pacífico (APT), la Conferencia Europea de Administraciones de Correos y Telecomunicaciones (CEPT), la Comisión Interamericana de Telecomunicaciones (CITEL), la Unión Africana de Telecomunicaciones (UAT), el Consejo de Ministros Árabes de Telecomunicaciones e Información representantes de la Secretaría General de la Liga de los Estados Árabes (LEA) y la Comunidad Regional de Comunicaciones (CRC).</w:t>
      </w:r>
    </w:p>
  </w:footnote>
  <w:footnote w:id="8">
    <w:p w:rsidR="00FA78CF" w:rsidRPr="001F7C71" w:rsidRDefault="00FA78CF" w:rsidP="00104844">
      <w:pPr>
        <w:pStyle w:val="FootnoteText"/>
      </w:pPr>
      <w:r>
        <w:rPr>
          <w:rStyle w:val="FootnoteReference"/>
        </w:rPr>
        <w:t>4</w:t>
      </w:r>
      <w:r>
        <w:tab/>
      </w:r>
      <w:hyperlink r:id="rId3" w:history="1">
        <w:r w:rsidRPr="007945CB">
          <w:rPr>
            <w:rStyle w:val="Hyperlink"/>
          </w:rPr>
          <w:t>http://itu.int/en/ITU-T/climatechange/emf-1305</w:t>
        </w:r>
      </w:hyperlink>
      <w:r>
        <w:t>.</w:t>
      </w:r>
    </w:p>
  </w:footnote>
  <w:footnote w:id="9">
    <w:p w:rsidR="00FA78CF" w:rsidRPr="009B7146" w:rsidRDefault="00FA78CF" w:rsidP="00450BDD">
      <w:pPr>
        <w:pStyle w:val="FootnoteText"/>
      </w:pPr>
      <w:r w:rsidRPr="009B7146">
        <w:rPr>
          <w:rStyle w:val="FootnoteReference"/>
        </w:rPr>
        <w:t>2</w:t>
      </w:r>
      <w:r w:rsidRPr="009B7146">
        <w:tab/>
        <w:t>Kyoto (Japón) los días 15 y 16 de abril de 2008, en Londres (Reino Unido), los días 17 y 18 de junio de 2008, en Quito (Ecuador) del 8 al 10 de julio de 2009, en el Simposio Virtual de Seúl, el 23 de septiembre de 2009, en El Cairo (Egipto) los días 2 y 3 de noviembre de 2010, en Accra (Ghana) los días 7 y 8 de julio de 2011, en Seúl (República de Corea) el 19 de septiembre de 2011, y en Montreal (Canadá) del 29 al 31 de mayo de 2012.</w:t>
      </w:r>
    </w:p>
  </w:footnote>
  <w:footnote w:id="10">
    <w:p w:rsidR="00FA78CF" w:rsidRPr="009B7146" w:rsidRDefault="00FA78CF" w:rsidP="00450BDD">
      <w:pPr>
        <w:pStyle w:val="FootnoteText"/>
      </w:pPr>
      <w:r w:rsidRPr="009B7146">
        <w:rPr>
          <w:rStyle w:val="FootnoteReference"/>
        </w:rPr>
        <w:t>3</w:t>
      </w:r>
      <w:r w:rsidRPr="009B7146">
        <w:t xml:space="preserve"> </w:t>
      </w:r>
      <w:r w:rsidRPr="009B7146">
        <w:tab/>
      </w:r>
      <w:r>
        <w:rPr>
          <w:lang w:val="es-ES"/>
        </w:rPr>
        <w:t>En lo que atañe a la eficiencia, también debería considerarse la promoción del aprovechamiento eficiente de los materiales utilizados en los aparatos y elementos de red de TIC.</w:t>
      </w:r>
    </w:p>
  </w:footnote>
  <w:footnote w:id="11">
    <w:p w:rsidR="00FA78CF" w:rsidRPr="0082222F" w:rsidRDefault="00FA78CF" w:rsidP="00AD4E54">
      <w:pPr>
        <w:pStyle w:val="FootnoteText"/>
      </w:pPr>
      <w:r>
        <w:rPr>
          <w:rStyle w:val="FootnoteReference"/>
        </w:rPr>
        <w:footnoteRef/>
      </w:r>
      <w:r w:rsidRPr="0082222F">
        <w:tab/>
      </w:r>
      <w:r w:rsidRPr="009B7146">
        <w:t>Este término incluye los países menos adelantados, los pequeños Estados insulares en desarrollo, los países en desarrollo sin litoral y los países con economías en transición.</w:t>
      </w:r>
    </w:p>
  </w:footnote>
  <w:footnote w:id="12">
    <w:p w:rsidR="00FA78CF" w:rsidRDefault="00FA78CF" w:rsidP="009A33FC">
      <w:pPr>
        <w:pStyle w:val="FootnoteText"/>
      </w:pPr>
      <w:r>
        <w:rPr>
          <w:rStyle w:val="FootnoteReference"/>
        </w:rPr>
        <w:t>5</w:t>
      </w:r>
      <w:r>
        <w:tab/>
      </w:r>
      <w:hyperlink r:id="rId4" w:history="1">
        <w:r w:rsidRPr="009B08EE">
          <w:rPr>
            <w:rStyle w:val="Hyperlink"/>
            <w:szCs w:val="24"/>
          </w:rPr>
          <w:t>http://itu.int/en/ITU-T/Workshops-and-Seminars/e-Health/201302</w:t>
        </w:r>
      </w:hyperlink>
      <w:r w:rsidRPr="009B08EE">
        <w:rPr>
          <w:szCs w:val="24"/>
        </w:rPr>
        <w:t>.</w:t>
      </w:r>
    </w:p>
  </w:footnote>
  <w:footnote w:id="13">
    <w:p w:rsidR="00FA78CF" w:rsidRPr="00B9675D" w:rsidRDefault="00FA78CF" w:rsidP="0067565E">
      <w:pPr>
        <w:pStyle w:val="FootnoteText"/>
      </w:pPr>
      <w:r>
        <w:rPr>
          <w:rStyle w:val="FootnoteReference"/>
        </w:rPr>
        <w:t>6</w:t>
      </w:r>
      <w:r>
        <w:tab/>
      </w:r>
      <w:hyperlink r:id="rId5" w:history="1">
        <w:r w:rsidRPr="000715C4">
          <w:rPr>
            <w:rStyle w:val="Hyperlink"/>
          </w:rPr>
          <w:t>http://www.who.int/pbd/deafness/news/safe_listening_devices_scope_purpose.pdf</w:t>
        </w:r>
      </w:hyperlink>
      <w:r w:rsidRPr="009B08EE">
        <w:rPr>
          <w:szCs w:val="24"/>
        </w:rPr>
        <w:t>.</w:t>
      </w:r>
    </w:p>
  </w:footnote>
  <w:footnote w:id="14">
    <w:p w:rsidR="00FA78CF" w:rsidRPr="000006BC" w:rsidRDefault="00FA78CF" w:rsidP="00803CD8">
      <w:pPr>
        <w:pStyle w:val="FootnoteText"/>
      </w:pPr>
      <w:r>
        <w:rPr>
          <w:rStyle w:val="FootnoteReference"/>
        </w:rPr>
        <w:t>7</w:t>
      </w:r>
      <w:r>
        <w:tab/>
      </w:r>
      <w:hyperlink r:id="rId6" w:history="1">
        <w:r w:rsidRPr="002146F6">
          <w:rPr>
            <w:rStyle w:val="Hyperlink"/>
            <w:szCs w:val="24"/>
          </w:rPr>
          <w:t>http://www.itu.int/rec/T-REC-H.860</w:t>
        </w:r>
      </w:hyperlink>
      <w:r w:rsidRPr="009B08EE">
        <w:rPr>
          <w:szCs w:val="24"/>
        </w:rPr>
        <w:t>.</w:t>
      </w:r>
    </w:p>
  </w:footnote>
  <w:footnote w:id="15">
    <w:p w:rsidR="00FA78CF" w:rsidRPr="00B9675D" w:rsidRDefault="00FA78CF" w:rsidP="00450BDD">
      <w:pPr>
        <w:pStyle w:val="FootnoteText"/>
      </w:pPr>
      <w:r>
        <w:rPr>
          <w:rStyle w:val="FootnoteReference"/>
        </w:rPr>
        <w:t>8</w:t>
      </w:r>
      <w:r>
        <w:tab/>
      </w:r>
      <w:hyperlink r:id="rId7" w:history="1">
        <w:r w:rsidRPr="00183646">
          <w:rPr>
            <w:rStyle w:val="Hyperlink"/>
          </w:rPr>
          <w:t>http://www.itu.int/rec/T-REC-H.810</w:t>
        </w:r>
      </w:hyperlink>
      <w:r>
        <w:t>.</w:t>
      </w:r>
    </w:p>
  </w:footnote>
  <w:footnote w:id="16">
    <w:p w:rsidR="00FA78CF" w:rsidRPr="00B9675D" w:rsidRDefault="00FA78CF" w:rsidP="00F6345C">
      <w:pPr>
        <w:pStyle w:val="FootnoteText"/>
      </w:pPr>
      <w:r>
        <w:rPr>
          <w:rStyle w:val="FootnoteReference"/>
        </w:rPr>
        <w:t>9</w:t>
      </w:r>
      <w:r>
        <w:tab/>
      </w:r>
      <w:hyperlink r:id="rId8" w:history="1">
        <w:r w:rsidRPr="00183646">
          <w:rPr>
            <w:rStyle w:val="Hyperlink"/>
          </w:rPr>
          <w:t>http://newslog.itu.int/archives/431</w:t>
        </w:r>
      </w:hyperlink>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78CF" w:rsidRDefault="00FA78CF" w:rsidP="00E83D45">
    <w:pPr>
      <w:pStyle w:val="Header"/>
    </w:pPr>
    <w:r>
      <w:fldChar w:fldCharType="begin"/>
    </w:r>
    <w:r>
      <w:instrText xml:space="preserve"> PAGE  \* MERGEFORMAT </w:instrText>
    </w:r>
    <w:r>
      <w:fldChar w:fldCharType="separate"/>
    </w:r>
    <w:r w:rsidR="00110CAD">
      <w:rPr>
        <w:noProof/>
      </w:rPr>
      <w:t>25</w:t>
    </w:r>
    <w:r>
      <w:fldChar w:fldCharType="end"/>
    </w:r>
  </w:p>
  <w:p w:rsidR="00FA78CF" w:rsidRPr="00C72D5C" w:rsidRDefault="00FA78CF" w:rsidP="00E83D45">
    <w:pPr>
      <w:pStyle w:val="Header"/>
    </w:pPr>
    <w:r>
      <w:t>AMNT16/35-</w:t>
    </w:r>
    <w:r w:rsidRPr="004A26C4">
      <w: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262B70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5678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4DAFD7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C6E882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8F680B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E4C38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E7419F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A9482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B6A621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DEA79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B39284A0"/>
    <w:lvl w:ilvl="0">
      <w:numFmt w:val="decimal"/>
      <w:lvlText w:val="*"/>
      <w:lvlJc w:val="left"/>
    </w:lvl>
  </w:abstractNum>
  <w:abstractNum w:abstractNumId="11" w15:restartNumberingAfterBreak="0">
    <w:nsid w:val="07B14333"/>
    <w:multiLevelType w:val="hybridMultilevel"/>
    <w:tmpl w:val="8D848B54"/>
    <w:lvl w:ilvl="0" w:tplc="D5A82DA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15:restartNumberingAfterBreak="0">
    <w:nsid w:val="0AB33007"/>
    <w:multiLevelType w:val="hybridMultilevel"/>
    <w:tmpl w:val="F6408CF2"/>
    <w:lvl w:ilvl="0" w:tplc="B2B42210">
      <w:start w:val="1"/>
      <w:numFmt w:val="bullet"/>
      <w:lvlText w:val=""/>
      <w:lvlJc w:val="left"/>
      <w:pPr>
        <w:ind w:left="1080" w:hanging="360"/>
      </w:pPr>
      <w:rPr>
        <w:rFonts w:ascii="Symbol" w:hAnsi="Symbol" w:hint="default"/>
      </w:rPr>
    </w:lvl>
    <w:lvl w:ilvl="1" w:tplc="213453CC">
      <w:start w:val="12"/>
      <w:numFmt w:val="bullet"/>
      <w:lvlText w:val="-"/>
      <w:lvlJc w:val="left"/>
      <w:pPr>
        <w:ind w:left="1800" w:hanging="360"/>
      </w:pPr>
      <w:rPr>
        <w:rFonts w:ascii="Times New Roman" w:eastAsia="Times New Roman" w:hAnsi="Times New Roman" w:cs="Times New Roman" w:hint="default"/>
      </w:rPr>
    </w:lvl>
    <w:lvl w:ilvl="2" w:tplc="2DEE673C" w:tentative="1">
      <w:start w:val="1"/>
      <w:numFmt w:val="bullet"/>
      <w:lvlText w:val=""/>
      <w:lvlJc w:val="left"/>
      <w:pPr>
        <w:ind w:left="2520" w:hanging="360"/>
      </w:pPr>
      <w:rPr>
        <w:rFonts w:ascii="Wingdings" w:hAnsi="Wingdings" w:hint="default"/>
      </w:rPr>
    </w:lvl>
    <w:lvl w:ilvl="3" w:tplc="E578DDF2" w:tentative="1">
      <w:start w:val="1"/>
      <w:numFmt w:val="bullet"/>
      <w:lvlText w:val=""/>
      <w:lvlJc w:val="left"/>
      <w:pPr>
        <w:ind w:left="3240" w:hanging="360"/>
      </w:pPr>
      <w:rPr>
        <w:rFonts w:ascii="Symbol" w:hAnsi="Symbol" w:hint="default"/>
      </w:rPr>
    </w:lvl>
    <w:lvl w:ilvl="4" w:tplc="26B675D0" w:tentative="1">
      <w:start w:val="1"/>
      <w:numFmt w:val="bullet"/>
      <w:lvlText w:val="o"/>
      <w:lvlJc w:val="left"/>
      <w:pPr>
        <w:ind w:left="3960" w:hanging="360"/>
      </w:pPr>
      <w:rPr>
        <w:rFonts w:ascii="Courier New" w:hAnsi="Courier New" w:cs="Courier New" w:hint="default"/>
      </w:rPr>
    </w:lvl>
    <w:lvl w:ilvl="5" w:tplc="3F32E23E" w:tentative="1">
      <w:start w:val="1"/>
      <w:numFmt w:val="bullet"/>
      <w:lvlText w:val=""/>
      <w:lvlJc w:val="left"/>
      <w:pPr>
        <w:ind w:left="4680" w:hanging="360"/>
      </w:pPr>
      <w:rPr>
        <w:rFonts w:ascii="Wingdings" w:hAnsi="Wingdings" w:hint="default"/>
      </w:rPr>
    </w:lvl>
    <w:lvl w:ilvl="6" w:tplc="032AA2A6" w:tentative="1">
      <w:start w:val="1"/>
      <w:numFmt w:val="bullet"/>
      <w:lvlText w:val=""/>
      <w:lvlJc w:val="left"/>
      <w:pPr>
        <w:ind w:left="5400" w:hanging="360"/>
      </w:pPr>
      <w:rPr>
        <w:rFonts w:ascii="Symbol" w:hAnsi="Symbol" w:hint="default"/>
      </w:rPr>
    </w:lvl>
    <w:lvl w:ilvl="7" w:tplc="271CA62C" w:tentative="1">
      <w:start w:val="1"/>
      <w:numFmt w:val="bullet"/>
      <w:lvlText w:val="o"/>
      <w:lvlJc w:val="left"/>
      <w:pPr>
        <w:ind w:left="6120" w:hanging="360"/>
      </w:pPr>
      <w:rPr>
        <w:rFonts w:ascii="Courier New" w:hAnsi="Courier New" w:cs="Courier New" w:hint="default"/>
      </w:rPr>
    </w:lvl>
    <w:lvl w:ilvl="8" w:tplc="8A6CB34C" w:tentative="1">
      <w:start w:val="1"/>
      <w:numFmt w:val="bullet"/>
      <w:lvlText w:val=""/>
      <w:lvlJc w:val="left"/>
      <w:pPr>
        <w:ind w:left="6840" w:hanging="360"/>
      </w:pPr>
      <w:rPr>
        <w:rFonts w:ascii="Wingdings" w:hAnsi="Wingdings" w:hint="default"/>
      </w:rPr>
    </w:lvl>
  </w:abstractNum>
  <w:abstractNum w:abstractNumId="13" w15:restartNumberingAfterBreak="0">
    <w:nsid w:val="0B3E7DC2"/>
    <w:multiLevelType w:val="hybridMultilevel"/>
    <w:tmpl w:val="B5BEF052"/>
    <w:lvl w:ilvl="0" w:tplc="5BE624B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15:restartNumberingAfterBreak="0">
    <w:nsid w:val="101E731B"/>
    <w:multiLevelType w:val="hybridMultilevel"/>
    <w:tmpl w:val="61E2768A"/>
    <w:lvl w:ilvl="0" w:tplc="D5A82DA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15:restartNumberingAfterBreak="0">
    <w:nsid w:val="10DA381B"/>
    <w:multiLevelType w:val="hybridMultilevel"/>
    <w:tmpl w:val="410A6972"/>
    <w:lvl w:ilvl="0" w:tplc="BFDE42FA">
      <w:numFmt w:val="bullet"/>
      <w:lvlText w:val="-"/>
      <w:lvlJc w:val="left"/>
      <w:pPr>
        <w:ind w:left="360" w:hanging="360"/>
      </w:pPr>
      <w:rPr>
        <w:rFonts w:ascii="Cambria" w:eastAsiaTheme="minorEastAsia" w:hAnsi="Cambria" w:cstheme="minorBidi" w:hint="default"/>
      </w:rPr>
    </w:lvl>
    <w:lvl w:ilvl="1" w:tplc="04090003" w:tentative="1">
      <w:start w:val="1"/>
      <w:numFmt w:val="bullet"/>
      <w:lvlText w:val="o"/>
      <w:lvlJc w:val="left"/>
      <w:pPr>
        <w:ind w:left="1026" w:hanging="360"/>
      </w:pPr>
      <w:rPr>
        <w:rFonts w:ascii="Courier New" w:hAnsi="Courier New" w:cs="Courier New" w:hint="default"/>
      </w:rPr>
    </w:lvl>
    <w:lvl w:ilvl="2" w:tplc="04090005" w:tentative="1">
      <w:start w:val="1"/>
      <w:numFmt w:val="bullet"/>
      <w:lvlText w:val=""/>
      <w:lvlJc w:val="left"/>
      <w:pPr>
        <w:ind w:left="1746" w:hanging="360"/>
      </w:pPr>
      <w:rPr>
        <w:rFonts w:ascii="Wingdings" w:hAnsi="Wingdings" w:hint="default"/>
      </w:rPr>
    </w:lvl>
    <w:lvl w:ilvl="3" w:tplc="04090001" w:tentative="1">
      <w:start w:val="1"/>
      <w:numFmt w:val="bullet"/>
      <w:lvlText w:val=""/>
      <w:lvlJc w:val="left"/>
      <w:pPr>
        <w:ind w:left="2466" w:hanging="360"/>
      </w:pPr>
      <w:rPr>
        <w:rFonts w:ascii="Symbol" w:hAnsi="Symbol" w:hint="default"/>
      </w:rPr>
    </w:lvl>
    <w:lvl w:ilvl="4" w:tplc="04090003" w:tentative="1">
      <w:start w:val="1"/>
      <w:numFmt w:val="bullet"/>
      <w:lvlText w:val="o"/>
      <w:lvlJc w:val="left"/>
      <w:pPr>
        <w:ind w:left="3186" w:hanging="360"/>
      </w:pPr>
      <w:rPr>
        <w:rFonts w:ascii="Courier New" w:hAnsi="Courier New" w:cs="Courier New" w:hint="default"/>
      </w:rPr>
    </w:lvl>
    <w:lvl w:ilvl="5" w:tplc="04090005" w:tentative="1">
      <w:start w:val="1"/>
      <w:numFmt w:val="bullet"/>
      <w:lvlText w:val=""/>
      <w:lvlJc w:val="left"/>
      <w:pPr>
        <w:ind w:left="3906" w:hanging="360"/>
      </w:pPr>
      <w:rPr>
        <w:rFonts w:ascii="Wingdings" w:hAnsi="Wingdings" w:hint="default"/>
      </w:rPr>
    </w:lvl>
    <w:lvl w:ilvl="6" w:tplc="04090001" w:tentative="1">
      <w:start w:val="1"/>
      <w:numFmt w:val="bullet"/>
      <w:lvlText w:val=""/>
      <w:lvlJc w:val="left"/>
      <w:pPr>
        <w:ind w:left="4626" w:hanging="360"/>
      </w:pPr>
      <w:rPr>
        <w:rFonts w:ascii="Symbol" w:hAnsi="Symbol" w:hint="default"/>
      </w:rPr>
    </w:lvl>
    <w:lvl w:ilvl="7" w:tplc="04090003" w:tentative="1">
      <w:start w:val="1"/>
      <w:numFmt w:val="bullet"/>
      <w:lvlText w:val="o"/>
      <w:lvlJc w:val="left"/>
      <w:pPr>
        <w:ind w:left="5346" w:hanging="360"/>
      </w:pPr>
      <w:rPr>
        <w:rFonts w:ascii="Courier New" w:hAnsi="Courier New" w:cs="Courier New" w:hint="default"/>
      </w:rPr>
    </w:lvl>
    <w:lvl w:ilvl="8" w:tplc="04090005" w:tentative="1">
      <w:start w:val="1"/>
      <w:numFmt w:val="bullet"/>
      <w:lvlText w:val=""/>
      <w:lvlJc w:val="left"/>
      <w:pPr>
        <w:ind w:left="6066" w:hanging="360"/>
      </w:pPr>
      <w:rPr>
        <w:rFonts w:ascii="Wingdings" w:hAnsi="Wingdings" w:hint="default"/>
      </w:rPr>
    </w:lvl>
  </w:abstractNum>
  <w:abstractNum w:abstractNumId="16" w15:restartNumberingAfterBreak="0">
    <w:nsid w:val="11046EA7"/>
    <w:multiLevelType w:val="hybridMultilevel"/>
    <w:tmpl w:val="BD946A14"/>
    <w:lvl w:ilvl="0" w:tplc="9196A76A">
      <w:start w:val="1"/>
      <w:numFmt w:val="bullet"/>
      <w:lvlText w:val="–"/>
      <w:lvlJc w:val="left"/>
      <w:pPr>
        <w:ind w:left="720" w:hanging="363"/>
      </w:pPr>
      <w:rPr>
        <w:rFonts w:ascii="Times New Roman" w:hAnsi="Times New Roman" w:cs="Times New Roman" w:hint="default"/>
      </w:rPr>
    </w:lvl>
    <w:lvl w:ilvl="1" w:tplc="001A5AA0" w:tentative="1">
      <w:start w:val="1"/>
      <w:numFmt w:val="bullet"/>
      <w:lvlText w:val="o"/>
      <w:lvlJc w:val="left"/>
      <w:pPr>
        <w:ind w:left="1440" w:hanging="360"/>
      </w:pPr>
      <w:rPr>
        <w:rFonts w:ascii="Courier New" w:hAnsi="Courier New" w:cs="Courier New" w:hint="default"/>
      </w:rPr>
    </w:lvl>
    <w:lvl w:ilvl="2" w:tplc="2A1E21EA" w:tentative="1">
      <w:start w:val="1"/>
      <w:numFmt w:val="bullet"/>
      <w:lvlText w:val=""/>
      <w:lvlJc w:val="left"/>
      <w:pPr>
        <w:ind w:left="2160" w:hanging="360"/>
      </w:pPr>
      <w:rPr>
        <w:rFonts w:ascii="Wingdings" w:hAnsi="Wingdings" w:hint="default"/>
      </w:rPr>
    </w:lvl>
    <w:lvl w:ilvl="3" w:tplc="8E46AD6C" w:tentative="1">
      <w:start w:val="1"/>
      <w:numFmt w:val="bullet"/>
      <w:lvlText w:val=""/>
      <w:lvlJc w:val="left"/>
      <w:pPr>
        <w:ind w:left="2880" w:hanging="360"/>
      </w:pPr>
      <w:rPr>
        <w:rFonts w:ascii="Symbol" w:hAnsi="Symbol" w:hint="default"/>
      </w:rPr>
    </w:lvl>
    <w:lvl w:ilvl="4" w:tplc="A7387968" w:tentative="1">
      <w:start w:val="1"/>
      <w:numFmt w:val="bullet"/>
      <w:lvlText w:val="o"/>
      <w:lvlJc w:val="left"/>
      <w:pPr>
        <w:ind w:left="3600" w:hanging="360"/>
      </w:pPr>
      <w:rPr>
        <w:rFonts w:ascii="Courier New" w:hAnsi="Courier New" w:cs="Courier New" w:hint="default"/>
      </w:rPr>
    </w:lvl>
    <w:lvl w:ilvl="5" w:tplc="ED8251A8" w:tentative="1">
      <w:start w:val="1"/>
      <w:numFmt w:val="bullet"/>
      <w:lvlText w:val=""/>
      <w:lvlJc w:val="left"/>
      <w:pPr>
        <w:ind w:left="4320" w:hanging="360"/>
      </w:pPr>
      <w:rPr>
        <w:rFonts w:ascii="Wingdings" w:hAnsi="Wingdings" w:hint="default"/>
      </w:rPr>
    </w:lvl>
    <w:lvl w:ilvl="6" w:tplc="2152AA9A" w:tentative="1">
      <w:start w:val="1"/>
      <w:numFmt w:val="bullet"/>
      <w:lvlText w:val=""/>
      <w:lvlJc w:val="left"/>
      <w:pPr>
        <w:ind w:left="5040" w:hanging="360"/>
      </w:pPr>
      <w:rPr>
        <w:rFonts w:ascii="Symbol" w:hAnsi="Symbol" w:hint="default"/>
      </w:rPr>
    </w:lvl>
    <w:lvl w:ilvl="7" w:tplc="5BECD41C" w:tentative="1">
      <w:start w:val="1"/>
      <w:numFmt w:val="bullet"/>
      <w:lvlText w:val="o"/>
      <w:lvlJc w:val="left"/>
      <w:pPr>
        <w:ind w:left="5760" w:hanging="360"/>
      </w:pPr>
      <w:rPr>
        <w:rFonts w:ascii="Courier New" w:hAnsi="Courier New" w:cs="Courier New" w:hint="default"/>
      </w:rPr>
    </w:lvl>
    <w:lvl w:ilvl="8" w:tplc="ED0447A0" w:tentative="1">
      <w:start w:val="1"/>
      <w:numFmt w:val="bullet"/>
      <w:lvlText w:val=""/>
      <w:lvlJc w:val="left"/>
      <w:pPr>
        <w:ind w:left="6480" w:hanging="360"/>
      </w:pPr>
      <w:rPr>
        <w:rFonts w:ascii="Wingdings" w:hAnsi="Wingdings" w:hint="default"/>
      </w:rPr>
    </w:lvl>
  </w:abstractNum>
  <w:abstractNum w:abstractNumId="17" w15:restartNumberingAfterBreak="0">
    <w:nsid w:val="147468D6"/>
    <w:multiLevelType w:val="multilevel"/>
    <w:tmpl w:val="38E40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B0C4688"/>
    <w:multiLevelType w:val="hybridMultilevel"/>
    <w:tmpl w:val="018E04F4"/>
    <w:lvl w:ilvl="0" w:tplc="D5A82DA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15:restartNumberingAfterBreak="0">
    <w:nsid w:val="1C9E13E0"/>
    <w:multiLevelType w:val="hybridMultilevel"/>
    <w:tmpl w:val="450C50EE"/>
    <w:lvl w:ilvl="0" w:tplc="5BE624B8">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FB385B"/>
    <w:multiLevelType w:val="hybridMultilevel"/>
    <w:tmpl w:val="705E3338"/>
    <w:lvl w:ilvl="0" w:tplc="D5A82DA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1" w15:restartNumberingAfterBreak="0">
    <w:nsid w:val="27C14901"/>
    <w:multiLevelType w:val="hybridMultilevel"/>
    <w:tmpl w:val="D854A606"/>
    <w:lvl w:ilvl="0" w:tplc="3D925A2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 w15:restartNumberingAfterBreak="0">
    <w:nsid w:val="2F90644E"/>
    <w:multiLevelType w:val="hybridMultilevel"/>
    <w:tmpl w:val="BF6AEC6E"/>
    <w:lvl w:ilvl="0" w:tplc="FD4C040E">
      <w:start w:val="1"/>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6B4BF5"/>
    <w:multiLevelType w:val="hybridMultilevel"/>
    <w:tmpl w:val="544664C2"/>
    <w:lvl w:ilvl="0" w:tplc="D5A82DA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15:restartNumberingAfterBreak="0">
    <w:nsid w:val="37EE6F51"/>
    <w:multiLevelType w:val="hybridMultilevel"/>
    <w:tmpl w:val="6AF84B0E"/>
    <w:lvl w:ilvl="0" w:tplc="3D925A2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5" w15:restartNumberingAfterBreak="0">
    <w:nsid w:val="3A824E49"/>
    <w:multiLevelType w:val="hybridMultilevel"/>
    <w:tmpl w:val="361AD3CE"/>
    <w:lvl w:ilvl="0" w:tplc="5BE624B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 w15:restartNumberingAfterBreak="0">
    <w:nsid w:val="3F196A55"/>
    <w:multiLevelType w:val="hybridMultilevel"/>
    <w:tmpl w:val="23C2377C"/>
    <w:lvl w:ilvl="0" w:tplc="D5A82DA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 w15:restartNumberingAfterBreak="0">
    <w:nsid w:val="44FB1983"/>
    <w:multiLevelType w:val="hybridMultilevel"/>
    <w:tmpl w:val="F5265CB4"/>
    <w:lvl w:ilvl="0" w:tplc="5BE624B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8" w15:restartNumberingAfterBreak="0">
    <w:nsid w:val="4BB64C8E"/>
    <w:multiLevelType w:val="hybridMultilevel"/>
    <w:tmpl w:val="1A7C660C"/>
    <w:lvl w:ilvl="0" w:tplc="9D881C66">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9" w15:restartNumberingAfterBreak="0">
    <w:nsid w:val="517A0B4C"/>
    <w:multiLevelType w:val="hybridMultilevel"/>
    <w:tmpl w:val="73AAD0FE"/>
    <w:lvl w:ilvl="0" w:tplc="7638A8A4">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E47182"/>
    <w:multiLevelType w:val="hybridMultilevel"/>
    <w:tmpl w:val="A02E84BE"/>
    <w:lvl w:ilvl="0" w:tplc="BFDE42FA">
      <w:numFmt w:val="bullet"/>
      <w:lvlText w:val="-"/>
      <w:lvlJc w:val="left"/>
      <w:pPr>
        <w:ind w:left="774" w:hanging="360"/>
      </w:pPr>
      <w:rPr>
        <w:rFonts w:ascii="Cambria" w:eastAsiaTheme="minorEastAsia" w:hAnsi="Cambria" w:cstheme="minorBidi"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1" w15:restartNumberingAfterBreak="0">
    <w:nsid w:val="5C4F0937"/>
    <w:multiLevelType w:val="hybridMultilevel"/>
    <w:tmpl w:val="3C40CD30"/>
    <w:lvl w:ilvl="0" w:tplc="9D881C6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63199A"/>
    <w:multiLevelType w:val="hybridMultilevel"/>
    <w:tmpl w:val="A4248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C0476E"/>
    <w:multiLevelType w:val="hybridMultilevel"/>
    <w:tmpl w:val="2EE0A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6176C"/>
    <w:multiLevelType w:val="hybridMultilevel"/>
    <w:tmpl w:val="923E0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437157"/>
    <w:multiLevelType w:val="hybridMultilevel"/>
    <w:tmpl w:val="C41287C8"/>
    <w:lvl w:ilvl="0" w:tplc="5BE624B8">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DE1E0F"/>
    <w:multiLevelType w:val="hybridMultilevel"/>
    <w:tmpl w:val="A3E299EE"/>
    <w:lvl w:ilvl="0" w:tplc="D7322A4E">
      <w:start w:val="1"/>
      <w:numFmt w:val="decimal"/>
      <w:lvlText w:val="%1."/>
      <w:lvlJc w:val="left"/>
      <w:pPr>
        <w:ind w:left="1080" w:hanging="360"/>
      </w:pPr>
    </w:lvl>
    <w:lvl w:ilvl="1" w:tplc="52BC7A1A">
      <w:start w:val="1"/>
      <w:numFmt w:val="lowerLetter"/>
      <w:lvlText w:val="%2."/>
      <w:lvlJc w:val="left"/>
      <w:pPr>
        <w:ind w:left="1800" w:hanging="360"/>
      </w:pPr>
    </w:lvl>
    <w:lvl w:ilvl="2" w:tplc="ACEC87B8">
      <w:start w:val="1"/>
      <w:numFmt w:val="lowerRoman"/>
      <w:lvlText w:val="%3."/>
      <w:lvlJc w:val="right"/>
      <w:pPr>
        <w:ind w:left="2520" w:hanging="180"/>
      </w:pPr>
    </w:lvl>
    <w:lvl w:ilvl="3" w:tplc="18607B32">
      <w:start w:val="1"/>
      <w:numFmt w:val="decimal"/>
      <w:lvlText w:val="%4."/>
      <w:lvlJc w:val="left"/>
      <w:pPr>
        <w:ind w:left="3240" w:hanging="360"/>
      </w:pPr>
    </w:lvl>
    <w:lvl w:ilvl="4" w:tplc="96ACB82A">
      <w:start w:val="1"/>
      <w:numFmt w:val="lowerLetter"/>
      <w:lvlText w:val="%5."/>
      <w:lvlJc w:val="left"/>
      <w:pPr>
        <w:ind w:left="3960" w:hanging="360"/>
      </w:pPr>
    </w:lvl>
    <w:lvl w:ilvl="5" w:tplc="A094D788">
      <w:start w:val="1"/>
      <w:numFmt w:val="lowerRoman"/>
      <w:lvlText w:val="%6."/>
      <w:lvlJc w:val="right"/>
      <w:pPr>
        <w:ind w:left="4680" w:hanging="180"/>
      </w:pPr>
    </w:lvl>
    <w:lvl w:ilvl="6" w:tplc="03A2A586">
      <w:start w:val="1"/>
      <w:numFmt w:val="decimal"/>
      <w:lvlText w:val="%7."/>
      <w:lvlJc w:val="left"/>
      <w:pPr>
        <w:ind w:left="5400" w:hanging="360"/>
      </w:pPr>
    </w:lvl>
    <w:lvl w:ilvl="7" w:tplc="73F88DA2">
      <w:start w:val="1"/>
      <w:numFmt w:val="lowerLetter"/>
      <w:lvlText w:val="%8."/>
      <w:lvlJc w:val="left"/>
      <w:pPr>
        <w:ind w:left="6120" w:hanging="360"/>
      </w:pPr>
    </w:lvl>
    <w:lvl w:ilvl="8" w:tplc="22800ECE">
      <w:start w:val="1"/>
      <w:numFmt w:val="lowerRoman"/>
      <w:lvlText w:val="%9."/>
      <w:lvlJc w:val="right"/>
      <w:pPr>
        <w:ind w:left="6840" w:hanging="180"/>
      </w:pPr>
    </w:lvl>
  </w:abstractNum>
  <w:abstractNum w:abstractNumId="37" w15:restartNumberingAfterBreak="0">
    <w:nsid w:val="721B5505"/>
    <w:multiLevelType w:val="hybridMultilevel"/>
    <w:tmpl w:val="D1C2A47C"/>
    <w:lvl w:ilvl="0" w:tplc="D5A82DA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8" w15:restartNumberingAfterBreak="0">
    <w:nsid w:val="72DE0431"/>
    <w:multiLevelType w:val="hybridMultilevel"/>
    <w:tmpl w:val="B5A4E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EF5D7E"/>
    <w:multiLevelType w:val="hybridMultilevel"/>
    <w:tmpl w:val="C470A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FA5462"/>
    <w:multiLevelType w:val="hybridMultilevel"/>
    <w:tmpl w:val="11B6E732"/>
    <w:lvl w:ilvl="0" w:tplc="F7E6B56C">
      <w:start w:val="1"/>
      <w:numFmt w:val="bullet"/>
      <w:lvlText w:val=""/>
      <w:lvlJc w:val="left"/>
      <w:pPr>
        <w:ind w:left="1080" w:hanging="360"/>
      </w:pPr>
      <w:rPr>
        <w:rFonts w:ascii="Symbol" w:hAnsi="Symbol" w:hint="default"/>
      </w:rPr>
    </w:lvl>
    <w:lvl w:ilvl="1" w:tplc="99E20030" w:tentative="1">
      <w:start w:val="1"/>
      <w:numFmt w:val="bullet"/>
      <w:lvlText w:val="o"/>
      <w:lvlJc w:val="left"/>
      <w:pPr>
        <w:ind w:left="1800" w:hanging="360"/>
      </w:pPr>
      <w:rPr>
        <w:rFonts w:ascii="Courier New" w:hAnsi="Courier New" w:cs="Courier New" w:hint="default"/>
      </w:rPr>
    </w:lvl>
    <w:lvl w:ilvl="2" w:tplc="88EEBC00" w:tentative="1">
      <w:start w:val="1"/>
      <w:numFmt w:val="bullet"/>
      <w:lvlText w:val=""/>
      <w:lvlJc w:val="left"/>
      <w:pPr>
        <w:ind w:left="2520" w:hanging="360"/>
      </w:pPr>
      <w:rPr>
        <w:rFonts w:ascii="Wingdings" w:hAnsi="Wingdings" w:hint="default"/>
      </w:rPr>
    </w:lvl>
    <w:lvl w:ilvl="3" w:tplc="D768389C" w:tentative="1">
      <w:start w:val="1"/>
      <w:numFmt w:val="bullet"/>
      <w:lvlText w:val=""/>
      <w:lvlJc w:val="left"/>
      <w:pPr>
        <w:ind w:left="3240" w:hanging="360"/>
      </w:pPr>
      <w:rPr>
        <w:rFonts w:ascii="Symbol" w:hAnsi="Symbol" w:hint="default"/>
      </w:rPr>
    </w:lvl>
    <w:lvl w:ilvl="4" w:tplc="1F3804B2" w:tentative="1">
      <w:start w:val="1"/>
      <w:numFmt w:val="bullet"/>
      <w:lvlText w:val="o"/>
      <w:lvlJc w:val="left"/>
      <w:pPr>
        <w:ind w:left="3960" w:hanging="360"/>
      </w:pPr>
      <w:rPr>
        <w:rFonts w:ascii="Courier New" w:hAnsi="Courier New" w:cs="Courier New" w:hint="default"/>
      </w:rPr>
    </w:lvl>
    <w:lvl w:ilvl="5" w:tplc="704ED0F4" w:tentative="1">
      <w:start w:val="1"/>
      <w:numFmt w:val="bullet"/>
      <w:lvlText w:val=""/>
      <w:lvlJc w:val="left"/>
      <w:pPr>
        <w:ind w:left="4680" w:hanging="360"/>
      </w:pPr>
      <w:rPr>
        <w:rFonts w:ascii="Wingdings" w:hAnsi="Wingdings" w:hint="default"/>
      </w:rPr>
    </w:lvl>
    <w:lvl w:ilvl="6" w:tplc="B7FE42A4" w:tentative="1">
      <w:start w:val="1"/>
      <w:numFmt w:val="bullet"/>
      <w:lvlText w:val=""/>
      <w:lvlJc w:val="left"/>
      <w:pPr>
        <w:ind w:left="5400" w:hanging="360"/>
      </w:pPr>
      <w:rPr>
        <w:rFonts w:ascii="Symbol" w:hAnsi="Symbol" w:hint="default"/>
      </w:rPr>
    </w:lvl>
    <w:lvl w:ilvl="7" w:tplc="1B260980" w:tentative="1">
      <w:start w:val="1"/>
      <w:numFmt w:val="bullet"/>
      <w:lvlText w:val="o"/>
      <w:lvlJc w:val="left"/>
      <w:pPr>
        <w:ind w:left="6120" w:hanging="360"/>
      </w:pPr>
      <w:rPr>
        <w:rFonts w:ascii="Courier New" w:hAnsi="Courier New" w:cs="Courier New" w:hint="default"/>
      </w:rPr>
    </w:lvl>
    <w:lvl w:ilvl="8" w:tplc="ED963200" w:tentative="1">
      <w:start w:val="1"/>
      <w:numFmt w:val="bullet"/>
      <w:lvlText w:val=""/>
      <w:lvlJc w:val="left"/>
      <w:pPr>
        <w:ind w:left="6840" w:hanging="360"/>
      </w:pPr>
      <w:rPr>
        <w:rFonts w:ascii="Wingdings" w:hAnsi="Wingdings" w:hint="default"/>
      </w:rPr>
    </w:lvl>
  </w:abstractNum>
  <w:abstractNum w:abstractNumId="41" w15:restartNumberingAfterBreak="0">
    <w:nsid w:val="785E0506"/>
    <w:multiLevelType w:val="hybridMultilevel"/>
    <w:tmpl w:val="02827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0E1575"/>
    <w:multiLevelType w:val="hybridMultilevel"/>
    <w:tmpl w:val="B4A4A95A"/>
    <w:lvl w:ilvl="0" w:tplc="D5A82DA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3" w15:restartNumberingAfterBreak="0">
    <w:nsid w:val="7CAF0F43"/>
    <w:multiLevelType w:val="hybridMultilevel"/>
    <w:tmpl w:val="54BC04CC"/>
    <w:lvl w:ilvl="0" w:tplc="5BE624B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4" w15:restartNumberingAfterBreak="0">
    <w:nsid w:val="7D852B89"/>
    <w:multiLevelType w:val="hybridMultilevel"/>
    <w:tmpl w:val="9E0E07D8"/>
    <w:lvl w:ilvl="0" w:tplc="8006DD44">
      <w:start w:val="1"/>
      <w:numFmt w:val="bullet"/>
      <w:lvlText w:val="–"/>
      <w:lvlJc w:val="left"/>
      <w:pPr>
        <w:ind w:left="363" w:hanging="363"/>
      </w:pPr>
      <w:rPr>
        <w:rFonts w:ascii="Times New Roman" w:hAnsi="Times New Roman" w:cs="Times New Roman" w:hint="default"/>
      </w:rPr>
    </w:lvl>
    <w:lvl w:ilvl="1" w:tplc="022CB2BA" w:tentative="1">
      <w:start w:val="1"/>
      <w:numFmt w:val="bullet"/>
      <w:lvlText w:val="o"/>
      <w:lvlJc w:val="left"/>
      <w:pPr>
        <w:ind w:left="1083" w:hanging="360"/>
      </w:pPr>
      <w:rPr>
        <w:rFonts w:ascii="Courier New" w:hAnsi="Courier New" w:cs="Courier New" w:hint="default"/>
      </w:rPr>
    </w:lvl>
    <w:lvl w:ilvl="2" w:tplc="1E70F7DA" w:tentative="1">
      <w:start w:val="1"/>
      <w:numFmt w:val="bullet"/>
      <w:lvlText w:val=""/>
      <w:lvlJc w:val="left"/>
      <w:pPr>
        <w:ind w:left="1803" w:hanging="360"/>
      </w:pPr>
      <w:rPr>
        <w:rFonts w:ascii="Wingdings" w:hAnsi="Wingdings" w:hint="default"/>
      </w:rPr>
    </w:lvl>
    <w:lvl w:ilvl="3" w:tplc="24E4C09A" w:tentative="1">
      <w:start w:val="1"/>
      <w:numFmt w:val="bullet"/>
      <w:lvlText w:val=""/>
      <w:lvlJc w:val="left"/>
      <w:pPr>
        <w:ind w:left="2523" w:hanging="360"/>
      </w:pPr>
      <w:rPr>
        <w:rFonts w:ascii="Symbol" w:hAnsi="Symbol" w:hint="default"/>
      </w:rPr>
    </w:lvl>
    <w:lvl w:ilvl="4" w:tplc="85745082" w:tentative="1">
      <w:start w:val="1"/>
      <w:numFmt w:val="bullet"/>
      <w:lvlText w:val="o"/>
      <w:lvlJc w:val="left"/>
      <w:pPr>
        <w:ind w:left="3243" w:hanging="360"/>
      </w:pPr>
      <w:rPr>
        <w:rFonts w:ascii="Courier New" w:hAnsi="Courier New" w:cs="Courier New" w:hint="default"/>
      </w:rPr>
    </w:lvl>
    <w:lvl w:ilvl="5" w:tplc="EECCBB8C" w:tentative="1">
      <w:start w:val="1"/>
      <w:numFmt w:val="bullet"/>
      <w:lvlText w:val=""/>
      <w:lvlJc w:val="left"/>
      <w:pPr>
        <w:ind w:left="3963" w:hanging="360"/>
      </w:pPr>
      <w:rPr>
        <w:rFonts w:ascii="Wingdings" w:hAnsi="Wingdings" w:hint="default"/>
      </w:rPr>
    </w:lvl>
    <w:lvl w:ilvl="6" w:tplc="897CE442" w:tentative="1">
      <w:start w:val="1"/>
      <w:numFmt w:val="bullet"/>
      <w:lvlText w:val=""/>
      <w:lvlJc w:val="left"/>
      <w:pPr>
        <w:ind w:left="4683" w:hanging="360"/>
      </w:pPr>
      <w:rPr>
        <w:rFonts w:ascii="Symbol" w:hAnsi="Symbol" w:hint="default"/>
      </w:rPr>
    </w:lvl>
    <w:lvl w:ilvl="7" w:tplc="4A4A5CDA" w:tentative="1">
      <w:start w:val="1"/>
      <w:numFmt w:val="bullet"/>
      <w:lvlText w:val="o"/>
      <w:lvlJc w:val="left"/>
      <w:pPr>
        <w:ind w:left="5403" w:hanging="360"/>
      </w:pPr>
      <w:rPr>
        <w:rFonts w:ascii="Courier New" w:hAnsi="Courier New" w:cs="Courier New" w:hint="default"/>
      </w:rPr>
    </w:lvl>
    <w:lvl w:ilvl="8" w:tplc="92FEC1A4" w:tentative="1">
      <w:start w:val="1"/>
      <w:numFmt w:val="bullet"/>
      <w:lvlText w:val=""/>
      <w:lvlJc w:val="left"/>
      <w:pPr>
        <w:ind w:left="6123" w:hanging="360"/>
      </w:pPr>
      <w:rPr>
        <w:rFonts w:ascii="Wingdings" w:hAnsi="Wingdings" w:hint="default"/>
      </w:rPr>
    </w:lvl>
  </w:abstractNum>
  <w:num w:numId="1">
    <w:abstractNumId w:val="8"/>
  </w:num>
  <w:num w:numId="2">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29"/>
  </w:num>
  <w:num w:numId="13">
    <w:abstractNumId w:val="20"/>
  </w:num>
  <w:num w:numId="14">
    <w:abstractNumId w:val="18"/>
  </w:num>
  <w:num w:numId="15">
    <w:abstractNumId w:val="23"/>
  </w:num>
  <w:num w:numId="16">
    <w:abstractNumId w:val="42"/>
  </w:num>
  <w:num w:numId="17">
    <w:abstractNumId w:val="26"/>
  </w:num>
  <w:num w:numId="18">
    <w:abstractNumId w:val="14"/>
  </w:num>
  <w:num w:numId="19">
    <w:abstractNumId w:val="11"/>
  </w:num>
  <w:num w:numId="20">
    <w:abstractNumId w:val="22"/>
  </w:num>
  <w:num w:numId="21">
    <w:abstractNumId w:val="43"/>
  </w:num>
  <w:num w:numId="22">
    <w:abstractNumId w:val="35"/>
  </w:num>
  <w:num w:numId="23">
    <w:abstractNumId w:val="33"/>
  </w:num>
  <w:num w:numId="24">
    <w:abstractNumId w:val="36"/>
  </w:num>
  <w:num w:numId="25">
    <w:abstractNumId w:val="39"/>
  </w:num>
  <w:num w:numId="26">
    <w:abstractNumId w:val="41"/>
  </w:num>
  <w:num w:numId="27">
    <w:abstractNumId w:val="38"/>
  </w:num>
  <w:num w:numId="28">
    <w:abstractNumId w:val="16"/>
  </w:num>
  <w:num w:numId="29">
    <w:abstractNumId w:val="44"/>
  </w:num>
  <w:num w:numId="30">
    <w:abstractNumId w:val="40"/>
  </w:num>
  <w:num w:numId="31">
    <w:abstractNumId w:val="12"/>
  </w:num>
  <w:num w:numId="32">
    <w:abstractNumId w:val="30"/>
  </w:num>
  <w:num w:numId="33">
    <w:abstractNumId w:val="32"/>
  </w:num>
  <w:num w:numId="34">
    <w:abstractNumId w:val="31"/>
  </w:num>
  <w:num w:numId="35">
    <w:abstractNumId w:val="24"/>
  </w:num>
  <w:num w:numId="36">
    <w:abstractNumId w:val="15"/>
  </w:num>
  <w:num w:numId="37">
    <w:abstractNumId w:val="28"/>
  </w:num>
  <w:num w:numId="38">
    <w:abstractNumId w:val="25"/>
  </w:num>
  <w:num w:numId="39">
    <w:abstractNumId w:val="13"/>
  </w:num>
  <w:num w:numId="40">
    <w:abstractNumId w:val="21"/>
  </w:num>
  <w:num w:numId="41">
    <w:abstractNumId w:val="17"/>
  </w:num>
  <w:num w:numId="42">
    <w:abstractNumId w:val="37"/>
  </w:num>
  <w:num w:numId="43">
    <w:abstractNumId w:val="19"/>
  </w:num>
  <w:num w:numId="44">
    <w:abstractNumId w:val="34"/>
  </w:num>
  <w:num w:numId="4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displayBackgroundShape/>
  <w:printFractionalCharacterWidth/>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017B"/>
    <w:rsid w:val="00000381"/>
    <w:rsid w:val="000006BC"/>
    <w:rsid w:val="00000B76"/>
    <w:rsid w:val="00000E33"/>
    <w:rsid w:val="00000F18"/>
    <w:rsid w:val="0000133E"/>
    <w:rsid w:val="0000159B"/>
    <w:rsid w:val="00002626"/>
    <w:rsid w:val="00002EF3"/>
    <w:rsid w:val="000030FF"/>
    <w:rsid w:val="000032B6"/>
    <w:rsid w:val="00003C11"/>
    <w:rsid w:val="000043DC"/>
    <w:rsid w:val="00004409"/>
    <w:rsid w:val="00004C01"/>
    <w:rsid w:val="00004E68"/>
    <w:rsid w:val="00006011"/>
    <w:rsid w:val="000067F6"/>
    <w:rsid w:val="00007390"/>
    <w:rsid w:val="00007DE0"/>
    <w:rsid w:val="00010EE6"/>
    <w:rsid w:val="00011226"/>
    <w:rsid w:val="000121A4"/>
    <w:rsid w:val="0001258C"/>
    <w:rsid w:val="000135FF"/>
    <w:rsid w:val="000142E7"/>
    <w:rsid w:val="000155B7"/>
    <w:rsid w:val="00016686"/>
    <w:rsid w:val="00017835"/>
    <w:rsid w:val="00020D65"/>
    <w:rsid w:val="0002168E"/>
    <w:rsid w:val="00021B1D"/>
    <w:rsid w:val="0002243B"/>
    <w:rsid w:val="00023137"/>
    <w:rsid w:val="00023B96"/>
    <w:rsid w:val="00024D15"/>
    <w:rsid w:val="0002785D"/>
    <w:rsid w:val="00027D89"/>
    <w:rsid w:val="0003095B"/>
    <w:rsid w:val="00030F63"/>
    <w:rsid w:val="0003162F"/>
    <w:rsid w:val="000324A2"/>
    <w:rsid w:val="00032613"/>
    <w:rsid w:val="00032D8B"/>
    <w:rsid w:val="00032DBC"/>
    <w:rsid w:val="000331C7"/>
    <w:rsid w:val="00033857"/>
    <w:rsid w:val="000347CE"/>
    <w:rsid w:val="000349B7"/>
    <w:rsid w:val="00034A4D"/>
    <w:rsid w:val="000365B5"/>
    <w:rsid w:val="00036E76"/>
    <w:rsid w:val="00037091"/>
    <w:rsid w:val="00037B0C"/>
    <w:rsid w:val="0004003D"/>
    <w:rsid w:val="000400DA"/>
    <w:rsid w:val="00041566"/>
    <w:rsid w:val="000429BF"/>
    <w:rsid w:val="00043525"/>
    <w:rsid w:val="00043607"/>
    <w:rsid w:val="000436E0"/>
    <w:rsid w:val="00044828"/>
    <w:rsid w:val="0004566B"/>
    <w:rsid w:val="00045E0C"/>
    <w:rsid w:val="00046C08"/>
    <w:rsid w:val="00047215"/>
    <w:rsid w:val="000477F4"/>
    <w:rsid w:val="0005097F"/>
    <w:rsid w:val="00051414"/>
    <w:rsid w:val="00053B1F"/>
    <w:rsid w:val="000545E5"/>
    <w:rsid w:val="0005512E"/>
    <w:rsid w:val="0005552B"/>
    <w:rsid w:val="00055EC8"/>
    <w:rsid w:val="00055FBB"/>
    <w:rsid w:val="00056103"/>
    <w:rsid w:val="00057296"/>
    <w:rsid w:val="000601A1"/>
    <w:rsid w:val="00060B86"/>
    <w:rsid w:val="000621D6"/>
    <w:rsid w:val="00062555"/>
    <w:rsid w:val="0006352E"/>
    <w:rsid w:val="00063DD0"/>
    <w:rsid w:val="00065413"/>
    <w:rsid w:val="000654A3"/>
    <w:rsid w:val="00065A14"/>
    <w:rsid w:val="00065A64"/>
    <w:rsid w:val="00065AF4"/>
    <w:rsid w:val="00066F1A"/>
    <w:rsid w:val="0006745A"/>
    <w:rsid w:val="00067D19"/>
    <w:rsid w:val="00070C09"/>
    <w:rsid w:val="00070CC7"/>
    <w:rsid w:val="00070D19"/>
    <w:rsid w:val="00071184"/>
    <w:rsid w:val="00071564"/>
    <w:rsid w:val="000715C4"/>
    <w:rsid w:val="00071C51"/>
    <w:rsid w:val="00071D13"/>
    <w:rsid w:val="00071EAF"/>
    <w:rsid w:val="000726CC"/>
    <w:rsid w:val="000730DB"/>
    <w:rsid w:val="000736DC"/>
    <w:rsid w:val="00074096"/>
    <w:rsid w:val="000748B0"/>
    <w:rsid w:val="000749E5"/>
    <w:rsid w:val="00074C7C"/>
    <w:rsid w:val="0007577E"/>
    <w:rsid w:val="00076176"/>
    <w:rsid w:val="00076851"/>
    <w:rsid w:val="000768A2"/>
    <w:rsid w:val="00076F37"/>
    <w:rsid w:val="0007706F"/>
    <w:rsid w:val="000773B6"/>
    <w:rsid w:val="0007746F"/>
    <w:rsid w:val="000775B9"/>
    <w:rsid w:val="000800AB"/>
    <w:rsid w:val="00080283"/>
    <w:rsid w:val="000806D8"/>
    <w:rsid w:val="000817A3"/>
    <w:rsid w:val="00081BCE"/>
    <w:rsid w:val="00081EB3"/>
    <w:rsid w:val="0008204E"/>
    <w:rsid w:val="00082CD2"/>
    <w:rsid w:val="000838DC"/>
    <w:rsid w:val="000846FC"/>
    <w:rsid w:val="000848AF"/>
    <w:rsid w:val="00084BE7"/>
    <w:rsid w:val="0008501B"/>
    <w:rsid w:val="0008550D"/>
    <w:rsid w:val="000855BC"/>
    <w:rsid w:val="000856D6"/>
    <w:rsid w:val="00086B21"/>
    <w:rsid w:val="0008791F"/>
    <w:rsid w:val="000879B9"/>
    <w:rsid w:val="00087AE8"/>
    <w:rsid w:val="00087B89"/>
    <w:rsid w:val="00090188"/>
    <w:rsid w:val="00090304"/>
    <w:rsid w:val="0009226A"/>
    <w:rsid w:val="00092A33"/>
    <w:rsid w:val="000932A6"/>
    <w:rsid w:val="0009368D"/>
    <w:rsid w:val="0009392F"/>
    <w:rsid w:val="00093D7A"/>
    <w:rsid w:val="00093E3A"/>
    <w:rsid w:val="000942B0"/>
    <w:rsid w:val="00094CC6"/>
    <w:rsid w:val="0009590F"/>
    <w:rsid w:val="000960DC"/>
    <w:rsid w:val="000A0364"/>
    <w:rsid w:val="000A04DE"/>
    <w:rsid w:val="000A145C"/>
    <w:rsid w:val="000A1B14"/>
    <w:rsid w:val="000A2044"/>
    <w:rsid w:val="000A2046"/>
    <w:rsid w:val="000A2E1F"/>
    <w:rsid w:val="000A37E4"/>
    <w:rsid w:val="000A3C9D"/>
    <w:rsid w:val="000A3EC6"/>
    <w:rsid w:val="000A57B1"/>
    <w:rsid w:val="000A5B9A"/>
    <w:rsid w:val="000A5ED7"/>
    <w:rsid w:val="000A636C"/>
    <w:rsid w:val="000A7416"/>
    <w:rsid w:val="000A7B1F"/>
    <w:rsid w:val="000A7BF9"/>
    <w:rsid w:val="000B0111"/>
    <w:rsid w:val="000B09C4"/>
    <w:rsid w:val="000B0F7A"/>
    <w:rsid w:val="000B1306"/>
    <w:rsid w:val="000B1EC4"/>
    <w:rsid w:val="000B3806"/>
    <w:rsid w:val="000B4844"/>
    <w:rsid w:val="000B48B0"/>
    <w:rsid w:val="000B517B"/>
    <w:rsid w:val="000B52D6"/>
    <w:rsid w:val="000B54C9"/>
    <w:rsid w:val="000B54DB"/>
    <w:rsid w:val="000B5C3B"/>
    <w:rsid w:val="000B6218"/>
    <w:rsid w:val="000B7056"/>
    <w:rsid w:val="000C17DA"/>
    <w:rsid w:val="000C22B9"/>
    <w:rsid w:val="000C2767"/>
    <w:rsid w:val="000C3408"/>
    <w:rsid w:val="000C431E"/>
    <w:rsid w:val="000C4A20"/>
    <w:rsid w:val="000C4B6E"/>
    <w:rsid w:val="000C5C04"/>
    <w:rsid w:val="000C5C46"/>
    <w:rsid w:val="000C622C"/>
    <w:rsid w:val="000C63ED"/>
    <w:rsid w:val="000C651F"/>
    <w:rsid w:val="000C67D0"/>
    <w:rsid w:val="000C6983"/>
    <w:rsid w:val="000C754D"/>
    <w:rsid w:val="000C7758"/>
    <w:rsid w:val="000C7BF1"/>
    <w:rsid w:val="000D0412"/>
    <w:rsid w:val="000D0D48"/>
    <w:rsid w:val="000D2DBA"/>
    <w:rsid w:val="000D50B8"/>
    <w:rsid w:val="000D57E5"/>
    <w:rsid w:val="000D5947"/>
    <w:rsid w:val="000D6728"/>
    <w:rsid w:val="000D725F"/>
    <w:rsid w:val="000E0569"/>
    <w:rsid w:val="000E062C"/>
    <w:rsid w:val="000E0CBC"/>
    <w:rsid w:val="000E291F"/>
    <w:rsid w:val="000E2DD5"/>
    <w:rsid w:val="000E36D0"/>
    <w:rsid w:val="000E43C2"/>
    <w:rsid w:val="000E5BF9"/>
    <w:rsid w:val="000E5EE9"/>
    <w:rsid w:val="000E610E"/>
    <w:rsid w:val="000E6419"/>
    <w:rsid w:val="000E73C9"/>
    <w:rsid w:val="000F0778"/>
    <w:rsid w:val="000F0A59"/>
    <w:rsid w:val="000F0AA4"/>
    <w:rsid w:val="000F0E6D"/>
    <w:rsid w:val="000F1665"/>
    <w:rsid w:val="000F1AE4"/>
    <w:rsid w:val="000F1CB7"/>
    <w:rsid w:val="000F2D8B"/>
    <w:rsid w:val="000F330A"/>
    <w:rsid w:val="000F3353"/>
    <w:rsid w:val="000F36B7"/>
    <w:rsid w:val="000F3950"/>
    <w:rsid w:val="000F3CEB"/>
    <w:rsid w:val="000F3F26"/>
    <w:rsid w:val="000F463F"/>
    <w:rsid w:val="000F4B4C"/>
    <w:rsid w:val="000F4F0E"/>
    <w:rsid w:val="000F50BA"/>
    <w:rsid w:val="000F68A4"/>
    <w:rsid w:val="000F7A75"/>
    <w:rsid w:val="00100291"/>
    <w:rsid w:val="0010072B"/>
    <w:rsid w:val="00100F54"/>
    <w:rsid w:val="001011A4"/>
    <w:rsid w:val="00101A66"/>
    <w:rsid w:val="00101B29"/>
    <w:rsid w:val="0010204E"/>
    <w:rsid w:val="0010270F"/>
    <w:rsid w:val="00103176"/>
    <w:rsid w:val="00104844"/>
    <w:rsid w:val="0010519C"/>
    <w:rsid w:val="001060F1"/>
    <w:rsid w:val="00106116"/>
    <w:rsid w:val="00106B89"/>
    <w:rsid w:val="0010702D"/>
    <w:rsid w:val="00107B9E"/>
    <w:rsid w:val="00107EF6"/>
    <w:rsid w:val="0011042E"/>
    <w:rsid w:val="00110CAD"/>
    <w:rsid w:val="00110F08"/>
    <w:rsid w:val="00110FFC"/>
    <w:rsid w:val="0011104D"/>
    <w:rsid w:val="001116B8"/>
    <w:rsid w:val="00112047"/>
    <w:rsid w:val="001120E3"/>
    <w:rsid w:val="001123B8"/>
    <w:rsid w:val="00112408"/>
    <w:rsid w:val="00113784"/>
    <w:rsid w:val="00114270"/>
    <w:rsid w:val="001142E0"/>
    <w:rsid w:val="00114683"/>
    <w:rsid w:val="001146CA"/>
    <w:rsid w:val="001158E5"/>
    <w:rsid w:val="00116B34"/>
    <w:rsid w:val="00117B16"/>
    <w:rsid w:val="00117B68"/>
    <w:rsid w:val="00117BB5"/>
    <w:rsid w:val="00120191"/>
    <w:rsid w:val="00120317"/>
    <w:rsid w:val="00120D98"/>
    <w:rsid w:val="00121170"/>
    <w:rsid w:val="00121CB2"/>
    <w:rsid w:val="001230CF"/>
    <w:rsid w:val="00123190"/>
    <w:rsid w:val="0012373C"/>
    <w:rsid w:val="00123CC5"/>
    <w:rsid w:val="00123E87"/>
    <w:rsid w:val="00123EA9"/>
    <w:rsid w:val="00124488"/>
    <w:rsid w:val="00125A8E"/>
    <w:rsid w:val="001260B3"/>
    <w:rsid w:val="00126368"/>
    <w:rsid w:val="00126BCC"/>
    <w:rsid w:val="00127BB1"/>
    <w:rsid w:val="00130A76"/>
    <w:rsid w:val="00130DB1"/>
    <w:rsid w:val="00132339"/>
    <w:rsid w:val="0013258D"/>
    <w:rsid w:val="001325F0"/>
    <w:rsid w:val="00132FFD"/>
    <w:rsid w:val="00133F7B"/>
    <w:rsid w:val="001340A7"/>
    <w:rsid w:val="00134100"/>
    <w:rsid w:val="00134187"/>
    <w:rsid w:val="0013555C"/>
    <w:rsid w:val="00135AF8"/>
    <w:rsid w:val="001368D1"/>
    <w:rsid w:val="001400BF"/>
    <w:rsid w:val="0014100E"/>
    <w:rsid w:val="00141B85"/>
    <w:rsid w:val="00141C77"/>
    <w:rsid w:val="00141F5B"/>
    <w:rsid w:val="0014259E"/>
    <w:rsid w:val="001433C8"/>
    <w:rsid w:val="00143430"/>
    <w:rsid w:val="00143AC1"/>
    <w:rsid w:val="00143B45"/>
    <w:rsid w:val="00143BF2"/>
    <w:rsid w:val="00146149"/>
    <w:rsid w:val="0014638B"/>
    <w:rsid w:val="00146842"/>
    <w:rsid w:val="00146B8E"/>
    <w:rsid w:val="0014704D"/>
    <w:rsid w:val="0014740F"/>
    <w:rsid w:val="00147738"/>
    <w:rsid w:val="00147946"/>
    <w:rsid w:val="001479F3"/>
    <w:rsid w:val="0015074B"/>
    <w:rsid w:val="00151390"/>
    <w:rsid w:val="0015142D"/>
    <w:rsid w:val="00151E00"/>
    <w:rsid w:val="0015291F"/>
    <w:rsid w:val="00154C10"/>
    <w:rsid w:val="0015631C"/>
    <w:rsid w:val="00156455"/>
    <w:rsid w:val="001569B6"/>
    <w:rsid w:val="00157850"/>
    <w:rsid w:val="0016063F"/>
    <w:rsid w:val="001609D3"/>
    <w:rsid w:val="001610FD"/>
    <w:rsid w:val="0016145D"/>
    <w:rsid w:val="001616DC"/>
    <w:rsid w:val="00161BAD"/>
    <w:rsid w:val="00161F51"/>
    <w:rsid w:val="00162514"/>
    <w:rsid w:val="001627B7"/>
    <w:rsid w:val="00163516"/>
    <w:rsid w:val="00163962"/>
    <w:rsid w:val="00164341"/>
    <w:rsid w:val="0016466A"/>
    <w:rsid w:val="00164B49"/>
    <w:rsid w:val="00164EB5"/>
    <w:rsid w:val="001673D2"/>
    <w:rsid w:val="00167B36"/>
    <w:rsid w:val="0017103B"/>
    <w:rsid w:val="00171328"/>
    <w:rsid w:val="00172C3E"/>
    <w:rsid w:val="001740AE"/>
    <w:rsid w:val="001742A6"/>
    <w:rsid w:val="0017442E"/>
    <w:rsid w:val="00174FC5"/>
    <w:rsid w:val="001750BC"/>
    <w:rsid w:val="00175F7A"/>
    <w:rsid w:val="0017601F"/>
    <w:rsid w:val="00176737"/>
    <w:rsid w:val="00176E5E"/>
    <w:rsid w:val="00177454"/>
    <w:rsid w:val="001774AA"/>
    <w:rsid w:val="001812FA"/>
    <w:rsid w:val="001821C5"/>
    <w:rsid w:val="00182D3B"/>
    <w:rsid w:val="00182EC1"/>
    <w:rsid w:val="00183398"/>
    <w:rsid w:val="00183A7F"/>
    <w:rsid w:val="00184823"/>
    <w:rsid w:val="00185568"/>
    <w:rsid w:val="00185ECC"/>
    <w:rsid w:val="00190142"/>
    <w:rsid w:val="00190DB6"/>
    <w:rsid w:val="00191A97"/>
    <w:rsid w:val="0019205D"/>
    <w:rsid w:val="00192810"/>
    <w:rsid w:val="0019332A"/>
    <w:rsid w:val="001934CA"/>
    <w:rsid w:val="001954E2"/>
    <w:rsid w:val="001956C4"/>
    <w:rsid w:val="00195990"/>
    <w:rsid w:val="00195ED2"/>
    <w:rsid w:val="00195FB2"/>
    <w:rsid w:val="00195FD1"/>
    <w:rsid w:val="00195FF0"/>
    <w:rsid w:val="0019747C"/>
    <w:rsid w:val="0019796C"/>
    <w:rsid w:val="001A0245"/>
    <w:rsid w:val="001A083F"/>
    <w:rsid w:val="001A111E"/>
    <w:rsid w:val="001A1B99"/>
    <w:rsid w:val="001A21F8"/>
    <w:rsid w:val="001A234D"/>
    <w:rsid w:val="001A2B43"/>
    <w:rsid w:val="001A440B"/>
    <w:rsid w:val="001A467C"/>
    <w:rsid w:val="001A4933"/>
    <w:rsid w:val="001A4991"/>
    <w:rsid w:val="001A49C5"/>
    <w:rsid w:val="001A54E6"/>
    <w:rsid w:val="001A55B7"/>
    <w:rsid w:val="001A636F"/>
    <w:rsid w:val="001A6C62"/>
    <w:rsid w:val="001A717E"/>
    <w:rsid w:val="001A7421"/>
    <w:rsid w:val="001A7AA9"/>
    <w:rsid w:val="001B1F18"/>
    <w:rsid w:val="001B23E5"/>
    <w:rsid w:val="001B2A2A"/>
    <w:rsid w:val="001B2DE0"/>
    <w:rsid w:val="001B3254"/>
    <w:rsid w:val="001B3385"/>
    <w:rsid w:val="001B3472"/>
    <w:rsid w:val="001B399D"/>
    <w:rsid w:val="001B3BB6"/>
    <w:rsid w:val="001B3D7D"/>
    <w:rsid w:val="001B420B"/>
    <w:rsid w:val="001B46ED"/>
    <w:rsid w:val="001B4BAD"/>
    <w:rsid w:val="001B4F33"/>
    <w:rsid w:val="001B50FD"/>
    <w:rsid w:val="001B5909"/>
    <w:rsid w:val="001C02EF"/>
    <w:rsid w:val="001C08EC"/>
    <w:rsid w:val="001C09F4"/>
    <w:rsid w:val="001C0B4F"/>
    <w:rsid w:val="001C0D7A"/>
    <w:rsid w:val="001C1B32"/>
    <w:rsid w:val="001C2277"/>
    <w:rsid w:val="001C2927"/>
    <w:rsid w:val="001C2EAB"/>
    <w:rsid w:val="001C32E9"/>
    <w:rsid w:val="001C361E"/>
    <w:rsid w:val="001C4071"/>
    <w:rsid w:val="001C41FA"/>
    <w:rsid w:val="001C42EF"/>
    <w:rsid w:val="001C4960"/>
    <w:rsid w:val="001C5F71"/>
    <w:rsid w:val="001C6439"/>
    <w:rsid w:val="001C6A67"/>
    <w:rsid w:val="001C6AB9"/>
    <w:rsid w:val="001C70CD"/>
    <w:rsid w:val="001C7386"/>
    <w:rsid w:val="001D0BF6"/>
    <w:rsid w:val="001D0D96"/>
    <w:rsid w:val="001D1172"/>
    <w:rsid w:val="001D1626"/>
    <w:rsid w:val="001D174B"/>
    <w:rsid w:val="001D1FD2"/>
    <w:rsid w:val="001D239B"/>
    <w:rsid w:val="001D2693"/>
    <w:rsid w:val="001D2BEA"/>
    <w:rsid w:val="001D2F8F"/>
    <w:rsid w:val="001D380F"/>
    <w:rsid w:val="001D515F"/>
    <w:rsid w:val="001D5361"/>
    <w:rsid w:val="001D54C2"/>
    <w:rsid w:val="001D6D13"/>
    <w:rsid w:val="001D6ED0"/>
    <w:rsid w:val="001D740E"/>
    <w:rsid w:val="001D74D1"/>
    <w:rsid w:val="001D79E4"/>
    <w:rsid w:val="001D7DE9"/>
    <w:rsid w:val="001E13A3"/>
    <w:rsid w:val="001E19C7"/>
    <w:rsid w:val="001E2B52"/>
    <w:rsid w:val="001E2F64"/>
    <w:rsid w:val="001E3F27"/>
    <w:rsid w:val="001E54D6"/>
    <w:rsid w:val="001E5D53"/>
    <w:rsid w:val="001E6558"/>
    <w:rsid w:val="001E6C96"/>
    <w:rsid w:val="001E6E71"/>
    <w:rsid w:val="001E7267"/>
    <w:rsid w:val="001F08F1"/>
    <w:rsid w:val="001F0A59"/>
    <w:rsid w:val="001F1602"/>
    <w:rsid w:val="001F20F0"/>
    <w:rsid w:val="001F248E"/>
    <w:rsid w:val="001F252E"/>
    <w:rsid w:val="001F29EB"/>
    <w:rsid w:val="001F2C94"/>
    <w:rsid w:val="001F3510"/>
    <w:rsid w:val="001F4482"/>
    <w:rsid w:val="001F481E"/>
    <w:rsid w:val="001F5571"/>
    <w:rsid w:val="001F5F8A"/>
    <w:rsid w:val="00200BBE"/>
    <w:rsid w:val="0020121D"/>
    <w:rsid w:val="00201377"/>
    <w:rsid w:val="00201BA1"/>
    <w:rsid w:val="00201C67"/>
    <w:rsid w:val="002022FE"/>
    <w:rsid w:val="0020235E"/>
    <w:rsid w:val="00204070"/>
    <w:rsid w:val="002043A9"/>
    <w:rsid w:val="002044FD"/>
    <w:rsid w:val="00204C1D"/>
    <w:rsid w:val="00204F23"/>
    <w:rsid w:val="002053CB"/>
    <w:rsid w:val="002059F5"/>
    <w:rsid w:val="00206089"/>
    <w:rsid w:val="0020639B"/>
    <w:rsid w:val="002068A4"/>
    <w:rsid w:val="00207263"/>
    <w:rsid w:val="00207961"/>
    <w:rsid w:val="002079D1"/>
    <w:rsid w:val="0021000B"/>
    <w:rsid w:val="0021036A"/>
    <w:rsid w:val="00210D3C"/>
    <w:rsid w:val="0021131B"/>
    <w:rsid w:val="002125A4"/>
    <w:rsid w:val="002129AB"/>
    <w:rsid w:val="0021365D"/>
    <w:rsid w:val="0021371A"/>
    <w:rsid w:val="002146F6"/>
    <w:rsid w:val="00214E32"/>
    <w:rsid w:val="00215277"/>
    <w:rsid w:val="0021531E"/>
    <w:rsid w:val="00215E30"/>
    <w:rsid w:val="00216214"/>
    <w:rsid w:val="00216762"/>
    <w:rsid w:val="00216BA9"/>
    <w:rsid w:val="00216F1B"/>
    <w:rsid w:val="00220348"/>
    <w:rsid w:val="00220544"/>
    <w:rsid w:val="002205A4"/>
    <w:rsid w:val="0022073C"/>
    <w:rsid w:val="00220B8C"/>
    <w:rsid w:val="00222A8C"/>
    <w:rsid w:val="00222FEC"/>
    <w:rsid w:val="002239D6"/>
    <w:rsid w:val="00224B31"/>
    <w:rsid w:val="00226204"/>
    <w:rsid w:val="00226655"/>
    <w:rsid w:val="002270A7"/>
    <w:rsid w:val="00227216"/>
    <w:rsid w:val="00227524"/>
    <w:rsid w:val="002306CC"/>
    <w:rsid w:val="002311A2"/>
    <w:rsid w:val="00231652"/>
    <w:rsid w:val="002322BD"/>
    <w:rsid w:val="0023288D"/>
    <w:rsid w:val="002335DA"/>
    <w:rsid w:val="00233639"/>
    <w:rsid w:val="002337D9"/>
    <w:rsid w:val="0023409F"/>
    <w:rsid w:val="00234151"/>
    <w:rsid w:val="00234824"/>
    <w:rsid w:val="00234DAB"/>
    <w:rsid w:val="002354D5"/>
    <w:rsid w:val="00235AE7"/>
    <w:rsid w:val="00235BC9"/>
    <w:rsid w:val="00236D2A"/>
    <w:rsid w:val="00236DA1"/>
    <w:rsid w:val="0023712C"/>
    <w:rsid w:val="00237133"/>
    <w:rsid w:val="002401D0"/>
    <w:rsid w:val="002404B7"/>
    <w:rsid w:val="0024103E"/>
    <w:rsid w:val="002417A2"/>
    <w:rsid w:val="00241B9A"/>
    <w:rsid w:val="002420D8"/>
    <w:rsid w:val="00242837"/>
    <w:rsid w:val="002436E8"/>
    <w:rsid w:val="00243A31"/>
    <w:rsid w:val="00244DFC"/>
    <w:rsid w:val="00245182"/>
    <w:rsid w:val="002466C2"/>
    <w:rsid w:val="00246754"/>
    <w:rsid w:val="00246AC8"/>
    <w:rsid w:val="00250A85"/>
    <w:rsid w:val="002515E1"/>
    <w:rsid w:val="002526D2"/>
    <w:rsid w:val="00252770"/>
    <w:rsid w:val="002531A2"/>
    <w:rsid w:val="00253984"/>
    <w:rsid w:val="00254764"/>
    <w:rsid w:val="00254820"/>
    <w:rsid w:val="002553AD"/>
    <w:rsid w:val="002555E8"/>
    <w:rsid w:val="00255C66"/>
    <w:rsid w:val="00255E07"/>
    <w:rsid w:val="00255F12"/>
    <w:rsid w:val="002560F0"/>
    <w:rsid w:val="00256867"/>
    <w:rsid w:val="00256B71"/>
    <w:rsid w:val="00257B5A"/>
    <w:rsid w:val="00260A61"/>
    <w:rsid w:val="002613CD"/>
    <w:rsid w:val="0026170D"/>
    <w:rsid w:val="00261A48"/>
    <w:rsid w:val="00261FD0"/>
    <w:rsid w:val="00262402"/>
    <w:rsid w:val="002624A9"/>
    <w:rsid w:val="002625EA"/>
    <w:rsid w:val="002628A5"/>
    <w:rsid w:val="0026297A"/>
    <w:rsid w:val="00262C09"/>
    <w:rsid w:val="00262EAE"/>
    <w:rsid w:val="00263815"/>
    <w:rsid w:val="00264C52"/>
    <w:rsid w:val="002650CC"/>
    <w:rsid w:val="002678A9"/>
    <w:rsid w:val="002701FE"/>
    <w:rsid w:val="002710B6"/>
    <w:rsid w:val="00271C28"/>
    <w:rsid w:val="00271D7E"/>
    <w:rsid w:val="00271DC2"/>
    <w:rsid w:val="00272A48"/>
    <w:rsid w:val="00274061"/>
    <w:rsid w:val="00275013"/>
    <w:rsid w:val="002751CB"/>
    <w:rsid w:val="002757BD"/>
    <w:rsid w:val="00275CAC"/>
    <w:rsid w:val="00276335"/>
    <w:rsid w:val="00276B28"/>
    <w:rsid w:val="00277B6E"/>
    <w:rsid w:val="0028017B"/>
    <w:rsid w:val="0028084A"/>
    <w:rsid w:val="00280BE2"/>
    <w:rsid w:val="0028153E"/>
    <w:rsid w:val="002819BB"/>
    <w:rsid w:val="00281C37"/>
    <w:rsid w:val="00281FB7"/>
    <w:rsid w:val="002837CF"/>
    <w:rsid w:val="00283E72"/>
    <w:rsid w:val="0028516F"/>
    <w:rsid w:val="00285B18"/>
    <w:rsid w:val="00285DF9"/>
    <w:rsid w:val="00285F1E"/>
    <w:rsid w:val="00286193"/>
    <w:rsid w:val="002863FD"/>
    <w:rsid w:val="00286495"/>
    <w:rsid w:val="00286E38"/>
    <w:rsid w:val="0028723E"/>
    <w:rsid w:val="0028789D"/>
    <w:rsid w:val="00287B9B"/>
    <w:rsid w:val="00287CB7"/>
    <w:rsid w:val="0029003C"/>
    <w:rsid w:val="00290A38"/>
    <w:rsid w:val="00290CA3"/>
    <w:rsid w:val="00291004"/>
    <w:rsid w:val="00291988"/>
    <w:rsid w:val="00291F7C"/>
    <w:rsid w:val="0029330D"/>
    <w:rsid w:val="00293463"/>
    <w:rsid w:val="0029431F"/>
    <w:rsid w:val="00294511"/>
    <w:rsid w:val="0029454B"/>
    <w:rsid w:val="00294824"/>
    <w:rsid w:val="0029516D"/>
    <w:rsid w:val="002965A4"/>
    <w:rsid w:val="002975E7"/>
    <w:rsid w:val="002A24E5"/>
    <w:rsid w:val="002A35C0"/>
    <w:rsid w:val="002A40CA"/>
    <w:rsid w:val="002A45A5"/>
    <w:rsid w:val="002A4629"/>
    <w:rsid w:val="002A5085"/>
    <w:rsid w:val="002A5BD8"/>
    <w:rsid w:val="002A5BF3"/>
    <w:rsid w:val="002A5C5D"/>
    <w:rsid w:val="002A6492"/>
    <w:rsid w:val="002A791F"/>
    <w:rsid w:val="002A7FA7"/>
    <w:rsid w:val="002B0579"/>
    <w:rsid w:val="002B1905"/>
    <w:rsid w:val="002B1F7C"/>
    <w:rsid w:val="002B224C"/>
    <w:rsid w:val="002B30A0"/>
    <w:rsid w:val="002B3CA4"/>
    <w:rsid w:val="002B3D8D"/>
    <w:rsid w:val="002B3FD2"/>
    <w:rsid w:val="002B4005"/>
    <w:rsid w:val="002B404B"/>
    <w:rsid w:val="002B45C9"/>
    <w:rsid w:val="002B463D"/>
    <w:rsid w:val="002B499B"/>
    <w:rsid w:val="002B5048"/>
    <w:rsid w:val="002B516D"/>
    <w:rsid w:val="002B522A"/>
    <w:rsid w:val="002B62D7"/>
    <w:rsid w:val="002B66D6"/>
    <w:rsid w:val="002B702A"/>
    <w:rsid w:val="002B7A86"/>
    <w:rsid w:val="002C0069"/>
    <w:rsid w:val="002C08A6"/>
    <w:rsid w:val="002C1B26"/>
    <w:rsid w:val="002C2520"/>
    <w:rsid w:val="002C26DE"/>
    <w:rsid w:val="002C274B"/>
    <w:rsid w:val="002C3A5A"/>
    <w:rsid w:val="002C3F1C"/>
    <w:rsid w:val="002C402E"/>
    <w:rsid w:val="002C44B5"/>
    <w:rsid w:val="002C4538"/>
    <w:rsid w:val="002C4A59"/>
    <w:rsid w:val="002C4C1C"/>
    <w:rsid w:val="002C552C"/>
    <w:rsid w:val="002C5B81"/>
    <w:rsid w:val="002C5C33"/>
    <w:rsid w:val="002C5FCE"/>
    <w:rsid w:val="002C62B8"/>
    <w:rsid w:val="002C64FF"/>
    <w:rsid w:val="002C6D48"/>
    <w:rsid w:val="002C7063"/>
    <w:rsid w:val="002C734F"/>
    <w:rsid w:val="002C79B8"/>
    <w:rsid w:val="002D06E7"/>
    <w:rsid w:val="002D0B2B"/>
    <w:rsid w:val="002D19C3"/>
    <w:rsid w:val="002D1CFE"/>
    <w:rsid w:val="002D1E71"/>
    <w:rsid w:val="002D1F02"/>
    <w:rsid w:val="002D22A8"/>
    <w:rsid w:val="002D3221"/>
    <w:rsid w:val="002D3669"/>
    <w:rsid w:val="002D3DBE"/>
    <w:rsid w:val="002D3DC9"/>
    <w:rsid w:val="002D3E51"/>
    <w:rsid w:val="002D4174"/>
    <w:rsid w:val="002D41AF"/>
    <w:rsid w:val="002D4EFE"/>
    <w:rsid w:val="002D5868"/>
    <w:rsid w:val="002D6129"/>
    <w:rsid w:val="002D7935"/>
    <w:rsid w:val="002E0679"/>
    <w:rsid w:val="002E080F"/>
    <w:rsid w:val="002E0978"/>
    <w:rsid w:val="002E0AE7"/>
    <w:rsid w:val="002E14E8"/>
    <w:rsid w:val="002E17A6"/>
    <w:rsid w:val="002E1856"/>
    <w:rsid w:val="002E3236"/>
    <w:rsid w:val="002E33D3"/>
    <w:rsid w:val="002E3550"/>
    <w:rsid w:val="002E3D68"/>
    <w:rsid w:val="002E4AFC"/>
    <w:rsid w:val="002E4B12"/>
    <w:rsid w:val="002E4D4E"/>
    <w:rsid w:val="002E5A92"/>
    <w:rsid w:val="002E625F"/>
    <w:rsid w:val="002E6A36"/>
    <w:rsid w:val="002E701F"/>
    <w:rsid w:val="002E7810"/>
    <w:rsid w:val="002E7CFD"/>
    <w:rsid w:val="002F01B8"/>
    <w:rsid w:val="002F0341"/>
    <w:rsid w:val="002F18BF"/>
    <w:rsid w:val="002F22EA"/>
    <w:rsid w:val="002F410A"/>
    <w:rsid w:val="002F4642"/>
    <w:rsid w:val="002F488D"/>
    <w:rsid w:val="002F5060"/>
    <w:rsid w:val="002F5D02"/>
    <w:rsid w:val="002F6BC0"/>
    <w:rsid w:val="002F79E3"/>
    <w:rsid w:val="00300F62"/>
    <w:rsid w:val="0030136F"/>
    <w:rsid w:val="003016BD"/>
    <w:rsid w:val="00301A3F"/>
    <w:rsid w:val="00301A9B"/>
    <w:rsid w:val="00302824"/>
    <w:rsid w:val="00302C48"/>
    <w:rsid w:val="003031FC"/>
    <w:rsid w:val="003046B9"/>
    <w:rsid w:val="003046FF"/>
    <w:rsid w:val="00304C7D"/>
    <w:rsid w:val="00305452"/>
    <w:rsid w:val="00305D59"/>
    <w:rsid w:val="00306423"/>
    <w:rsid w:val="003067A7"/>
    <w:rsid w:val="00306931"/>
    <w:rsid w:val="00306B08"/>
    <w:rsid w:val="00307906"/>
    <w:rsid w:val="00307F0E"/>
    <w:rsid w:val="00310AF9"/>
    <w:rsid w:val="00311F59"/>
    <w:rsid w:val="00312941"/>
    <w:rsid w:val="003130A2"/>
    <w:rsid w:val="00314AED"/>
    <w:rsid w:val="0031528B"/>
    <w:rsid w:val="003159C3"/>
    <w:rsid w:val="00316A7C"/>
    <w:rsid w:val="00317790"/>
    <w:rsid w:val="003205DE"/>
    <w:rsid w:val="00320AB0"/>
    <w:rsid w:val="00321211"/>
    <w:rsid w:val="00321400"/>
    <w:rsid w:val="003218C8"/>
    <w:rsid w:val="003218FF"/>
    <w:rsid w:val="003219DB"/>
    <w:rsid w:val="00321D50"/>
    <w:rsid w:val="00322A7E"/>
    <w:rsid w:val="003237B0"/>
    <w:rsid w:val="00323F9A"/>
    <w:rsid w:val="003248A9"/>
    <w:rsid w:val="00324CBE"/>
    <w:rsid w:val="00324E12"/>
    <w:rsid w:val="00324F70"/>
    <w:rsid w:val="00324FFA"/>
    <w:rsid w:val="00325A54"/>
    <w:rsid w:val="00325C4E"/>
    <w:rsid w:val="0032680B"/>
    <w:rsid w:val="00326AB0"/>
    <w:rsid w:val="0032720A"/>
    <w:rsid w:val="003274A4"/>
    <w:rsid w:val="003274C7"/>
    <w:rsid w:val="00327A51"/>
    <w:rsid w:val="00327BC9"/>
    <w:rsid w:val="003303B0"/>
    <w:rsid w:val="00330BFC"/>
    <w:rsid w:val="00330C3E"/>
    <w:rsid w:val="003315E2"/>
    <w:rsid w:val="00331B84"/>
    <w:rsid w:val="003334C8"/>
    <w:rsid w:val="003344B8"/>
    <w:rsid w:val="00334B28"/>
    <w:rsid w:val="00334CA3"/>
    <w:rsid w:val="00334CF0"/>
    <w:rsid w:val="0033514B"/>
    <w:rsid w:val="003352D2"/>
    <w:rsid w:val="0033560D"/>
    <w:rsid w:val="00335F26"/>
    <w:rsid w:val="00336495"/>
    <w:rsid w:val="003369DD"/>
    <w:rsid w:val="00336ECE"/>
    <w:rsid w:val="0034058F"/>
    <w:rsid w:val="00341233"/>
    <w:rsid w:val="0034201A"/>
    <w:rsid w:val="00342199"/>
    <w:rsid w:val="003422EC"/>
    <w:rsid w:val="00342866"/>
    <w:rsid w:val="003429CC"/>
    <w:rsid w:val="003429F1"/>
    <w:rsid w:val="0034385D"/>
    <w:rsid w:val="00343ABA"/>
    <w:rsid w:val="00343C54"/>
    <w:rsid w:val="00343F12"/>
    <w:rsid w:val="00345247"/>
    <w:rsid w:val="0034626F"/>
    <w:rsid w:val="00346BAC"/>
    <w:rsid w:val="003475D0"/>
    <w:rsid w:val="00351275"/>
    <w:rsid w:val="0035221D"/>
    <w:rsid w:val="00352FD0"/>
    <w:rsid w:val="003530AB"/>
    <w:rsid w:val="00353242"/>
    <w:rsid w:val="003532E6"/>
    <w:rsid w:val="00353AD2"/>
    <w:rsid w:val="003551F0"/>
    <w:rsid w:val="00355258"/>
    <w:rsid w:val="00355F91"/>
    <w:rsid w:val="00356B4F"/>
    <w:rsid w:val="00356B84"/>
    <w:rsid w:val="00357346"/>
    <w:rsid w:val="0035740D"/>
    <w:rsid w:val="0035786D"/>
    <w:rsid w:val="00357FD1"/>
    <w:rsid w:val="00360257"/>
    <w:rsid w:val="00360555"/>
    <w:rsid w:val="00360589"/>
    <w:rsid w:val="00361E32"/>
    <w:rsid w:val="003626A9"/>
    <w:rsid w:val="00362E31"/>
    <w:rsid w:val="00363394"/>
    <w:rsid w:val="00363A65"/>
    <w:rsid w:val="00363E21"/>
    <w:rsid w:val="00365327"/>
    <w:rsid w:val="00365B12"/>
    <w:rsid w:val="00365C93"/>
    <w:rsid w:val="0036660D"/>
    <w:rsid w:val="00366626"/>
    <w:rsid w:val="00370038"/>
    <w:rsid w:val="00370BAA"/>
    <w:rsid w:val="00370E2C"/>
    <w:rsid w:val="0037146E"/>
    <w:rsid w:val="0037256C"/>
    <w:rsid w:val="00373B23"/>
    <w:rsid w:val="00373D9E"/>
    <w:rsid w:val="00373E16"/>
    <w:rsid w:val="00373EB5"/>
    <w:rsid w:val="00374CBF"/>
    <w:rsid w:val="00374F2E"/>
    <w:rsid w:val="00375B8D"/>
    <w:rsid w:val="003769BF"/>
    <w:rsid w:val="00376E5D"/>
    <w:rsid w:val="00377336"/>
    <w:rsid w:val="0037776B"/>
    <w:rsid w:val="00377EC9"/>
    <w:rsid w:val="00380B32"/>
    <w:rsid w:val="00380C4C"/>
    <w:rsid w:val="00382237"/>
    <w:rsid w:val="003827C8"/>
    <w:rsid w:val="00383107"/>
    <w:rsid w:val="003835A5"/>
    <w:rsid w:val="003839D8"/>
    <w:rsid w:val="00385583"/>
    <w:rsid w:val="00385648"/>
    <w:rsid w:val="00386009"/>
    <w:rsid w:val="003864B8"/>
    <w:rsid w:val="00386684"/>
    <w:rsid w:val="003869C5"/>
    <w:rsid w:val="00387C86"/>
    <w:rsid w:val="00390414"/>
    <w:rsid w:val="003908C4"/>
    <w:rsid w:val="0039095A"/>
    <w:rsid w:val="0039134A"/>
    <w:rsid w:val="003922CA"/>
    <w:rsid w:val="003928B6"/>
    <w:rsid w:val="00392C90"/>
    <w:rsid w:val="003938B6"/>
    <w:rsid w:val="00393DD9"/>
    <w:rsid w:val="0039489A"/>
    <w:rsid w:val="00394A70"/>
    <w:rsid w:val="00395023"/>
    <w:rsid w:val="00395F55"/>
    <w:rsid w:val="0039784A"/>
    <w:rsid w:val="00397F40"/>
    <w:rsid w:val="003A1134"/>
    <w:rsid w:val="003A19EC"/>
    <w:rsid w:val="003A1DC1"/>
    <w:rsid w:val="003A2E7D"/>
    <w:rsid w:val="003A3603"/>
    <w:rsid w:val="003A55E1"/>
    <w:rsid w:val="003A565C"/>
    <w:rsid w:val="003A577F"/>
    <w:rsid w:val="003A6685"/>
    <w:rsid w:val="003A67BA"/>
    <w:rsid w:val="003A6EEA"/>
    <w:rsid w:val="003A752A"/>
    <w:rsid w:val="003B0347"/>
    <w:rsid w:val="003B0665"/>
    <w:rsid w:val="003B0F2E"/>
    <w:rsid w:val="003B14C7"/>
    <w:rsid w:val="003B16A8"/>
    <w:rsid w:val="003B16EB"/>
    <w:rsid w:val="003B1E8C"/>
    <w:rsid w:val="003B211F"/>
    <w:rsid w:val="003B2382"/>
    <w:rsid w:val="003B2831"/>
    <w:rsid w:val="003B3EA8"/>
    <w:rsid w:val="003B47CA"/>
    <w:rsid w:val="003B481B"/>
    <w:rsid w:val="003B4A16"/>
    <w:rsid w:val="003B5042"/>
    <w:rsid w:val="003B52A6"/>
    <w:rsid w:val="003B5643"/>
    <w:rsid w:val="003B598B"/>
    <w:rsid w:val="003B5CA0"/>
    <w:rsid w:val="003B5CBD"/>
    <w:rsid w:val="003B63A7"/>
    <w:rsid w:val="003B7E6C"/>
    <w:rsid w:val="003C01FF"/>
    <w:rsid w:val="003C12EC"/>
    <w:rsid w:val="003C154C"/>
    <w:rsid w:val="003C1C67"/>
    <w:rsid w:val="003C2508"/>
    <w:rsid w:val="003C3B2D"/>
    <w:rsid w:val="003C3C46"/>
    <w:rsid w:val="003C40AE"/>
    <w:rsid w:val="003C4AEE"/>
    <w:rsid w:val="003C5055"/>
    <w:rsid w:val="003C514E"/>
    <w:rsid w:val="003C5C26"/>
    <w:rsid w:val="003C6A6A"/>
    <w:rsid w:val="003C7808"/>
    <w:rsid w:val="003C78E7"/>
    <w:rsid w:val="003C7B8A"/>
    <w:rsid w:val="003D0074"/>
    <w:rsid w:val="003D010C"/>
    <w:rsid w:val="003D0799"/>
    <w:rsid w:val="003D0AA3"/>
    <w:rsid w:val="003D13BA"/>
    <w:rsid w:val="003D196D"/>
    <w:rsid w:val="003D1BF1"/>
    <w:rsid w:val="003D1DEB"/>
    <w:rsid w:val="003D2115"/>
    <w:rsid w:val="003D224D"/>
    <w:rsid w:val="003D27C4"/>
    <w:rsid w:val="003D27DE"/>
    <w:rsid w:val="003D3454"/>
    <w:rsid w:val="003D3605"/>
    <w:rsid w:val="003D3A10"/>
    <w:rsid w:val="003D58A4"/>
    <w:rsid w:val="003D5EA1"/>
    <w:rsid w:val="003D750F"/>
    <w:rsid w:val="003D7A93"/>
    <w:rsid w:val="003D7E75"/>
    <w:rsid w:val="003E1455"/>
    <w:rsid w:val="003E14A2"/>
    <w:rsid w:val="003E3348"/>
    <w:rsid w:val="003E3F75"/>
    <w:rsid w:val="003E44DB"/>
    <w:rsid w:val="003E45E1"/>
    <w:rsid w:val="003E5E7F"/>
    <w:rsid w:val="003E6D4B"/>
    <w:rsid w:val="003E712A"/>
    <w:rsid w:val="003E75EE"/>
    <w:rsid w:val="003E7AEC"/>
    <w:rsid w:val="003E7F64"/>
    <w:rsid w:val="003F000A"/>
    <w:rsid w:val="003F008A"/>
    <w:rsid w:val="003F07C6"/>
    <w:rsid w:val="003F0DD0"/>
    <w:rsid w:val="003F2968"/>
    <w:rsid w:val="003F3D6B"/>
    <w:rsid w:val="003F4403"/>
    <w:rsid w:val="003F465D"/>
    <w:rsid w:val="003F48FD"/>
    <w:rsid w:val="003F541B"/>
    <w:rsid w:val="003F6572"/>
    <w:rsid w:val="003F688C"/>
    <w:rsid w:val="003F6B9C"/>
    <w:rsid w:val="003F6CF0"/>
    <w:rsid w:val="003F6E57"/>
    <w:rsid w:val="00400031"/>
    <w:rsid w:val="00400ED9"/>
    <w:rsid w:val="00401095"/>
    <w:rsid w:val="00401137"/>
    <w:rsid w:val="00401277"/>
    <w:rsid w:val="0040267F"/>
    <w:rsid w:val="0040316E"/>
    <w:rsid w:val="0040397D"/>
    <w:rsid w:val="00403F67"/>
    <w:rsid w:val="00404B6F"/>
    <w:rsid w:val="00404DF3"/>
    <w:rsid w:val="00405802"/>
    <w:rsid w:val="0040641D"/>
    <w:rsid w:val="00406420"/>
    <w:rsid w:val="00406E94"/>
    <w:rsid w:val="004073D7"/>
    <w:rsid w:val="00407C00"/>
    <w:rsid w:val="00410035"/>
    <w:rsid w:val="004100BE"/>
    <w:rsid w:val="004104AC"/>
    <w:rsid w:val="00410904"/>
    <w:rsid w:val="00410991"/>
    <w:rsid w:val="0041144A"/>
    <w:rsid w:val="00411D86"/>
    <w:rsid w:val="004121EA"/>
    <w:rsid w:val="004132B1"/>
    <w:rsid w:val="004135A4"/>
    <w:rsid w:val="00413CA3"/>
    <w:rsid w:val="0041402F"/>
    <w:rsid w:val="00414466"/>
    <w:rsid w:val="00414E18"/>
    <w:rsid w:val="00414FDC"/>
    <w:rsid w:val="004158B7"/>
    <w:rsid w:val="00416B6B"/>
    <w:rsid w:val="00420DAA"/>
    <w:rsid w:val="0042179F"/>
    <w:rsid w:val="00423898"/>
    <w:rsid w:val="00423A78"/>
    <w:rsid w:val="00424419"/>
    <w:rsid w:val="00424BED"/>
    <w:rsid w:val="00426668"/>
    <w:rsid w:val="00426ADF"/>
    <w:rsid w:val="0042789E"/>
    <w:rsid w:val="00430B57"/>
    <w:rsid w:val="00431486"/>
    <w:rsid w:val="004317FC"/>
    <w:rsid w:val="00431DED"/>
    <w:rsid w:val="0043225E"/>
    <w:rsid w:val="00433099"/>
    <w:rsid w:val="00433D81"/>
    <w:rsid w:val="004340F0"/>
    <w:rsid w:val="00434350"/>
    <w:rsid w:val="00435E69"/>
    <w:rsid w:val="00437721"/>
    <w:rsid w:val="004377F6"/>
    <w:rsid w:val="00440258"/>
    <w:rsid w:val="004405D8"/>
    <w:rsid w:val="00440867"/>
    <w:rsid w:val="00440FA9"/>
    <w:rsid w:val="00441B9F"/>
    <w:rsid w:val="00441FD7"/>
    <w:rsid w:val="00442A8E"/>
    <w:rsid w:val="00442AB5"/>
    <w:rsid w:val="0044301F"/>
    <w:rsid w:val="00443111"/>
    <w:rsid w:val="00443260"/>
    <w:rsid w:val="00443418"/>
    <w:rsid w:val="00445C6C"/>
    <w:rsid w:val="0044690C"/>
    <w:rsid w:val="00447567"/>
    <w:rsid w:val="004478F7"/>
    <w:rsid w:val="00447F55"/>
    <w:rsid w:val="004508FE"/>
    <w:rsid w:val="00450BDD"/>
    <w:rsid w:val="00450F0B"/>
    <w:rsid w:val="00451C77"/>
    <w:rsid w:val="00452886"/>
    <w:rsid w:val="0045290A"/>
    <w:rsid w:val="00452C5D"/>
    <w:rsid w:val="00454553"/>
    <w:rsid w:val="00454766"/>
    <w:rsid w:val="00454F5F"/>
    <w:rsid w:val="00455015"/>
    <w:rsid w:val="004550FF"/>
    <w:rsid w:val="00456D06"/>
    <w:rsid w:val="00457602"/>
    <w:rsid w:val="004576E0"/>
    <w:rsid w:val="004579A2"/>
    <w:rsid w:val="00460C2B"/>
    <w:rsid w:val="004612F7"/>
    <w:rsid w:val="00461620"/>
    <w:rsid w:val="00461A9D"/>
    <w:rsid w:val="004631FD"/>
    <w:rsid w:val="00463777"/>
    <w:rsid w:val="004640FA"/>
    <w:rsid w:val="004642F6"/>
    <w:rsid w:val="004646B3"/>
    <w:rsid w:val="00464E49"/>
    <w:rsid w:val="00465057"/>
    <w:rsid w:val="004650B1"/>
    <w:rsid w:val="00466343"/>
    <w:rsid w:val="004671E8"/>
    <w:rsid w:val="00467226"/>
    <w:rsid w:val="0046732B"/>
    <w:rsid w:val="00467858"/>
    <w:rsid w:val="00470E1C"/>
    <w:rsid w:val="00472117"/>
    <w:rsid w:val="0047247E"/>
    <w:rsid w:val="004728CF"/>
    <w:rsid w:val="00472F8D"/>
    <w:rsid w:val="00472FB9"/>
    <w:rsid w:val="0047339D"/>
    <w:rsid w:val="00473D28"/>
    <w:rsid w:val="00474649"/>
    <w:rsid w:val="00474EE8"/>
    <w:rsid w:val="00476059"/>
    <w:rsid w:val="00476C60"/>
    <w:rsid w:val="00476FB2"/>
    <w:rsid w:val="00477142"/>
    <w:rsid w:val="00477331"/>
    <w:rsid w:val="004777BC"/>
    <w:rsid w:val="00477A62"/>
    <w:rsid w:val="00477CE9"/>
    <w:rsid w:val="004801C8"/>
    <w:rsid w:val="0048195A"/>
    <w:rsid w:val="00482AEC"/>
    <w:rsid w:val="00483B68"/>
    <w:rsid w:val="00483FDB"/>
    <w:rsid w:val="004854C8"/>
    <w:rsid w:val="00485759"/>
    <w:rsid w:val="00485855"/>
    <w:rsid w:val="00485ACC"/>
    <w:rsid w:val="00485AE9"/>
    <w:rsid w:val="00486332"/>
    <w:rsid w:val="00486D2C"/>
    <w:rsid w:val="004906CA"/>
    <w:rsid w:val="004906F0"/>
    <w:rsid w:val="00490A64"/>
    <w:rsid w:val="00490D7E"/>
    <w:rsid w:val="004912CA"/>
    <w:rsid w:val="0049134B"/>
    <w:rsid w:val="00491F82"/>
    <w:rsid w:val="004922C9"/>
    <w:rsid w:val="00493A92"/>
    <w:rsid w:val="00493AB3"/>
    <w:rsid w:val="00493E89"/>
    <w:rsid w:val="00494AE0"/>
    <w:rsid w:val="004954B9"/>
    <w:rsid w:val="00495837"/>
    <w:rsid w:val="00495CB1"/>
    <w:rsid w:val="00496CE2"/>
    <w:rsid w:val="00497126"/>
    <w:rsid w:val="004A05ED"/>
    <w:rsid w:val="004A06C7"/>
    <w:rsid w:val="004A0D33"/>
    <w:rsid w:val="004A0DF4"/>
    <w:rsid w:val="004A13E3"/>
    <w:rsid w:val="004A15FF"/>
    <w:rsid w:val="004A1AF7"/>
    <w:rsid w:val="004A1FD7"/>
    <w:rsid w:val="004A2B8E"/>
    <w:rsid w:val="004A3228"/>
    <w:rsid w:val="004A329E"/>
    <w:rsid w:val="004A3D91"/>
    <w:rsid w:val="004A40D8"/>
    <w:rsid w:val="004A46D6"/>
    <w:rsid w:val="004A4DAE"/>
    <w:rsid w:val="004A5349"/>
    <w:rsid w:val="004A588E"/>
    <w:rsid w:val="004A5AE8"/>
    <w:rsid w:val="004A645A"/>
    <w:rsid w:val="004A6A35"/>
    <w:rsid w:val="004A6A91"/>
    <w:rsid w:val="004A728B"/>
    <w:rsid w:val="004A7882"/>
    <w:rsid w:val="004A7C29"/>
    <w:rsid w:val="004B11E1"/>
    <w:rsid w:val="004B124A"/>
    <w:rsid w:val="004B1DA2"/>
    <w:rsid w:val="004B1DDE"/>
    <w:rsid w:val="004B1F18"/>
    <w:rsid w:val="004B2220"/>
    <w:rsid w:val="004B24C0"/>
    <w:rsid w:val="004B24D7"/>
    <w:rsid w:val="004B2B30"/>
    <w:rsid w:val="004B2DD7"/>
    <w:rsid w:val="004B358C"/>
    <w:rsid w:val="004B39B7"/>
    <w:rsid w:val="004B4AD9"/>
    <w:rsid w:val="004B520A"/>
    <w:rsid w:val="004B6866"/>
    <w:rsid w:val="004B7130"/>
    <w:rsid w:val="004B7CA3"/>
    <w:rsid w:val="004B7D4F"/>
    <w:rsid w:val="004C0853"/>
    <w:rsid w:val="004C22D2"/>
    <w:rsid w:val="004C3415"/>
    <w:rsid w:val="004C3636"/>
    <w:rsid w:val="004C3A5A"/>
    <w:rsid w:val="004C504D"/>
    <w:rsid w:val="004C5373"/>
    <w:rsid w:val="004C59F6"/>
    <w:rsid w:val="004C6335"/>
    <w:rsid w:val="004C6F96"/>
    <w:rsid w:val="004C7556"/>
    <w:rsid w:val="004C7A3A"/>
    <w:rsid w:val="004D08F6"/>
    <w:rsid w:val="004D128B"/>
    <w:rsid w:val="004D18A3"/>
    <w:rsid w:val="004D1AEA"/>
    <w:rsid w:val="004D1BDF"/>
    <w:rsid w:val="004D2F92"/>
    <w:rsid w:val="004D3128"/>
    <w:rsid w:val="004D32EE"/>
    <w:rsid w:val="004D3A7D"/>
    <w:rsid w:val="004D3EB9"/>
    <w:rsid w:val="004D4194"/>
    <w:rsid w:val="004D433E"/>
    <w:rsid w:val="004D458A"/>
    <w:rsid w:val="004D4B55"/>
    <w:rsid w:val="004D4D3C"/>
    <w:rsid w:val="004D5322"/>
    <w:rsid w:val="004D5FF2"/>
    <w:rsid w:val="004D634C"/>
    <w:rsid w:val="004D6367"/>
    <w:rsid w:val="004D6968"/>
    <w:rsid w:val="004D716B"/>
    <w:rsid w:val="004D7325"/>
    <w:rsid w:val="004D7694"/>
    <w:rsid w:val="004D778C"/>
    <w:rsid w:val="004D78E0"/>
    <w:rsid w:val="004D7F7D"/>
    <w:rsid w:val="004E0927"/>
    <w:rsid w:val="004E0D05"/>
    <w:rsid w:val="004E0E17"/>
    <w:rsid w:val="004E1CAF"/>
    <w:rsid w:val="004E20D4"/>
    <w:rsid w:val="004E2F90"/>
    <w:rsid w:val="004E43A9"/>
    <w:rsid w:val="004E59DE"/>
    <w:rsid w:val="004E5F44"/>
    <w:rsid w:val="004E65CD"/>
    <w:rsid w:val="004E6C84"/>
    <w:rsid w:val="004E6FA0"/>
    <w:rsid w:val="004E7B0F"/>
    <w:rsid w:val="004F09FF"/>
    <w:rsid w:val="004F0B8B"/>
    <w:rsid w:val="004F0F75"/>
    <w:rsid w:val="004F273D"/>
    <w:rsid w:val="004F2D31"/>
    <w:rsid w:val="004F3FC1"/>
    <w:rsid w:val="004F42D3"/>
    <w:rsid w:val="004F4412"/>
    <w:rsid w:val="004F56CC"/>
    <w:rsid w:val="004F68E2"/>
    <w:rsid w:val="004F6CB1"/>
    <w:rsid w:val="004F7B26"/>
    <w:rsid w:val="00500012"/>
    <w:rsid w:val="005001CD"/>
    <w:rsid w:val="00500339"/>
    <w:rsid w:val="00500C36"/>
    <w:rsid w:val="005016C8"/>
    <w:rsid w:val="005019F7"/>
    <w:rsid w:val="0050246A"/>
    <w:rsid w:val="00502534"/>
    <w:rsid w:val="0050344F"/>
    <w:rsid w:val="00503771"/>
    <w:rsid w:val="00503CCD"/>
    <w:rsid w:val="00504825"/>
    <w:rsid w:val="00504A08"/>
    <w:rsid w:val="00504BC0"/>
    <w:rsid w:val="0050511D"/>
    <w:rsid w:val="00505684"/>
    <w:rsid w:val="00505C90"/>
    <w:rsid w:val="00506313"/>
    <w:rsid w:val="0050717B"/>
    <w:rsid w:val="005072B4"/>
    <w:rsid w:val="00507B6F"/>
    <w:rsid w:val="00511320"/>
    <w:rsid w:val="00511806"/>
    <w:rsid w:val="00511B02"/>
    <w:rsid w:val="00512460"/>
    <w:rsid w:val="0051264F"/>
    <w:rsid w:val="00513266"/>
    <w:rsid w:val="00513731"/>
    <w:rsid w:val="00514242"/>
    <w:rsid w:val="005147A1"/>
    <w:rsid w:val="00515223"/>
    <w:rsid w:val="005154D4"/>
    <w:rsid w:val="00515646"/>
    <w:rsid w:val="00516104"/>
    <w:rsid w:val="005162D5"/>
    <w:rsid w:val="005165C1"/>
    <w:rsid w:val="005167FB"/>
    <w:rsid w:val="00516CA1"/>
    <w:rsid w:val="005175C9"/>
    <w:rsid w:val="005176F2"/>
    <w:rsid w:val="00521D73"/>
    <w:rsid w:val="00521E23"/>
    <w:rsid w:val="00521FD6"/>
    <w:rsid w:val="005226EC"/>
    <w:rsid w:val="00522C19"/>
    <w:rsid w:val="00523269"/>
    <w:rsid w:val="0052540F"/>
    <w:rsid w:val="005254FC"/>
    <w:rsid w:val="00525572"/>
    <w:rsid w:val="0052570A"/>
    <w:rsid w:val="00525796"/>
    <w:rsid w:val="00525CEB"/>
    <w:rsid w:val="00526F5C"/>
    <w:rsid w:val="00527BBA"/>
    <w:rsid w:val="00527DF5"/>
    <w:rsid w:val="00530317"/>
    <w:rsid w:val="005311B1"/>
    <w:rsid w:val="0053168D"/>
    <w:rsid w:val="00532097"/>
    <w:rsid w:val="00532286"/>
    <w:rsid w:val="0053245C"/>
    <w:rsid w:val="00533397"/>
    <w:rsid w:val="005334EB"/>
    <w:rsid w:val="005343DE"/>
    <w:rsid w:val="0053460B"/>
    <w:rsid w:val="00534B01"/>
    <w:rsid w:val="00535077"/>
    <w:rsid w:val="00536CDF"/>
    <w:rsid w:val="00536F5B"/>
    <w:rsid w:val="0053720F"/>
    <w:rsid w:val="00537342"/>
    <w:rsid w:val="005376DE"/>
    <w:rsid w:val="00537A2E"/>
    <w:rsid w:val="00537D8C"/>
    <w:rsid w:val="005401C0"/>
    <w:rsid w:val="0054122D"/>
    <w:rsid w:val="00541602"/>
    <w:rsid w:val="005416EC"/>
    <w:rsid w:val="0054222F"/>
    <w:rsid w:val="00542D14"/>
    <w:rsid w:val="00542EED"/>
    <w:rsid w:val="0054332F"/>
    <w:rsid w:val="005433D5"/>
    <w:rsid w:val="0054555F"/>
    <w:rsid w:val="00545D8B"/>
    <w:rsid w:val="00545FEF"/>
    <w:rsid w:val="005477F4"/>
    <w:rsid w:val="00547C77"/>
    <w:rsid w:val="00550177"/>
    <w:rsid w:val="005504F5"/>
    <w:rsid w:val="0055132B"/>
    <w:rsid w:val="00551658"/>
    <w:rsid w:val="00553783"/>
    <w:rsid w:val="00553ACB"/>
    <w:rsid w:val="00553D6C"/>
    <w:rsid w:val="005559A8"/>
    <w:rsid w:val="00555AB0"/>
    <w:rsid w:val="00556739"/>
    <w:rsid w:val="00557094"/>
    <w:rsid w:val="005574D1"/>
    <w:rsid w:val="00557F95"/>
    <w:rsid w:val="005602AA"/>
    <w:rsid w:val="00560A6D"/>
    <w:rsid w:val="00560C90"/>
    <w:rsid w:val="0056101C"/>
    <w:rsid w:val="0056121D"/>
    <w:rsid w:val="00561A81"/>
    <w:rsid w:val="0056247D"/>
    <w:rsid w:val="005624FE"/>
    <w:rsid w:val="00562558"/>
    <w:rsid w:val="00563092"/>
    <w:rsid w:val="005638F1"/>
    <w:rsid w:val="00564957"/>
    <w:rsid w:val="00564A6A"/>
    <w:rsid w:val="0056541C"/>
    <w:rsid w:val="00565CD5"/>
    <w:rsid w:val="005660A9"/>
    <w:rsid w:val="00566BEE"/>
    <w:rsid w:val="00566C37"/>
    <w:rsid w:val="00567A2B"/>
    <w:rsid w:val="00570742"/>
    <w:rsid w:val="0057154A"/>
    <w:rsid w:val="005733D3"/>
    <w:rsid w:val="005733EE"/>
    <w:rsid w:val="00575267"/>
    <w:rsid w:val="005759BB"/>
    <w:rsid w:val="00576A72"/>
    <w:rsid w:val="0057728D"/>
    <w:rsid w:val="00577E65"/>
    <w:rsid w:val="005800BC"/>
    <w:rsid w:val="005803C3"/>
    <w:rsid w:val="005804CE"/>
    <w:rsid w:val="00580C9B"/>
    <w:rsid w:val="00580D7B"/>
    <w:rsid w:val="00581020"/>
    <w:rsid w:val="005810FA"/>
    <w:rsid w:val="00582BE8"/>
    <w:rsid w:val="00582FF9"/>
    <w:rsid w:val="0058350F"/>
    <w:rsid w:val="00583B78"/>
    <w:rsid w:val="00583D68"/>
    <w:rsid w:val="005841EF"/>
    <w:rsid w:val="005849DE"/>
    <w:rsid w:val="005852CF"/>
    <w:rsid w:val="00585D65"/>
    <w:rsid w:val="00585E96"/>
    <w:rsid w:val="005865FD"/>
    <w:rsid w:val="00586BBB"/>
    <w:rsid w:val="00586F5E"/>
    <w:rsid w:val="00587054"/>
    <w:rsid w:val="00590248"/>
    <w:rsid w:val="0059052E"/>
    <w:rsid w:val="00590BCF"/>
    <w:rsid w:val="00592199"/>
    <w:rsid w:val="005937AC"/>
    <w:rsid w:val="0059432D"/>
    <w:rsid w:val="005945E1"/>
    <w:rsid w:val="00594AD3"/>
    <w:rsid w:val="0059516B"/>
    <w:rsid w:val="00597034"/>
    <w:rsid w:val="00597676"/>
    <w:rsid w:val="005976CF"/>
    <w:rsid w:val="005A091F"/>
    <w:rsid w:val="005A193D"/>
    <w:rsid w:val="005A1B1E"/>
    <w:rsid w:val="005A1FDC"/>
    <w:rsid w:val="005A23C8"/>
    <w:rsid w:val="005A2D46"/>
    <w:rsid w:val="005A3042"/>
    <w:rsid w:val="005A374D"/>
    <w:rsid w:val="005A413E"/>
    <w:rsid w:val="005A445E"/>
    <w:rsid w:val="005A4625"/>
    <w:rsid w:val="005A4930"/>
    <w:rsid w:val="005A4DC6"/>
    <w:rsid w:val="005A50DD"/>
    <w:rsid w:val="005A58A4"/>
    <w:rsid w:val="005A6EFE"/>
    <w:rsid w:val="005A7D81"/>
    <w:rsid w:val="005B01C9"/>
    <w:rsid w:val="005B07D3"/>
    <w:rsid w:val="005B1EC2"/>
    <w:rsid w:val="005B20B4"/>
    <w:rsid w:val="005B2329"/>
    <w:rsid w:val="005B248C"/>
    <w:rsid w:val="005B2B92"/>
    <w:rsid w:val="005B2D11"/>
    <w:rsid w:val="005B4188"/>
    <w:rsid w:val="005B44A1"/>
    <w:rsid w:val="005B6107"/>
    <w:rsid w:val="005B6F4E"/>
    <w:rsid w:val="005B7AA7"/>
    <w:rsid w:val="005B7EFC"/>
    <w:rsid w:val="005C0946"/>
    <w:rsid w:val="005C13F4"/>
    <w:rsid w:val="005C1552"/>
    <w:rsid w:val="005C2A64"/>
    <w:rsid w:val="005C3AAF"/>
    <w:rsid w:val="005C3F8F"/>
    <w:rsid w:val="005C467A"/>
    <w:rsid w:val="005C5091"/>
    <w:rsid w:val="005C6190"/>
    <w:rsid w:val="005C6F90"/>
    <w:rsid w:val="005C7E28"/>
    <w:rsid w:val="005D01B8"/>
    <w:rsid w:val="005D03DE"/>
    <w:rsid w:val="005D15D6"/>
    <w:rsid w:val="005D161B"/>
    <w:rsid w:val="005D1D5D"/>
    <w:rsid w:val="005D1FE0"/>
    <w:rsid w:val="005D2522"/>
    <w:rsid w:val="005D2FA4"/>
    <w:rsid w:val="005D32B0"/>
    <w:rsid w:val="005D3F5E"/>
    <w:rsid w:val="005D5538"/>
    <w:rsid w:val="005D7D68"/>
    <w:rsid w:val="005E015A"/>
    <w:rsid w:val="005E02BD"/>
    <w:rsid w:val="005E0686"/>
    <w:rsid w:val="005E07B6"/>
    <w:rsid w:val="005E0D5A"/>
    <w:rsid w:val="005E1841"/>
    <w:rsid w:val="005E1879"/>
    <w:rsid w:val="005E1D17"/>
    <w:rsid w:val="005E1E17"/>
    <w:rsid w:val="005E24E8"/>
    <w:rsid w:val="005E2EE3"/>
    <w:rsid w:val="005E438B"/>
    <w:rsid w:val="005E46A2"/>
    <w:rsid w:val="005E4753"/>
    <w:rsid w:val="005E4CD8"/>
    <w:rsid w:val="005E4D63"/>
    <w:rsid w:val="005E5B57"/>
    <w:rsid w:val="005E607A"/>
    <w:rsid w:val="005E64D5"/>
    <w:rsid w:val="005E6C03"/>
    <w:rsid w:val="005E730F"/>
    <w:rsid w:val="005E73A2"/>
    <w:rsid w:val="005E782D"/>
    <w:rsid w:val="005E7D9B"/>
    <w:rsid w:val="005E7FC3"/>
    <w:rsid w:val="005F2605"/>
    <w:rsid w:val="005F293B"/>
    <w:rsid w:val="005F3907"/>
    <w:rsid w:val="005F39D1"/>
    <w:rsid w:val="005F4D1A"/>
    <w:rsid w:val="005F55DB"/>
    <w:rsid w:val="005F5F3B"/>
    <w:rsid w:val="005F60C9"/>
    <w:rsid w:val="005F6857"/>
    <w:rsid w:val="005F6B8D"/>
    <w:rsid w:val="005F77C8"/>
    <w:rsid w:val="005F7C08"/>
    <w:rsid w:val="00600502"/>
    <w:rsid w:val="0060096D"/>
    <w:rsid w:val="00600CCB"/>
    <w:rsid w:val="006014A9"/>
    <w:rsid w:val="006017B5"/>
    <w:rsid w:val="00601BBF"/>
    <w:rsid w:val="00601EAE"/>
    <w:rsid w:val="00602BE0"/>
    <w:rsid w:val="00603220"/>
    <w:rsid w:val="0060346B"/>
    <w:rsid w:val="00603747"/>
    <w:rsid w:val="00603CF3"/>
    <w:rsid w:val="0060473C"/>
    <w:rsid w:val="0060659E"/>
    <w:rsid w:val="006069D3"/>
    <w:rsid w:val="00606CAB"/>
    <w:rsid w:val="006070E6"/>
    <w:rsid w:val="00607A35"/>
    <w:rsid w:val="00610611"/>
    <w:rsid w:val="00610908"/>
    <w:rsid w:val="00610A1F"/>
    <w:rsid w:val="0061268B"/>
    <w:rsid w:val="006132EA"/>
    <w:rsid w:val="00613B89"/>
    <w:rsid w:val="00613DE8"/>
    <w:rsid w:val="00614733"/>
    <w:rsid w:val="00614E46"/>
    <w:rsid w:val="00615741"/>
    <w:rsid w:val="00615DC0"/>
    <w:rsid w:val="00616656"/>
    <w:rsid w:val="006179DF"/>
    <w:rsid w:val="00617E0C"/>
    <w:rsid w:val="00617E68"/>
    <w:rsid w:val="00620EAD"/>
    <w:rsid w:val="00621627"/>
    <w:rsid w:val="006221DF"/>
    <w:rsid w:val="00622ED0"/>
    <w:rsid w:val="006235F3"/>
    <w:rsid w:val="00624F67"/>
    <w:rsid w:val="00625514"/>
    <w:rsid w:val="0062564D"/>
    <w:rsid w:val="00625676"/>
    <w:rsid w:val="00625AC7"/>
    <w:rsid w:val="00625C85"/>
    <w:rsid w:val="006262AD"/>
    <w:rsid w:val="00626F4A"/>
    <w:rsid w:val="006278D2"/>
    <w:rsid w:val="00627D3C"/>
    <w:rsid w:val="0063016E"/>
    <w:rsid w:val="00630F4F"/>
    <w:rsid w:val="00631028"/>
    <w:rsid w:val="006316FF"/>
    <w:rsid w:val="006320D8"/>
    <w:rsid w:val="006328E0"/>
    <w:rsid w:val="006333E5"/>
    <w:rsid w:val="00633553"/>
    <w:rsid w:val="006337C5"/>
    <w:rsid w:val="00633C03"/>
    <w:rsid w:val="006360F5"/>
    <w:rsid w:val="006364B5"/>
    <w:rsid w:val="0063693C"/>
    <w:rsid w:val="006372EF"/>
    <w:rsid w:val="00637D84"/>
    <w:rsid w:val="00640E98"/>
    <w:rsid w:val="006417FD"/>
    <w:rsid w:val="00641E4A"/>
    <w:rsid w:val="006430C4"/>
    <w:rsid w:val="0064398D"/>
    <w:rsid w:val="006439B1"/>
    <w:rsid w:val="00643E0B"/>
    <w:rsid w:val="00644420"/>
    <w:rsid w:val="00644811"/>
    <w:rsid w:val="00644F5B"/>
    <w:rsid w:val="0064550C"/>
    <w:rsid w:val="006472E8"/>
    <w:rsid w:val="0064781E"/>
    <w:rsid w:val="00647EF9"/>
    <w:rsid w:val="006524DC"/>
    <w:rsid w:val="00652598"/>
    <w:rsid w:val="0065288F"/>
    <w:rsid w:val="0065323E"/>
    <w:rsid w:val="0065525C"/>
    <w:rsid w:val="0065530D"/>
    <w:rsid w:val="00655C02"/>
    <w:rsid w:val="00655D71"/>
    <w:rsid w:val="006602CE"/>
    <w:rsid w:val="006605B3"/>
    <w:rsid w:val="00661CB5"/>
    <w:rsid w:val="00661E0E"/>
    <w:rsid w:val="00661FCD"/>
    <w:rsid w:val="00662039"/>
    <w:rsid w:val="006624E1"/>
    <w:rsid w:val="00662BA0"/>
    <w:rsid w:val="006633D5"/>
    <w:rsid w:val="00663731"/>
    <w:rsid w:val="00663B78"/>
    <w:rsid w:val="00664976"/>
    <w:rsid w:val="00665211"/>
    <w:rsid w:val="006662C7"/>
    <w:rsid w:val="00666C18"/>
    <w:rsid w:val="00670BAD"/>
    <w:rsid w:val="0067186F"/>
    <w:rsid w:val="00671B31"/>
    <w:rsid w:val="00671B50"/>
    <w:rsid w:val="00672A2E"/>
    <w:rsid w:val="00672B1A"/>
    <w:rsid w:val="00672FE4"/>
    <w:rsid w:val="00673772"/>
    <w:rsid w:val="00673AB8"/>
    <w:rsid w:val="00674560"/>
    <w:rsid w:val="006754E6"/>
    <w:rsid w:val="0067565E"/>
    <w:rsid w:val="006758E2"/>
    <w:rsid w:val="006766DC"/>
    <w:rsid w:val="00676A7F"/>
    <w:rsid w:val="00676DB2"/>
    <w:rsid w:val="00677BE2"/>
    <w:rsid w:val="00680050"/>
    <w:rsid w:val="006803D9"/>
    <w:rsid w:val="00680474"/>
    <w:rsid w:val="0068050D"/>
    <w:rsid w:val="00680709"/>
    <w:rsid w:val="006808E0"/>
    <w:rsid w:val="00680B9D"/>
    <w:rsid w:val="00680EF4"/>
    <w:rsid w:val="00680FCA"/>
    <w:rsid w:val="0068136A"/>
    <w:rsid w:val="00681766"/>
    <w:rsid w:val="00681F85"/>
    <w:rsid w:val="00682B2F"/>
    <w:rsid w:val="00683979"/>
    <w:rsid w:val="00683F2E"/>
    <w:rsid w:val="00684E04"/>
    <w:rsid w:val="006857F8"/>
    <w:rsid w:val="00686C2D"/>
    <w:rsid w:val="00686CFB"/>
    <w:rsid w:val="0068704A"/>
    <w:rsid w:val="006871DF"/>
    <w:rsid w:val="0068721F"/>
    <w:rsid w:val="006879CF"/>
    <w:rsid w:val="00687CB9"/>
    <w:rsid w:val="0069066E"/>
    <w:rsid w:val="00690BED"/>
    <w:rsid w:val="00690E91"/>
    <w:rsid w:val="00691647"/>
    <w:rsid w:val="00692444"/>
    <w:rsid w:val="0069256A"/>
    <w:rsid w:val="00692AAE"/>
    <w:rsid w:val="00692F10"/>
    <w:rsid w:val="00693153"/>
    <w:rsid w:val="00693BBC"/>
    <w:rsid w:val="00695F60"/>
    <w:rsid w:val="00696098"/>
    <w:rsid w:val="00696595"/>
    <w:rsid w:val="0069667F"/>
    <w:rsid w:val="00696D73"/>
    <w:rsid w:val="006A017D"/>
    <w:rsid w:val="006A102D"/>
    <w:rsid w:val="006A1325"/>
    <w:rsid w:val="006A15BC"/>
    <w:rsid w:val="006A21C6"/>
    <w:rsid w:val="006A250A"/>
    <w:rsid w:val="006A2ADA"/>
    <w:rsid w:val="006A2B43"/>
    <w:rsid w:val="006A322C"/>
    <w:rsid w:val="006A3EE6"/>
    <w:rsid w:val="006A56F4"/>
    <w:rsid w:val="006A5DB3"/>
    <w:rsid w:val="006A652B"/>
    <w:rsid w:val="006A683D"/>
    <w:rsid w:val="006B0533"/>
    <w:rsid w:val="006B0F54"/>
    <w:rsid w:val="006B2362"/>
    <w:rsid w:val="006B25B5"/>
    <w:rsid w:val="006B280B"/>
    <w:rsid w:val="006B3179"/>
    <w:rsid w:val="006B3285"/>
    <w:rsid w:val="006B3AC7"/>
    <w:rsid w:val="006B3C6B"/>
    <w:rsid w:val="006B3CDE"/>
    <w:rsid w:val="006B7846"/>
    <w:rsid w:val="006C0F97"/>
    <w:rsid w:val="006C1ECC"/>
    <w:rsid w:val="006C2114"/>
    <w:rsid w:val="006C2284"/>
    <w:rsid w:val="006C25F0"/>
    <w:rsid w:val="006C31CE"/>
    <w:rsid w:val="006C4D01"/>
    <w:rsid w:val="006C5F7F"/>
    <w:rsid w:val="006C6DA2"/>
    <w:rsid w:val="006C6EBF"/>
    <w:rsid w:val="006C747A"/>
    <w:rsid w:val="006C7890"/>
    <w:rsid w:val="006C7B3F"/>
    <w:rsid w:val="006D0D8E"/>
    <w:rsid w:val="006D0F7D"/>
    <w:rsid w:val="006D1001"/>
    <w:rsid w:val="006D1A21"/>
    <w:rsid w:val="006D315F"/>
    <w:rsid w:val="006D3E63"/>
    <w:rsid w:val="006D561B"/>
    <w:rsid w:val="006D6064"/>
    <w:rsid w:val="006D648D"/>
    <w:rsid w:val="006D6AA6"/>
    <w:rsid w:val="006D6E67"/>
    <w:rsid w:val="006D784E"/>
    <w:rsid w:val="006E0048"/>
    <w:rsid w:val="006E0078"/>
    <w:rsid w:val="006E02F3"/>
    <w:rsid w:val="006E08FB"/>
    <w:rsid w:val="006E08FD"/>
    <w:rsid w:val="006E0A9D"/>
    <w:rsid w:val="006E196F"/>
    <w:rsid w:val="006E19C4"/>
    <w:rsid w:val="006E1A13"/>
    <w:rsid w:val="006E254C"/>
    <w:rsid w:val="006E2ADD"/>
    <w:rsid w:val="006E2EF6"/>
    <w:rsid w:val="006E3BD0"/>
    <w:rsid w:val="006E3E23"/>
    <w:rsid w:val="006E3F69"/>
    <w:rsid w:val="006E4C9F"/>
    <w:rsid w:val="006E5738"/>
    <w:rsid w:val="006E6B2D"/>
    <w:rsid w:val="006E6BDA"/>
    <w:rsid w:val="006E71AC"/>
    <w:rsid w:val="006E76B9"/>
    <w:rsid w:val="006F062C"/>
    <w:rsid w:val="006F123F"/>
    <w:rsid w:val="006F1D4C"/>
    <w:rsid w:val="006F1FCD"/>
    <w:rsid w:val="006F1FE1"/>
    <w:rsid w:val="006F22B2"/>
    <w:rsid w:val="006F23AF"/>
    <w:rsid w:val="006F2ACB"/>
    <w:rsid w:val="006F2F42"/>
    <w:rsid w:val="006F33EF"/>
    <w:rsid w:val="006F3926"/>
    <w:rsid w:val="006F3E01"/>
    <w:rsid w:val="006F4C7A"/>
    <w:rsid w:val="006F50A1"/>
    <w:rsid w:val="006F5880"/>
    <w:rsid w:val="006F60E4"/>
    <w:rsid w:val="006F6E5D"/>
    <w:rsid w:val="006F749A"/>
    <w:rsid w:val="006F7638"/>
    <w:rsid w:val="006F7B93"/>
    <w:rsid w:val="00700B51"/>
    <w:rsid w:val="0070105A"/>
    <w:rsid w:val="00701C20"/>
    <w:rsid w:val="0070268D"/>
    <w:rsid w:val="00702918"/>
    <w:rsid w:val="00702EFD"/>
    <w:rsid w:val="00702F3D"/>
    <w:rsid w:val="00704FBD"/>
    <w:rsid w:val="0070518E"/>
    <w:rsid w:val="00705720"/>
    <w:rsid w:val="00705C3F"/>
    <w:rsid w:val="0070678B"/>
    <w:rsid w:val="00706948"/>
    <w:rsid w:val="00706D64"/>
    <w:rsid w:val="00707C1C"/>
    <w:rsid w:val="00707D04"/>
    <w:rsid w:val="00710529"/>
    <w:rsid w:val="0071084A"/>
    <w:rsid w:val="00711505"/>
    <w:rsid w:val="007133DB"/>
    <w:rsid w:val="0071345D"/>
    <w:rsid w:val="0071364A"/>
    <w:rsid w:val="00713B9A"/>
    <w:rsid w:val="007145E6"/>
    <w:rsid w:val="00714ACC"/>
    <w:rsid w:val="00714C65"/>
    <w:rsid w:val="00715D49"/>
    <w:rsid w:val="00715DCB"/>
    <w:rsid w:val="0071607D"/>
    <w:rsid w:val="007161C5"/>
    <w:rsid w:val="00716346"/>
    <w:rsid w:val="007167EC"/>
    <w:rsid w:val="00720DFF"/>
    <w:rsid w:val="00721B63"/>
    <w:rsid w:val="00722A5F"/>
    <w:rsid w:val="00722B5C"/>
    <w:rsid w:val="00722EB4"/>
    <w:rsid w:val="0072353B"/>
    <w:rsid w:val="007249AA"/>
    <w:rsid w:val="00724F64"/>
    <w:rsid w:val="00725D72"/>
    <w:rsid w:val="007273BF"/>
    <w:rsid w:val="00727414"/>
    <w:rsid w:val="0072753C"/>
    <w:rsid w:val="0072773C"/>
    <w:rsid w:val="007277D1"/>
    <w:rsid w:val="00727DEE"/>
    <w:rsid w:val="00730685"/>
    <w:rsid w:val="007311DF"/>
    <w:rsid w:val="0073131C"/>
    <w:rsid w:val="00731560"/>
    <w:rsid w:val="00731820"/>
    <w:rsid w:val="00731EDE"/>
    <w:rsid w:val="00731F97"/>
    <w:rsid w:val="0073215F"/>
    <w:rsid w:val="0073298B"/>
    <w:rsid w:val="00732F8E"/>
    <w:rsid w:val="00734034"/>
    <w:rsid w:val="00734C1B"/>
    <w:rsid w:val="00734D48"/>
    <w:rsid w:val="007354E9"/>
    <w:rsid w:val="0073680C"/>
    <w:rsid w:val="00737D63"/>
    <w:rsid w:val="00741684"/>
    <w:rsid w:val="00741AD5"/>
    <w:rsid w:val="00742037"/>
    <w:rsid w:val="00742BEC"/>
    <w:rsid w:val="00742CFB"/>
    <w:rsid w:val="00742D06"/>
    <w:rsid w:val="007437F7"/>
    <w:rsid w:val="00743954"/>
    <w:rsid w:val="00743B95"/>
    <w:rsid w:val="00743CD3"/>
    <w:rsid w:val="007448C3"/>
    <w:rsid w:val="00744AD9"/>
    <w:rsid w:val="007458B8"/>
    <w:rsid w:val="00745AC5"/>
    <w:rsid w:val="00745D97"/>
    <w:rsid w:val="007468D6"/>
    <w:rsid w:val="00746B7F"/>
    <w:rsid w:val="00746DE2"/>
    <w:rsid w:val="00746FDD"/>
    <w:rsid w:val="00747621"/>
    <w:rsid w:val="00747EBD"/>
    <w:rsid w:val="00750E7C"/>
    <w:rsid w:val="007531CF"/>
    <w:rsid w:val="00754A53"/>
    <w:rsid w:val="00755663"/>
    <w:rsid w:val="00755AAE"/>
    <w:rsid w:val="00755B91"/>
    <w:rsid w:val="00755C7E"/>
    <w:rsid w:val="00755D31"/>
    <w:rsid w:val="00757457"/>
    <w:rsid w:val="0075778F"/>
    <w:rsid w:val="00757C12"/>
    <w:rsid w:val="00757D22"/>
    <w:rsid w:val="00760FE0"/>
    <w:rsid w:val="00761A40"/>
    <w:rsid w:val="00761A57"/>
    <w:rsid w:val="00761E51"/>
    <w:rsid w:val="00763926"/>
    <w:rsid w:val="00765578"/>
    <w:rsid w:val="00766924"/>
    <w:rsid w:val="00766BBB"/>
    <w:rsid w:val="00766F02"/>
    <w:rsid w:val="00767099"/>
    <w:rsid w:val="0076719A"/>
    <w:rsid w:val="0077084A"/>
    <w:rsid w:val="00770D12"/>
    <w:rsid w:val="00771C93"/>
    <w:rsid w:val="00771F7B"/>
    <w:rsid w:val="00772FB6"/>
    <w:rsid w:val="007733A5"/>
    <w:rsid w:val="0077345E"/>
    <w:rsid w:val="00773553"/>
    <w:rsid w:val="007739CD"/>
    <w:rsid w:val="00773BA6"/>
    <w:rsid w:val="0077411B"/>
    <w:rsid w:val="00774A80"/>
    <w:rsid w:val="00774CAD"/>
    <w:rsid w:val="00776AC0"/>
    <w:rsid w:val="00776B05"/>
    <w:rsid w:val="00777328"/>
    <w:rsid w:val="007773C1"/>
    <w:rsid w:val="00780C51"/>
    <w:rsid w:val="007816FE"/>
    <w:rsid w:val="007817DA"/>
    <w:rsid w:val="00781C27"/>
    <w:rsid w:val="00782332"/>
    <w:rsid w:val="00782730"/>
    <w:rsid w:val="007827E9"/>
    <w:rsid w:val="007828FA"/>
    <w:rsid w:val="00782A98"/>
    <w:rsid w:val="00783048"/>
    <w:rsid w:val="00784997"/>
    <w:rsid w:val="00784C1F"/>
    <w:rsid w:val="00784E47"/>
    <w:rsid w:val="00785159"/>
    <w:rsid w:val="00786250"/>
    <w:rsid w:val="0078637B"/>
    <w:rsid w:val="00786E4D"/>
    <w:rsid w:val="007872FF"/>
    <w:rsid w:val="00787AEC"/>
    <w:rsid w:val="00790506"/>
    <w:rsid w:val="00790EA0"/>
    <w:rsid w:val="00791350"/>
    <w:rsid w:val="007929C6"/>
    <w:rsid w:val="00792AB1"/>
    <w:rsid w:val="00792D99"/>
    <w:rsid w:val="00792EA4"/>
    <w:rsid w:val="0079327D"/>
    <w:rsid w:val="00793391"/>
    <w:rsid w:val="00793960"/>
    <w:rsid w:val="00793C09"/>
    <w:rsid w:val="007948E2"/>
    <w:rsid w:val="00795109"/>
    <w:rsid w:val="007952C7"/>
    <w:rsid w:val="00795565"/>
    <w:rsid w:val="0079595A"/>
    <w:rsid w:val="00796462"/>
    <w:rsid w:val="0079652D"/>
    <w:rsid w:val="007968D0"/>
    <w:rsid w:val="00796E33"/>
    <w:rsid w:val="007974AF"/>
    <w:rsid w:val="007A014B"/>
    <w:rsid w:val="007A03F5"/>
    <w:rsid w:val="007A0E47"/>
    <w:rsid w:val="007A1926"/>
    <w:rsid w:val="007A3530"/>
    <w:rsid w:val="007A3C03"/>
    <w:rsid w:val="007A3D7A"/>
    <w:rsid w:val="007A6C58"/>
    <w:rsid w:val="007A7577"/>
    <w:rsid w:val="007A7D8E"/>
    <w:rsid w:val="007A7F8C"/>
    <w:rsid w:val="007B007B"/>
    <w:rsid w:val="007B20EB"/>
    <w:rsid w:val="007B3478"/>
    <w:rsid w:val="007B3EFB"/>
    <w:rsid w:val="007B618C"/>
    <w:rsid w:val="007B68A0"/>
    <w:rsid w:val="007B6A15"/>
    <w:rsid w:val="007B6A25"/>
    <w:rsid w:val="007B723C"/>
    <w:rsid w:val="007C0963"/>
    <w:rsid w:val="007C1E99"/>
    <w:rsid w:val="007C22E4"/>
    <w:rsid w:val="007C2317"/>
    <w:rsid w:val="007C26D7"/>
    <w:rsid w:val="007C2C49"/>
    <w:rsid w:val="007C2D58"/>
    <w:rsid w:val="007C307D"/>
    <w:rsid w:val="007C3605"/>
    <w:rsid w:val="007C39FA"/>
    <w:rsid w:val="007C3CCB"/>
    <w:rsid w:val="007C4BE9"/>
    <w:rsid w:val="007C4CB0"/>
    <w:rsid w:val="007C4FE8"/>
    <w:rsid w:val="007C5C49"/>
    <w:rsid w:val="007C6177"/>
    <w:rsid w:val="007C6ED0"/>
    <w:rsid w:val="007C70C8"/>
    <w:rsid w:val="007C7A46"/>
    <w:rsid w:val="007C7F14"/>
    <w:rsid w:val="007C7FEE"/>
    <w:rsid w:val="007D0313"/>
    <w:rsid w:val="007D12B5"/>
    <w:rsid w:val="007D330A"/>
    <w:rsid w:val="007D3C81"/>
    <w:rsid w:val="007D6427"/>
    <w:rsid w:val="007D6A35"/>
    <w:rsid w:val="007D6A41"/>
    <w:rsid w:val="007D7241"/>
    <w:rsid w:val="007D7621"/>
    <w:rsid w:val="007D76D5"/>
    <w:rsid w:val="007E1227"/>
    <w:rsid w:val="007E24F8"/>
    <w:rsid w:val="007E2697"/>
    <w:rsid w:val="007E282E"/>
    <w:rsid w:val="007E2AF6"/>
    <w:rsid w:val="007E34ED"/>
    <w:rsid w:val="007E4961"/>
    <w:rsid w:val="007E5FE1"/>
    <w:rsid w:val="007E6039"/>
    <w:rsid w:val="007E6293"/>
    <w:rsid w:val="007E62DB"/>
    <w:rsid w:val="007E667F"/>
    <w:rsid w:val="007E6BED"/>
    <w:rsid w:val="007E6F25"/>
    <w:rsid w:val="007E7957"/>
    <w:rsid w:val="007E7F29"/>
    <w:rsid w:val="007F0644"/>
    <w:rsid w:val="007F1DC6"/>
    <w:rsid w:val="007F24E8"/>
    <w:rsid w:val="007F2FB3"/>
    <w:rsid w:val="007F3F81"/>
    <w:rsid w:val="007F45EF"/>
    <w:rsid w:val="007F4843"/>
    <w:rsid w:val="007F4DA2"/>
    <w:rsid w:val="007F5D8B"/>
    <w:rsid w:val="007F5ED1"/>
    <w:rsid w:val="007F6B18"/>
    <w:rsid w:val="007F708D"/>
    <w:rsid w:val="007F76B5"/>
    <w:rsid w:val="00800B02"/>
    <w:rsid w:val="00800FC4"/>
    <w:rsid w:val="0080143B"/>
    <w:rsid w:val="00802F65"/>
    <w:rsid w:val="00803CD8"/>
    <w:rsid w:val="00803D4D"/>
    <w:rsid w:val="00804C47"/>
    <w:rsid w:val="008051CB"/>
    <w:rsid w:val="0080570E"/>
    <w:rsid w:val="00805AB2"/>
    <w:rsid w:val="00805C95"/>
    <w:rsid w:val="008060C5"/>
    <w:rsid w:val="0080619B"/>
    <w:rsid w:val="00806455"/>
    <w:rsid w:val="00806510"/>
    <w:rsid w:val="00806568"/>
    <w:rsid w:val="00807682"/>
    <w:rsid w:val="00807C44"/>
    <w:rsid w:val="00810E22"/>
    <w:rsid w:val="00811882"/>
    <w:rsid w:val="00811D75"/>
    <w:rsid w:val="008122A1"/>
    <w:rsid w:val="008129F0"/>
    <w:rsid w:val="00812C1F"/>
    <w:rsid w:val="0081300A"/>
    <w:rsid w:val="00813473"/>
    <w:rsid w:val="00813C07"/>
    <w:rsid w:val="00814CD9"/>
    <w:rsid w:val="0081515E"/>
    <w:rsid w:val="00815334"/>
    <w:rsid w:val="008158D9"/>
    <w:rsid w:val="00815F5A"/>
    <w:rsid w:val="00816118"/>
    <w:rsid w:val="00816B43"/>
    <w:rsid w:val="00816D7A"/>
    <w:rsid w:val="00820EBA"/>
    <w:rsid w:val="008217F2"/>
    <w:rsid w:val="00822A2D"/>
    <w:rsid w:val="00822D22"/>
    <w:rsid w:val="008235F4"/>
    <w:rsid w:val="008237AE"/>
    <w:rsid w:val="00823A55"/>
    <w:rsid w:val="00823D82"/>
    <w:rsid w:val="00823F7A"/>
    <w:rsid w:val="00824084"/>
    <w:rsid w:val="0082497A"/>
    <w:rsid w:val="00825077"/>
    <w:rsid w:val="0082565C"/>
    <w:rsid w:val="00825700"/>
    <w:rsid w:val="0083037C"/>
    <w:rsid w:val="00830381"/>
    <w:rsid w:val="00830644"/>
    <w:rsid w:val="00830849"/>
    <w:rsid w:val="00830D93"/>
    <w:rsid w:val="00831A25"/>
    <w:rsid w:val="00831A55"/>
    <w:rsid w:val="008321C6"/>
    <w:rsid w:val="0083240C"/>
    <w:rsid w:val="008337D6"/>
    <w:rsid w:val="00833ADB"/>
    <w:rsid w:val="00833BF9"/>
    <w:rsid w:val="00834666"/>
    <w:rsid w:val="008347A2"/>
    <w:rsid w:val="008347CE"/>
    <w:rsid w:val="00834C0B"/>
    <w:rsid w:val="00834E7C"/>
    <w:rsid w:val="0083535C"/>
    <w:rsid w:val="0083658F"/>
    <w:rsid w:val="00836789"/>
    <w:rsid w:val="00836D17"/>
    <w:rsid w:val="00837CAC"/>
    <w:rsid w:val="00837EEA"/>
    <w:rsid w:val="00840CD1"/>
    <w:rsid w:val="00841A72"/>
    <w:rsid w:val="008429AD"/>
    <w:rsid w:val="00842DBE"/>
    <w:rsid w:val="00843459"/>
    <w:rsid w:val="0084397E"/>
    <w:rsid w:val="00843C9A"/>
    <w:rsid w:val="00844449"/>
    <w:rsid w:val="00844A35"/>
    <w:rsid w:val="00845A2E"/>
    <w:rsid w:val="00845A88"/>
    <w:rsid w:val="00845C84"/>
    <w:rsid w:val="0084657D"/>
    <w:rsid w:val="008469BA"/>
    <w:rsid w:val="00846E98"/>
    <w:rsid w:val="0084791B"/>
    <w:rsid w:val="008502F2"/>
    <w:rsid w:val="00850327"/>
    <w:rsid w:val="0085055A"/>
    <w:rsid w:val="00851254"/>
    <w:rsid w:val="00851CF0"/>
    <w:rsid w:val="00852221"/>
    <w:rsid w:val="008524CF"/>
    <w:rsid w:val="00852940"/>
    <w:rsid w:val="00852B98"/>
    <w:rsid w:val="0085484E"/>
    <w:rsid w:val="0085491C"/>
    <w:rsid w:val="00854964"/>
    <w:rsid w:val="00854B3A"/>
    <w:rsid w:val="00855570"/>
    <w:rsid w:val="00855C79"/>
    <w:rsid w:val="00856536"/>
    <w:rsid w:val="00856968"/>
    <w:rsid w:val="00856D5C"/>
    <w:rsid w:val="00857287"/>
    <w:rsid w:val="00857781"/>
    <w:rsid w:val="00857A1C"/>
    <w:rsid w:val="00857ED1"/>
    <w:rsid w:val="00857F05"/>
    <w:rsid w:val="008600C6"/>
    <w:rsid w:val="0086084F"/>
    <w:rsid w:val="00860FF2"/>
    <w:rsid w:val="008614F9"/>
    <w:rsid w:val="00862E2C"/>
    <w:rsid w:val="0086350D"/>
    <w:rsid w:val="008641F8"/>
    <w:rsid w:val="00864ACE"/>
    <w:rsid w:val="00864AFE"/>
    <w:rsid w:val="00864B6E"/>
    <w:rsid w:val="00864C27"/>
    <w:rsid w:val="00865FAA"/>
    <w:rsid w:val="00866453"/>
    <w:rsid w:val="008669DE"/>
    <w:rsid w:val="00866AE6"/>
    <w:rsid w:val="00866BBD"/>
    <w:rsid w:val="00870B29"/>
    <w:rsid w:val="00871FE0"/>
    <w:rsid w:val="00872B7A"/>
    <w:rsid w:val="00872F3E"/>
    <w:rsid w:val="00873A21"/>
    <w:rsid w:val="00873B75"/>
    <w:rsid w:val="00873CD1"/>
    <w:rsid w:val="00873F5A"/>
    <w:rsid w:val="00874389"/>
    <w:rsid w:val="008750A8"/>
    <w:rsid w:val="00875FCB"/>
    <w:rsid w:val="00876E9D"/>
    <w:rsid w:val="008776D9"/>
    <w:rsid w:val="00877A3A"/>
    <w:rsid w:val="00877F8E"/>
    <w:rsid w:val="008804AC"/>
    <w:rsid w:val="00880679"/>
    <w:rsid w:val="00881523"/>
    <w:rsid w:val="00881D96"/>
    <w:rsid w:val="00882806"/>
    <w:rsid w:val="008828BE"/>
    <w:rsid w:val="00883098"/>
    <w:rsid w:val="008834EE"/>
    <w:rsid w:val="00883945"/>
    <w:rsid w:val="00883AA3"/>
    <w:rsid w:val="00883DC9"/>
    <w:rsid w:val="0088406B"/>
    <w:rsid w:val="00884D1E"/>
    <w:rsid w:val="00884E11"/>
    <w:rsid w:val="008854F9"/>
    <w:rsid w:val="00885EBF"/>
    <w:rsid w:val="008879E1"/>
    <w:rsid w:val="00887A41"/>
    <w:rsid w:val="00887C06"/>
    <w:rsid w:val="00887F22"/>
    <w:rsid w:val="0089002D"/>
    <w:rsid w:val="00891219"/>
    <w:rsid w:val="00891E63"/>
    <w:rsid w:val="0089241C"/>
    <w:rsid w:val="008924A5"/>
    <w:rsid w:val="00892576"/>
    <w:rsid w:val="0089390F"/>
    <w:rsid w:val="00894B4D"/>
    <w:rsid w:val="008951FA"/>
    <w:rsid w:val="00895241"/>
    <w:rsid w:val="00895D2F"/>
    <w:rsid w:val="00896300"/>
    <w:rsid w:val="00896536"/>
    <w:rsid w:val="008A031C"/>
    <w:rsid w:val="008A06D3"/>
    <w:rsid w:val="008A0766"/>
    <w:rsid w:val="008A0D8A"/>
    <w:rsid w:val="008A1142"/>
    <w:rsid w:val="008A1C2D"/>
    <w:rsid w:val="008A28C8"/>
    <w:rsid w:val="008A29E0"/>
    <w:rsid w:val="008A2D99"/>
    <w:rsid w:val="008A31C8"/>
    <w:rsid w:val="008A32B5"/>
    <w:rsid w:val="008A3A1A"/>
    <w:rsid w:val="008A3F1A"/>
    <w:rsid w:val="008A56DB"/>
    <w:rsid w:val="008A6775"/>
    <w:rsid w:val="008A6AFD"/>
    <w:rsid w:val="008A6CA0"/>
    <w:rsid w:val="008A7791"/>
    <w:rsid w:val="008A789E"/>
    <w:rsid w:val="008A7EF2"/>
    <w:rsid w:val="008B04E5"/>
    <w:rsid w:val="008B11B7"/>
    <w:rsid w:val="008B15A4"/>
    <w:rsid w:val="008B1D05"/>
    <w:rsid w:val="008B21D9"/>
    <w:rsid w:val="008B2792"/>
    <w:rsid w:val="008B288E"/>
    <w:rsid w:val="008B4E98"/>
    <w:rsid w:val="008B52C2"/>
    <w:rsid w:val="008B593D"/>
    <w:rsid w:val="008B5B32"/>
    <w:rsid w:val="008B5C03"/>
    <w:rsid w:val="008B614D"/>
    <w:rsid w:val="008B63EF"/>
    <w:rsid w:val="008B718E"/>
    <w:rsid w:val="008B7261"/>
    <w:rsid w:val="008B74C2"/>
    <w:rsid w:val="008C05B9"/>
    <w:rsid w:val="008C06E0"/>
    <w:rsid w:val="008C0CA9"/>
    <w:rsid w:val="008C0D9B"/>
    <w:rsid w:val="008C0F1C"/>
    <w:rsid w:val="008C1044"/>
    <w:rsid w:val="008C190C"/>
    <w:rsid w:val="008C2D96"/>
    <w:rsid w:val="008C3767"/>
    <w:rsid w:val="008C4631"/>
    <w:rsid w:val="008C48C4"/>
    <w:rsid w:val="008C4A2A"/>
    <w:rsid w:val="008C4AB8"/>
    <w:rsid w:val="008C4ADA"/>
    <w:rsid w:val="008C52CB"/>
    <w:rsid w:val="008C5B1C"/>
    <w:rsid w:val="008C69DD"/>
    <w:rsid w:val="008C74D2"/>
    <w:rsid w:val="008C7DA9"/>
    <w:rsid w:val="008D07E8"/>
    <w:rsid w:val="008D081E"/>
    <w:rsid w:val="008D083B"/>
    <w:rsid w:val="008D0971"/>
    <w:rsid w:val="008D11D1"/>
    <w:rsid w:val="008D1DBD"/>
    <w:rsid w:val="008D224E"/>
    <w:rsid w:val="008D3099"/>
    <w:rsid w:val="008D35E9"/>
    <w:rsid w:val="008D3E61"/>
    <w:rsid w:val="008D46D8"/>
    <w:rsid w:val="008D484B"/>
    <w:rsid w:val="008D55B3"/>
    <w:rsid w:val="008D5E0D"/>
    <w:rsid w:val="008D66D5"/>
    <w:rsid w:val="008D76AC"/>
    <w:rsid w:val="008E0D0A"/>
    <w:rsid w:val="008E35DA"/>
    <w:rsid w:val="008E4446"/>
    <w:rsid w:val="008E4453"/>
    <w:rsid w:val="008E4C55"/>
    <w:rsid w:val="008E4F15"/>
    <w:rsid w:val="008E50A5"/>
    <w:rsid w:val="008E6420"/>
    <w:rsid w:val="008E6D48"/>
    <w:rsid w:val="008E7D96"/>
    <w:rsid w:val="008F074A"/>
    <w:rsid w:val="008F1D22"/>
    <w:rsid w:val="008F2300"/>
    <w:rsid w:val="008F2848"/>
    <w:rsid w:val="008F45C7"/>
    <w:rsid w:val="008F49F2"/>
    <w:rsid w:val="008F61B7"/>
    <w:rsid w:val="008F65DC"/>
    <w:rsid w:val="008F6868"/>
    <w:rsid w:val="008F6B9F"/>
    <w:rsid w:val="008F7172"/>
    <w:rsid w:val="008F7631"/>
    <w:rsid w:val="008F7B37"/>
    <w:rsid w:val="00900021"/>
    <w:rsid w:val="00901027"/>
    <w:rsid w:val="0090121B"/>
    <w:rsid w:val="00901632"/>
    <w:rsid w:val="00901BC6"/>
    <w:rsid w:val="00901E6C"/>
    <w:rsid w:val="00904463"/>
    <w:rsid w:val="00906EEB"/>
    <w:rsid w:val="00907A31"/>
    <w:rsid w:val="00907EBB"/>
    <w:rsid w:val="00910644"/>
    <w:rsid w:val="00910B7E"/>
    <w:rsid w:val="00911C45"/>
    <w:rsid w:val="00911E0A"/>
    <w:rsid w:val="00911FBD"/>
    <w:rsid w:val="0091254D"/>
    <w:rsid w:val="009126E4"/>
    <w:rsid w:val="00912CE6"/>
    <w:rsid w:val="00912E43"/>
    <w:rsid w:val="009144C9"/>
    <w:rsid w:val="00914719"/>
    <w:rsid w:val="009152EB"/>
    <w:rsid w:val="009159FD"/>
    <w:rsid w:val="0091609C"/>
    <w:rsid w:val="00916196"/>
    <w:rsid w:val="00916397"/>
    <w:rsid w:val="009166E8"/>
    <w:rsid w:val="00917255"/>
    <w:rsid w:val="0091735B"/>
    <w:rsid w:val="0091743C"/>
    <w:rsid w:val="00917462"/>
    <w:rsid w:val="00917A83"/>
    <w:rsid w:val="00917E18"/>
    <w:rsid w:val="00920148"/>
    <w:rsid w:val="009202FA"/>
    <w:rsid w:val="0092049F"/>
    <w:rsid w:val="009210E8"/>
    <w:rsid w:val="009216C0"/>
    <w:rsid w:val="00921FE7"/>
    <w:rsid w:val="00922389"/>
    <w:rsid w:val="00922C58"/>
    <w:rsid w:val="00922EC9"/>
    <w:rsid w:val="00922FF9"/>
    <w:rsid w:val="00923CB1"/>
    <w:rsid w:val="00923CB6"/>
    <w:rsid w:val="0092440B"/>
    <w:rsid w:val="00925A27"/>
    <w:rsid w:val="00925ED0"/>
    <w:rsid w:val="009266C2"/>
    <w:rsid w:val="009301AD"/>
    <w:rsid w:val="009301DD"/>
    <w:rsid w:val="009310E9"/>
    <w:rsid w:val="00931869"/>
    <w:rsid w:val="00931A2A"/>
    <w:rsid w:val="00932229"/>
    <w:rsid w:val="00932852"/>
    <w:rsid w:val="009333E2"/>
    <w:rsid w:val="00933415"/>
    <w:rsid w:val="0093408C"/>
    <w:rsid w:val="009346EC"/>
    <w:rsid w:val="0093514D"/>
    <w:rsid w:val="00935E24"/>
    <w:rsid w:val="00936027"/>
    <w:rsid w:val="00936BC1"/>
    <w:rsid w:val="00936C68"/>
    <w:rsid w:val="00937B02"/>
    <w:rsid w:val="00937C07"/>
    <w:rsid w:val="0094091F"/>
    <w:rsid w:val="00942189"/>
    <w:rsid w:val="00942A8B"/>
    <w:rsid w:val="00942B20"/>
    <w:rsid w:val="0094374F"/>
    <w:rsid w:val="0094438F"/>
    <w:rsid w:val="0094443E"/>
    <w:rsid w:val="00944D4B"/>
    <w:rsid w:val="009453C8"/>
    <w:rsid w:val="00945920"/>
    <w:rsid w:val="00945AA7"/>
    <w:rsid w:val="00945DD2"/>
    <w:rsid w:val="009467C5"/>
    <w:rsid w:val="009476F6"/>
    <w:rsid w:val="009477CD"/>
    <w:rsid w:val="00952068"/>
    <w:rsid w:val="00953118"/>
    <w:rsid w:val="00953243"/>
    <w:rsid w:val="00954316"/>
    <w:rsid w:val="00954658"/>
    <w:rsid w:val="00954A65"/>
    <w:rsid w:val="009551CF"/>
    <w:rsid w:val="00956DC6"/>
    <w:rsid w:val="009574ED"/>
    <w:rsid w:val="00957581"/>
    <w:rsid w:val="00957766"/>
    <w:rsid w:val="00957A99"/>
    <w:rsid w:val="00957DC1"/>
    <w:rsid w:val="00960529"/>
    <w:rsid w:val="00960A8F"/>
    <w:rsid w:val="009611C8"/>
    <w:rsid w:val="00961AEE"/>
    <w:rsid w:val="00962C8D"/>
    <w:rsid w:val="00962EFA"/>
    <w:rsid w:val="009638E5"/>
    <w:rsid w:val="00964446"/>
    <w:rsid w:val="0096477D"/>
    <w:rsid w:val="009657DF"/>
    <w:rsid w:val="00965A40"/>
    <w:rsid w:val="00965ACA"/>
    <w:rsid w:val="00965C70"/>
    <w:rsid w:val="00965D16"/>
    <w:rsid w:val="00967051"/>
    <w:rsid w:val="00967634"/>
    <w:rsid w:val="009701F4"/>
    <w:rsid w:val="009706AB"/>
    <w:rsid w:val="009707F8"/>
    <w:rsid w:val="009709D5"/>
    <w:rsid w:val="009710C4"/>
    <w:rsid w:val="009712BF"/>
    <w:rsid w:val="009715A7"/>
    <w:rsid w:val="009715E2"/>
    <w:rsid w:val="00971738"/>
    <w:rsid w:val="00972346"/>
    <w:rsid w:val="009734D0"/>
    <w:rsid w:val="009736A1"/>
    <w:rsid w:val="00973723"/>
    <w:rsid w:val="00973754"/>
    <w:rsid w:val="00973BAA"/>
    <w:rsid w:val="00973F98"/>
    <w:rsid w:val="00974697"/>
    <w:rsid w:val="0097493A"/>
    <w:rsid w:val="00974D38"/>
    <w:rsid w:val="00974F3B"/>
    <w:rsid w:val="009750CE"/>
    <w:rsid w:val="009751FE"/>
    <w:rsid w:val="00975A97"/>
    <w:rsid w:val="009763A8"/>
    <w:rsid w:val="009764A3"/>
    <w:rsid w:val="0097673E"/>
    <w:rsid w:val="009769FA"/>
    <w:rsid w:val="00976D13"/>
    <w:rsid w:val="00976F78"/>
    <w:rsid w:val="00977894"/>
    <w:rsid w:val="00977E0D"/>
    <w:rsid w:val="0098157A"/>
    <w:rsid w:val="009815DA"/>
    <w:rsid w:val="00981644"/>
    <w:rsid w:val="0098181B"/>
    <w:rsid w:val="00981BCD"/>
    <w:rsid w:val="00981BE1"/>
    <w:rsid w:val="0098226C"/>
    <w:rsid w:val="00982FED"/>
    <w:rsid w:val="00983130"/>
    <w:rsid w:val="00983190"/>
    <w:rsid w:val="00984F92"/>
    <w:rsid w:val="00985405"/>
    <w:rsid w:val="009856D4"/>
    <w:rsid w:val="009858DA"/>
    <w:rsid w:val="00985BC8"/>
    <w:rsid w:val="00985D56"/>
    <w:rsid w:val="00985D75"/>
    <w:rsid w:val="0098624B"/>
    <w:rsid w:val="00986C20"/>
    <w:rsid w:val="00987693"/>
    <w:rsid w:val="00987862"/>
    <w:rsid w:val="00990071"/>
    <w:rsid w:val="00990278"/>
    <w:rsid w:val="00990A51"/>
    <w:rsid w:val="00990CCE"/>
    <w:rsid w:val="00990D17"/>
    <w:rsid w:val="00991B5A"/>
    <w:rsid w:val="009920C6"/>
    <w:rsid w:val="00992A01"/>
    <w:rsid w:val="00992AAA"/>
    <w:rsid w:val="00992B3A"/>
    <w:rsid w:val="00992BD8"/>
    <w:rsid w:val="00992C11"/>
    <w:rsid w:val="00993002"/>
    <w:rsid w:val="009931BC"/>
    <w:rsid w:val="009936D8"/>
    <w:rsid w:val="00993793"/>
    <w:rsid w:val="00993B9A"/>
    <w:rsid w:val="00993E3C"/>
    <w:rsid w:val="0099400B"/>
    <w:rsid w:val="00994603"/>
    <w:rsid w:val="00994E82"/>
    <w:rsid w:val="00995821"/>
    <w:rsid w:val="00995CEC"/>
    <w:rsid w:val="00995D1D"/>
    <w:rsid w:val="009964AC"/>
    <w:rsid w:val="00996B6C"/>
    <w:rsid w:val="00996D76"/>
    <w:rsid w:val="00996D82"/>
    <w:rsid w:val="009972C3"/>
    <w:rsid w:val="0099760D"/>
    <w:rsid w:val="009A137D"/>
    <w:rsid w:val="009A13E0"/>
    <w:rsid w:val="009A1F22"/>
    <w:rsid w:val="009A2742"/>
    <w:rsid w:val="009A2A36"/>
    <w:rsid w:val="009A3086"/>
    <w:rsid w:val="009A3145"/>
    <w:rsid w:val="009A33FC"/>
    <w:rsid w:val="009A3EE1"/>
    <w:rsid w:val="009A4942"/>
    <w:rsid w:val="009A5A42"/>
    <w:rsid w:val="009A628E"/>
    <w:rsid w:val="009B0743"/>
    <w:rsid w:val="009B08EE"/>
    <w:rsid w:val="009B0C5B"/>
    <w:rsid w:val="009B213D"/>
    <w:rsid w:val="009B24E0"/>
    <w:rsid w:val="009B27E1"/>
    <w:rsid w:val="009B299C"/>
    <w:rsid w:val="009B32EB"/>
    <w:rsid w:val="009B6986"/>
    <w:rsid w:val="009B780C"/>
    <w:rsid w:val="009B787E"/>
    <w:rsid w:val="009C0BED"/>
    <w:rsid w:val="009C145C"/>
    <w:rsid w:val="009C187F"/>
    <w:rsid w:val="009C30EC"/>
    <w:rsid w:val="009C3F63"/>
    <w:rsid w:val="009C498F"/>
    <w:rsid w:val="009C58B2"/>
    <w:rsid w:val="009C5E17"/>
    <w:rsid w:val="009C61EA"/>
    <w:rsid w:val="009C644E"/>
    <w:rsid w:val="009C7C93"/>
    <w:rsid w:val="009C7DAD"/>
    <w:rsid w:val="009C7E2A"/>
    <w:rsid w:val="009C7E5E"/>
    <w:rsid w:val="009D12A5"/>
    <w:rsid w:val="009D1688"/>
    <w:rsid w:val="009D2F7C"/>
    <w:rsid w:val="009D3B26"/>
    <w:rsid w:val="009D3F5B"/>
    <w:rsid w:val="009D4107"/>
    <w:rsid w:val="009D4B8D"/>
    <w:rsid w:val="009D4ECE"/>
    <w:rsid w:val="009D5270"/>
    <w:rsid w:val="009D57A9"/>
    <w:rsid w:val="009D5F4A"/>
    <w:rsid w:val="009D6932"/>
    <w:rsid w:val="009D7E88"/>
    <w:rsid w:val="009E0126"/>
    <w:rsid w:val="009E02C1"/>
    <w:rsid w:val="009E0529"/>
    <w:rsid w:val="009E11EC"/>
    <w:rsid w:val="009E173C"/>
    <w:rsid w:val="009E1BE2"/>
    <w:rsid w:val="009E1BF3"/>
    <w:rsid w:val="009E25FC"/>
    <w:rsid w:val="009E2877"/>
    <w:rsid w:val="009E320C"/>
    <w:rsid w:val="009E397D"/>
    <w:rsid w:val="009E5C4B"/>
    <w:rsid w:val="009E5D8D"/>
    <w:rsid w:val="009E64AE"/>
    <w:rsid w:val="009F062B"/>
    <w:rsid w:val="009F0F77"/>
    <w:rsid w:val="009F15C5"/>
    <w:rsid w:val="009F3880"/>
    <w:rsid w:val="009F3973"/>
    <w:rsid w:val="009F3DF7"/>
    <w:rsid w:val="009F4424"/>
    <w:rsid w:val="009F446D"/>
    <w:rsid w:val="009F4498"/>
    <w:rsid w:val="009F5D5A"/>
    <w:rsid w:val="009F6A67"/>
    <w:rsid w:val="009F7066"/>
    <w:rsid w:val="009F772D"/>
    <w:rsid w:val="009F7BE0"/>
    <w:rsid w:val="009F7D03"/>
    <w:rsid w:val="00A00050"/>
    <w:rsid w:val="00A00144"/>
    <w:rsid w:val="00A00986"/>
    <w:rsid w:val="00A022C2"/>
    <w:rsid w:val="00A07D19"/>
    <w:rsid w:val="00A07E28"/>
    <w:rsid w:val="00A102C0"/>
    <w:rsid w:val="00A10672"/>
    <w:rsid w:val="00A10AAF"/>
    <w:rsid w:val="00A118AA"/>
    <w:rsid w:val="00A118DB"/>
    <w:rsid w:val="00A11D5B"/>
    <w:rsid w:val="00A12860"/>
    <w:rsid w:val="00A130A6"/>
    <w:rsid w:val="00A1331F"/>
    <w:rsid w:val="00A13E57"/>
    <w:rsid w:val="00A145DB"/>
    <w:rsid w:val="00A148B7"/>
    <w:rsid w:val="00A14A4E"/>
    <w:rsid w:val="00A15A5D"/>
    <w:rsid w:val="00A167FF"/>
    <w:rsid w:val="00A171F6"/>
    <w:rsid w:val="00A20293"/>
    <w:rsid w:val="00A21406"/>
    <w:rsid w:val="00A21816"/>
    <w:rsid w:val="00A21D48"/>
    <w:rsid w:val="00A22D66"/>
    <w:rsid w:val="00A234FA"/>
    <w:rsid w:val="00A237CB"/>
    <w:rsid w:val="00A237CE"/>
    <w:rsid w:val="00A23C87"/>
    <w:rsid w:val="00A23DAF"/>
    <w:rsid w:val="00A23DF8"/>
    <w:rsid w:val="00A23E5C"/>
    <w:rsid w:val="00A2488B"/>
    <w:rsid w:val="00A24AC0"/>
    <w:rsid w:val="00A24D15"/>
    <w:rsid w:val="00A24F1D"/>
    <w:rsid w:val="00A2517B"/>
    <w:rsid w:val="00A26938"/>
    <w:rsid w:val="00A26CC7"/>
    <w:rsid w:val="00A26D40"/>
    <w:rsid w:val="00A26D82"/>
    <w:rsid w:val="00A27053"/>
    <w:rsid w:val="00A274AA"/>
    <w:rsid w:val="00A278EC"/>
    <w:rsid w:val="00A30D1D"/>
    <w:rsid w:val="00A30D5B"/>
    <w:rsid w:val="00A31230"/>
    <w:rsid w:val="00A3423A"/>
    <w:rsid w:val="00A343B5"/>
    <w:rsid w:val="00A35DBE"/>
    <w:rsid w:val="00A36341"/>
    <w:rsid w:val="00A36520"/>
    <w:rsid w:val="00A366E9"/>
    <w:rsid w:val="00A366FE"/>
    <w:rsid w:val="00A37545"/>
    <w:rsid w:val="00A37905"/>
    <w:rsid w:val="00A37926"/>
    <w:rsid w:val="00A40059"/>
    <w:rsid w:val="00A401D0"/>
    <w:rsid w:val="00A4045A"/>
    <w:rsid w:val="00A40D92"/>
    <w:rsid w:val="00A4122E"/>
    <w:rsid w:val="00A4140E"/>
    <w:rsid w:val="00A4183F"/>
    <w:rsid w:val="00A418A7"/>
    <w:rsid w:val="00A41AED"/>
    <w:rsid w:val="00A41EC5"/>
    <w:rsid w:val="00A42052"/>
    <w:rsid w:val="00A42352"/>
    <w:rsid w:val="00A42A76"/>
    <w:rsid w:val="00A4367D"/>
    <w:rsid w:val="00A4404E"/>
    <w:rsid w:val="00A4434A"/>
    <w:rsid w:val="00A443C3"/>
    <w:rsid w:val="00A444B5"/>
    <w:rsid w:val="00A4450C"/>
    <w:rsid w:val="00A44C06"/>
    <w:rsid w:val="00A4523D"/>
    <w:rsid w:val="00A45526"/>
    <w:rsid w:val="00A463D7"/>
    <w:rsid w:val="00A465F5"/>
    <w:rsid w:val="00A46C64"/>
    <w:rsid w:val="00A47013"/>
    <w:rsid w:val="00A4704B"/>
    <w:rsid w:val="00A47192"/>
    <w:rsid w:val="00A473BC"/>
    <w:rsid w:val="00A47CBD"/>
    <w:rsid w:val="00A47DD3"/>
    <w:rsid w:val="00A47FCC"/>
    <w:rsid w:val="00A50995"/>
    <w:rsid w:val="00A50F11"/>
    <w:rsid w:val="00A51140"/>
    <w:rsid w:val="00A511EE"/>
    <w:rsid w:val="00A516DF"/>
    <w:rsid w:val="00A518A6"/>
    <w:rsid w:val="00A51989"/>
    <w:rsid w:val="00A51AD2"/>
    <w:rsid w:val="00A52756"/>
    <w:rsid w:val="00A52E49"/>
    <w:rsid w:val="00A53251"/>
    <w:rsid w:val="00A53CC5"/>
    <w:rsid w:val="00A548FD"/>
    <w:rsid w:val="00A55072"/>
    <w:rsid w:val="00A561B1"/>
    <w:rsid w:val="00A565FC"/>
    <w:rsid w:val="00A5662D"/>
    <w:rsid w:val="00A5684A"/>
    <w:rsid w:val="00A56A69"/>
    <w:rsid w:val="00A57BF8"/>
    <w:rsid w:val="00A6015A"/>
    <w:rsid w:val="00A60AE9"/>
    <w:rsid w:val="00A615F3"/>
    <w:rsid w:val="00A62957"/>
    <w:rsid w:val="00A62DC2"/>
    <w:rsid w:val="00A63001"/>
    <w:rsid w:val="00A6388A"/>
    <w:rsid w:val="00A63901"/>
    <w:rsid w:val="00A63C54"/>
    <w:rsid w:val="00A64356"/>
    <w:rsid w:val="00A6439E"/>
    <w:rsid w:val="00A64720"/>
    <w:rsid w:val="00A64E7F"/>
    <w:rsid w:val="00A64FBE"/>
    <w:rsid w:val="00A655DC"/>
    <w:rsid w:val="00A66746"/>
    <w:rsid w:val="00A6698D"/>
    <w:rsid w:val="00A71588"/>
    <w:rsid w:val="00A717A5"/>
    <w:rsid w:val="00A7257B"/>
    <w:rsid w:val="00A734BF"/>
    <w:rsid w:val="00A737AD"/>
    <w:rsid w:val="00A73F69"/>
    <w:rsid w:val="00A74BE9"/>
    <w:rsid w:val="00A76053"/>
    <w:rsid w:val="00A761BD"/>
    <w:rsid w:val="00A76EB2"/>
    <w:rsid w:val="00A77DC9"/>
    <w:rsid w:val="00A77DF8"/>
    <w:rsid w:val="00A80717"/>
    <w:rsid w:val="00A8158F"/>
    <w:rsid w:val="00A82946"/>
    <w:rsid w:val="00A82A7E"/>
    <w:rsid w:val="00A82F4B"/>
    <w:rsid w:val="00A82F5E"/>
    <w:rsid w:val="00A837B0"/>
    <w:rsid w:val="00A8389F"/>
    <w:rsid w:val="00A842E4"/>
    <w:rsid w:val="00A8492B"/>
    <w:rsid w:val="00A85411"/>
    <w:rsid w:val="00A85449"/>
    <w:rsid w:val="00A86131"/>
    <w:rsid w:val="00A8636A"/>
    <w:rsid w:val="00A86474"/>
    <w:rsid w:val="00A86A9A"/>
    <w:rsid w:val="00A878AE"/>
    <w:rsid w:val="00A87CAD"/>
    <w:rsid w:val="00A90097"/>
    <w:rsid w:val="00A906EA"/>
    <w:rsid w:val="00A9070D"/>
    <w:rsid w:val="00A90CF1"/>
    <w:rsid w:val="00A9145C"/>
    <w:rsid w:val="00A9266E"/>
    <w:rsid w:val="00A932A9"/>
    <w:rsid w:val="00A9485D"/>
    <w:rsid w:val="00A9697B"/>
    <w:rsid w:val="00A96D64"/>
    <w:rsid w:val="00A96D7D"/>
    <w:rsid w:val="00AA0543"/>
    <w:rsid w:val="00AA0CF2"/>
    <w:rsid w:val="00AA2BAE"/>
    <w:rsid w:val="00AA36DF"/>
    <w:rsid w:val="00AA3D2F"/>
    <w:rsid w:val="00AA3D70"/>
    <w:rsid w:val="00AA47C1"/>
    <w:rsid w:val="00AA4B49"/>
    <w:rsid w:val="00AA5E6C"/>
    <w:rsid w:val="00AA63A6"/>
    <w:rsid w:val="00AA70AA"/>
    <w:rsid w:val="00AA72C5"/>
    <w:rsid w:val="00AA7644"/>
    <w:rsid w:val="00AA7AF3"/>
    <w:rsid w:val="00AB0FD9"/>
    <w:rsid w:val="00AB1116"/>
    <w:rsid w:val="00AB2467"/>
    <w:rsid w:val="00AB399E"/>
    <w:rsid w:val="00AB3A33"/>
    <w:rsid w:val="00AB40CD"/>
    <w:rsid w:val="00AB45B3"/>
    <w:rsid w:val="00AB4E90"/>
    <w:rsid w:val="00AB5361"/>
    <w:rsid w:val="00AB5ED1"/>
    <w:rsid w:val="00AB645B"/>
    <w:rsid w:val="00AC00FF"/>
    <w:rsid w:val="00AC06E4"/>
    <w:rsid w:val="00AC0DCB"/>
    <w:rsid w:val="00AC13FE"/>
    <w:rsid w:val="00AC1D94"/>
    <w:rsid w:val="00AC2A64"/>
    <w:rsid w:val="00AC309B"/>
    <w:rsid w:val="00AC3526"/>
    <w:rsid w:val="00AC353C"/>
    <w:rsid w:val="00AC3B4D"/>
    <w:rsid w:val="00AC46E8"/>
    <w:rsid w:val="00AC5EEE"/>
    <w:rsid w:val="00AC6B21"/>
    <w:rsid w:val="00AC6C13"/>
    <w:rsid w:val="00AC70EF"/>
    <w:rsid w:val="00AC798A"/>
    <w:rsid w:val="00AD1A61"/>
    <w:rsid w:val="00AD1B4A"/>
    <w:rsid w:val="00AD1ECD"/>
    <w:rsid w:val="00AD2480"/>
    <w:rsid w:val="00AD26CA"/>
    <w:rsid w:val="00AD354E"/>
    <w:rsid w:val="00AD3837"/>
    <w:rsid w:val="00AD3BFD"/>
    <w:rsid w:val="00AD3F4B"/>
    <w:rsid w:val="00AD4E54"/>
    <w:rsid w:val="00AD51D8"/>
    <w:rsid w:val="00AD5AE9"/>
    <w:rsid w:val="00AD607F"/>
    <w:rsid w:val="00AD6D25"/>
    <w:rsid w:val="00AD77B2"/>
    <w:rsid w:val="00AD7DC6"/>
    <w:rsid w:val="00AE060F"/>
    <w:rsid w:val="00AE0E35"/>
    <w:rsid w:val="00AE1294"/>
    <w:rsid w:val="00AE1B70"/>
    <w:rsid w:val="00AE31DE"/>
    <w:rsid w:val="00AE362E"/>
    <w:rsid w:val="00AE4AC5"/>
    <w:rsid w:val="00AE4F65"/>
    <w:rsid w:val="00AE5677"/>
    <w:rsid w:val="00AE58C6"/>
    <w:rsid w:val="00AE620E"/>
    <w:rsid w:val="00AE658F"/>
    <w:rsid w:val="00AE6A08"/>
    <w:rsid w:val="00AE6D82"/>
    <w:rsid w:val="00AE7B71"/>
    <w:rsid w:val="00AE7CC2"/>
    <w:rsid w:val="00AF04CB"/>
    <w:rsid w:val="00AF0959"/>
    <w:rsid w:val="00AF0EA1"/>
    <w:rsid w:val="00AF10C0"/>
    <w:rsid w:val="00AF1B05"/>
    <w:rsid w:val="00AF1EDC"/>
    <w:rsid w:val="00AF1F7F"/>
    <w:rsid w:val="00AF2880"/>
    <w:rsid w:val="00AF2C29"/>
    <w:rsid w:val="00AF2C31"/>
    <w:rsid w:val="00AF2F78"/>
    <w:rsid w:val="00AF3CC2"/>
    <w:rsid w:val="00AF3CED"/>
    <w:rsid w:val="00AF3F9C"/>
    <w:rsid w:val="00AF4567"/>
    <w:rsid w:val="00AF4D49"/>
    <w:rsid w:val="00AF505A"/>
    <w:rsid w:val="00AF64E0"/>
    <w:rsid w:val="00B017DA"/>
    <w:rsid w:val="00B0236A"/>
    <w:rsid w:val="00B02CAE"/>
    <w:rsid w:val="00B038FB"/>
    <w:rsid w:val="00B038FE"/>
    <w:rsid w:val="00B043FB"/>
    <w:rsid w:val="00B049DE"/>
    <w:rsid w:val="00B04AD8"/>
    <w:rsid w:val="00B051C0"/>
    <w:rsid w:val="00B05E62"/>
    <w:rsid w:val="00B05E65"/>
    <w:rsid w:val="00B061B0"/>
    <w:rsid w:val="00B07178"/>
    <w:rsid w:val="00B07AF7"/>
    <w:rsid w:val="00B07C1D"/>
    <w:rsid w:val="00B07D60"/>
    <w:rsid w:val="00B10017"/>
    <w:rsid w:val="00B10AEE"/>
    <w:rsid w:val="00B10E7E"/>
    <w:rsid w:val="00B12493"/>
    <w:rsid w:val="00B12C0C"/>
    <w:rsid w:val="00B13109"/>
    <w:rsid w:val="00B1360D"/>
    <w:rsid w:val="00B1438E"/>
    <w:rsid w:val="00B14F7A"/>
    <w:rsid w:val="00B15C0D"/>
    <w:rsid w:val="00B17140"/>
    <w:rsid w:val="00B1727C"/>
    <w:rsid w:val="00B173B3"/>
    <w:rsid w:val="00B1792E"/>
    <w:rsid w:val="00B17F92"/>
    <w:rsid w:val="00B20887"/>
    <w:rsid w:val="00B231E2"/>
    <w:rsid w:val="00B23592"/>
    <w:rsid w:val="00B242F0"/>
    <w:rsid w:val="00B24449"/>
    <w:rsid w:val="00B24EC4"/>
    <w:rsid w:val="00B25485"/>
    <w:rsid w:val="00B25716"/>
    <w:rsid w:val="00B257B2"/>
    <w:rsid w:val="00B25D35"/>
    <w:rsid w:val="00B25D47"/>
    <w:rsid w:val="00B26079"/>
    <w:rsid w:val="00B27048"/>
    <w:rsid w:val="00B27078"/>
    <w:rsid w:val="00B2712F"/>
    <w:rsid w:val="00B2742C"/>
    <w:rsid w:val="00B30314"/>
    <w:rsid w:val="00B30918"/>
    <w:rsid w:val="00B31CF4"/>
    <w:rsid w:val="00B32026"/>
    <w:rsid w:val="00B32353"/>
    <w:rsid w:val="00B32B5E"/>
    <w:rsid w:val="00B32E44"/>
    <w:rsid w:val="00B336D2"/>
    <w:rsid w:val="00B34383"/>
    <w:rsid w:val="00B34D0B"/>
    <w:rsid w:val="00B34F53"/>
    <w:rsid w:val="00B3568B"/>
    <w:rsid w:val="00B3575A"/>
    <w:rsid w:val="00B35E07"/>
    <w:rsid w:val="00B3681A"/>
    <w:rsid w:val="00B36A23"/>
    <w:rsid w:val="00B36DB1"/>
    <w:rsid w:val="00B36F8A"/>
    <w:rsid w:val="00B37067"/>
    <w:rsid w:val="00B37352"/>
    <w:rsid w:val="00B37449"/>
    <w:rsid w:val="00B4036A"/>
    <w:rsid w:val="00B40388"/>
    <w:rsid w:val="00B40A40"/>
    <w:rsid w:val="00B40D84"/>
    <w:rsid w:val="00B41843"/>
    <w:rsid w:val="00B42A12"/>
    <w:rsid w:val="00B434CF"/>
    <w:rsid w:val="00B44056"/>
    <w:rsid w:val="00B44E03"/>
    <w:rsid w:val="00B44FDC"/>
    <w:rsid w:val="00B4584F"/>
    <w:rsid w:val="00B45E4A"/>
    <w:rsid w:val="00B462DA"/>
    <w:rsid w:val="00B46AA0"/>
    <w:rsid w:val="00B473D1"/>
    <w:rsid w:val="00B4749F"/>
    <w:rsid w:val="00B47D10"/>
    <w:rsid w:val="00B509CC"/>
    <w:rsid w:val="00B51263"/>
    <w:rsid w:val="00B5264B"/>
    <w:rsid w:val="00B52851"/>
    <w:rsid w:val="00B52D55"/>
    <w:rsid w:val="00B53591"/>
    <w:rsid w:val="00B53B90"/>
    <w:rsid w:val="00B53D99"/>
    <w:rsid w:val="00B53FBC"/>
    <w:rsid w:val="00B54C8D"/>
    <w:rsid w:val="00B560D0"/>
    <w:rsid w:val="00B5797E"/>
    <w:rsid w:val="00B57BF2"/>
    <w:rsid w:val="00B57E43"/>
    <w:rsid w:val="00B57F0F"/>
    <w:rsid w:val="00B6130E"/>
    <w:rsid w:val="00B61807"/>
    <w:rsid w:val="00B61BC3"/>
    <w:rsid w:val="00B62425"/>
    <w:rsid w:val="00B627DD"/>
    <w:rsid w:val="00B62881"/>
    <w:rsid w:val="00B631D0"/>
    <w:rsid w:val="00B64988"/>
    <w:rsid w:val="00B66788"/>
    <w:rsid w:val="00B67C77"/>
    <w:rsid w:val="00B70278"/>
    <w:rsid w:val="00B703A7"/>
    <w:rsid w:val="00B70604"/>
    <w:rsid w:val="00B70FDF"/>
    <w:rsid w:val="00B712F2"/>
    <w:rsid w:val="00B7183A"/>
    <w:rsid w:val="00B724D2"/>
    <w:rsid w:val="00B7321D"/>
    <w:rsid w:val="00B73300"/>
    <w:rsid w:val="00B73CB3"/>
    <w:rsid w:val="00B73FED"/>
    <w:rsid w:val="00B74091"/>
    <w:rsid w:val="00B741FE"/>
    <w:rsid w:val="00B74422"/>
    <w:rsid w:val="00B74A82"/>
    <w:rsid w:val="00B74B8D"/>
    <w:rsid w:val="00B75455"/>
    <w:rsid w:val="00B76260"/>
    <w:rsid w:val="00B770C9"/>
    <w:rsid w:val="00B7741C"/>
    <w:rsid w:val="00B77530"/>
    <w:rsid w:val="00B81136"/>
    <w:rsid w:val="00B8140E"/>
    <w:rsid w:val="00B814A1"/>
    <w:rsid w:val="00B81DCD"/>
    <w:rsid w:val="00B81F6C"/>
    <w:rsid w:val="00B8288C"/>
    <w:rsid w:val="00B82A22"/>
    <w:rsid w:val="00B8345F"/>
    <w:rsid w:val="00B852D3"/>
    <w:rsid w:val="00B8573E"/>
    <w:rsid w:val="00B860F9"/>
    <w:rsid w:val="00B869F3"/>
    <w:rsid w:val="00B8799B"/>
    <w:rsid w:val="00B90B81"/>
    <w:rsid w:val="00B91B20"/>
    <w:rsid w:val="00B93589"/>
    <w:rsid w:val="00B93836"/>
    <w:rsid w:val="00B93B09"/>
    <w:rsid w:val="00B94C2A"/>
    <w:rsid w:val="00B94F23"/>
    <w:rsid w:val="00B962E8"/>
    <w:rsid w:val="00B9759E"/>
    <w:rsid w:val="00B97913"/>
    <w:rsid w:val="00B97DBF"/>
    <w:rsid w:val="00BA0060"/>
    <w:rsid w:val="00BA05CC"/>
    <w:rsid w:val="00BA13A8"/>
    <w:rsid w:val="00BA1F75"/>
    <w:rsid w:val="00BA2076"/>
    <w:rsid w:val="00BA2381"/>
    <w:rsid w:val="00BA2953"/>
    <w:rsid w:val="00BA2D8A"/>
    <w:rsid w:val="00BA387A"/>
    <w:rsid w:val="00BA4978"/>
    <w:rsid w:val="00BA57F2"/>
    <w:rsid w:val="00BA5BF9"/>
    <w:rsid w:val="00BA5EE7"/>
    <w:rsid w:val="00BA6097"/>
    <w:rsid w:val="00BA6AC1"/>
    <w:rsid w:val="00BB0C26"/>
    <w:rsid w:val="00BB0DF7"/>
    <w:rsid w:val="00BB188A"/>
    <w:rsid w:val="00BB1BFC"/>
    <w:rsid w:val="00BB2582"/>
    <w:rsid w:val="00BB280C"/>
    <w:rsid w:val="00BB2A8E"/>
    <w:rsid w:val="00BB2AA8"/>
    <w:rsid w:val="00BB485F"/>
    <w:rsid w:val="00BB4D53"/>
    <w:rsid w:val="00BB656F"/>
    <w:rsid w:val="00BB66C2"/>
    <w:rsid w:val="00BB6926"/>
    <w:rsid w:val="00BB7619"/>
    <w:rsid w:val="00BB7C1A"/>
    <w:rsid w:val="00BC21E0"/>
    <w:rsid w:val="00BC32E5"/>
    <w:rsid w:val="00BC42A7"/>
    <w:rsid w:val="00BC565C"/>
    <w:rsid w:val="00BC58A6"/>
    <w:rsid w:val="00BC5EBA"/>
    <w:rsid w:val="00BC5F0F"/>
    <w:rsid w:val="00BC6233"/>
    <w:rsid w:val="00BC7164"/>
    <w:rsid w:val="00BC77E2"/>
    <w:rsid w:val="00BD0512"/>
    <w:rsid w:val="00BD0929"/>
    <w:rsid w:val="00BD259B"/>
    <w:rsid w:val="00BD447C"/>
    <w:rsid w:val="00BD46E7"/>
    <w:rsid w:val="00BD57F1"/>
    <w:rsid w:val="00BD5FE4"/>
    <w:rsid w:val="00BD6C82"/>
    <w:rsid w:val="00BD6E5E"/>
    <w:rsid w:val="00BD7109"/>
    <w:rsid w:val="00BD7D2F"/>
    <w:rsid w:val="00BE041C"/>
    <w:rsid w:val="00BE059A"/>
    <w:rsid w:val="00BE0C0D"/>
    <w:rsid w:val="00BE1A2E"/>
    <w:rsid w:val="00BE1A40"/>
    <w:rsid w:val="00BE230E"/>
    <w:rsid w:val="00BE2776"/>
    <w:rsid w:val="00BE2E80"/>
    <w:rsid w:val="00BE3552"/>
    <w:rsid w:val="00BE47DD"/>
    <w:rsid w:val="00BE4848"/>
    <w:rsid w:val="00BE4B05"/>
    <w:rsid w:val="00BE5A3A"/>
    <w:rsid w:val="00BE5EB2"/>
    <w:rsid w:val="00BE5EDD"/>
    <w:rsid w:val="00BE6A1F"/>
    <w:rsid w:val="00BF069C"/>
    <w:rsid w:val="00BF12A9"/>
    <w:rsid w:val="00BF3B84"/>
    <w:rsid w:val="00BF3DE3"/>
    <w:rsid w:val="00BF4BAE"/>
    <w:rsid w:val="00BF4D61"/>
    <w:rsid w:val="00BF51BA"/>
    <w:rsid w:val="00BF57B2"/>
    <w:rsid w:val="00BF5867"/>
    <w:rsid w:val="00BF61E7"/>
    <w:rsid w:val="00BF6E91"/>
    <w:rsid w:val="00C002FC"/>
    <w:rsid w:val="00C0082B"/>
    <w:rsid w:val="00C008AB"/>
    <w:rsid w:val="00C01A06"/>
    <w:rsid w:val="00C0227E"/>
    <w:rsid w:val="00C02430"/>
    <w:rsid w:val="00C035E1"/>
    <w:rsid w:val="00C03867"/>
    <w:rsid w:val="00C03BD6"/>
    <w:rsid w:val="00C0409F"/>
    <w:rsid w:val="00C040C8"/>
    <w:rsid w:val="00C04FD1"/>
    <w:rsid w:val="00C05598"/>
    <w:rsid w:val="00C056D7"/>
    <w:rsid w:val="00C06D4D"/>
    <w:rsid w:val="00C06EF0"/>
    <w:rsid w:val="00C06FE3"/>
    <w:rsid w:val="00C073AC"/>
    <w:rsid w:val="00C075C2"/>
    <w:rsid w:val="00C0780E"/>
    <w:rsid w:val="00C0792A"/>
    <w:rsid w:val="00C07FFB"/>
    <w:rsid w:val="00C101FF"/>
    <w:rsid w:val="00C1029B"/>
    <w:rsid w:val="00C11468"/>
    <w:rsid w:val="00C11622"/>
    <w:rsid w:val="00C11C55"/>
    <w:rsid w:val="00C126C4"/>
    <w:rsid w:val="00C12CA5"/>
    <w:rsid w:val="00C13697"/>
    <w:rsid w:val="00C14A71"/>
    <w:rsid w:val="00C15830"/>
    <w:rsid w:val="00C15943"/>
    <w:rsid w:val="00C15FB5"/>
    <w:rsid w:val="00C1636A"/>
    <w:rsid w:val="00C20848"/>
    <w:rsid w:val="00C20C60"/>
    <w:rsid w:val="00C221A9"/>
    <w:rsid w:val="00C229B5"/>
    <w:rsid w:val="00C22AE9"/>
    <w:rsid w:val="00C230E2"/>
    <w:rsid w:val="00C2334D"/>
    <w:rsid w:val="00C233E4"/>
    <w:rsid w:val="00C23C3B"/>
    <w:rsid w:val="00C23C8E"/>
    <w:rsid w:val="00C23F70"/>
    <w:rsid w:val="00C2474E"/>
    <w:rsid w:val="00C24D51"/>
    <w:rsid w:val="00C25757"/>
    <w:rsid w:val="00C25DB4"/>
    <w:rsid w:val="00C261B5"/>
    <w:rsid w:val="00C265C0"/>
    <w:rsid w:val="00C27781"/>
    <w:rsid w:val="00C27C62"/>
    <w:rsid w:val="00C27CD3"/>
    <w:rsid w:val="00C31E22"/>
    <w:rsid w:val="00C31E86"/>
    <w:rsid w:val="00C32760"/>
    <w:rsid w:val="00C32CBC"/>
    <w:rsid w:val="00C332E2"/>
    <w:rsid w:val="00C340F5"/>
    <w:rsid w:val="00C3413E"/>
    <w:rsid w:val="00C3520B"/>
    <w:rsid w:val="00C3610F"/>
    <w:rsid w:val="00C36151"/>
    <w:rsid w:val="00C36273"/>
    <w:rsid w:val="00C36406"/>
    <w:rsid w:val="00C36994"/>
    <w:rsid w:val="00C40647"/>
    <w:rsid w:val="00C40C30"/>
    <w:rsid w:val="00C40F8F"/>
    <w:rsid w:val="00C417AC"/>
    <w:rsid w:val="00C41E4C"/>
    <w:rsid w:val="00C42217"/>
    <w:rsid w:val="00C42225"/>
    <w:rsid w:val="00C423B6"/>
    <w:rsid w:val="00C424A1"/>
    <w:rsid w:val="00C44426"/>
    <w:rsid w:val="00C44598"/>
    <w:rsid w:val="00C44CA2"/>
    <w:rsid w:val="00C45A06"/>
    <w:rsid w:val="00C45E75"/>
    <w:rsid w:val="00C45EB3"/>
    <w:rsid w:val="00C45FC6"/>
    <w:rsid w:val="00C46C0D"/>
    <w:rsid w:val="00C477D8"/>
    <w:rsid w:val="00C5049D"/>
    <w:rsid w:val="00C505E6"/>
    <w:rsid w:val="00C50CC4"/>
    <w:rsid w:val="00C515A0"/>
    <w:rsid w:val="00C51BDB"/>
    <w:rsid w:val="00C53788"/>
    <w:rsid w:val="00C5514E"/>
    <w:rsid w:val="00C55887"/>
    <w:rsid w:val="00C57CF6"/>
    <w:rsid w:val="00C57D88"/>
    <w:rsid w:val="00C6013B"/>
    <w:rsid w:val="00C614DC"/>
    <w:rsid w:val="00C61F74"/>
    <w:rsid w:val="00C62312"/>
    <w:rsid w:val="00C623ED"/>
    <w:rsid w:val="00C625FD"/>
    <w:rsid w:val="00C62ABE"/>
    <w:rsid w:val="00C63587"/>
    <w:rsid w:val="00C63E6D"/>
    <w:rsid w:val="00C63EB5"/>
    <w:rsid w:val="00C63EEC"/>
    <w:rsid w:val="00C64627"/>
    <w:rsid w:val="00C648E0"/>
    <w:rsid w:val="00C64E31"/>
    <w:rsid w:val="00C6546C"/>
    <w:rsid w:val="00C65A50"/>
    <w:rsid w:val="00C6751D"/>
    <w:rsid w:val="00C67BD4"/>
    <w:rsid w:val="00C7063C"/>
    <w:rsid w:val="00C706B8"/>
    <w:rsid w:val="00C70C39"/>
    <w:rsid w:val="00C714C5"/>
    <w:rsid w:val="00C73C66"/>
    <w:rsid w:val="00C744E2"/>
    <w:rsid w:val="00C75551"/>
    <w:rsid w:val="00C759B1"/>
    <w:rsid w:val="00C75D94"/>
    <w:rsid w:val="00C764B0"/>
    <w:rsid w:val="00C76675"/>
    <w:rsid w:val="00C77721"/>
    <w:rsid w:val="00C77BA9"/>
    <w:rsid w:val="00C800D2"/>
    <w:rsid w:val="00C810F4"/>
    <w:rsid w:val="00C815FC"/>
    <w:rsid w:val="00C82109"/>
    <w:rsid w:val="00C82DDF"/>
    <w:rsid w:val="00C83FFA"/>
    <w:rsid w:val="00C858D0"/>
    <w:rsid w:val="00C85C05"/>
    <w:rsid w:val="00C86383"/>
    <w:rsid w:val="00C86D7A"/>
    <w:rsid w:val="00C8725A"/>
    <w:rsid w:val="00C87396"/>
    <w:rsid w:val="00C87D62"/>
    <w:rsid w:val="00C91002"/>
    <w:rsid w:val="00C9164B"/>
    <w:rsid w:val="00C91F56"/>
    <w:rsid w:val="00C92794"/>
    <w:rsid w:val="00C92DC2"/>
    <w:rsid w:val="00C92FA9"/>
    <w:rsid w:val="00C94A65"/>
    <w:rsid w:val="00C94EF7"/>
    <w:rsid w:val="00C95002"/>
    <w:rsid w:val="00C95732"/>
    <w:rsid w:val="00C95B9D"/>
    <w:rsid w:val="00C95C21"/>
    <w:rsid w:val="00C95DF0"/>
    <w:rsid w:val="00C962D3"/>
    <w:rsid w:val="00C9675F"/>
    <w:rsid w:val="00C96A4E"/>
    <w:rsid w:val="00C972B3"/>
    <w:rsid w:val="00C97884"/>
    <w:rsid w:val="00CA08AE"/>
    <w:rsid w:val="00CA1474"/>
    <w:rsid w:val="00CA1A01"/>
    <w:rsid w:val="00CA1F40"/>
    <w:rsid w:val="00CA2EC9"/>
    <w:rsid w:val="00CA3345"/>
    <w:rsid w:val="00CA3AB5"/>
    <w:rsid w:val="00CA4039"/>
    <w:rsid w:val="00CA4209"/>
    <w:rsid w:val="00CA587E"/>
    <w:rsid w:val="00CA61A6"/>
    <w:rsid w:val="00CA61DA"/>
    <w:rsid w:val="00CA65B3"/>
    <w:rsid w:val="00CA6B13"/>
    <w:rsid w:val="00CA7A17"/>
    <w:rsid w:val="00CA7E1B"/>
    <w:rsid w:val="00CB00E0"/>
    <w:rsid w:val="00CB09D3"/>
    <w:rsid w:val="00CB1611"/>
    <w:rsid w:val="00CB1753"/>
    <w:rsid w:val="00CB1DFD"/>
    <w:rsid w:val="00CB35C9"/>
    <w:rsid w:val="00CB45BC"/>
    <w:rsid w:val="00CB4664"/>
    <w:rsid w:val="00CB4CEF"/>
    <w:rsid w:val="00CB54F0"/>
    <w:rsid w:val="00CB63B3"/>
    <w:rsid w:val="00CB7798"/>
    <w:rsid w:val="00CC01E0"/>
    <w:rsid w:val="00CC033E"/>
    <w:rsid w:val="00CC0814"/>
    <w:rsid w:val="00CC0B49"/>
    <w:rsid w:val="00CC10C4"/>
    <w:rsid w:val="00CC11EA"/>
    <w:rsid w:val="00CC149C"/>
    <w:rsid w:val="00CC2833"/>
    <w:rsid w:val="00CC2ABB"/>
    <w:rsid w:val="00CC452F"/>
    <w:rsid w:val="00CC4BF6"/>
    <w:rsid w:val="00CC6C18"/>
    <w:rsid w:val="00CC6F6C"/>
    <w:rsid w:val="00CC7EC7"/>
    <w:rsid w:val="00CD0553"/>
    <w:rsid w:val="00CD0960"/>
    <w:rsid w:val="00CD0BC8"/>
    <w:rsid w:val="00CD0D2F"/>
    <w:rsid w:val="00CD10AA"/>
    <w:rsid w:val="00CD13E6"/>
    <w:rsid w:val="00CD1B02"/>
    <w:rsid w:val="00CD25B7"/>
    <w:rsid w:val="00CD3DB6"/>
    <w:rsid w:val="00CD524B"/>
    <w:rsid w:val="00CD5911"/>
    <w:rsid w:val="00CD5F1B"/>
    <w:rsid w:val="00CD5FEE"/>
    <w:rsid w:val="00CD60CC"/>
    <w:rsid w:val="00CD6523"/>
    <w:rsid w:val="00CD663E"/>
    <w:rsid w:val="00CD76BE"/>
    <w:rsid w:val="00CE0871"/>
    <w:rsid w:val="00CE0E88"/>
    <w:rsid w:val="00CE1FAB"/>
    <w:rsid w:val="00CE310B"/>
    <w:rsid w:val="00CE3778"/>
    <w:rsid w:val="00CE3E87"/>
    <w:rsid w:val="00CE410D"/>
    <w:rsid w:val="00CE4C88"/>
    <w:rsid w:val="00CE4ED1"/>
    <w:rsid w:val="00CE565D"/>
    <w:rsid w:val="00CE578E"/>
    <w:rsid w:val="00CE60D2"/>
    <w:rsid w:val="00CE610E"/>
    <w:rsid w:val="00CE71C9"/>
    <w:rsid w:val="00CE782A"/>
    <w:rsid w:val="00CE7A7F"/>
    <w:rsid w:val="00CE7F29"/>
    <w:rsid w:val="00CF0D87"/>
    <w:rsid w:val="00CF1DA0"/>
    <w:rsid w:val="00CF1F2C"/>
    <w:rsid w:val="00CF2587"/>
    <w:rsid w:val="00CF31AA"/>
    <w:rsid w:val="00CF4075"/>
    <w:rsid w:val="00CF4797"/>
    <w:rsid w:val="00CF47E5"/>
    <w:rsid w:val="00CF4FC2"/>
    <w:rsid w:val="00CF6832"/>
    <w:rsid w:val="00CF75F8"/>
    <w:rsid w:val="00CF79C4"/>
    <w:rsid w:val="00CF7F2F"/>
    <w:rsid w:val="00D00020"/>
    <w:rsid w:val="00D00238"/>
    <w:rsid w:val="00D011FB"/>
    <w:rsid w:val="00D019B7"/>
    <w:rsid w:val="00D01FE7"/>
    <w:rsid w:val="00D02070"/>
    <w:rsid w:val="00D0288A"/>
    <w:rsid w:val="00D02BE1"/>
    <w:rsid w:val="00D04152"/>
    <w:rsid w:val="00D0523B"/>
    <w:rsid w:val="00D056B9"/>
    <w:rsid w:val="00D057AB"/>
    <w:rsid w:val="00D06016"/>
    <w:rsid w:val="00D0618D"/>
    <w:rsid w:val="00D07B0A"/>
    <w:rsid w:val="00D1028D"/>
    <w:rsid w:val="00D106CD"/>
    <w:rsid w:val="00D10B9F"/>
    <w:rsid w:val="00D11013"/>
    <w:rsid w:val="00D11A0C"/>
    <w:rsid w:val="00D128D7"/>
    <w:rsid w:val="00D12A6F"/>
    <w:rsid w:val="00D12B71"/>
    <w:rsid w:val="00D133B0"/>
    <w:rsid w:val="00D151D6"/>
    <w:rsid w:val="00D1533B"/>
    <w:rsid w:val="00D1634B"/>
    <w:rsid w:val="00D1673F"/>
    <w:rsid w:val="00D20181"/>
    <w:rsid w:val="00D20378"/>
    <w:rsid w:val="00D20A5F"/>
    <w:rsid w:val="00D20C67"/>
    <w:rsid w:val="00D20F1B"/>
    <w:rsid w:val="00D21178"/>
    <w:rsid w:val="00D214EF"/>
    <w:rsid w:val="00D21840"/>
    <w:rsid w:val="00D229D1"/>
    <w:rsid w:val="00D2306F"/>
    <w:rsid w:val="00D248DA"/>
    <w:rsid w:val="00D25BE3"/>
    <w:rsid w:val="00D26350"/>
    <w:rsid w:val="00D26A1B"/>
    <w:rsid w:val="00D27753"/>
    <w:rsid w:val="00D27930"/>
    <w:rsid w:val="00D312F0"/>
    <w:rsid w:val="00D31789"/>
    <w:rsid w:val="00D31B99"/>
    <w:rsid w:val="00D3220A"/>
    <w:rsid w:val="00D34394"/>
    <w:rsid w:val="00D34739"/>
    <w:rsid w:val="00D3489D"/>
    <w:rsid w:val="00D3515B"/>
    <w:rsid w:val="00D3625F"/>
    <w:rsid w:val="00D36A2E"/>
    <w:rsid w:val="00D36C61"/>
    <w:rsid w:val="00D37297"/>
    <w:rsid w:val="00D37BA2"/>
    <w:rsid w:val="00D40773"/>
    <w:rsid w:val="00D40DC6"/>
    <w:rsid w:val="00D41050"/>
    <w:rsid w:val="00D42D8F"/>
    <w:rsid w:val="00D4326D"/>
    <w:rsid w:val="00D44838"/>
    <w:rsid w:val="00D44943"/>
    <w:rsid w:val="00D45BE0"/>
    <w:rsid w:val="00D47054"/>
    <w:rsid w:val="00D502C4"/>
    <w:rsid w:val="00D5137D"/>
    <w:rsid w:val="00D51394"/>
    <w:rsid w:val="00D51738"/>
    <w:rsid w:val="00D51BF5"/>
    <w:rsid w:val="00D51E6C"/>
    <w:rsid w:val="00D53C9A"/>
    <w:rsid w:val="00D544B2"/>
    <w:rsid w:val="00D54931"/>
    <w:rsid w:val="00D54BD2"/>
    <w:rsid w:val="00D55C34"/>
    <w:rsid w:val="00D56781"/>
    <w:rsid w:val="00D570E1"/>
    <w:rsid w:val="00D570FC"/>
    <w:rsid w:val="00D5710A"/>
    <w:rsid w:val="00D574F9"/>
    <w:rsid w:val="00D57758"/>
    <w:rsid w:val="00D5781E"/>
    <w:rsid w:val="00D57C54"/>
    <w:rsid w:val="00D6025C"/>
    <w:rsid w:val="00D60DA6"/>
    <w:rsid w:val="00D61782"/>
    <w:rsid w:val="00D6232E"/>
    <w:rsid w:val="00D62EBC"/>
    <w:rsid w:val="00D6330C"/>
    <w:rsid w:val="00D64893"/>
    <w:rsid w:val="00D65A4F"/>
    <w:rsid w:val="00D6707B"/>
    <w:rsid w:val="00D67171"/>
    <w:rsid w:val="00D67208"/>
    <w:rsid w:val="00D678E8"/>
    <w:rsid w:val="00D67AE8"/>
    <w:rsid w:val="00D70AAB"/>
    <w:rsid w:val="00D70F9F"/>
    <w:rsid w:val="00D720FF"/>
    <w:rsid w:val="00D72A5D"/>
    <w:rsid w:val="00D72BF4"/>
    <w:rsid w:val="00D72D32"/>
    <w:rsid w:val="00D73B75"/>
    <w:rsid w:val="00D73CA0"/>
    <w:rsid w:val="00D745FF"/>
    <w:rsid w:val="00D75860"/>
    <w:rsid w:val="00D7592F"/>
    <w:rsid w:val="00D75F69"/>
    <w:rsid w:val="00D77111"/>
    <w:rsid w:val="00D771A6"/>
    <w:rsid w:val="00D771FA"/>
    <w:rsid w:val="00D77D70"/>
    <w:rsid w:val="00D77E40"/>
    <w:rsid w:val="00D8027A"/>
    <w:rsid w:val="00D8048B"/>
    <w:rsid w:val="00D80624"/>
    <w:rsid w:val="00D8073F"/>
    <w:rsid w:val="00D80AF0"/>
    <w:rsid w:val="00D80E5F"/>
    <w:rsid w:val="00D8115D"/>
    <w:rsid w:val="00D819D3"/>
    <w:rsid w:val="00D82863"/>
    <w:rsid w:val="00D84BD8"/>
    <w:rsid w:val="00D850DD"/>
    <w:rsid w:val="00D853A5"/>
    <w:rsid w:val="00D8555F"/>
    <w:rsid w:val="00D85815"/>
    <w:rsid w:val="00D863D6"/>
    <w:rsid w:val="00D86B53"/>
    <w:rsid w:val="00D86D66"/>
    <w:rsid w:val="00D86FEE"/>
    <w:rsid w:val="00D8780C"/>
    <w:rsid w:val="00D87832"/>
    <w:rsid w:val="00D9018A"/>
    <w:rsid w:val="00D90359"/>
    <w:rsid w:val="00D90C72"/>
    <w:rsid w:val="00D9250F"/>
    <w:rsid w:val="00D93B5E"/>
    <w:rsid w:val="00D93BB6"/>
    <w:rsid w:val="00D95E90"/>
    <w:rsid w:val="00D96FAC"/>
    <w:rsid w:val="00D97065"/>
    <w:rsid w:val="00D97D0B"/>
    <w:rsid w:val="00D97E0F"/>
    <w:rsid w:val="00D97EAA"/>
    <w:rsid w:val="00DA00D5"/>
    <w:rsid w:val="00DA059B"/>
    <w:rsid w:val="00DA08CA"/>
    <w:rsid w:val="00DA1BA0"/>
    <w:rsid w:val="00DA1E08"/>
    <w:rsid w:val="00DA2219"/>
    <w:rsid w:val="00DA2E52"/>
    <w:rsid w:val="00DA3485"/>
    <w:rsid w:val="00DA3596"/>
    <w:rsid w:val="00DA3ACB"/>
    <w:rsid w:val="00DA3B77"/>
    <w:rsid w:val="00DA3BD5"/>
    <w:rsid w:val="00DA46CE"/>
    <w:rsid w:val="00DA4839"/>
    <w:rsid w:val="00DA5BD2"/>
    <w:rsid w:val="00DA5F0F"/>
    <w:rsid w:val="00DA6165"/>
    <w:rsid w:val="00DA644B"/>
    <w:rsid w:val="00DA6C63"/>
    <w:rsid w:val="00DA792C"/>
    <w:rsid w:val="00DA7CEC"/>
    <w:rsid w:val="00DB0034"/>
    <w:rsid w:val="00DB08F3"/>
    <w:rsid w:val="00DB0B95"/>
    <w:rsid w:val="00DB183C"/>
    <w:rsid w:val="00DB1A04"/>
    <w:rsid w:val="00DB1A30"/>
    <w:rsid w:val="00DB1CE7"/>
    <w:rsid w:val="00DB1FED"/>
    <w:rsid w:val="00DB3556"/>
    <w:rsid w:val="00DB3699"/>
    <w:rsid w:val="00DB41E6"/>
    <w:rsid w:val="00DB4B6C"/>
    <w:rsid w:val="00DB4D42"/>
    <w:rsid w:val="00DB64EC"/>
    <w:rsid w:val="00DB6DC6"/>
    <w:rsid w:val="00DB6DFF"/>
    <w:rsid w:val="00DB79A6"/>
    <w:rsid w:val="00DB7E97"/>
    <w:rsid w:val="00DB7FAF"/>
    <w:rsid w:val="00DC069E"/>
    <w:rsid w:val="00DC093E"/>
    <w:rsid w:val="00DC0CEF"/>
    <w:rsid w:val="00DC0ED9"/>
    <w:rsid w:val="00DC295A"/>
    <w:rsid w:val="00DC3066"/>
    <w:rsid w:val="00DC3342"/>
    <w:rsid w:val="00DC3C15"/>
    <w:rsid w:val="00DC3E77"/>
    <w:rsid w:val="00DC4322"/>
    <w:rsid w:val="00DC4933"/>
    <w:rsid w:val="00DC60DD"/>
    <w:rsid w:val="00DC629B"/>
    <w:rsid w:val="00DC637B"/>
    <w:rsid w:val="00DC6B6F"/>
    <w:rsid w:val="00DD009F"/>
    <w:rsid w:val="00DD08F4"/>
    <w:rsid w:val="00DD0EF8"/>
    <w:rsid w:val="00DD2E0D"/>
    <w:rsid w:val="00DD3A70"/>
    <w:rsid w:val="00DD3AC4"/>
    <w:rsid w:val="00DD43F3"/>
    <w:rsid w:val="00DD465F"/>
    <w:rsid w:val="00DD470D"/>
    <w:rsid w:val="00DD4A0E"/>
    <w:rsid w:val="00DD4AB9"/>
    <w:rsid w:val="00DD5469"/>
    <w:rsid w:val="00DE1F97"/>
    <w:rsid w:val="00DE25A4"/>
    <w:rsid w:val="00DE3408"/>
    <w:rsid w:val="00DE38CA"/>
    <w:rsid w:val="00DE3C6A"/>
    <w:rsid w:val="00DE4B2D"/>
    <w:rsid w:val="00DE4F18"/>
    <w:rsid w:val="00DE565E"/>
    <w:rsid w:val="00DE59E0"/>
    <w:rsid w:val="00DE5F6E"/>
    <w:rsid w:val="00DE6154"/>
    <w:rsid w:val="00DF0269"/>
    <w:rsid w:val="00DF03BD"/>
    <w:rsid w:val="00DF079E"/>
    <w:rsid w:val="00DF13DB"/>
    <w:rsid w:val="00DF1ABB"/>
    <w:rsid w:val="00DF368C"/>
    <w:rsid w:val="00DF39B6"/>
    <w:rsid w:val="00DF3EBA"/>
    <w:rsid w:val="00DF42FC"/>
    <w:rsid w:val="00DF4605"/>
    <w:rsid w:val="00DF4AB1"/>
    <w:rsid w:val="00DF4B68"/>
    <w:rsid w:val="00DF4F6A"/>
    <w:rsid w:val="00DF505E"/>
    <w:rsid w:val="00DF60FE"/>
    <w:rsid w:val="00DF612F"/>
    <w:rsid w:val="00DF7993"/>
    <w:rsid w:val="00E00482"/>
    <w:rsid w:val="00E005C6"/>
    <w:rsid w:val="00E0080B"/>
    <w:rsid w:val="00E01B34"/>
    <w:rsid w:val="00E02F20"/>
    <w:rsid w:val="00E0308E"/>
    <w:rsid w:val="00E032C0"/>
    <w:rsid w:val="00E03BE2"/>
    <w:rsid w:val="00E0464D"/>
    <w:rsid w:val="00E04BDB"/>
    <w:rsid w:val="00E04C8F"/>
    <w:rsid w:val="00E05BBC"/>
    <w:rsid w:val="00E05BFF"/>
    <w:rsid w:val="00E0636B"/>
    <w:rsid w:val="00E06818"/>
    <w:rsid w:val="00E06E10"/>
    <w:rsid w:val="00E07063"/>
    <w:rsid w:val="00E078FC"/>
    <w:rsid w:val="00E0796D"/>
    <w:rsid w:val="00E07B88"/>
    <w:rsid w:val="00E07C7F"/>
    <w:rsid w:val="00E105CC"/>
    <w:rsid w:val="00E10626"/>
    <w:rsid w:val="00E1239C"/>
    <w:rsid w:val="00E12FF0"/>
    <w:rsid w:val="00E14EFC"/>
    <w:rsid w:val="00E1525A"/>
    <w:rsid w:val="00E16092"/>
    <w:rsid w:val="00E16148"/>
    <w:rsid w:val="00E167F8"/>
    <w:rsid w:val="00E16D9E"/>
    <w:rsid w:val="00E172C1"/>
    <w:rsid w:val="00E1747A"/>
    <w:rsid w:val="00E17684"/>
    <w:rsid w:val="00E20A0F"/>
    <w:rsid w:val="00E20E91"/>
    <w:rsid w:val="00E21778"/>
    <w:rsid w:val="00E21871"/>
    <w:rsid w:val="00E21D04"/>
    <w:rsid w:val="00E22A39"/>
    <w:rsid w:val="00E22C25"/>
    <w:rsid w:val="00E22DD3"/>
    <w:rsid w:val="00E2344A"/>
    <w:rsid w:val="00E236EC"/>
    <w:rsid w:val="00E23BED"/>
    <w:rsid w:val="00E23EE3"/>
    <w:rsid w:val="00E262F1"/>
    <w:rsid w:val="00E2662F"/>
    <w:rsid w:val="00E26882"/>
    <w:rsid w:val="00E26BE3"/>
    <w:rsid w:val="00E305C0"/>
    <w:rsid w:val="00E3082D"/>
    <w:rsid w:val="00E30854"/>
    <w:rsid w:val="00E31901"/>
    <w:rsid w:val="00E31C60"/>
    <w:rsid w:val="00E32BEE"/>
    <w:rsid w:val="00E33C8E"/>
    <w:rsid w:val="00E3420A"/>
    <w:rsid w:val="00E34B63"/>
    <w:rsid w:val="00E3549E"/>
    <w:rsid w:val="00E3591E"/>
    <w:rsid w:val="00E37548"/>
    <w:rsid w:val="00E4015D"/>
    <w:rsid w:val="00E40958"/>
    <w:rsid w:val="00E40CAA"/>
    <w:rsid w:val="00E41882"/>
    <w:rsid w:val="00E42F8F"/>
    <w:rsid w:val="00E4389D"/>
    <w:rsid w:val="00E439D9"/>
    <w:rsid w:val="00E44C6A"/>
    <w:rsid w:val="00E45118"/>
    <w:rsid w:val="00E45217"/>
    <w:rsid w:val="00E4556F"/>
    <w:rsid w:val="00E4595F"/>
    <w:rsid w:val="00E45D3E"/>
    <w:rsid w:val="00E469BA"/>
    <w:rsid w:val="00E4780F"/>
    <w:rsid w:val="00E47998"/>
    <w:rsid w:val="00E47B44"/>
    <w:rsid w:val="00E47E69"/>
    <w:rsid w:val="00E50A63"/>
    <w:rsid w:val="00E50BD3"/>
    <w:rsid w:val="00E512C5"/>
    <w:rsid w:val="00E5138A"/>
    <w:rsid w:val="00E522AF"/>
    <w:rsid w:val="00E531E4"/>
    <w:rsid w:val="00E539FC"/>
    <w:rsid w:val="00E53C21"/>
    <w:rsid w:val="00E54025"/>
    <w:rsid w:val="00E54BF9"/>
    <w:rsid w:val="00E54F5B"/>
    <w:rsid w:val="00E5518F"/>
    <w:rsid w:val="00E55792"/>
    <w:rsid w:val="00E5582C"/>
    <w:rsid w:val="00E55D8D"/>
    <w:rsid w:val="00E55E11"/>
    <w:rsid w:val="00E56EE2"/>
    <w:rsid w:val="00E57EBD"/>
    <w:rsid w:val="00E57F3E"/>
    <w:rsid w:val="00E60088"/>
    <w:rsid w:val="00E610C4"/>
    <w:rsid w:val="00E6123E"/>
    <w:rsid w:val="00E616B9"/>
    <w:rsid w:val="00E61BC9"/>
    <w:rsid w:val="00E625EF"/>
    <w:rsid w:val="00E63716"/>
    <w:rsid w:val="00E6393D"/>
    <w:rsid w:val="00E646B3"/>
    <w:rsid w:val="00E64743"/>
    <w:rsid w:val="00E65457"/>
    <w:rsid w:val="00E656F7"/>
    <w:rsid w:val="00E659C6"/>
    <w:rsid w:val="00E659EE"/>
    <w:rsid w:val="00E65C8F"/>
    <w:rsid w:val="00E67962"/>
    <w:rsid w:val="00E703D5"/>
    <w:rsid w:val="00E70461"/>
    <w:rsid w:val="00E71086"/>
    <w:rsid w:val="00E71203"/>
    <w:rsid w:val="00E71D10"/>
    <w:rsid w:val="00E71D14"/>
    <w:rsid w:val="00E71FAD"/>
    <w:rsid w:val="00E72AFD"/>
    <w:rsid w:val="00E72F10"/>
    <w:rsid w:val="00E73D50"/>
    <w:rsid w:val="00E746F5"/>
    <w:rsid w:val="00E74B24"/>
    <w:rsid w:val="00E759FA"/>
    <w:rsid w:val="00E7644A"/>
    <w:rsid w:val="00E7712C"/>
    <w:rsid w:val="00E7738B"/>
    <w:rsid w:val="00E77420"/>
    <w:rsid w:val="00E776BF"/>
    <w:rsid w:val="00E7784A"/>
    <w:rsid w:val="00E77EE1"/>
    <w:rsid w:val="00E8097C"/>
    <w:rsid w:val="00E80B1D"/>
    <w:rsid w:val="00E80C41"/>
    <w:rsid w:val="00E812AD"/>
    <w:rsid w:val="00E818B2"/>
    <w:rsid w:val="00E8195E"/>
    <w:rsid w:val="00E81997"/>
    <w:rsid w:val="00E819E7"/>
    <w:rsid w:val="00E83033"/>
    <w:rsid w:val="00E83BF0"/>
    <w:rsid w:val="00E83C87"/>
    <w:rsid w:val="00E83D45"/>
    <w:rsid w:val="00E83EDB"/>
    <w:rsid w:val="00E842B6"/>
    <w:rsid w:val="00E84BA0"/>
    <w:rsid w:val="00E86EAE"/>
    <w:rsid w:val="00E86F6F"/>
    <w:rsid w:val="00E875BA"/>
    <w:rsid w:val="00E876E6"/>
    <w:rsid w:val="00E87828"/>
    <w:rsid w:val="00E87CF0"/>
    <w:rsid w:val="00E9039C"/>
    <w:rsid w:val="00E90800"/>
    <w:rsid w:val="00E90C8E"/>
    <w:rsid w:val="00E9114C"/>
    <w:rsid w:val="00E91AA7"/>
    <w:rsid w:val="00E92950"/>
    <w:rsid w:val="00E939CC"/>
    <w:rsid w:val="00E93E72"/>
    <w:rsid w:val="00E94A4A"/>
    <w:rsid w:val="00E9594D"/>
    <w:rsid w:val="00E9609F"/>
    <w:rsid w:val="00E96D68"/>
    <w:rsid w:val="00E96E9A"/>
    <w:rsid w:val="00E96FC2"/>
    <w:rsid w:val="00E97661"/>
    <w:rsid w:val="00E979CC"/>
    <w:rsid w:val="00E97C77"/>
    <w:rsid w:val="00EA038A"/>
    <w:rsid w:val="00EA04D1"/>
    <w:rsid w:val="00EA0D2D"/>
    <w:rsid w:val="00EA217A"/>
    <w:rsid w:val="00EA2F9A"/>
    <w:rsid w:val="00EA3032"/>
    <w:rsid w:val="00EA37D8"/>
    <w:rsid w:val="00EA4610"/>
    <w:rsid w:val="00EA47C4"/>
    <w:rsid w:val="00EA555D"/>
    <w:rsid w:val="00EA5A80"/>
    <w:rsid w:val="00EA5AC1"/>
    <w:rsid w:val="00EA61C2"/>
    <w:rsid w:val="00EA62FB"/>
    <w:rsid w:val="00EA6BC9"/>
    <w:rsid w:val="00EA6E71"/>
    <w:rsid w:val="00EA7088"/>
    <w:rsid w:val="00EA7449"/>
    <w:rsid w:val="00EB0F66"/>
    <w:rsid w:val="00EB11B7"/>
    <w:rsid w:val="00EB178A"/>
    <w:rsid w:val="00EB23FC"/>
    <w:rsid w:val="00EB4537"/>
    <w:rsid w:val="00EB45DA"/>
    <w:rsid w:val="00EB46F9"/>
    <w:rsid w:val="00EB49DD"/>
    <w:rsid w:val="00EB4A38"/>
    <w:rsid w:val="00EB4AEF"/>
    <w:rsid w:val="00EB4FBF"/>
    <w:rsid w:val="00EB545C"/>
    <w:rsid w:val="00EB6092"/>
    <w:rsid w:val="00EB732C"/>
    <w:rsid w:val="00EC06DA"/>
    <w:rsid w:val="00EC0873"/>
    <w:rsid w:val="00EC0AA1"/>
    <w:rsid w:val="00EC0C10"/>
    <w:rsid w:val="00EC13F7"/>
    <w:rsid w:val="00EC27B5"/>
    <w:rsid w:val="00EC2CBF"/>
    <w:rsid w:val="00EC34F1"/>
    <w:rsid w:val="00EC3FE5"/>
    <w:rsid w:val="00EC4369"/>
    <w:rsid w:val="00EC6C41"/>
    <w:rsid w:val="00EC6D9B"/>
    <w:rsid w:val="00EC6E8F"/>
    <w:rsid w:val="00EC79B5"/>
    <w:rsid w:val="00EC7A03"/>
    <w:rsid w:val="00ED014E"/>
    <w:rsid w:val="00ED01D1"/>
    <w:rsid w:val="00ED092F"/>
    <w:rsid w:val="00ED1018"/>
    <w:rsid w:val="00ED1147"/>
    <w:rsid w:val="00ED1199"/>
    <w:rsid w:val="00ED1814"/>
    <w:rsid w:val="00ED1896"/>
    <w:rsid w:val="00ED1E4D"/>
    <w:rsid w:val="00ED2AA0"/>
    <w:rsid w:val="00ED45C2"/>
    <w:rsid w:val="00ED5035"/>
    <w:rsid w:val="00ED5431"/>
    <w:rsid w:val="00ED5934"/>
    <w:rsid w:val="00ED5DD4"/>
    <w:rsid w:val="00ED5DE6"/>
    <w:rsid w:val="00ED5FAB"/>
    <w:rsid w:val="00ED6116"/>
    <w:rsid w:val="00ED6140"/>
    <w:rsid w:val="00ED6781"/>
    <w:rsid w:val="00EE0000"/>
    <w:rsid w:val="00EE0272"/>
    <w:rsid w:val="00EE1779"/>
    <w:rsid w:val="00EE1A7A"/>
    <w:rsid w:val="00EE2809"/>
    <w:rsid w:val="00EE3887"/>
    <w:rsid w:val="00EE4927"/>
    <w:rsid w:val="00EE4B36"/>
    <w:rsid w:val="00EE5933"/>
    <w:rsid w:val="00EE5AD4"/>
    <w:rsid w:val="00EE68DF"/>
    <w:rsid w:val="00EE6D77"/>
    <w:rsid w:val="00EE751E"/>
    <w:rsid w:val="00EE79EE"/>
    <w:rsid w:val="00EE7DBB"/>
    <w:rsid w:val="00EF0959"/>
    <w:rsid w:val="00EF0ACD"/>
    <w:rsid w:val="00EF0D6D"/>
    <w:rsid w:val="00EF14AF"/>
    <w:rsid w:val="00EF2E76"/>
    <w:rsid w:val="00EF4033"/>
    <w:rsid w:val="00EF4F20"/>
    <w:rsid w:val="00EF5530"/>
    <w:rsid w:val="00EF5E70"/>
    <w:rsid w:val="00EF5F08"/>
    <w:rsid w:val="00EF62E3"/>
    <w:rsid w:val="00EF7394"/>
    <w:rsid w:val="00EF76DC"/>
    <w:rsid w:val="00EF7FFC"/>
    <w:rsid w:val="00F00F83"/>
    <w:rsid w:val="00F01E00"/>
    <w:rsid w:val="00F021E4"/>
    <w:rsid w:val="00F0220A"/>
    <w:rsid w:val="00F02C63"/>
    <w:rsid w:val="00F03031"/>
    <w:rsid w:val="00F036A9"/>
    <w:rsid w:val="00F03B13"/>
    <w:rsid w:val="00F05250"/>
    <w:rsid w:val="00F06046"/>
    <w:rsid w:val="00F0642E"/>
    <w:rsid w:val="00F07380"/>
    <w:rsid w:val="00F10A11"/>
    <w:rsid w:val="00F10EC4"/>
    <w:rsid w:val="00F11AFE"/>
    <w:rsid w:val="00F1241E"/>
    <w:rsid w:val="00F1258B"/>
    <w:rsid w:val="00F1286E"/>
    <w:rsid w:val="00F12B91"/>
    <w:rsid w:val="00F12C0C"/>
    <w:rsid w:val="00F12D0B"/>
    <w:rsid w:val="00F13337"/>
    <w:rsid w:val="00F1385D"/>
    <w:rsid w:val="00F14BB3"/>
    <w:rsid w:val="00F1528E"/>
    <w:rsid w:val="00F155E4"/>
    <w:rsid w:val="00F155FB"/>
    <w:rsid w:val="00F16AF3"/>
    <w:rsid w:val="00F16DFE"/>
    <w:rsid w:val="00F1724D"/>
    <w:rsid w:val="00F17AC6"/>
    <w:rsid w:val="00F20BC9"/>
    <w:rsid w:val="00F21C2C"/>
    <w:rsid w:val="00F22477"/>
    <w:rsid w:val="00F22B7A"/>
    <w:rsid w:val="00F23A96"/>
    <w:rsid w:val="00F240CC"/>
    <w:rsid w:val="00F24661"/>
    <w:rsid w:val="00F247BB"/>
    <w:rsid w:val="00F24B6C"/>
    <w:rsid w:val="00F26040"/>
    <w:rsid w:val="00F26C95"/>
    <w:rsid w:val="00F26F4E"/>
    <w:rsid w:val="00F27A19"/>
    <w:rsid w:val="00F27EA5"/>
    <w:rsid w:val="00F317E6"/>
    <w:rsid w:val="00F3245F"/>
    <w:rsid w:val="00F33498"/>
    <w:rsid w:val="00F3359B"/>
    <w:rsid w:val="00F33AC6"/>
    <w:rsid w:val="00F3436E"/>
    <w:rsid w:val="00F34730"/>
    <w:rsid w:val="00F351D3"/>
    <w:rsid w:val="00F35291"/>
    <w:rsid w:val="00F35811"/>
    <w:rsid w:val="00F36866"/>
    <w:rsid w:val="00F36905"/>
    <w:rsid w:val="00F36C18"/>
    <w:rsid w:val="00F37B2B"/>
    <w:rsid w:val="00F37FF3"/>
    <w:rsid w:val="00F402D3"/>
    <w:rsid w:val="00F40376"/>
    <w:rsid w:val="00F4070D"/>
    <w:rsid w:val="00F4094B"/>
    <w:rsid w:val="00F40B99"/>
    <w:rsid w:val="00F40D97"/>
    <w:rsid w:val="00F40EFF"/>
    <w:rsid w:val="00F41FB9"/>
    <w:rsid w:val="00F424F3"/>
    <w:rsid w:val="00F4293F"/>
    <w:rsid w:val="00F4346E"/>
    <w:rsid w:val="00F449AE"/>
    <w:rsid w:val="00F45916"/>
    <w:rsid w:val="00F45D73"/>
    <w:rsid w:val="00F4620F"/>
    <w:rsid w:val="00F469B8"/>
    <w:rsid w:val="00F46D9B"/>
    <w:rsid w:val="00F46E5F"/>
    <w:rsid w:val="00F472B6"/>
    <w:rsid w:val="00F472EC"/>
    <w:rsid w:val="00F50B47"/>
    <w:rsid w:val="00F51935"/>
    <w:rsid w:val="00F51AC0"/>
    <w:rsid w:val="00F52C62"/>
    <w:rsid w:val="00F52D4E"/>
    <w:rsid w:val="00F53444"/>
    <w:rsid w:val="00F54269"/>
    <w:rsid w:val="00F5467E"/>
    <w:rsid w:val="00F54E0E"/>
    <w:rsid w:val="00F552FA"/>
    <w:rsid w:val="00F56292"/>
    <w:rsid w:val="00F56338"/>
    <w:rsid w:val="00F565AB"/>
    <w:rsid w:val="00F56B77"/>
    <w:rsid w:val="00F5723A"/>
    <w:rsid w:val="00F606A0"/>
    <w:rsid w:val="00F614B1"/>
    <w:rsid w:val="00F61B83"/>
    <w:rsid w:val="00F61EDF"/>
    <w:rsid w:val="00F624B9"/>
    <w:rsid w:val="00F627A1"/>
    <w:rsid w:val="00F6294D"/>
    <w:rsid w:val="00F62AB3"/>
    <w:rsid w:val="00F63177"/>
    <w:rsid w:val="00F6345C"/>
    <w:rsid w:val="00F63D94"/>
    <w:rsid w:val="00F64945"/>
    <w:rsid w:val="00F64E61"/>
    <w:rsid w:val="00F65490"/>
    <w:rsid w:val="00F65540"/>
    <w:rsid w:val="00F65657"/>
    <w:rsid w:val="00F65FF8"/>
    <w:rsid w:val="00F66597"/>
    <w:rsid w:val="00F666C9"/>
    <w:rsid w:val="00F66A97"/>
    <w:rsid w:val="00F675C7"/>
    <w:rsid w:val="00F7160B"/>
    <w:rsid w:val="00F71978"/>
    <w:rsid w:val="00F71E53"/>
    <w:rsid w:val="00F71E63"/>
    <w:rsid w:val="00F71F6E"/>
    <w:rsid w:val="00F7212F"/>
    <w:rsid w:val="00F733DA"/>
    <w:rsid w:val="00F73784"/>
    <w:rsid w:val="00F73791"/>
    <w:rsid w:val="00F73FE3"/>
    <w:rsid w:val="00F74F15"/>
    <w:rsid w:val="00F75015"/>
    <w:rsid w:val="00F76318"/>
    <w:rsid w:val="00F77508"/>
    <w:rsid w:val="00F77645"/>
    <w:rsid w:val="00F777A2"/>
    <w:rsid w:val="00F803EF"/>
    <w:rsid w:val="00F80AF1"/>
    <w:rsid w:val="00F81027"/>
    <w:rsid w:val="00F8140E"/>
    <w:rsid w:val="00F8150C"/>
    <w:rsid w:val="00F81DED"/>
    <w:rsid w:val="00F81EF3"/>
    <w:rsid w:val="00F82C75"/>
    <w:rsid w:val="00F82D05"/>
    <w:rsid w:val="00F83250"/>
    <w:rsid w:val="00F86773"/>
    <w:rsid w:val="00F8772C"/>
    <w:rsid w:val="00F9235C"/>
    <w:rsid w:val="00F92BA5"/>
    <w:rsid w:val="00F92C57"/>
    <w:rsid w:val="00F94419"/>
    <w:rsid w:val="00F94A42"/>
    <w:rsid w:val="00F94B8D"/>
    <w:rsid w:val="00F94D8A"/>
    <w:rsid w:val="00F963E3"/>
    <w:rsid w:val="00F96A16"/>
    <w:rsid w:val="00F96BE1"/>
    <w:rsid w:val="00F96F68"/>
    <w:rsid w:val="00F97F70"/>
    <w:rsid w:val="00FA139E"/>
    <w:rsid w:val="00FA1D2A"/>
    <w:rsid w:val="00FA276F"/>
    <w:rsid w:val="00FA29AA"/>
    <w:rsid w:val="00FA4DAF"/>
    <w:rsid w:val="00FA4E2A"/>
    <w:rsid w:val="00FA5267"/>
    <w:rsid w:val="00FA5CF2"/>
    <w:rsid w:val="00FA64A4"/>
    <w:rsid w:val="00FA6BB4"/>
    <w:rsid w:val="00FA6BFB"/>
    <w:rsid w:val="00FA6D68"/>
    <w:rsid w:val="00FA7708"/>
    <w:rsid w:val="00FA78CF"/>
    <w:rsid w:val="00FB049C"/>
    <w:rsid w:val="00FB0920"/>
    <w:rsid w:val="00FB0E85"/>
    <w:rsid w:val="00FB17EE"/>
    <w:rsid w:val="00FB25AE"/>
    <w:rsid w:val="00FB2A9A"/>
    <w:rsid w:val="00FB36D2"/>
    <w:rsid w:val="00FB377C"/>
    <w:rsid w:val="00FB41E6"/>
    <w:rsid w:val="00FB45C9"/>
    <w:rsid w:val="00FB5B27"/>
    <w:rsid w:val="00FB66A9"/>
    <w:rsid w:val="00FB7B09"/>
    <w:rsid w:val="00FC14F5"/>
    <w:rsid w:val="00FC1539"/>
    <w:rsid w:val="00FC1C0D"/>
    <w:rsid w:val="00FC1E98"/>
    <w:rsid w:val="00FC28A7"/>
    <w:rsid w:val="00FC3464"/>
    <w:rsid w:val="00FC3528"/>
    <w:rsid w:val="00FC384E"/>
    <w:rsid w:val="00FC41F5"/>
    <w:rsid w:val="00FC4456"/>
    <w:rsid w:val="00FC4F74"/>
    <w:rsid w:val="00FC54BB"/>
    <w:rsid w:val="00FC5606"/>
    <w:rsid w:val="00FC659E"/>
    <w:rsid w:val="00FC7AE7"/>
    <w:rsid w:val="00FC7C20"/>
    <w:rsid w:val="00FD0320"/>
    <w:rsid w:val="00FD0525"/>
    <w:rsid w:val="00FD09A0"/>
    <w:rsid w:val="00FD0C5A"/>
    <w:rsid w:val="00FD18BF"/>
    <w:rsid w:val="00FD20EF"/>
    <w:rsid w:val="00FD2229"/>
    <w:rsid w:val="00FD316D"/>
    <w:rsid w:val="00FD3258"/>
    <w:rsid w:val="00FD361E"/>
    <w:rsid w:val="00FD4104"/>
    <w:rsid w:val="00FD49A1"/>
    <w:rsid w:val="00FD4D56"/>
    <w:rsid w:val="00FD516B"/>
    <w:rsid w:val="00FD56BB"/>
    <w:rsid w:val="00FD5C8C"/>
    <w:rsid w:val="00FD65BB"/>
    <w:rsid w:val="00FD6806"/>
    <w:rsid w:val="00FD71B0"/>
    <w:rsid w:val="00FD781B"/>
    <w:rsid w:val="00FD7AA3"/>
    <w:rsid w:val="00FE161E"/>
    <w:rsid w:val="00FE1AD7"/>
    <w:rsid w:val="00FE1D74"/>
    <w:rsid w:val="00FE1FF2"/>
    <w:rsid w:val="00FE2A2D"/>
    <w:rsid w:val="00FE2C37"/>
    <w:rsid w:val="00FE3670"/>
    <w:rsid w:val="00FE421D"/>
    <w:rsid w:val="00FE4574"/>
    <w:rsid w:val="00FE5819"/>
    <w:rsid w:val="00FE582A"/>
    <w:rsid w:val="00FE691F"/>
    <w:rsid w:val="00FE79F5"/>
    <w:rsid w:val="00FF0415"/>
    <w:rsid w:val="00FF0475"/>
    <w:rsid w:val="00FF1DF0"/>
    <w:rsid w:val="00FF2FF9"/>
    <w:rsid w:val="00FF3495"/>
    <w:rsid w:val="00FF3522"/>
    <w:rsid w:val="00FF3CF1"/>
    <w:rsid w:val="00FF4088"/>
    <w:rsid w:val="00FF55F9"/>
    <w:rsid w:val="00FF63E0"/>
    <w:rsid w:val="00FF65A6"/>
    <w:rsid w:val="00FF6E42"/>
    <w:rsid w:val="00FF74DD"/>
    <w:rsid w:val="00FF75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304D50CB-01AA-45EF-BBE4-6680C5239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Times New Roman" w:hAnsi="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3F27"/>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s-ES_tradnl" w:eastAsia="en-US"/>
    </w:rPr>
  </w:style>
  <w:style w:type="paragraph" w:styleId="Heading1">
    <w:name w:val="heading 1"/>
    <w:basedOn w:val="Normal"/>
    <w:next w:val="Normal"/>
    <w:link w:val="Heading1Char"/>
    <w:qFormat/>
    <w:pPr>
      <w:keepNext/>
      <w:keepLines/>
      <w:spacing w:before="280"/>
      <w:ind w:left="1134" w:hanging="1134"/>
      <w:outlineLvl w:val="0"/>
    </w:pPr>
    <w:rPr>
      <w:b/>
      <w:sz w:val="28"/>
    </w:rPr>
  </w:style>
  <w:style w:type="paragraph" w:styleId="Heading2">
    <w:name w:val="heading 2"/>
    <w:basedOn w:val="Heading1"/>
    <w:next w:val="Normal"/>
    <w:qFormat/>
    <w:pPr>
      <w:spacing w:before="200"/>
      <w:outlineLvl w:val="1"/>
    </w:pPr>
    <w:rPr>
      <w:sz w:val="24"/>
    </w:rPr>
  </w:style>
  <w:style w:type="paragraph" w:styleId="Heading3">
    <w:name w:val="heading 3"/>
    <w:basedOn w:val="Heading1"/>
    <w:next w:val="Normal"/>
    <w:qFormat/>
    <w:pPr>
      <w:tabs>
        <w:tab w:val="clear" w:pos="1134"/>
      </w:tabs>
      <w:spacing w:before="200"/>
      <w:outlineLvl w:val="2"/>
    </w:pPr>
    <w:rPr>
      <w:sz w:val="24"/>
    </w:rPr>
  </w:style>
  <w:style w:type="paragraph" w:styleId="Heading4">
    <w:name w:val="heading 4"/>
    <w:basedOn w:val="Heading3"/>
    <w:next w:val="Normal"/>
    <w:qFormat/>
    <w:pPr>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
    <w:name w:val="Annex_No"/>
    <w:basedOn w:val="Normal"/>
    <w:next w:val="Annexref"/>
    <w:pPr>
      <w:keepNext/>
      <w:keepLines/>
      <w:spacing w:before="480" w:after="80"/>
      <w:jc w:val="center"/>
    </w:pPr>
    <w:rPr>
      <w:caps/>
      <w:sz w:val="28"/>
    </w:rPr>
  </w:style>
  <w:style w:type="paragraph" w:customStyle="1" w:styleId="Annexref">
    <w:name w:val="Annex_ref"/>
    <w:basedOn w:val="Normal"/>
    <w:next w:val="Annextitle"/>
    <w:pPr>
      <w:keepNext/>
      <w:keepLines/>
      <w:spacing w:after="280"/>
      <w:jc w:val="center"/>
    </w:pPr>
  </w:style>
  <w:style w:type="paragraph" w:customStyle="1" w:styleId="Annextitle">
    <w:name w:val="Annex_title"/>
    <w:basedOn w:val="Normal"/>
    <w:next w:val="Normalaftertitle"/>
    <w:link w:val="AnnextitleChar1"/>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style>
  <w:style w:type="paragraph" w:customStyle="1" w:styleId="Appendixref">
    <w:name w:val="Appendix_ref"/>
    <w:basedOn w:val="Annexref"/>
    <w:next w:val="Annextitle"/>
  </w:style>
  <w:style w:type="paragraph" w:customStyle="1" w:styleId="Appendixtitle">
    <w:name w:val="Appendix_title"/>
    <w:basedOn w:val="Annextitle"/>
    <w:next w:val="Normalaftertitle"/>
  </w:style>
  <w:style w:type="paragraph" w:customStyle="1" w:styleId="Call">
    <w:name w:val="Call"/>
    <w:basedOn w:val="Normal"/>
    <w:next w:val="Normal"/>
    <w:link w:val="CallChar"/>
    <w:pPr>
      <w:keepNext/>
      <w:keepLines/>
      <w:spacing w:before="160"/>
      <w:ind w:left="1134"/>
    </w:pPr>
    <w:rPr>
      <w:i/>
    </w:rPr>
  </w:style>
  <w:style w:type="paragraph" w:customStyle="1" w:styleId="ChapNo">
    <w:name w:val="Chap_No"/>
    <w:basedOn w:val="Normal"/>
    <w:next w:val="Chaptitle"/>
    <w:rsid w:val="00B75455"/>
    <w:pPr>
      <w:keepNext/>
      <w:keepLines/>
      <w:spacing w:before="480"/>
      <w:jc w:val="center"/>
    </w:pPr>
    <w:rPr>
      <w:rFonts w:ascii="Times New Roman Bold" w:hAnsi="Times New Roman Bold"/>
      <w:b/>
      <w:caps/>
      <w:sz w:val="28"/>
    </w:rPr>
  </w:style>
  <w:style w:type="paragraph" w:customStyle="1" w:styleId="Chaptitle">
    <w:name w:val="Chap_title"/>
    <w:basedOn w:val="Normal"/>
    <w:next w:val="Normalaftertitle"/>
    <w:rsid w:val="00B75455"/>
    <w:pPr>
      <w:keepNext/>
      <w:keepLines/>
      <w:spacing w:before="240"/>
      <w:jc w:val="center"/>
    </w:pPr>
    <w:rPr>
      <w:b/>
      <w:sz w:val="28"/>
    </w:rPr>
  </w:style>
  <w:style w:type="character" w:styleId="EndnoteReference">
    <w:name w:val="endnote reference"/>
    <w:basedOn w:val="DefaultParagraphFont"/>
    <w:semiHidden/>
    <w:rPr>
      <w:vertAlign w:val="superscript"/>
    </w:rPr>
  </w:style>
  <w:style w:type="paragraph" w:customStyle="1" w:styleId="enumlev1">
    <w:name w:val="enumlev1"/>
    <w:basedOn w:val="Normal"/>
    <w:link w:val="enumlev1Char"/>
    <w:uiPriority w:val="99"/>
    <w:pPr>
      <w:tabs>
        <w:tab w:val="clear" w:pos="2268"/>
        <w:tab w:val="left" w:pos="2608"/>
        <w:tab w:val="left" w:pos="3345"/>
      </w:tabs>
      <w:spacing w:before="80"/>
      <w:ind w:left="1134" w:hanging="1134"/>
    </w:pPr>
  </w:style>
  <w:style w:type="paragraph" w:customStyle="1" w:styleId="enumlev2">
    <w:name w:val="enumlev2"/>
    <w:basedOn w:val="enumlev1"/>
    <w:pPr>
      <w:ind w:left="1871" w:hanging="737"/>
    </w:pPr>
  </w:style>
  <w:style w:type="paragraph" w:customStyle="1" w:styleId="enumlev3">
    <w:name w:val="enumlev3"/>
    <w:basedOn w:val="enumlev2"/>
    <w:pPr>
      <w:ind w:left="2268" w:hanging="397"/>
    </w:pPr>
  </w:style>
  <w:style w:type="paragraph" w:customStyle="1" w:styleId="Equation">
    <w:name w:val="Equation"/>
    <w:basedOn w:val="Normal"/>
    <w:pPr>
      <w:tabs>
        <w:tab w:val="clear" w:pos="1871"/>
        <w:tab w:val="clear" w:pos="2268"/>
        <w:tab w:val="center" w:pos="4820"/>
        <w:tab w:val="right" w:pos="9639"/>
      </w:tabs>
    </w:pPr>
  </w:style>
  <w:style w:type="paragraph" w:styleId="NormalIndent">
    <w:name w:val="Normal Indent"/>
    <w:basedOn w:val="Normal"/>
    <w:pPr>
      <w:ind w:left="1134"/>
    </w:pPr>
  </w:style>
  <w:style w:type="paragraph" w:customStyle="1" w:styleId="Equationlegend">
    <w:name w:val="Equation_legend"/>
    <w:basedOn w:val="NormalIndent"/>
    <w:pPr>
      <w:tabs>
        <w:tab w:val="clear" w:pos="1134"/>
        <w:tab w:val="clear" w:pos="2268"/>
        <w:tab w:val="right" w:pos="1871"/>
        <w:tab w:val="left" w:pos="2041"/>
      </w:tabs>
      <w:spacing w:before="80"/>
      <w:ind w:left="2041" w:hanging="2041"/>
    </w:pPr>
  </w:style>
  <w:style w:type="paragraph" w:customStyle="1" w:styleId="Figurelegend">
    <w:name w:val="Figure_legend"/>
    <w:basedOn w:val="Normal"/>
    <w:pPr>
      <w:keepNext/>
      <w:keepLines/>
      <w:spacing w:before="20" w:after="20"/>
    </w:pPr>
    <w:rPr>
      <w:sz w:val="18"/>
    </w:rPr>
  </w:style>
  <w:style w:type="paragraph" w:customStyle="1" w:styleId="FigureNo">
    <w:name w:val="Figure_No"/>
    <w:basedOn w:val="Normal"/>
    <w:next w:val="Figuretitle"/>
    <w:rsid w:val="00916196"/>
    <w:pPr>
      <w:keepNext/>
      <w:keepLines/>
      <w:spacing w:before="480" w:after="120"/>
      <w:jc w:val="center"/>
    </w:pPr>
    <w:rPr>
      <w:caps/>
    </w:rPr>
  </w:style>
  <w:style w:type="paragraph" w:customStyle="1" w:styleId="Figuretitle">
    <w:name w:val="Figure_title"/>
    <w:basedOn w:val="Normal"/>
    <w:next w:val="Normal"/>
    <w:rsid w:val="00B627DD"/>
    <w:pPr>
      <w:spacing w:after="480"/>
      <w:jc w:val="center"/>
    </w:pPr>
    <w:rPr>
      <w:b/>
    </w:rPr>
  </w:style>
  <w:style w:type="paragraph" w:customStyle="1" w:styleId="Figurewithouttitle">
    <w:name w:val="Figure_without_title"/>
    <w:basedOn w:val="FigureNo"/>
    <w:next w:val="Normal"/>
    <w:pPr>
      <w:keepNext w:val="0"/>
    </w:pPr>
  </w:style>
  <w:style w:type="paragraph" w:styleId="Footer">
    <w:name w:val="footer"/>
    <w:basedOn w:val="Normal"/>
    <w:link w:val="FooterChar"/>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
    <w:basedOn w:val="DefaultParagraphFont"/>
    <w:uiPriority w:val="99"/>
    <w:rPr>
      <w:position w:val="6"/>
      <w:sz w:val="18"/>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Footnote Text Char1"/>
    <w:basedOn w:val="Normal"/>
    <w:link w:val="FootnoteTextChar"/>
    <w:uiPriority w:val="99"/>
    <w:pPr>
      <w:keepLines/>
      <w:tabs>
        <w:tab w:val="left" w:pos="255"/>
      </w:tabs>
    </w:pPr>
  </w:style>
  <w:style w:type="paragraph" w:styleId="Header">
    <w:name w:val="header"/>
    <w:aliases w:val="h,Header/Footer"/>
    <w:basedOn w:val="Normal"/>
    <w:link w:val="HeaderChar"/>
    <w:pPr>
      <w:spacing w:before="0"/>
      <w:jc w:val="center"/>
    </w:pPr>
    <w:rPr>
      <w:sz w:val="18"/>
    </w:rPr>
  </w:style>
  <w:style w:type="paragraph" w:customStyle="1" w:styleId="Headingb">
    <w:name w:val="Heading_b"/>
    <w:basedOn w:val="Normal"/>
    <w:next w:val="Normal"/>
    <w:rsid w:val="00C858D0"/>
    <w:pPr>
      <w:keepNext/>
      <w:spacing w:before="160"/>
    </w:pPr>
    <w:rPr>
      <w:rFonts w:ascii="Times" w:hAnsi="Times"/>
      <w:b/>
    </w:rPr>
  </w:style>
  <w:style w:type="paragraph" w:customStyle="1" w:styleId="Headingi">
    <w:name w:val="Heading_i"/>
    <w:basedOn w:val="Normal"/>
    <w:next w:val="Normal"/>
    <w:pPr>
      <w:keepNext/>
      <w:spacing w:before="160"/>
    </w:pPr>
    <w:rPr>
      <w:rFonts w:ascii="Times" w:hAnsi="Times"/>
      <w:i/>
    </w:rPr>
  </w:style>
  <w:style w:type="paragraph" w:customStyle="1" w:styleId="Normalaftertitle">
    <w:name w:val="Normal after title"/>
    <w:basedOn w:val="Normal"/>
    <w:next w:val="Normal"/>
    <w:pPr>
      <w:spacing w:before="280"/>
    </w:pPr>
  </w:style>
  <w:style w:type="paragraph" w:customStyle="1" w:styleId="Note">
    <w:name w:val="Note"/>
    <w:basedOn w:val="Normal"/>
    <w:pPr>
      <w:tabs>
        <w:tab w:val="left" w:pos="284"/>
      </w:tabs>
      <w:spacing w:before="80"/>
    </w:pPr>
  </w:style>
  <w:style w:type="paragraph" w:customStyle="1" w:styleId="PartNo">
    <w:name w:val="Part_No"/>
    <w:basedOn w:val="AnnexNo"/>
    <w:next w:val="Normal"/>
  </w:style>
  <w:style w:type="paragraph" w:customStyle="1" w:styleId="Parttitle">
    <w:name w:val="Part_title"/>
    <w:basedOn w:val="Annextitle"/>
    <w:next w:val="Normalaftertitle"/>
  </w:style>
  <w:style w:type="paragraph" w:customStyle="1" w:styleId="RecNo">
    <w:name w:val="Rec_No"/>
    <w:basedOn w:val="Normal"/>
    <w:next w:val="Rectitle"/>
    <w:rsid w:val="00BD5FE4"/>
    <w:pPr>
      <w:keepNext/>
      <w:keepLines/>
      <w:spacing w:before="480"/>
    </w:pPr>
    <w:rPr>
      <w:rFonts w:ascii="Times New Roman Bold" w:hAnsi="Times New Roman Bold" w:cs="Times New Roman Bold"/>
      <w:b/>
      <w:sz w:val="28"/>
    </w:rPr>
  </w:style>
  <w:style w:type="paragraph" w:customStyle="1" w:styleId="Rectitle">
    <w:name w:val="Rec_title"/>
    <w:basedOn w:val="RecNo"/>
    <w:next w:val="Recref"/>
    <w:rsid w:val="00BD5FE4"/>
    <w:pPr>
      <w:spacing w:before="240"/>
      <w:jc w:val="center"/>
    </w:pPr>
    <w:rPr>
      <w:bCs/>
    </w:rPr>
  </w:style>
  <w:style w:type="paragraph" w:customStyle="1" w:styleId="Recref">
    <w:name w:val="Rec_ref"/>
    <w:basedOn w:val="Rectitle"/>
    <w:next w:val="Recdate"/>
    <w:rsid w:val="00FD5C8C"/>
    <w:pPr>
      <w:spacing w:before="120"/>
    </w:pPr>
    <w:rPr>
      <w:rFonts w:ascii="Times New Roman" w:hAnsi="Times New Roman"/>
      <w:b w:val="0"/>
      <w:i/>
      <w:sz w:val="24"/>
    </w:rPr>
  </w:style>
  <w:style w:type="paragraph" w:customStyle="1" w:styleId="Recdate">
    <w:name w:val="Rec_date"/>
    <w:basedOn w:val="Recref"/>
    <w:next w:val="Normalaftertitle"/>
    <w:rsid w:val="000121A4"/>
  </w:style>
  <w:style w:type="paragraph" w:customStyle="1" w:styleId="Questiondate">
    <w:name w:val="Question_date"/>
    <w:basedOn w:val="Recdate"/>
    <w:next w:val="Normalaftertitle"/>
  </w:style>
  <w:style w:type="paragraph" w:customStyle="1" w:styleId="QuestionNo">
    <w:name w:val="Question_No"/>
    <w:basedOn w:val="ResNo"/>
    <w:next w:val="Questiontitle"/>
  </w:style>
  <w:style w:type="paragraph" w:customStyle="1" w:styleId="Questiontitle">
    <w:name w:val="Question_title"/>
    <w:basedOn w:val="Rectitle"/>
    <w:next w:val="Normal"/>
  </w:style>
  <w:style w:type="paragraph" w:customStyle="1" w:styleId="Resdate">
    <w:name w:val="Res_date"/>
    <w:basedOn w:val="Recdate"/>
    <w:next w:val="Normalaftertitle"/>
  </w:style>
  <w:style w:type="paragraph" w:customStyle="1" w:styleId="ResNo">
    <w:name w:val="Res_No"/>
    <w:basedOn w:val="Normal"/>
    <w:next w:val="Normal"/>
    <w:link w:val="ResNoChar"/>
    <w:rsid w:val="00E8097C"/>
    <w:pPr>
      <w:spacing w:before="480"/>
      <w:jc w:val="center"/>
    </w:pPr>
    <w:rPr>
      <w:caps/>
      <w:sz w:val="28"/>
    </w:rPr>
  </w:style>
  <w:style w:type="paragraph" w:customStyle="1" w:styleId="Resref">
    <w:name w:val="Res_ref"/>
    <w:basedOn w:val="Recref"/>
    <w:next w:val="Resdate"/>
  </w:style>
  <w:style w:type="character" w:customStyle="1" w:styleId="Resdef">
    <w:name w:val="Res_def"/>
    <w:basedOn w:val="DefaultParagraphFont"/>
    <w:rPr>
      <w:rFonts w:ascii="Times New Roman" w:hAnsi="Times New Roman"/>
      <w:b/>
    </w:rPr>
  </w:style>
  <w:style w:type="character" w:styleId="PageNumber">
    <w:name w:val="page number"/>
    <w:basedOn w:val="DefaultParagraphFont"/>
  </w:style>
  <w:style w:type="paragraph" w:customStyle="1" w:styleId="Reasons">
    <w:name w:val="Reasons"/>
    <w:basedOn w:val="Normal"/>
    <w:qFormat/>
    <w:pPr>
      <w:tabs>
        <w:tab w:val="clear" w:pos="1871"/>
        <w:tab w:val="clear" w:pos="2268"/>
        <w:tab w:val="left" w:pos="1588"/>
        <w:tab w:val="left" w:pos="1985"/>
      </w:tabs>
    </w:pPr>
  </w:style>
  <w:style w:type="paragraph" w:customStyle="1" w:styleId="Proposal">
    <w:name w:val="Proposal"/>
    <w:basedOn w:val="Normal"/>
    <w:next w:val="Normal"/>
    <w:rsid w:val="00B51263"/>
    <w:pPr>
      <w:keepNext/>
      <w:spacing w:before="240"/>
    </w:pPr>
    <w:rPr>
      <w:rFonts w:hAnsi="Times New Roman Bold"/>
      <w:b/>
    </w:rPr>
  </w:style>
  <w:style w:type="paragraph" w:customStyle="1" w:styleId="Figure">
    <w:name w:val="Figure"/>
    <w:basedOn w:val="Normal"/>
    <w:next w:val="Figuretitle"/>
    <w:pPr>
      <w:keepNext/>
      <w:keepLines/>
      <w:jc w:val="center"/>
    </w:pPr>
  </w:style>
  <w:style w:type="paragraph" w:customStyle="1" w:styleId="Agendaitem">
    <w:name w:val="Agenda_item"/>
    <w:basedOn w:val="Normal"/>
    <w:next w:val="Normalaftertitle"/>
    <w:qFormat/>
    <w:rsid w:val="002E701F"/>
    <w:pPr>
      <w:overflowPunct/>
      <w:autoSpaceDE/>
      <w:autoSpaceDN/>
      <w:adjustRightInd/>
      <w:spacing w:before="240"/>
      <w:jc w:val="center"/>
      <w:textAlignment w:val="auto"/>
    </w:pPr>
    <w:rPr>
      <w:sz w:val="28"/>
    </w:rPr>
  </w:style>
  <w:style w:type="paragraph" w:customStyle="1" w:styleId="Part1">
    <w:name w:val="Part_1"/>
    <w:basedOn w:val="Normal"/>
    <w:qFormat/>
    <w:rsid w:val="002E701F"/>
    <w:pPr>
      <w:tabs>
        <w:tab w:val="clear" w:pos="1134"/>
        <w:tab w:val="clear" w:pos="1871"/>
        <w:tab w:val="clear" w:pos="2268"/>
        <w:tab w:val="center" w:pos="4820"/>
      </w:tabs>
      <w:spacing w:before="360"/>
      <w:jc w:val="center"/>
    </w:pPr>
    <w:rPr>
      <w:b/>
    </w:rPr>
  </w:style>
  <w:style w:type="paragraph" w:customStyle="1" w:styleId="Normalend">
    <w:name w:val="Normal_end"/>
    <w:basedOn w:val="Normal"/>
    <w:qFormat/>
    <w:rsid w:val="007C2317"/>
  </w:style>
  <w:style w:type="character" w:customStyle="1" w:styleId="Tablefreq">
    <w:name w:val="Table_freq"/>
    <w:basedOn w:val="DefaultParagraphFont"/>
    <w:rsid w:val="00973754"/>
    <w:rPr>
      <w:b/>
      <w:color w:val="auto"/>
      <w:sz w:val="20"/>
    </w:rPr>
  </w:style>
  <w:style w:type="paragraph" w:customStyle="1" w:styleId="Tabletext">
    <w:name w:val="Table_text"/>
    <w:basedOn w:val="Normal"/>
    <w:rsid w:val="009737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Tablehead">
    <w:name w:val="Table_head"/>
    <w:basedOn w:val="Tabletext"/>
    <w:next w:val="Tabletext"/>
    <w:rsid w:val="00973754"/>
    <w:pPr>
      <w:keepNext/>
      <w:spacing w:before="80" w:after="80"/>
      <w:jc w:val="center"/>
    </w:pPr>
    <w:rPr>
      <w:b/>
    </w:rPr>
  </w:style>
  <w:style w:type="paragraph" w:customStyle="1" w:styleId="Tablelegend">
    <w:name w:val="Table_legend"/>
    <w:basedOn w:val="Tabletext"/>
    <w:rsid w:val="00973754"/>
    <w:pPr>
      <w:tabs>
        <w:tab w:val="clear" w:pos="284"/>
      </w:tabs>
      <w:spacing w:before="120"/>
    </w:pPr>
  </w:style>
  <w:style w:type="paragraph" w:customStyle="1" w:styleId="TableNo">
    <w:name w:val="Table_No"/>
    <w:basedOn w:val="Normal"/>
    <w:next w:val="Normal"/>
    <w:rsid w:val="00973754"/>
    <w:pPr>
      <w:keepNext/>
      <w:spacing w:before="560" w:after="120"/>
      <w:jc w:val="center"/>
    </w:pPr>
    <w:rPr>
      <w:caps/>
      <w:sz w:val="20"/>
    </w:rPr>
  </w:style>
  <w:style w:type="paragraph" w:customStyle="1" w:styleId="Tableref">
    <w:name w:val="Table_ref"/>
    <w:basedOn w:val="Normal"/>
    <w:next w:val="Normal"/>
    <w:rsid w:val="00973754"/>
    <w:pPr>
      <w:keepNext/>
      <w:spacing w:before="560"/>
      <w:jc w:val="center"/>
    </w:pPr>
    <w:rPr>
      <w:sz w:val="20"/>
    </w:rPr>
  </w:style>
  <w:style w:type="paragraph" w:customStyle="1" w:styleId="Tabletitle">
    <w:name w:val="Table_title"/>
    <w:basedOn w:val="Normal"/>
    <w:next w:val="Tabletext"/>
    <w:rsid w:val="00973754"/>
    <w:pPr>
      <w:keepNext/>
      <w:keepLines/>
      <w:spacing w:before="0" w:after="120"/>
      <w:jc w:val="center"/>
    </w:pPr>
    <w:rPr>
      <w:rFonts w:ascii="Times New Roman Bold" w:hAnsi="Times New Roman Bold"/>
      <w:b/>
      <w:sz w:val="20"/>
    </w:rPr>
  </w:style>
  <w:style w:type="paragraph" w:customStyle="1" w:styleId="Section1">
    <w:name w:val="Section_1"/>
    <w:basedOn w:val="Normal"/>
    <w:rsid w:val="004B124A"/>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4B124A"/>
    <w:rPr>
      <w:b w:val="0"/>
      <w:i/>
    </w:rPr>
  </w:style>
  <w:style w:type="paragraph" w:customStyle="1" w:styleId="Section3">
    <w:name w:val="Section_3"/>
    <w:basedOn w:val="Section1"/>
    <w:rsid w:val="004B124A"/>
    <w:rPr>
      <w:b w:val="0"/>
    </w:rPr>
  </w:style>
  <w:style w:type="paragraph" w:customStyle="1" w:styleId="SectionNo">
    <w:name w:val="Section_No"/>
    <w:basedOn w:val="AnnexNo"/>
    <w:next w:val="Normal"/>
    <w:rsid w:val="004B124A"/>
  </w:style>
  <w:style w:type="paragraph" w:customStyle="1" w:styleId="Sectiontitle">
    <w:name w:val="Section_title"/>
    <w:basedOn w:val="Annextitle"/>
    <w:next w:val="Normalaftertitle"/>
    <w:rsid w:val="004B124A"/>
  </w:style>
  <w:style w:type="paragraph" w:customStyle="1" w:styleId="Source">
    <w:name w:val="Source"/>
    <w:basedOn w:val="Normal"/>
    <w:next w:val="Normal"/>
    <w:rsid w:val="004B124A"/>
    <w:pPr>
      <w:spacing w:before="840"/>
      <w:jc w:val="center"/>
    </w:pPr>
    <w:rPr>
      <w:b/>
      <w:sz w:val="28"/>
    </w:rPr>
  </w:style>
  <w:style w:type="paragraph" w:customStyle="1" w:styleId="Title1">
    <w:name w:val="Title 1"/>
    <w:basedOn w:val="Source"/>
    <w:next w:val="Normal"/>
    <w:rsid w:val="00E262F1"/>
    <w:pPr>
      <w:tabs>
        <w:tab w:val="left" w:pos="567"/>
        <w:tab w:val="left" w:pos="1701"/>
        <w:tab w:val="left" w:pos="2835"/>
      </w:tabs>
      <w:spacing w:before="240"/>
    </w:pPr>
    <w:rPr>
      <w:b w:val="0"/>
      <w:caps/>
    </w:rPr>
  </w:style>
  <w:style w:type="paragraph" w:customStyle="1" w:styleId="Title2">
    <w:name w:val="Title 2"/>
    <w:basedOn w:val="Source"/>
    <w:next w:val="Normal"/>
    <w:rsid w:val="00E262F1"/>
    <w:pPr>
      <w:overflowPunct/>
      <w:autoSpaceDE/>
      <w:autoSpaceDN/>
      <w:adjustRightInd/>
      <w:spacing w:before="480"/>
      <w:textAlignment w:val="auto"/>
    </w:pPr>
    <w:rPr>
      <w:b w:val="0"/>
      <w:caps/>
    </w:rPr>
  </w:style>
  <w:style w:type="paragraph" w:customStyle="1" w:styleId="Title3">
    <w:name w:val="Title 3"/>
    <w:basedOn w:val="Title2"/>
    <w:next w:val="Normal"/>
    <w:rsid w:val="00E262F1"/>
    <w:pPr>
      <w:spacing w:before="240"/>
    </w:pPr>
    <w:rPr>
      <w:caps w:val="0"/>
    </w:rPr>
  </w:style>
  <w:style w:type="paragraph" w:customStyle="1" w:styleId="Title4">
    <w:name w:val="Title 4"/>
    <w:basedOn w:val="Title3"/>
    <w:next w:val="Heading1"/>
    <w:rsid w:val="00E262F1"/>
    <w:rPr>
      <w:b/>
    </w:rPr>
  </w:style>
  <w:style w:type="paragraph" w:customStyle="1" w:styleId="toc0">
    <w:name w:val="toc 0"/>
    <w:basedOn w:val="Normal"/>
    <w:next w:val="TOC1"/>
    <w:link w:val="toc0Char"/>
    <w:rsid w:val="00F8150C"/>
    <w:pPr>
      <w:tabs>
        <w:tab w:val="clear" w:pos="1134"/>
        <w:tab w:val="clear" w:pos="1871"/>
        <w:tab w:val="clear" w:pos="2268"/>
        <w:tab w:val="right" w:pos="9781"/>
      </w:tabs>
    </w:pPr>
    <w:rPr>
      <w:b/>
    </w:rPr>
  </w:style>
  <w:style w:type="paragraph" w:styleId="TOC1">
    <w:name w:val="toc 1"/>
    <w:basedOn w:val="Normal"/>
    <w:uiPriority w:val="39"/>
    <w:rsid w:val="00F8150C"/>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F8150C"/>
    <w:pPr>
      <w:spacing w:before="120"/>
    </w:pPr>
  </w:style>
  <w:style w:type="paragraph" w:styleId="TOC3">
    <w:name w:val="toc 3"/>
    <w:basedOn w:val="TOC2"/>
    <w:rsid w:val="00F8150C"/>
  </w:style>
  <w:style w:type="paragraph" w:styleId="TOC4">
    <w:name w:val="toc 4"/>
    <w:basedOn w:val="TOC3"/>
    <w:rsid w:val="00F8150C"/>
  </w:style>
  <w:style w:type="paragraph" w:styleId="TOC5">
    <w:name w:val="toc 5"/>
    <w:basedOn w:val="TOC4"/>
    <w:rsid w:val="00F8150C"/>
  </w:style>
  <w:style w:type="paragraph" w:styleId="TOC6">
    <w:name w:val="toc 6"/>
    <w:basedOn w:val="TOC4"/>
    <w:rsid w:val="00F8150C"/>
  </w:style>
  <w:style w:type="paragraph" w:styleId="TOC7">
    <w:name w:val="toc 7"/>
    <w:basedOn w:val="TOC4"/>
    <w:rsid w:val="00F8150C"/>
  </w:style>
  <w:style w:type="paragraph" w:styleId="TOC8">
    <w:name w:val="toc 8"/>
    <w:basedOn w:val="TOC4"/>
    <w:rsid w:val="00F8150C"/>
  </w:style>
  <w:style w:type="paragraph" w:customStyle="1" w:styleId="Partref">
    <w:name w:val="Part_ref"/>
    <w:basedOn w:val="Annexref"/>
    <w:next w:val="Parttitle"/>
    <w:rsid w:val="0032680B"/>
  </w:style>
  <w:style w:type="paragraph" w:customStyle="1" w:styleId="Questionref">
    <w:name w:val="Question_ref"/>
    <w:basedOn w:val="Recref"/>
    <w:next w:val="Questiondate"/>
    <w:rsid w:val="006D6E67"/>
  </w:style>
  <w:style w:type="paragraph" w:customStyle="1" w:styleId="Restitle">
    <w:name w:val="Res_title"/>
    <w:basedOn w:val="Rectitle"/>
    <w:next w:val="Resref"/>
    <w:rsid w:val="009E11EC"/>
  </w:style>
  <w:style w:type="paragraph" w:customStyle="1" w:styleId="SpecialFooter">
    <w:name w:val="Special Footer"/>
    <w:basedOn w:val="Footer"/>
    <w:rsid w:val="00262C09"/>
    <w:pPr>
      <w:tabs>
        <w:tab w:val="left" w:pos="567"/>
        <w:tab w:val="left" w:pos="1134"/>
        <w:tab w:val="left" w:pos="1701"/>
        <w:tab w:val="left" w:pos="2268"/>
        <w:tab w:val="left" w:pos="2835"/>
      </w:tabs>
      <w:jc w:val="both"/>
    </w:pPr>
    <w:rPr>
      <w:caps w:val="0"/>
      <w:noProof w:val="0"/>
    </w:rPr>
  </w:style>
  <w:style w:type="paragraph" w:customStyle="1" w:styleId="Volumetitle">
    <w:name w:val="Volume_title"/>
    <w:basedOn w:val="Normal"/>
    <w:qFormat/>
    <w:rsid w:val="00B75455"/>
    <w:pPr>
      <w:keepNext/>
      <w:keepLines/>
      <w:spacing w:before="480"/>
      <w:jc w:val="center"/>
    </w:pPr>
    <w:rPr>
      <w:caps/>
      <w:sz w:val="28"/>
    </w:rPr>
  </w:style>
  <w:style w:type="paragraph" w:customStyle="1" w:styleId="Committee">
    <w:name w:val="Committee"/>
    <w:basedOn w:val="Normal"/>
    <w:qFormat/>
    <w:rsid w:val="00E83D45"/>
    <w:pPr>
      <w:framePr w:hSpace="180" w:wrap="around" w:hAnchor="margin" w:y="-675"/>
      <w:tabs>
        <w:tab w:val="left" w:pos="851"/>
      </w:tabs>
      <w:spacing w:before="0" w:line="240" w:lineRule="atLeast"/>
    </w:pPr>
    <w:rPr>
      <w:rFonts w:ascii="Verdana" w:hAnsi="Verdana" w:cstheme="minorHAnsi"/>
      <w:b/>
      <w:sz w:val="20"/>
      <w:szCs w:val="24"/>
      <w:lang w:val="en-GB"/>
    </w:rPr>
  </w:style>
  <w:style w:type="character" w:customStyle="1" w:styleId="ResNoChar">
    <w:name w:val="Res_No Char"/>
    <w:link w:val="ResNo"/>
    <w:rsid w:val="00E8097C"/>
    <w:rPr>
      <w:rFonts w:ascii="Times New Roman" w:hAnsi="Times New Roman"/>
      <w:caps/>
      <w:sz w:val="28"/>
      <w:lang w:val="es-ES_tradnl" w:eastAsia="en-US"/>
    </w:rPr>
  </w:style>
  <w:style w:type="paragraph" w:customStyle="1" w:styleId="Opinionref">
    <w:name w:val="Opinion_ref"/>
    <w:basedOn w:val="Normal"/>
    <w:next w:val="Normalaftertitle"/>
    <w:qFormat/>
    <w:rsid w:val="00E83D45"/>
    <w:pPr>
      <w:tabs>
        <w:tab w:val="clear" w:pos="1134"/>
        <w:tab w:val="clear" w:pos="1871"/>
        <w:tab w:val="clear" w:pos="2268"/>
      </w:tabs>
      <w:overflowPunct/>
      <w:autoSpaceDE/>
      <w:autoSpaceDN/>
      <w:adjustRightInd/>
      <w:spacing w:before="0"/>
      <w:jc w:val="center"/>
      <w:textAlignment w:val="auto"/>
    </w:pPr>
    <w:rPr>
      <w:i/>
      <w:sz w:val="22"/>
      <w:lang w:val="fr-CH"/>
    </w:rPr>
  </w:style>
  <w:style w:type="paragraph" w:customStyle="1" w:styleId="Opiniontitle">
    <w:name w:val="Opinion_title"/>
    <w:basedOn w:val="Restitle"/>
    <w:next w:val="Opinionref"/>
    <w:qFormat/>
    <w:rsid w:val="00E83D45"/>
    <w:rPr>
      <w:lang w:val="en-GB"/>
    </w:rPr>
  </w:style>
  <w:style w:type="paragraph" w:customStyle="1" w:styleId="OpinionNo">
    <w:name w:val="Opinion_No"/>
    <w:basedOn w:val="ResNo"/>
    <w:next w:val="Opiniontitle"/>
    <w:qFormat/>
    <w:rsid w:val="00E83D45"/>
    <w:pPr>
      <w:spacing w:line="280" w:lineRule="exact"/>
    </w:pPr>
  </w:style>
  <w:style w:type="character" w:customStyle="1" w:styleId="HeaderChar">
    <w:name w:val="Header Char"/>
    <w:aliases w:val="h Char,Header/Footer Char"/>
    <w:basedOn w:val="DefaultParagraphFont"/>
    <w:link w:val="Header"/>
    <w:rsid w:val="00E83D45"/>
    <w:rPr>
      <w:rFonts w:ascii="Times New Roman" w:hAnsi="Times New Roman"/>
      <w:sz w:val="18"/>
      <w:lang w:val="es-ES_tradnl" w:eastAsia="en-US"/>
    </w:rPr>
  </w:style>
  <w:style w:type="character" w:customStyle="1" w:styleId="FooterChar">
    <w:name w:val="Footer Char"/>
    <w:basedOn w:val="DefaultParagraphFont"/>
    <w:link w:val="Footer"/>
    <w:rsid w:val="00E83D45"/>
    <w:rPr>
      <w:rFonts w:ascii="Times New Roman" w:hAnsi="Times New Roman"/>
      <w:caps/>
      <w:noProof/>
      <w:sz w:val="16"/>
      <w:lang w:val="es-ES_tradnl" w:eastAsia="en-US"/>
    </w:rPr>
  </w:style>
  <w:style w:type="paragraph" w:customStyle="1" w:styleId="HeadingSummary">
    <w:name w:val="HeadingSummary"/>
    <w:basedOn w:val="Headingb"/>
    <w:qFormat/>
    <w:rsid w:val="00B173B3"/>
    <w:rPr>
      <w:rFonts w:ascii="Times New Roman" w:hAnsi="Times New Roman"/>
    </w:rPr>
  </w:style>
  <w:style w:type="character" w:styleId="PlaceholderText">
    <w:name w:val="Placeholder Text"/>
    <w:basedOn w:val="DefaultParagraphFont"/>
    <w:uiPriority w:val="99"/>
    <w:semiHidden/>
    <w:rsid w:val="006B0F54"/>
    <w:rPr>
      <w:color w:val="808080"/>
    </w:rPr>
  </w:style>
  <w:style w:type="character" w:customStyle="1" w:styleId="enumlev1Char">
    <w:name w:val="enumlev1 Char"/>
    <w:basedOn w:val="DefaultParagraphFont"/>
    <w:link w:val="enumlev1"/>
    <w:uiPriority w:val="99"/>
    <w:rsid w:val="00C70C39"/>
    <w:rPr>
      <w:rFonts w:ascii="Times New Roman" w:hAnsi="Times New Roman"/>
      <w:sz w:val="24"/>
      <w:lang w:val="es-ES_tradnl" w:eastAsia="en-US"/>
    </w:rPr>
  </w:style>
  <w:style w:type="character" w:styleId="Hyperlink">
    <w:name w:val="Hyperlink"/>
    <w:aliases w:val="超级链接,????"/>
    <w:basedOn w:val="DefaultParagraphFont"/>
    <w:uiPriority w:val="99"/>
    <w:rsid w:val="00C70C39"/>
    <w:rPr>
      <w:rFonts w:cs="Times New Roman"/>
      <w:color w:val="0000FF"/>
      <w:u w:val="single"/>
    </w:rPr>
  </w:style>
  <w:style w:type="character" w:customStyle="1" w:styleId="toc0Char">
    <w:name w:val="toc 0 Char"/>
    <w:basedOn w:val="DefaultParagraphFont"/>
    <w:link w:val="toc0"/>
    <w:locked/>
    <w:rsid w:val="00585E96"/>
    <w:rPr>
      <w:rFonts w:ascii="Times New Roman" w:hAnsi="Times New Roman"/>
      <w:b/>
      <w:sz w:val="24"/>
      <w:lang w:val="es-ES_tradnl" w:eastAsia="en-US"/>
    </w:rPr>
  </w:style>
  <w:style w:type="paragraph" w:customStyle="1" w:styleId="TableNotitle">
    <w:name w:val="Table_No &amp; title"/>
    <w:basedOn w:val="Normal"/>
    <w:next w:val="Tablehead"/>
    <w:rsid w:val="0073131C"/>
    <w:pPr>
      <w:keepNext/>
      <w:keepLines/>
      <w:tabs>
        <w:tab w:val="clear" w:pos="1134"/>
        <w:tab w:val="clear" w:pos="1871"/>
        <w:tab w:val="clear" w:pos="2268"/>
        <w:tab w:val="left" w:pos="794"/>
        <w:tab w:val="left" w:pos="1191"/>
        <w:tab w:val="left" w:pos="1588"/>
        <w:tab w:val="left" w:pos="1985"/>
      </w:tabs>
      <w:spacing w:before="360" w:after="120"/>
      <w:jc w:val="center"/>
    </w:pPr>
    <w:rPr>
      <w:b/>
    </w:rPr>
  </w:style>
  <w:style w:type="character" w:customStyle="1" w:styleId="CallChar">
    <w:name w:val="Call Char"/>
    <w:link w:val="Call"/>
    <w:rsid w:val="00791350"/>
    <w:rPr>
      <w:rFonts w:ascii="Times New Roman" w:hAnsi="Times New Roman"/>
      <w:i/>
      <w:sz w:val="24"/>
      <w:lang w:val="es-ES_tradnl"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Footnote Text Char1 Char"/>
    <w:link w:val="FootnoteText"/>
    <w:locked/>
    <w:rsid w:val="00C6751D"/>
    <w:rPr>
      <w:rFonts w:ascii="Times New Roman" w:hAnsi="Times New Roman"/>
      <w:sz w:val="24"/>
      <w:lang w:val="es-ES_tradnl" w:eastAsia="en-US"/>
    </w:rPr>
  </w:style>
  <w:style w:type="paragraph" w:customStyle="1" w:styleId="FooterQP">
    <w:name w:val="Footer_QP"/>
    <w:basedOn w:val="Normal"/>
    <w:link w:val="FooterQPChar"/>
    <w:rsid w:val="004631FD"/>
    <w:pPr>
      <w:tabs>
        <w:tab w:val="clear" w:pos="1134"/>
        <w:tab w:val="clear" w:pos="1871"/>
        <w:tab w:val="clear" w:pos="2268"/>
        <w:tab w:val="left" w:pos="907"/>
        <w:tab w:val="right" w:pos="8789"/>
        <w:tab w:val="right" w:pos="9639"/>
      </w:tabs>
      <w:spacing w:before="0" w:line="280" w:lineRule="exact"/>
    </w:pPr>
    <w:rPr>
      <w:b/>
      <w:sz w:val="22"/>
      <w:lang w:val="fr-FR"/>
    </w:rPr>
  </w:style>
  <w:style w:type="character" w:customStyle="1" w:styleId="FooterQPChar">
    <w:name w:val="Footer_QP Char"/>
    <w:basedOn w:val="DefaultParagraphFont"/>
    <w:link w:val="FooterQP"/>
    <w:rsid w:val="004631FD"/>
    <w:rPr>
      <w:rFonts w:ascii="Times New Roman" w:hAnsi="Times New Roman"/>
      <w:b/>
      <w:sz w:val="22"/>
      <w:lang w:val="fr-FR" w:eastAsia="en-US"/>
    </w:rPr>
  </w:style>
  <w:style w:type="character" w:styleId="FollowedHyperlink">
    <w:name w:val="FollowedHyperlink"/>
    <w:basedOn w:val="DefaultParagraphFont"/>
    <w:semiHidden/>
    <w:unhideWhenUsed/>
    <w:rsid w:val="00E92950"/>
    <w:rPr>
      <w:color w:val="800080" w:themeColor="followedHyperlink"/>
      <w:u w:val="single"/>
    </w:rPr>
  </w:style>
  <w:style w:type="paragraph" w:styleId="ListParagraph">
    <w:name w:val="List Paragraph"/>
    <w:basedOn w:val="Normal"/>
    <w:uiPriority w:val="34"/>
    <w:qFormat/>
    <w:rsid w:val="00335F26"/>
    <w:pPr>
      <w:ind w:left="720"/>
      <w:contextualSpacing/>
    </w:pPr>
  </w:style>
  <w:style w:type="paragraph" w:styleId="BalloonText">
    <w:name w:val="Balloon Text"/>
    <w:basedOn w:val="Normal"/>
    <w:link w:val="BalloonTextChar"/>
    <w:semiHidden/>
    <w:unhideWhenUsed/>
    <w:rsid w:val="000F4F0E"/>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0F4F0E"/>
    <w:rPr>
      <w:rFonts w:ascii="Segoe UI" w:hAnsi="Segoe UI" w:cs="Segoe UI"/>
      <w:sz w:val="18"/>
      <w:szCs w:val="18"/>
      <w:lang w:val="es-ES_tradnl" w:eastAsia="en-US"/>
    </w:rPr>
  </w:style>
  <w:style w:type="character" w:customStyle="1" w:styleId="preferred">
    <w:name w:val="preferred"/>
    <w:basedOn w:val="DefaultParagraphFont"/>
    <w:rsid w:val="00CA7E1B"/>
  </w:style>
  <w:style w:type="character" w:customStyle="1" w:styleId="admitted">
    <w:name w:val="admitted"/>
    <w:basedOn w:val="DefaultParagraphFont"/>
    <w:rsid w:val="008B52C2"/>
  </w:style>
  <w:style w:type="character" w:customStyle="1" w:styleId="acronym">
    <w:name w:val="acronym"/>
    <w:basedOn w:val="DefaultParagraphFont"/>
    <w:rsid w:val="004650B1"/>
  </w:style>
  <w:style w:type="character" w:customStyle="1" w:styleId="Heading1Char">
    <w:name w:val="Heading 1 Char"/>
    <w:basedOn w:val="DefaultParagraphFont"/>
    <w:link w:val="Heading1"/>
    <w:locked/>
    <w:rsid w:val="0062564D"/>
    <w:rPr>
      <w:rFonts w:ascii="Times New Roman" w:hAnsi="Times New Roman"/>
      <w:b/>
      <w:sz w:val="28"/>
      <w:lang w:val="es-ES_tradnl" w:eastAsia="en-US"/>
    </w:rPr>
  </w:style>
  <w:style w:type="character" w:customStyle="1" w:styleId="href">
    <w:name w:val="href"/>
    <w:basedOn w:val="DefaultParagraphFont"/>
    <w:uiPriority w:val="99"/>
    <w:rsid w:val="0062564D"/>
  </w:style>
  <w:style w:type="paragraph" w:styleId="NormalWeb">
    <w:name w:val="Normal (Web)"/>
    <w:basedOn w:val="Normal"/>
    <w:uiPriority w:val="99"/>
    <w:semiHidden/>
    <w:unhideWhenUsed/>
    <w:rsid w:val="0062564D"/>
    <w:pPr>
      <w:tabs>
        <w:tab w:val="clear" w:pos="1134"/>
        <w:tab w:val="clear" w:pos="1871"/>
        <w:tab w:val="clear" w:pos="2268"/>
      </w:tabs>
      <w:overflowPunct/>
      <w:autoSpaceDE/>
      <w:autoSpaceDN/>
      <w:adjustRightInd/>
      <w:spacing w:before="100" w:beforeAutospacing="1" w:after="100" w:afterAutospacing="1"/>
      <w:textAlignment w:val="auto"/>
    </w:pPr>
    <w:rPr>
      <w:szCs w:val="24"/>
      <w:lang w:val="en-US" w:eastAsia="zh-CN"/>
    </w:rPr>
  </w:style>
  <w:style w:type="character" w:customStyle="1" w:styleId="apple-converted-space">
    <w:name w:val="apple-converted-space"/>
    <w:basedOn w:val="DefaultParagraphFont"/>
    <w:rsid w:val="0062564D"/>
  </w:style>
  <w:style w:type="character" w:customStyle="1" w:styleId="Appref">
    <w:name w:val="App_ref"/>
    <w:basedOn w:val="DefaultParagraphFont"/>
    <w:rsid w:val="0062564D"/>
  </w:style>
  <w:style w:type="paragraph" w:customStyle="1" w:styleId="Norma">
    <w:name w:val="Norma"/>
    <w:basedOn w:val="Normal"/>
    <w:rsid w:val="00990CCE"/>
    <w:rPr>
      <w:color w:val="000000"/>
    </w:rPr>
  </w:style>
  <w:style w:type="character" w:customStyle="1" w:styleId="AnnextitleChar1">
    <w:name w:val="Annex_title Char1"/>
    <w:basedOn w:val="DefaultParagraphFont"/>
    <w:link w:val="Annextitle"/>
    <w:locked/>
    <w:rsid w:val="001C02EF"/>
    <w:rPr>
      <w:rFonts w:ascii="Times New Roman Bold" w:hAnsi="Times New Roman Bold"/>
      <w:b/>
      <w:sz w:val="28"/>
      <w:lang w:val="es-ES_tradnl"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66070">
      <w:bodyDiv w:val="1"/>
      <w:marLeft w:val="0"/>
      <w:marRight w:val="0"/>
      <w:marTop w:val="0"/>
      <w:marBottom w:val="0"/>
      <w:divBdr>
        <w:top w:val="none" w:sz="0" w:space="0" w:color="auto"/>
        <w:left w:val="none" w:sz="0" w:space="0" w:color="auto"/>
        <w:bottom w:val="none" w:sz="0" w:space="0" w:color="auto"/>
        <w:right w:val="none" w:sz="0" w:space="0" w:color="auto"/>
      </w:divBdr>
      <w:divsChild>
        <w:div w:id="1235622607">
          <w:marLeft w:val="0"/>
          <w:marRight w:val="0"/>
          <w:marTop w:val="0"/>
          <w:marBottom w:val="0"/>
          <w:divBdr>
            <w:top w:val="none" w:sz="0" w:space="0" w:color="auto"/>
            <w:left w:val="none" w:sz="0" w:space="0" w:color="auto"/>
            <w:bottom w:val="none" w:sz="0" w:space="0" w:color="auto"/>
            <w:right w:val="none" w:sz="0" w:space="0" w:color="auto"/>
          </w:divBdr>
          <w:divsChild>
            <w:div w:id="1867867348">
              <w:marLeft w:val="0"/>
              <w:marRight w:val="0"/>
              <w:marTop w:val="0"/>
              <w:marBottom w:val="0"/>
              <w:divBdr>
                <w:top w:val="none" w:sz="0" w:space="0" w:color="auto"/>
                <w:left w:val="none" w:sz="0" w:space="0" w:color="auto"/>
                <w:bottom w:val="none" w:sz="0" w:space="0" w:color="auto"/>
                <w:right w:val="none" w:sz="0" w:space="0" w:color="auto"/>
              </w:divBdr>
              <w:divsChild>
                <w:div w:id="1131754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051194">
      <w:bodyDiv w:val="1"/>
      <w:marLeft w:val="0"/>
      <w:marRight w:val="0"/>
      <w:marTop w:val="0"/>
      <w:marBottom w:val="0"/>
      <w:divBdr>
        <w:top w:val="none" w:sz="0" w:space="0" w:color="auto"/>
        <w:left w:val="none" w:sz="0" w:space="0" w:color="auto"/>
        <w:bottom w:val="none" w:sz="0" w:space="0" w:color="auto"/>
        <w:right w:val="none" w:sz="0" w:space="0" w:color="auto"/>
      </w:divBdr>
      <w:divsChild>
        <w:div w:id="1126503456">
          <w:marLeft w:val="0"/>
          <w:marRight w:val="0"/>
          <w:marTop w:val="0"/>
          <w:marBottom w:val="0"/>
          <w:divBdr>
            <w:top w:val="none" w:sz="0" w:space="0" w:color="auto"/>
            <w:left w:val="none" w:sz="0" w:space="0" w:color="auto"/>
            <w:bottom w:val="none" w:sz="0" w:space="0" w:color="auto"/>
            <w:right w:val="none" w:sz="0" w:space="0" w:color="auto"/>
          </w:divBdr>
          <w:divsChild>
            <w:div w:id="1023633864">
              <w:marLeft w:val="0"/>
              <w:marRight w:val="0"/>
              <w:marTop w:val="0"/>
              <w:marBottom w:val="0"/>
              <w:divBdr>
                <w:top w:val="none" w:sz="0" w:space="0" w:color="auto"/>
                <w:left w:val="none" w:sz="0" w:space="0" w:color="auto"/>
                <w:bottom w:val="none" w:sz="0" w:space="0" w:color="auto"/>
                <w:right w:val="none" w:sz="0" w:space="0" w:color="auto"/>
              </w:divBdr>
              <w:divsChild>
                <w:div w:id="1053772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69591">
      <w:bodyDiv w:val="1"/>
      <w:marLeft w:val="0"/>
      <w:marRight w:val="0"/>
      <w:marTop w:val="0"/>
      <w:marBottom w:val="0"/>
      <w:divBdr>
        <w:top w:val="none" w:sz="0" w:space="0" w:color="auto"/>
        <w:left w:val="none" w:sz="0" w:space="0" w:color="auto"/>
        <w:bottom w:val="none" w:sz="0" w:space="0" w:color="auto"/>
        <w:right w:val="none" w:sz="0" w:space="0" w:color="auto"/>
      </w:divBdr>
    </w:div>
    <w:div w:id="1728534171">
      <w:bodyDiv w:val="1"/>
      <w:marLeft w:val="0"/>
      <w:marRight w:val="0"/>
      <w:marTop w:val="0"/>
      <w:marBottom w:val="0"/>
      <w:divBdr>
        <w:top w:val="none" w:sz="0" w:space="0" w:color="auto"/>
        <w:left w:val="none" w:sz="0" w:space="0" w:color="auto"/>
        <w:bottom w:val="none" w:sz="0" w:space="0" w:color="auto"/>
        <w:right w:val="none" w:sz="0" w:space="0" w:color="auto"/>
      </w:divBdr>
    </w:div>
    <w:div w:id="1818721919">
      <w:bodyDiv w:val="1"/>
      <w:marLeft w:val="0"/>
      <w:marRight w:val="0"/>
      <w:marTop w:val="0"/>
      <w:marBottom w:val="0"/>
      <w:divBdr>
        <w:top w:val="none" w:sz="0" w:space="0" w:color="auto"/>
        <w:left w:val="none" w:sz="0" w:space="0" w:color="auto"/>
        <w:bottom w:val="none" w:sz="0" w:space="0" w:color="auto"/>
        <w:right w:val="none" w:sz="0" w:space="0" w:color="auto"/>
      </w:divBdr>
      <w:divsChild>
        <w:div w:id="401297249">
          <w:marLeft w:val="0"/>
          <w:marRight w:val="0"/>
          <w:marTop w:val="0"/>
          <w:marBottom w:val="0"/>
          <w:divBdr>
            <w:top w:val="none" w:sz="0" w:space="0" w:color="auto"/>
            <w:left w:val="none" w:sz="0" w:space="0" w:color="auto"/>
            <w:bottom w:val="none" w:sz="0" w:space="0" w:color="auto"/>
            <w:right w:val="none" w:sz="0" w:space="0" w:color="auto"/>
          </w:divBdr>
          <w:divsChild>
            <w:div w:id="1997997924">
              <w:marLeft w:val="0"/>
              <w:marRight w:val="0"/>
              <w:marTop w:val="0"/>
              <w:marBottom w:val="0"/>
              <w:divBdr>
                <w:top w:val="none" w:sz="0" w:space="0" w:color="auto"/>
                <w:left w:val="none" w:sz="0" w:space="0" w:color="auto"/>
                <w:bottom w:val="none" w:sz="0" w:space="0" w:color="auto"/>
                <w:right w:val="none" w:sz="0" w:space="0" w:color="auto"/>
              </w:divBdr>
              <w:divsChild>
                <w:div w:id="25945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itu.int/md/S16-CL-C-0018/es" TargetMode="External"/><Relationship Id="rId21" Type="http://schemas.openxmlformats.org/officeDocument/2006/relationships/hyperlink" Target="http://www.itu.int/dms_pub/itu-t/opb/res/T-RES-T.20-2008-MSW-E.doc" TargetMode="External"/><Relationship Id="rId42" Type="http://schemas.openxmlformats.org/officeDocument/2006/relationships/hyperlink" Target="http://www.itu.int/dms_pub/itu-t/opb/res/T-RES-T.58-2008-MSW-E.doc" TargetMode="External"/><Relationship Id="rId63" Type="http://schemas.openxmlformats.org/officeDocument/2006/relationships/hyperlink" Target="http://www.itu.int/en/ITU-T/wtsa12/Documents/resolutions/Resolution%2080.pdf" TargetMode="External"/><Relationship Id="rId84" Type="http://schemas.openxmlformats.org/officeDocument/2006/relationships/hyperlink" Target="http://www.itu.int/md/S14-CL-INF-0021/es" TargetMode="External"/><Relationship Id="rId138" Type="http://schemas.openxmlformats.org/officeDocument/2006/relationships/hyperlink" Target="http://www.itu.int/md/T13-SG02-150318-TD-GEN-0520/es" TargetMode="External"/><Relationship Id="rId159" Type="http://schemas.openxmlformats.org/officeDocument/2006/relationships/hyperlink" Target="http://www.itu.int/en/ITU-T/focusgroups/ava/Pages/default.aspx" TargetMode="External"/><Relationship Id="rId170" Type="http://schemas.openxmlformats.org/officeDocument/2006/relationships/hyperlink" Target="http://www.itu.int/md/S14-CL-INF-0002/es" TargetMode="External"/><Relationship Id="rId191" Type="http://schemas.openxmlformats.org/officeDocument/2006/relationships/hyperlink" Target="http://www.itu.int/en/ITU-T/C-I/Pages/CI-projects-table.aspx" TargetMode="External"/><Relationship Id="rId205" Type="http://schemas.openxmlformats.org/officeDocument/2006/relationships/hyperlink" Target="http://telecomworld.itu.int/" TargetMode="External"/><Relationship Id="rId226" Type="http://schemas.openxmlformats.org/officeDocument/2006/relationships/hyperlink" Target="http://www.itu.int/oth/T0B04000052/en" TargetMode="External"/><Relationship Id="rId107" Type="http://schemas.openxmlformats.org/officeDocument/2006/relationships/hyperlink" Target="http://www.itu.int/en/ITU-T/wtsa12/Pages/prepmeet/default.aspx" TargetMode="External"/><Relationship Id="rId11" Type="http://schemas.openxmlformats.org/officeDocument/2006/relationships/image" Target="media/image2.jpeg"/><Relationship Id="rId32" Type="http://schemas.openxmlformats.org/officeDocument/2006/relationships/hyperlink" Target="http://www.itu.int/dms_pub/itu-t/opb/res/T-RES-T.44-2008-MSW-E.doc" TargetMode="External"/><Relationship Id="rId53" Type="http://schemas.openxmlformats.org/officeDocument/2006/relationships/hyperlink" Target="http://www.itu.int/dms_pub/itu-t/opb/res/T-RES-T.70-2008-MSW-E.doc" TargetMode="External"/><Relationship Id="rId74" Type="http://schemas.openxmlformats.org/officeDocument/2006/relationships/hyperlink" Target="http://itu.int/ITU-T/studygroups/com17/refdocs/relationships.html" TargetMode="External"/><Relationship Id="rId128" Type="http://schemas.openxmlformats.org/officeDocument/2006/relationships/hyperlink" Target="mailto:jrgAE-IPaddress@lists.itu.int" TargetMode="External"/><Relationship Id="rId149" Type="http://schemas.openxmlformats.org/officeDocument/2006/relationships/hyperlink" Target="http://www.itu.int/en/ITU-T/tsbdir/cto/Documents/131118/CTO%20MEETING%20COMMUNIQU%C3%89%20November%20final.docx" TargetMode="External"/><Relationship Id="rId5" Type="http://schemas.openxmlformats.org/officeDocument/2006/relationships/styles" Target="styles.xml"/><Relationship Id="rId95" Type="http://schemas.openxmlformats.org/officeDocument/2006/relationships/hyperlink" Target="http://www.itu.int/md/T13-TSAG-150602-TD-GEN-0234/es" TargetMode="External"/><Relationship Id="rId160" Type="http://schemas.openxmlformats.org/officeDocument/2006/relationships/hyperlink" Target="http://www.itu.int/en/ITU-T/studygroups/2013-2016/16/Pages/default.aspx" TargetMode="External"/><Relationship Id="rId181" Type="http://schemas.openxmlformats.org/officeDocument/2006/relationships/hyperlink" Target="http://www.itu.int/en/ITU-T/climatechange/resources/Pages/default.aspx" TargetMode="External"/><Relationship Id="rId216" Type="http://schemas.openxmlformats.org/officeDocument/2006/relationships/hyperlink" Target="http://www.itu.int/en/ITU-T/Workshops-and-Seminars/conformity-interoperability/20150112/Documents/Summary-of-the-Workshop/Summary-of-the-event_V3.docx" TargetMode="External"/><Relationship Id="rId237" Type="http://schemas.openxmlformats.org/officeDocument/2006/relationships/footer" Target="footer3.xml"/><Relationship Id="rId22" Type="http://schemas.openxmlformats.org/officeDocument/2006/relationships/hyperlink" Target="http://www.itu.int/dms_pub/itu-t/opb/res/T-RES-T.22-2008-MSW-E.doc" TargetMode="External"/><Relationship Id="rId43" Type="http://schemas.openxmlformats.org/officeDocument/2006/relationships/hyperlink" Target="http://www.itu.int/dms_pub/itu-t/opb/res/T-RES-T.59-2008-MSW-E.doc" TargetMode="External"/><Relationship Id="rId64" Type="http://schemas.openxmlformats.org/officeDocument/2006/relationships/hyperlink" Target="http://www.itu.int/en/ITU-T/wtsa12/Documents/resolutions/Resolution%2081.pdf" TargetMode="External"/><Relationship Id="rId118" Type="http://schemas.openxmlformats.org/officeDocument/2006/relationships/hyperlink" Target="http://www.itu.int/en/ITU-T/Workshops-and-Seminars/spam/201307/Pages/default.aspx" TargetMode="External"/><Relationship Id="rId139" Type="http://schemas.openxmlformats.org/officeDocument/2006/relationships/hyperlink" Target="http://www.itu.int/md/meetingdoc.asp?lang=en&amp;parent=T13-SG02-C-0130" TargetMode="External"/><Relationship Id="rId80" Type="http://schemas.openxmlformats.org/officeDocument/2006/relationships/hyperlink" Target="http://www.itu.int/md/S13-CL-C-0035/es" TargetMode="External"/><Relationship Id="rId85" Type="http://schemas.openxmlformats.org/officeDocument/2006/relationships/hyperlink" Target="http://www.itu.int/md/T13-SG02-160120-TD-GEN-0619/es" TargetMode="External"/><Relationship Id="rId150" Type="http://schemas.openxmlformats.org/officeDocument/2006/relationships/hyperlink" Target="http://itu.int/en/ITU-T/techwatch/Pages/tactile-internet.aspx" TargetMode="External"/><Relationship Id="rId155" Type="http://schemas.openxmlformats.org/officeDocument/2006/relationships/hyperlink" Target="http://www.itu.int/en/ITU-T/tsbdir/cto/Pages/default.aspx" TargetMode="External"/><Relationship Id="rId171" Type="http://schemas.openxmlformats.org/officeDocument/2006/relationships/hyperlink" Target="http://www.itu.int/en/ITU-T/jca/ahf/Pages/default.aspx" TargetMode="External"/><Relationship Id="rId176" Type="http://schemas.openxmlformats.org/officeDocument/2006/relationships/hyperlink" Target="http://emfguide.itu.int/emfguide.html" TargetMode="External"/><Relationship Id="rId192" Type="http://schemas.openxmlformats.org/officeDocument/2006/relationships/hyperlink" Target="http://www.itu.int/en/ITU-T/jca/cit/Pages/default.aspx" TargetMode="External"/><Relationship Id="rId197" Type="http://schemas.openxmlformats.org/officeDocument/2006/relationships/hyperlink" Target="http://itu.int/go/pilot-projects" TargetMode="External"/><Relationship Id="rId206" Type="http://schemas.openxmlformats.org/officeDocument/2006/relationships/hyperlink" Target="http://www.itu.int/en/ITU-T/C-I/interop/Pages/IPTV201605.aspx" TargetMode="External"/><Relationship Id="rId227" Type="http://schemas.openxmlformats.org/officeDocument/2006/relationships/hyperlink" Target="http://www.itu.int/md/T13-TSAG-C-0018/en" TargetMode="External"/><Relationship Id="rId201" Type="http://schemas.openxmlformats.org/officeDocument/2006/relationships/hyperlink" Target="http://www.itu.int/en/ITU-T/C-I/Pages/HFT-mobile-tests/HFT_testing.aspx" TargetMode="External"/><Relationship Id="rId222" Type="http://schemas.openxmlformats.org/officeDocument/2006/relationships/hyperlink" Target="http://www.itu.int/md/T13-TSAG-COL-0001/es" TargetMode="External"/><Relationship Id="rId12" Type="http://schemas.openxmlformats.org/officeDocument/2006/relationships/hyperlink" Target="http://www.itu.int/en/ITU-T/wtsa12/Pages/default.aspx" TargetMode="External"/><Relationship Id="rId17" Type="http://schemas.openxmlformats.org/officeDocument/2006/relationships/hyperlink" Target="http://www.itu.int/dms_pub/itu-t/opb/res/T-RES-T.2-2008-MSW-E.doc" TargetMode="External"/><Relationship Id="rId33" Type="http://schemas.openxmlformats.org/officeDocument/2006/relationships/hyperlink" Target="http://www.itu.int/dms_pub/itu-t/opb/res/T-RES-T.45-2008-MSW-E.doc" TargetMode="External"/><Relationship Id="rId38" Type="http://schemas.openxmlformats.org/officeDocument/2006/relationships/hyperlink" Target="http://www.itu.int/dms_pub/itu-t/opb/res/T-RES-T.52-2008-MSW-E.doc" TargetMode="External"/><Relationship Id="rId59" Type="http://schemas.openxmlformats.org/officeDocument/2006/relationships/hyperlink" Target="http://www.itu.int/dms_pub/itu-t/opb/res/T-RES-T.76-2008-MSW-E.doc" TargetMode="External"/><Relationship Id="rId103" Type="http://schemas.openxmlformats.org/officeDocument/2006/relationships/hyperlink" Target="http://www.itu.int/es/ITU-T/studygroups/2013-2016/13/Pages/default.aspx" TargetMode="External"/><Relationship Id="rId108" Type="http://schemas.openxmlformats.org/officeDocument/2006/relationships/hyperlink" Target="http://www.itu.int/en/ITUT/wtsa16/prepmeet/Pages/default.aspx" TargetMode="External"/><Relationship Id="rId124" Type="http://schemas.openxmlformats.org/officeDocument/2006/relationships/hyperlink" Target="http://www.itu.int/rec/T-REC-E.156-200605-I/es" TargetMode="External"/><Relationship Id="rId129" Type="http://schemas.openxmlformats.org/officeDocument/2006/relationships/hyperlink" Target="http://www.itu.int/en/ITU-T/C-I/interop/I3GT/Pages/default.aspx" TargetMode="External"/><Relationship Id="rId54" Type="http://schemas.openxmlformats.org/officeDocument/2006/relationships/hyperlink" Target="http://www.itu.int/dms_pub/itu-t/opb/res/T-RES-T.71-2008-MSW-E.doc" TargetMode="External"/><Relationship Id="rId70" Type="http://schemas.openxmlformats.org/officeDocument/2006/relationships/hyperlink" Target="http://www.itu.int/md/T13-REVCOM-150529-TD-GEN-0174/es" TargetMode="External"/><Relationship Id="rId75" Type="http://schemas.openxmlformats.org/officeDocument/2006/relationships/hyperlink" Target="http://www.itu.int/md/S14-PP-C-0063/es" TargetMode="External"/><Relationship Id="rId91" Type="http://schemas.openxmlformats.org/officeDocument/2006/relationships/hyperlink" Target="https://extranet.itu.int/ITU-T/support/" TargetMode="External"/><Relationship Id="rId96" Type="http://schemas.openxmlformats.org/officeDocument/2006/relationships/hyperlink" Target="https://extranet.itu.int/ITU-T/support/" TargetMode="External"/><Relationship Id="rId140" Type="http://schemas.openxmlformats.org/officeDocument/2006/relationships/hyperlink" Target="http://www.itu.int/md/meetingdoc.asp?lang=en&amp;parent=T13-SG02-C-0129" TargetMode="External"/><Relationship Id="rId145" Type="http://schemas.openxmlformats.org/officeDocument/2006/relationships/hyperlink" Target="http://www.itu.int/oth/T2301000020/en" TargetMode="External"/><Relationship Id="rId161" Type="http://schemas.openxmlformats.org/officeDocument/2006/relationships/hyperlink" Target="http://www.itu.int/en/ITU-R/study-groups/rsg5/Pages/default.aspx" TargetMode="External"/><Relationship Id="rId166" Type="http://schemas.openxmlformats.org/officeDocument/2006/relationships/hyperlink" Target="http://www.itu.int/pub/publications.aspx?lang=en&amp;parent=T-TUT-FSTP-2015-ACC" TargetMode="External"/><Relationship Id="rId182" Type="http://schemas.openxmlformats.org/officeDocument/2006/relationships/hyperlink" Target="http://www.itu.int/en/ITU-T/climatechange/Pages/events.aspx" TargetMode="External"/><Relationship Id="rId187" Type="http://schemas.openxmlformats.org/officeDocument/2006/relationships/hyperlink" Target="http://www.itu.int/en/ITU-T/Workshops-and-Seminars/conformity-interoperability/20150112/Documents/Summary-of-the-Workshop/Summary-of-the-event_V3.docx" TargetMode="External"/><Relationship Id="rId217" Type="http://schemas.openxmlformats.org/officeDocument/2006/relationships/hyperlink" Target="http://www.itu.int/md/S13-CL-C-0024/es" TargetMode="External"/><Relationship Id="rId1" Type="http://schemas.openxmlformats.org/officeDocument/2006/relationships/customXml" Target="../customXml/item1.xml"/><Relationship Id="rId6" Type="http://schemas.openxmlformats.org/officeDocument/2006/relationships/settings" Target="settings.xml"/><Relationship Id="rId212" Type="http://schemas.openxmlformats.org/officeDocument/2006/relationships/hyperlink" Target="https://www.itu.int/en/ITU-T/studygroups/2013-2016/11/Pages/CASC.aspx" TargetMode="External"/><Relationship Id="rId233" Type="http://schemas.openxmlformats.org/officeDocument/2006/relationships/hyperlink" Target="http://www.itu.int/md/S13-CL-C-0022/en" TargetMode="External"/><Relationship Id="rId238" Type="http://schemas.openxmlformats.org/officeDocument/2006/relationships/fontTable" Target="fontTable.xml"/><Relationship Id="rId23" Type="http://schemas.openxmlformats.org/officeDocument/2006/relationships/hyperlink" Target="http://www.itu.int/dms_pub/itu-t/opb/res/T-RES-T.29-2008-MSW-E.doc" TargetMode="External"/><Relationship Id="rId28" Type="http://schemas.openxmlformats.org/officeDocument/2006/relationships/hyperlink" Target="http://www.itu.int/dms_pub/itu-t/opb/res/T-RES-T.35-2008-MSW-E.doc" TargetMode="External"/><Relationship Id="rId49" Type="http://schemas.openxmlformats.org/officeDocument/2006/relationships/hyperlink" Target="http://www.itu.int/dms_pub/itu-t/opb/res/T-RES-T.66-2008-MSW-E.doc" TargetMode="External"/><Relationship Id="rId114" Type="http://schemas.openxmlformats.org/officeDocument/2006/relationships/hyperlink" Target="http://www.itu.int/md/S13-CL-C-0023/es" TargetMode="External"/><Relationship Id="rId119" Type="http://schemas.openxmlformats.org/officeDocument/2006/relationships/hyperlink" Target="http://www.itu.int/en/ITU-T/Workshops-and-Seminars/spam/201310/Pages/default.aspx" TargetMode="External"/><Relationship Id="rId44" Type="http://schemas.openxmlformats.org/officeDocument/2006/relationships/hyperlink" Target="http://www.itu.int/dms_pub/itu-t/opb/res/T-RES-T.60-2008-MSW-E.doc" TargetMode="External"/><Relationship Id="rId60" Type="http://schemas.openxmlformats.org/officeDocument/2006/relationships/hyperlink" Target="http://www.itu.int/en/ITU-T/wtsa12/Documents/resolutions/Resolution%2077.pdf" TargetMode="External"/><Relationship Id="rId65" Type="http://schemas.openxmlformats.org/officeDocument/2006/relationships/hyperlink" Target="http://www.itu.int/en/ITU-T/wtsa12/Documents/resolutions/Resolution%2082.pdf" TargetMode="External"/><Relationship Id="rId81" Type="http://schemas.openxmlformats.org/officeDocument/2006/relationships/hyperlink" Target="https://extranet.itu.int/ITU-T/2013-2016/sg2/inr/SitePages/Home.aspx" TargetMode="External"/><Relationship Id="rId86" Type="http://schemas.openxmlformats.org/officeDocument/2006/relationships/hyperlink" Target="http://www.itu.int/md/T13-SG02-C-0121/en" TargetMode="External"/><Relationship Id="rId130" Type="http://schemas.openxmlformats.org/officeDocument/2006/relationships/hyperlink" Target="http://www.itu.int/md/T13-SG02-160120-TD-GEN-0619/en" TargetMode="External"/><Relationship Id="rId135" Type="http://schemas.openxmlformats.org/officeDocument/2006/relationships/hyperlink" Target="http://www.itu.int/md/T13-SG02-C-0097/es" TargetMode="External"/><Relationship Id="rId151" Type="http://schemas.openxmlformats.org/officeDocument/2006/relationships/hyperlink" Target="http://www.itu.int/en/ITU-T/techwatch/Pages/default.aspx" TargetMode="External"/><Relationship Id="rId156" Type="http://schemas.openxmlformats.org/officeDocument/2006/relationships/hyperlink" Target="https://www.itu.int/net/ITU-T/res69/secured/notifications.aspx" TargetMode="External"/><Relationship Id="rId177" Type="http://schemas.openxmlformats.org/officeDocument/2006/relationships/hyperlink" Target="http://www.itu.int/en/ITU-T/emf/Pages/default.aspx" TargetMode="External"/><Relationship Id="rId198" Type="http://schemas.openxmlformats.org/officeDocument/2006/relationships/hyperlink" Target="http://www.itu.int/pub/T-TUT-CCICT-2015" TargetMode="External"/><Relationship Id="rId172" Type="http://schemas.openxmlformats.org/officeDocument/2006/relationships/hyperlink" Target="http://www.itu.int/rec/T-REC-H.Sup17/es" TargetMode="External"/><Relationship Id="rId193" Type="http://schemas.openxmlformats.org/officeDocument/2006/relationships/hyperlink" Target="http://itu.int/go/key-technologies" TargetMode="External"/><Relationship Id="rId202" Type="http://schemas.openxmlformats.org/officeDocument/2006/relationships/hyperlink" Target="http://www.itu.int/en/ITU-T/C-I/Pages/test_event_Feb14.aspx" TargetMode="External"/><Relationship Id="rId207" Type="http://schemas.openxmlformats.org/officeDocument/2006/relationships/hyperlink" Target="https://www.itu.int/en/ITU-T/C-I/Pages/HFT-mobile-tests/test_event_2.aspx" TargetMode="External"/><Relationship Id="rId223" Type="http://schemas.openxmlformats.org/officeDocument/2006/relationships/hyperlink" Target="http://www.itu.int/rec/T-REC-Y.2075/es" TargetMode="External"/><Relationship Id="rId228" Type="http://schemas.openxmlformats.org/officeDocument/2006/relationships/hyperlink" Target="http://www.itu.int/md/T13-TSAG-140617-TD-GEN-0134/es" TargetMode="External"/><Relationship Id="rId13" Type="http://schemas.openxmlformats.org/officeDocument/2006/relationships/hyperlink" Target="http://www.itu.int/en/ITU-T/wtsa12/Pages/default.aspx" TargetMode="External"/><Relationship Id="rId18" Type="http://schemas.openxmlformats.org/officeDocument/2006/relationships/hyperlink" Target="http://www.itu.int/dms_pub/itu-t/opb/res/T-RES-T.7-2008-MSW-E.doc" TargetMode="External"/><Relationship Id="rId39" Type="http://schemas.openxmlformats.org/officeDocument/2006/relationships/hyperlink" Target="http://www.itu.int/dms_pub/itu-t/opb/res/T-RES-T.54-2008-MSW-E.doc" TargetMode="External"/><Relationship Id="rId109" Type="http://schemas.openxmlformats.org/officeDocument/2006/relationships/hyperlink" Target="http://www.itu.int/md/S13-CL-C-0022/en" TargetMode="External"/><Relationship Id="rId34" Type="http://schemas.openxmlformats.org/officeDocument/2006/relationships/hyperlink" Target="http://www.itu.int/dms_pub/itu-t/opb/res/T-RES-T.47-2008-MSW-E.doc" TargetMode="External"/><Relationship Id="rId50" Type="http://schemas.openxmlformats.org/officeDocument/2006/relationships/hyperlink" Target="http://www.itu.int/dms_pub/itu-t/opb/res/T-RES-T.67-2008-MSW-E.doc" TargetMode="External"/><Relationship Id="rId55" Type="http://schemas.openxmlformats.org/officeDocument/2006/relationships/hyperlink" Target="http://www.itu.int/dms_pub/itu-t/opb/res/T-RES-T.72-2008-MSW-E.doc" TargetMode="External"/><Relationship Id="rId76" Type="http://schemas.openxmlformats.org/officeDocument/2006/relationships/hyperlink" Target="http://www.itu.int/en/irg/ava/Pages/default.aspx" TargetMode="External"/><Relationship Id="rId97" Type="http://schemas.openxmlformats.org/officeDocument/2006/relationships/hyperlink" Target="http://itu.int/en/ITU-T/events/Pages/emeetings.aspx" TargetMode="External"/><Relationship Id="rId104" Type="http://schemas.openxmlformats.org/officeDocument/2006/relationships/hyperlink" Target="http://www.itu.int/en/ITU-R/study-groups/rsg5/rwp5d/imt-2020/Pages/default.aspx" TargetMode="External"/><Relationship Id="rId120" Type="http://schemas.openxmlformats.org/officeDocument/2006/relationships/hyperlink" Target="http://www.itu.int/md/S13-CL-C-0022/es" TargetMode="External"/><Relationship Id="rId125" Type="http://schemas.openxmlformats.org/officeDocument/2006/relationships/hyperlink" Target="http://www.itu.int/md/S13-CL-C-0035/es" TargetMode="External"/><Relationship Id="rId141" Type="http://schemas.openxmlformats.org/officeDocument/2006/relationships/hyperlink" Target="http://www.itu.int/md/meetingdoc.asp?lang=en&amp;parent=T13-SG02-C-0103" TargetMode="External"/><Relationship Id="rId146" Type="http://schemas.openxmlformats.org/officeDocument/2006/relationships/hyperlink" Target="http://www.itu.int/oth/T2301000020/en" TargetMode="External"/><Relationship Id="rId167" Type="http://schemas.openxmlformats.org/officeDocument/2006/relationships/hyperlink" Target="http://www.itu.int/net4/wsis/forum/2015/Agenda/Session/277" TargetMode="External"/><Relationship Id="rId188" Type="http://schemas.openxmlformats.org/officeDocument/2006/relationships/hyperlink" Target="http://www.itu.int/md/T13-SG11-151202-TD-GEN-1044/en" TargetMode="External"/><Relationship Id="rId7" Type="http://schemas.openxmlformats.org/officeDocument/2006/relationships/webSettings" Target="webSettings.xml"/><Relationship Id="rId71" Type="http://schemas.openxmlformats.org/officeDocument/2006/relationships/hyperlink" Target="mailto:http://www.worldstandardscooperation.org/" TargetMode="External"/><Relationship Id="rId92" Type="http://schemas.openxmlformats.org/officeDocument/2006/relationships/hyperlink" Target="http://www.itu.int/ipr" TargetMode="External"/><Relationship Id="rId162" Type="http://schemas.openxmlformats.org/officeDocument/2006/relationships/hyperlink" Target="http://www.itu.int/en/ITU-R/study-groups/rsg6/Pages/default.aspx" TargetMode="External"/><Relationship Id="rId183" Type="http://schemas.openxmlformats.org/officeDocument/2006/relationships/hyperlink" Target="http://www.itu.int/md/T13-SG11-150422-TD-GEN-0753/es" TargetMode="External"/><Relationship Id="rId213" Type="http://schemas.openxmlformats.org/officeDocument/2006/relationships/hyperlink" Target="http://www.itu.int/md/S14-PP-C-0063/es" TargetMode="External"/><Relationship Id="rId218" Type="http://schemas.openxmlformats.org/officeDocument/2006/relationships/hyperlink" Target="https://www.itu.int/md/dologin_md.asp?lang=en&amp;id=S14-CL-C-0024!R1!MSW-E" TargetMode="External"/><Relationship Id="rId234" Type="http://schemas.openxmlformats.org/officeDocument/2006/relationships/header" Target="header1.xml"/><Relationship Id="rId239" Type="http://schemas.openxmlformats.org/officeDocument/2006/relationships/theme" Target="theme/theme1.xml"/><Relationship Id="rId2" Type="http://schemas.openxmlformats.org/officeDocument/2006/relationships/customXml" Target="../customXml/item2.xml"/><Relationship Id="rId29" Type="http://schemas.openxmlformats.org/officeDocument/2006/relationships/hyperlink" Target="http://www.itu.int/dms_pub/itu-t/opb/res/T-RES-T.38-2008-MSW-E.doc" TargetMode="External"/><Relationship Id="rId24" Type="http://schemas.openxmlformats.org/officeDocument/2006/relationships/hyperlink" Target="http://www.itu.int/dms_pub/itu-t/opb/res/T-RES-T.31-2008-MSW-E.doc" TargetMode="External"/><Relationship Id="rId40" Type="http://schemas.openxmlformats.org/officeDocument/2006/relationships/hyperlink" Target="http://www.itu.int/dms_pub/itu-t/opb/res/T-RES-T.55-2008-MSW-E.doc" TargetMode="External"/><Relationship Id="rId45" Type="http://schemas.openxmlformats.org/officeDocument/2006/relationships/hyperlink" Target="http://www.itu.int/dms_pub/itu-t/opb/res/T-RES-T.61-2008-MSW-E.doc" TargetMode="External"/><Relationship Id="rId66" Type="http://schemas.openxmlformats.org/officeDocument/2006/relationships/hyperlink" Target="http://www.itu.int/en/ITU-T/wtsa12/Documents/resolutions/Opinion%201.pdf" TargetMode="External"/><Relationship Id="rId87" Type="http://schemas.openxmlformats.org/officeDocument/2006/relationships/hyperlink" Target="http://itu.int/online/mm/scripts/mm.list?_search=ASSOCIATES" TargetMode="External"/><Relationship Id="rId110" Type="http://schemas.openxmlformats.org/officeDocument/2006/relationships/hyperlink" Target="http://academy.itu.int/" TargetMode="External"/><Relationship Id="rId115" Type="http://schemas.openxmlformats.org/officeDocument/2006/relationships/hyperlink" Target="http://www.itu.int/md/S14-CL-C-0023/es" TargetMode="External"/><Relationship Id="rId131" Type="http://schemas.openxmlformats.org/officeDocument/2006/relationships/hyperlink" Target="http://www.itu.int/md/T13-SG02-C-0067/es" TargetMode="External"/><Relationship Id="rId136" Type="http://schemas.openxmlformats.org/officeDocument/2006/relationships/hyperlink" Target="http://www.itu.int/md/T13-SG02-C-0086/es" TargetMode="External"/><Relationship Id="rId157" Type="http://schemas.openxmlformats.org/officeDocument/2006/relationships/hyperlink" Target="http://www.itu.int/net/ITU-T/forms/res69/Default.aspx" TargetMode="External"/><Relationship Id="rId178" Type="http://schemas.openxmlformats.org/officeDocument/2006/relationships/hyperlink" Target="http://www.itu.int/en/ITU-T/emf/Documents/EMF-flyer.pdf" TargetMode="External"/><Relationship Id="rId61" Type="http://schemas.openxmlformats.org/officeDocument/2006/relationships/hyperlink" Target="http://www.itu.int/en/ITU-T/wtsa12/Documents/resolutions/Resolution%2078.pdf" TargetMode="External"/><Relationship Id="rId82" Type="http://schemas.openxmlformats.org/officeDocument/2006/relationships/hyperlink" Target="http://www.itu.int/ITU-T/secured/misuse/tables.html" TargetMode="External"/><Relationship Id="rId152" Type="http://schemas.openxmlformats.org/officeDocument/2006/relationships/hyperlink" Target="http://www.itu.int/md/S13-CL-C-0022/en" TargetMode="External"/><Relationship Id="rId173" Type="http://schemas.openxmlformats.org/officeDocument/2006/relationships/hyperlink" Target="http://www.itu.int/md/S13-CL-C-0035/es" TargetMode="External"/><Relationship Id="rId194" Type="http://schemas.openxmlformats.org/officeDocument/2006/relationships/hyperlink" Target="http://www.itu.int/en/ITU-T/jca/cit/Pages/default.aspx" TargetMode="External"/><Relationship Id="rId199" Type="http://schemas.openxmlformats.org/officeDocument/2006/relationships/hyperlink" Target="http://www.wsccaworkshop.com/" TargetMode="External"/><Relationship Id="rId203" Type="http://schemas.openxmlformats.org/officeDocument/2006/relationships/hyperlink" Target="https://www.itu.int/en/ITU-T/C-I/Pages/HFT-mobile-tests/test_event_2.aspx" TargetMode="External"/><Relationship Id="rId208" Type="http://schemas.openxmlformats.org/officeDocument/2006/relationships/hyperlink" Target="http://www.itu.int/en/ITU-T/C-I/interop/Pages/IPTV201510.aspx" TargetMode="External"/><Relationship Id="rId229" Type="http://schemas.openxmlformats.org/officeDocument/2006/relationships/hyperlink" Target="http://www.itu.int/md/T13-SG09-160121-TD-GEN-0899/es" TargetMode="External"/><Relationship Id="rId19" Type="http://schemas.openxmlformats.org/officeDocument/2006/relationships/hyperlink" Target="http://www.itu.int/dms_pub/itu-t/opb/res/T-RES-T.11-2008-MSW-E.doc" TargetMode="External"/><Relationship Id="rId224" Type="http://schemas.openxmlformats.org/officeDocument/2006/relationships/hyperlink" Target="http://www.itu.int/ITU-T/recommendations/rec.aspx?rec=11384" TargetMode="External"/><Relationship Id="rId14" Type="http://schemas.openxmlformats.org/officeDocument/2006/relationships/hyperlink" Target="http://www.itu.int/md/T09-WTSA.12-C-0028/es" TargetMode="External"/><Relationship Id="rId30" Type="http://schemas.openxmlformats.org/officeDocument/2006/relationships/hyperlink" Target="http://www.itu.int/dms_pub/itu-t/opb/res/T-RES-T.40-2008-MSW-E.doc" TargetMode="External"/><Relationship Id="rId35" Type="http://schemas.openxmlformats.org/officeDocument/2006/relationships/hyperlink" Target="http://www.itu.int/dms_pub/itu-t/opb/res/T-RES-T.48-2008-MSW-E.doc" TargetMode="External"/><Relationship Id="rId56" Type="http://schemas.openxmlformats.org/officeDocument/2006/relationships/hyperlink" Target="http://www.itu.int/dms_pub/itu-t/opb/res/T-RES-T.73-2008-MSW-E.doc" TargetMode="External"/><Relationship Id="rId77" Type="http://schemas.openxmlformats.org/officeDocument/2006/relationships/hyperlink" Target="http://www.itu.int/en/irg/avqa/Pages/default.aspx" TargetMode="External"/><Relationship Id="rId100" Type="http://schemas.openxmlformats.org/officeDocument/2006/relationships/hyperlink" Target="http://www.itu.int/itu-t/recommendations/rec.aspx?rec=12580" TargetMode="External"/><Relationship Id="rId105" Type="http://schemas.openxmlformats.org/officeDocument/2006/relationships/hyperlink" Target="http://www.itu.int/en/ITUT/wtsa16/prepmeet/Pages/default.aspx" TargetMode="External"/><Relationship Id="rId126" Type="http://schemas.openxmlformats.org/officeDocument/2006/relationships/hyperlink" Target="http://www.itu.int/md/T13-SG02-160120-TD-GEN-0758/es" TargetMode="External"/><Relationship Id="rId147" Type="http://schemas.openxmlformats.org/officeDocument/2006/relationships/hyperlink" Target="http://www.itu.int/en/ITU-T/techwatch/Pages/spatial-standards.aspx" TargetMode="External"/><Relationship Id="rId168" Type="http://schemas.openxmlformats.org/officeDocument/2006/relationships/hyperlink" Target="http://www.itu.int/md/S14-CL-C-0005/en" TargetMode="External"/><Relationship Id="rId8" Type="http://schemas.openxmlformats.org/officeDocument/2006/relationships/footnotes" Target="footnotes.xml"/><Relationship Id="rId51" Type="http://schemas.openxmlformats.org/officeDocument/2006/relationships/hyperlink" Target="http://www.itu.int/dms_pub/itu-t/opb/res/T-RES-T.68-2008-MSW-E.doc" TargetMode="External"/><Relationship Id="rId72" Type="http://schemas.openxmlformats.org/officeDocument/2006/relationships/hyperlink" Target="http://www.worldstandardscooperation.org/wp-content/uploads/2015/01/IEC_ISO_ITU_Joint-Policy-Statement-on-Standardization-and-Accessibility_Final-version.pdf" TargetMode="External"/><Relationship Id="rId93" Type="http://schemas.openxmlformats.org/officeDocument/2006/relationships/hyperlink" Target="http://www.itu.int/net4/roamingtool/" TargetMode="External"/><Relationship Id="rId98" Type="http://schemas.openxmlformats.org/officeDocument/2006/relationships/hyperlink" Target="http://tsbtech.itu.int/" TargetMode="External"/><Relationship Id="rId121" Type="http://schemas.openxmlformats.org/officeDocument/2006/relationships/hyperlink" Target="http://www.itu.int/net4/roamingtool/" TargetMode="External"/><Relationship Id="rId142" Type="http://schemas.openxmlformats.org/officeDocument/2006/relationships/hyperlink" Target="http://www.itu.int/md/meetingdoc.asp?lang=en&amp;parent=T13-SG02-C-0126" TargetMode="External"/><Relationship Id="rId163" Type="http://schemas.openxmlformats.org/officeDocument/2006/relationships/hyperlink" Target="http://www.itu.int/en/irg/ava/Pages/default.aspx" TargetMode="External"/><Relationship Id="rId184" Type="http://schemas.openxmlformats.org/officeDocument/2006/relationships/hyperlink" Target="http://www.itu.int/en/ITU-T/C-I/Pages/SIP/IMS.aspx" TargetMode="External"/><Relationship Id="rId189" Type="http://schemas.openxmlformats.org/officeDocument/2006/relationships/hyperlink" Target="http://www.itu.int/en/ITU-T/C-I/Pages/CI-projects-table.aspx" TargetMode="External"/><Relationship Id="rId219" Type="http://schemas.openxmlformats.org/officeDocument/2006/relationships/hyperlink" Target="http://www.itu.int/md/S15-CL-C-0024/es" TargetMode="External"/><Relationship Id="rId3" Type="http://schemas.openxmlformats.org/officeDocument/2006/relationships/customXml" Target="../customXml/item3.xml"/><Relationship Id="rId214" Type="http://schemas.openxmlformats.org/officeDocument/2006/relationships/hyperlink" Target="http://www.itu.int/en/ITU-T/Workshops-and-Seminars/conformity-interoperability/20150112/Pages/default.aspx" TargetMode="External"/><Relationship Id="rId230" Type="http://schemas.openxmlformats.org/officeDocument/2006/relationships/hyperlink" Target="http://www.itu.int/md/T13-SG09-160121-TD-GEN-0816/es" TargetMode="External"/><Relationship Id="rId235" Type="http://schemas.openxmlformats.org/officeDocument/2006/relationships/footer" Target="footer1.xml"/><Relationship Id="rId25" Type="http://schemas.openxmlformats.org/officeDocument/2006/relationships/hyperlink" Target="http://www.itu.int/dms_pub/itu-t/opb/res/T-RES-T.32-2008-MSW-E.doc" TargetMode="External"/><Relationship Id="rId46" Type="http://schemas.openxmlformats.org/officeDocument/2006/relationships/hyperlink" Target="http://www.itu.int/dms_pub/itu-t/opb/res/T-RES-T.62-2008-MSW-E.doc" TargetMode="External"/><Relationship Id="rId67" Type="http://schemas.openxmlformats.org/officeDocument/2006/relationships/hyperlink" Target="http://itu.int/en/ITU-T/about/Pages/res2-annexc-sp15.aspx" TargetMode="External"/><Relationship Id="rId116" Type="http://schemas.openxmlformats.org/officeDocument/2006/relationships/hyperlink" Target="http://www.itu.int/md/S15-CL-C-0018/es" TargetMode="External"/><Relationship Id="rId137" Type="http://schemas.openxmlformats.org/officeDocument/2006/relationships/hyperlink" Target="http://www.itu.int/md/T13-SG02-C-0075/es" TargetMode="External"/><Relationship Id="rId158" Type="http://schemas.openxmlformats.org/officeDocument/2006/relationships/hyperlink" Target="http://www.itu.int/en/ITU-T/jca/ahf/Pages/default.aspx" TargetMode="External"/><Relationship Id="rId20" Type="http://schemas.openxmlformats.org/officeDocument/2006/relationships/hyperlink" Target="http://www.itu.int/dms_pub/itu-t/opb/res/T-RES-T.18-2008-MSW-E.doc" TargetMode="External"/><Relationship Id="rId41" Type="http://schemas.openxmlformats.org/officeDocument/2006/relationships/hyperlink" Target="http://www.itu.int/dms_pub/itu-t/opb/res/T-RES-T.57-2008-MSW-E.doc" TargetMode="External"/><Relationship Id="rId62" Type="http://schemas.openxmlformats.org/officeDocument/2006/relationships/hyperlink" Target="http://www.itu.int/en/ITU-T/wtsa12/Documents/resolutions/Resolution%2079.pdf" TargetMode="External"/><Relationship Id="rId83" Type="http://schemas.openxmlformats.org/officeDocument/2006/relationships/hyperlink" Target="http://www.itu.int/ITU-T/secured/misuse/tables.html" TargetMode="External"/><Relationship Id="rId88" Type="http://schemas.openxmlformats.org/officeDocument/2006/relationships/hyperlink" Target="https://extranet.itu.int/ITU-T/2013-2016/SitePages/Home.aspx" TargetMode="External"/><Relationship Id="rId111" Type="http://schemas.openxmlformats.org/officeDocument/2006/relationships/hyperlink" Target="http://academy.itu.int/index.php/component/k2/item/1115" TargetMode="External"/><Relationship Id="rId132" Type="http://schemas.openxmlformats.org/officeDocument/2006/relationships/hyperlink" Target="http://www.itu.int/md/T13-SG02-C-0053/es" TargetMode="External"/><Relationship Id="rId153" Type="http://schemas.openxmlformats.org/officeDocument/2006/relationships/hyperlink" Target="http://www.itu.int/en/ITU-T/tsbdir/cto/Documents/150414/Final-communique.pdf" TargetMode="External"/><Relationship Id="rId174" Type="http://schemas.openxmlformats.org/officeDocument/2006/relationships/hyperlink" Target="http://www.itu.int/md/S14-CLCWGFHRM3-C-0013/en" TargetMode="External"/><Relationship Id="rId179" Type="http://schemas.openxmlformats.org/officeDocument/2006/relationships/hyperlink" Target="http://handle.itu.int/11.1002/db/wp-sg5" TargetMode="External"/><Relationship Id="rId195" Type="http://schemas.openxmlformats.org/officeDocument/2006/relationships/hyperlink" Target="http://itu.int/go/reference-table" TargetMode="External"/><Relationship Id="rId209" Type="http://schemas.openxmlformats.org/officeDocument/2006/relationships/hyperlink" Target="http://www.itu.int/en/ITU-T/C-I/interop/Pages/CI_APT_Sept15.aspx" TargetMode="External"/><Relationship Id="rId190" Type="http://schemas.openxmlformats.org/officeDocument/2006/relationships/hyperlink" Target="http://www.itu.int/md/T13-SG11-160324-TD-WP4-0041/es" TargetMode="External"/><Relationship Id="rId204" Type="http://schemas.openxmlformats.org/officeDocument/2006/relationships/hyperlink" Target="http://www.itu.int/en/ITU-T/C-I/Pages/HFT-mobile-tests/HFT_testing.aspx" TargetMode="External"/><Relationship Id="rId220" Type="http://schemas.openxmlformats.org/officeDocument/2006/relationships/hyperlink" Target="https://www.itu.int/md/dologin_md.asp?lang=en&amp;id=S16-CL-C-0024!R1!MSW-E" TargetMode="External"/><Relationship Id="rId225" Type="http://schemas.openxmlformats.org/officeDocument/2006/relationships/hyperlink" Target="http://www.itu.int/dms_pub/itu-t/oth/4B/04/T4B0400000B0013PDFE.pdf" TargetMode="External"/><Relationship Id="rId15" Type="http://schemas.openxmlformats.org/officeDocument/2006/relationships/hyperlink" Target="http://www.itu.int/md/meetingdoc.asp?lang=en&amp;parent=T13-TSAG-160718-TD-GEN-0547" TargetMode="External"/><Relationship Id="rId36" Type="http://schemas.openxmlformats.org/officeDocument/2006/relationships/hyperlink" Target="http://www.itu.int/dms_pub/itu-t/opb/res/T-RES-T.49-2008-MSW-E.doc" TargetMode="External"/><Relationship Id="rId57" Type="http://schemas.openxmlformats.org/officeDocument/2006/relationships/hyperlink" Target="http://www.itu.int/dms_pub/itu-t/opb/res/T-RES-T.74-2008-MSW-E.doc" TargetMode="External"/><Relationship Id="rId106" Type="http://schemas.openxmlformats.org/officeDocument/2006/relationships/hyperlink" Target="http://www.itu.int/md/S13-CL-C-0035/es" TargetMode="External"/><Relationship Id="rId127" Type="http://schemas.openxmlformats.org/officeDocument/2006/relationships/hyperlink" Target="http://www.itu.int/md/T13-SG02-160120-TD-GEN-0674/es" TargetMode="External"/><Relationship Id="rId10" Type="http://schemas.openxmlformats.org/officeDocument/2006/relationships/image" Target="media/image1.png"/><Relationship Id="rId31" Type="http://schemas.openxmlformats.org/officeDocument/2006/relationships/hyperlink" Target="http://www.itu.int/dms_pub/itu-t/opb/res/T-RES-T.43-2008-MSW-E.doc" TargetMode="External"/><Relationship Id="rId52" Type="http://schemas.openxmlformats.org/officeDocument/2006/relationships/hyperlink" Target="http://www.itu.int/dms_pub/itu-t/opb/res/T-RES-T.69-2008-MSW-E.doc" TargetMode="External"/><Relationship Id="rId73" Type="http://schemas.openxmlformats.org/officeDocument/2006/relationships/hyperlink" Target="http://www.worldstandardscooperation.org/fnc2013.html" TargetMode="External"/><Relationship Id="rId78" Type="http://schemas.openxmlformats.org/officeDocument/2006/relationships/hyperlink" Target="http://www.itu.int/en/irg/ibb/Pages/default.aspx" TargetMode="External"/><Relationship Id="rId94" Type="http://schemas.openxmlformats.org/officeDocument/2006/relationships/hyperlink" Target="http://www.itu.int/md/S15-CL-C-0029/es" TargetMode="External"/><Relationship Id="rId99" Type="http://schemas.openxmlformats.org/officeDocument/2006/relationships/hyperlink" Target="https://extranet.itu.int/ITU-T/2013-2016/tsag" TargetMode="External"/><Relationship Id="rId101" Type="http://schemas.openxmlformats.org/officeDocument/2006/relationships/hyperlink" Target="http://www.itu.int/md/T13-TSB-CIR-0204/es" TargetMode="External"/><Relationship Id="rId122" Type="http://schemas.openxmlformats.org/officeDocument/2006/relationships/hyperlink" Target="http://itu.int/en/ITU-T/studygroups/2013-2016/03" TargetMode="External"/><Relationship Id="rId143" Type="http://schemas.openxmlformats.org/officeDocument/2006/relationships/hyperlink" Target="http://www.itu.int/md/T13-SG02-160120-TD-GEN-0797/es" TargetMode="External"/><Relationship Id="rId148" Type="http://schemas.openxmlformats.org/officeDocument/2006/relationships/hyperlink" Target="http://itu.int/en/ITU-T/techwatch/Pages/big-data-standards.aspx" TargetMode="External"/><Relationship Id="rId164" Type="http://schemas.openxmlformats.org/officeDocument/2006/relationships/hyperlink" Target="http://www.itu.int/en/ITU-T/studygroups/2013-2016/09/Pages/default.aspx" TargetMode="External"/><Relationship Id="rId169" Type="http://schemas.openxmlformats.org/officeDocument/2006/relationships/hyperlink" Target="http://www.itu.int/md/S16-CL-C-0051/en" TargetMode="External"/><Relationship Id="rId185" Type="http://schemas.openxmlformats.org/officeDocument/2006/relationships/hyperlink" Target="http://www.itu.int/en/ITU-T/C-I/Pages/IM/Internet-speed.aspx" TargetMode="External"/><Relationship Id="rId4" Type="http://schemas.openxmlformats.org/officeDocument/2006/relationships/numbering" Target="numbering.xml"/><Relationship Id="rId9" Type="http://schemas.openxmlformats.org/officeDocument/2006/relationships/endnotes" Target="endnotes.xml"/><Relationship Id="rId180" Type="http://schemas.openxmlformats.org/officeDocument/2006/relationships/hyperlink" Target="http://itu.int/en/ITU-T/climatechange/resources" TargetMode="External"/><Relationship Id="rId210" Type="http://schemas.openxmlformats.org/officeDocument/2006/relationships/hyperlink" Target="http://www.itu.int/en/ITU-T/C-I/Pages/CIT-portal/archive-ITU-test-events.aspx" TargetMode="External"/><Relationship Id="rId215" Type="http://schemas.openxmlformats.org/officeDocument/2006/relationships/hyperlink" Target="http://newslog.itu.int/archives/1163" TargetMode="External"/><Relationship Id="rId236" Type="http://schemas.openxmlformats.org/officeDocument/2006/relationships/footer" Target="footer2.xml"/><Relationship Id="rId26" Type="http://schemas.openxmlformats.org/officeDocument/2006/relationships/hyperlink" Target="http://www.itu.int/dms_pub/itu-t/opb/res/T-RES-T.33-2008-MSW-E.doc" TargetMode="External"/><Relationship Id="rId231" Type="http://schemas.openxmlformats.org/officeDocument/2006/relationships/hyperlink" Target="http://www.itu.int/en/ITU-T/studygroups/2013-2016/09/Pages/acknowledgements.aspx" TargetMode="External"/><Relationship Id="rId47" Type="http://schemas.openxmlformats.org/officeDocument/2006/relationships/hyperlink" Target="http://www.itu.int/dms_pub/itu-t/opb/res/T-RES-T.64-2008-MSW-E.doc" TargetMode="External"/><Relationship Id="rId68" Type="http://schemas.openxmlformats.org/officeDocument/2006/relationships/hyperlink" Target="http://itu.int/en/ITU-T/studygroups/2013-2016/xx/Pages/mandate.aspx" TargetMode="External"/><Relationship Id="rId89" Type="http://schemas.openxmlformats.org/officeDocument/2006/relationships/hyperlink" Target="https://extranet.itu.int/ITU-T/2013-2016/sg20" TargetMode="External"/><Relationship Id="rId112" Type="http://schemas.openxmlformats.org/officeDocument/2006/relationships/hyperlink" Target="http://academy.itu.int" TargetMode="External"/><Relationship Id="rId133" Type="http://schemas.openxmlformats.org/officeDocument/2006/relationships/hyperlink" Target="http://www.itu.int/md/T13-SG02-140528-TD-GEN-0374/es" TargetMode="External"/><Relationship Id="rId154" Type="http://schemas.openxmlformats.org/officeDocument/2006/relationships/hyperlink" Target="http://www.itu.int/en/ITU-T/tsbdir/cto/Documents/151011/Communiqu%c3%a9%20-%20CTO%20meeting%202015%20-%2011%20October%202015.pdf" TargetMode="External"/><Relationship Id="rId175" Type="http://schemas.openxmlformats.org/officeDocument/2006/relationships/hyperlink" Target="http://www.itu.int/en/ITU-T/climatechange/emf-1305/Documents/Turin-Call-to-Action.pdf" TargetMode="External"/><Relationship Id="rId196" Type="http://schemas.openxmlformats.org/officeDocument/2006/relationships/hyperlink" Target="http://itu.int/go/pilot-projects" TargetMode="External"/><Relationship Id="rId200" Type="http://schemas.openxmlformats.org/officeDocument/2006/relationships/hyperlink" Target="http://www.itu.int/net/itu-t/cdb/ConformityDB.aspx" TargetMode="External"/><Relationship Id="rId16" Type="http://schemas.openxmlformats.org/officeDocument/2006/relationships/hyperlink" Target="http://www.itu.int/dms_pub/itu-t/opb/res/T-RES-T.1-2008-MSW-E.doc" TargetMode="External"/><Relationship Id="rId221" Type="http://schemas.openxmlformats.org/officeDocument/2006/relationships/hyperlink" Target="http://www.itu.int/en/ITU-T/about/groups/Pages/sg13.aspx" TargetMode="External"/><Relationship Id="rId37" Type="http://schemas.openxmlformats.org/officeDocument/2006/relationships/hyperlink" Target="http://www.itu.int/dms_pub/itu-t/opb/res/T-RES-T.50-2008-MSW-E.doc" TargetMode="External"/><Relationship Id="rId58" Type="http://schemas.openxmlformats.org/officeDocument/2006/relationships/hyperlink" Target="http://www.itu.int/dms_pub/itu-t/opb/res/T-RES-T.75-2008-MSW-E.doc" TargetMode="External"/><Relationship Id="rId79" Type="http://schemas.openxmlformats.org/officeDocument/2006/relationships/hyperlink" Target="http://www.itu.int/net/itu-t/inrdb/e129_important_numbers.aspx" TargetMode="External"/><Relationship Id="rId102" Type="http://schemas.openxmlformats.org/officeDocument/2006/relationships/hyperlink" Target="http://www.itu.int/en/ITU-T/focusgroups/imt-2020/Documents/T13-SG13-151130-TD-PLEN-0208%21%21MSW-E.docx" TargetMode="External"/><Relationship Id="rId123" Type="http://schemas.openxmlformats.org/officeDocument/2006/relationships/hyperlink" Target="http://www.itu.int/ITU-T/studygroups/com17/nfvo" TargetMode="External"/><Relationship Id="rId144" Type="http://schemas.openxmlformats.org/officeDocument/2006/relationships/hyperlink" Target="http://www.itu.int/en/ITU-T/techwatch/Pages/mobile-money-standards.aspx" TargetMode="External"/><Relationship Id="rId90" Type="http://schemas.openxmlformats.org/officeDocument/2006/relationships/hyperlink" Target="https://extranet.itu.int/ITU-T/focusgroups" TargetMode="External"/><Relationship Id="rId165" Type="http://schemas.openxmlformats.org/officeDocument/2006/relationships/hyperlink" Target="http://www.itu.int/pub/publications.aspx?lang=en&amp;parent=T-TUT-FSTP-2015-AM" TargetMode="External"/><Relationship Id="rId186" Type="http://schemas.openxmlformats.org/officeDocument/2006/relationships/hyperlink" Target="http://www.itu.int/ITU-T/workprog/wp_item.aspx?isn=10782" TargetMode="External"/><Relationship Id="rId211" Type="http://schemas.openxmlformats.org/officeDocument/2006/relationships/hyperlink" Target="http://newslog.itu.int/archives/241" TargetMode="External"/><Relationship Id="rId232" Type="http://schemas.openxmlformats.org/officeDocument/2006/relationships/hyperlink" Target="http://www.itu.int/md/T13-TSAG-160201-TD-GEN-0460/es" TargetMode="External"/><Relationship Id="rId27" Type="http://schemas.openxmlformats.org/officeDocument/2006/relationships/hyperlink" Target="http://www.itu.int/dms_pub/itu-t/opb/res/T-RES-T.34-2008-MSW-E.doc" TargetMode="External"/><Relationship Id="rId48" Type="http://schemas.openxmlformats.org/officeDocument/2006/relationships/hyperlink" Target="http://www.itu.int/dms_pub/itu-t/opb/res/T-RES-T.65-2008-MSW-E.doc" TargetMode="External"/><Relationship Id="rId69" Type="http://schemas.openxmlformats.org/officeDocument/2006/relationships/hyperlink" Target="http://www.itu.int/md/T13-REVCOM-150529-TD-GEN-0158/en" TargetMode="External"/><Relationship Id="rId113" Type="http://schemas.openxmlformats.org/officeDocument/2006/relationships/hyperlink" Target="http://academy.itu.int/index.php/component/k2/item/1115" TargetMode="External"/><Relationship Id="rId134" Type="http://schemas.openxmlformats.org/officeDocument/2006/relationships/hyperlink" Target="http://www.itu.int/md/T13-SG02-150318-TD-GEN-0520/es"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file:///\\blue\dfs\pool\TRAD\S\ITU-T\CONF-T\WTSA16\000\xiaoya.yang@itu.in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newslog.itu.int/archives/431" TargetMode="External"/><Relationship Id="rId3" Type="http://schemas.openxmlformats.org/officeDocument/2006/relationships/hyperlink" Target="http://itu.int/en/ITU-T/climatechange/emf-1305" TargetMode="External"/><Relationship Id="rId7" Type="http://schemas.openxmlformats.org/officeDocument/2006/relationships/hyperlink" Target="http://www.itu.int/rec/T-REC-H.810" TargetMode="External"/><Relationship Id="rId2" Type="http://schemas.openxmlformats.org/officeDocument/2006/relationships/hyperlink" Target="http://itu.int/ITU-T/inr/enum/" TargetMode="External"/><Relationship Id="rId1" Type="http://schemas.openxmlformats.org/officeDocument/2006/relationships/hyperlink" Target="http://itu.int/md/T13-TSB-CIR-0019" TargetMode="External"/><Relationship Id="rId6" Type="http://schemas.openxmlformats.org/officeDocument/2006/relationships/hyperlink" Target="http://www.itu.int/rec/T-REC-H.860" TargetMode="External"/><Relationship Id="rId5" Type="http://schemas.openxmlformats.org/officeDocument/2006/relationships/hyperlink" Target="http://www.who.int/pbd/deafness/news/safe_listening_devices_scope_purpose.pdf" TargetMode="External"/><Relationship Id="rId4" Type="http://schemas.openxmlformats.org/officeDocument/2006/relationships/hyperlink" Target="http://itu.int/en/ITU-T/Workshops-and-Seminars/e-Health/20130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PM Document" ma:contentTypeID="0x0101003E653A548FCF90468B9840661443DCAF007CA98E47F9E07A4688AB58227F39616D" ma:contentTypeVersion="3" ma:contentTypeDescription="" ma:contentTypeScope="" ma:versionID="669530a660a8b617addc494cf095b1b2">
  <xsd:schema xmlns:xsd="http://www.w3.org/2001/XMLSchema" xmlns:xs="http://www.w3.org/2001/XMLSchema" xmlns:p="http://schemas.microsoft.com/office/2006/metadata/properties" xmlns:ns2="996b2e75-67fd-4955-a3b0-5ab9934cb50b" xmlns:ns3="85b4d054-d32b-4a54-a2fd-2405d31c1692" targetNamespace="http://schemas.microsoft.com/office/2006/metadata/properties" ma:root="true" ma:fieldsID="d41af5c836d734370eb92e7ee5f83852" ns2:_="" ns3:_="">
    <xsd:import namespace="996b2e75-67fd-4955-a3b0-5ab9934cb50b"/>
    <xsd:import namespace="85b4d054-d32b-4a54-a2fd-2405d31c1692"/>
    <xsd:element name="properties">
      <xsd:complexType>
        <xsd:sequence>
          <xsd:element name="documentManagement">
            <xsd:complexType>
              <xsd:all>
                <xsd:element ref="ns3:DPM_x0020_Author" minOccurs="0"/>
                <xsd:element ref="ns3:DPM_x0020_File_x0020_name" minOccurs="0"/>
                <xsd:element ref="ns3:DPM_x0020_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6b2e75-67fd-4955-a3b0-5ab9934cb50b" elementFormDefault="qualified">
    <xsd:import namespace="http://schemas.microsoft.com/office/2006/documentManagement/types"/>
    <xsd:import namespace="http://schemas.microsoft.com/office/infopath/2007/PartnerControls"/>
  </xsd:schema>
  <xsd:schema xmlns:xsd="http://www.w3.org/2001/XMLSchema" xmlns:xs="http://www.w3.org/2001/XMLSchema" xmlns:dms="http://schemas.microsoft.com/office/2006/documentManagement/types" xmlns:pc="http://schemas.microsoft.com/office/infopath/2007/PartnerControls" targetNamespace="85b4d054-d32b-4a54-a2fd-2405d31c1692" elementFormDefault="qualified">
    <xsd:import namespace="http://schemas.microsoft.com/office/2006/documentManagement/types"/>
    <xsd:import namespace="http://schemas.microsoft.com/office/infopath/2007/PartnerControls"/>
    <xsd:element name="DPM_x0020_Author" ma:index="11" nillable="true" ma:displayName="DPM Author" ma:internalName="DPM_x0020_Author">
      <xsd:simpleType>
        <xsd:restriction base="dms:Text">
          <xsd:maxLength value="255"/>
        </xsd:restriction>
      </xsd:simpleType>
    </xsd:element>
    <xsd:element name="DPM_x0020_File_x0020_name" ma:index="12" nillable="true" ma:displayName="DPM File name" ma:internalName="DPM_x0020_File_x0020_name">
      <xsd:simpleType>
        <xsd:restriction base="dms:Text">
          <xsd:maxLength value="255"/>
        </xsd:restriction>
      </xsd:simpleType>
    </xsd:element>
    <xsd:element name="DPM_x0020_Version" ma:index="13" nillable="true" ma:displayName="DPM Version" ma:internalName="DPM_x0020_Vers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PM_x0020_Author xmlns="85b4d054-d32b-4a54-a2fd-2405d31c1692">Documents Proposals Manager (DPM)</DPM_x0020_Author>
    <DPM_x0020_File_x0020_name xmlns="85b4d054-d32b-4a54-a2fd-2405d31c1692">T13-WTSA.16-C-0035!!MSW-S</DPM_x0020_File_x0020_name>
    <DPM_x0020_Version xmlns="85b4d054-d32b-4a54-a2fd-2405d31c1692">DPM_v2016.9.14.1_prod</DPM_x0020_Version>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F829E2-78C4-4AE9-B0CB-2D4C96A037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6b2e75-67fd-4955-a3b0-5ab9934cb50b"/>
    <ds:schemaRef ds:uri="85b4d054-d32b-4a54-a2fd-2405d31c16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3D58E2-EC10-4DC5-9074-AF807B63C28A}">
  <ds:schemaRefs>
    <ds:schemaRef ds:uri="http://purl.org/dc/dcmitype/"/>
    <ds:schemaRef ds:uri="http://schemas.microsoft.com/office/2006/metadata/properties"/>
    <ds:schemaRef ds:uri="http://www.w3.org/XML/1998/namespace"/>
    <ds:schemaRef ds:uri="http://purl.org/dc/elements/1.1/"/>
    <ds:schemaRef ds:uri="http://schemas.microsoft.com/office/infopath/2007/PartnerControls"/>
    <ds:schemaRef ds:uri="http://schemas.microsoft.com/office/2006/documentManagement/types"/>
    <ds:schemaRef ds:uri="http://schemas.openxmlformats.org/package/2006/metadata/core-properties"/>
    <ds:schemaRef ds:uri="85b4d054-d32b-4a54-a2fd-2405d31c1692"/>
    <ds:schemaRef ds:uri="996b2e75-67fd-4955-a3b0-5ab9934cb50b"/>
    <ds:schemaRef ds:uri="http://purl.org/dc/terms/"/>
  </ds:schemaRefs>
</ds:datastoreItem>
</file>

<file path=customXml/itemProps3.xml><?xml version="1.0" encoding="utf-8"?>
<ds:datastoreItem xmlns:ds="http://schemas.openxmlformats.org/officeDocument/2006/customXml" ds:itemID="{DD79D4EB-1B54-492A-B529-7EC2DE2D6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1662</TotalTime>
  <Pages>141</Pages>
  <Words>63103</Words>
  <Characters>362378</Characters>
  <Application>Microsoft Office Word</Application>
  <DocSecurity>0</DocSecurity>
  <Lines>3019</Lines>
  <Paragraphs>849</Paragraphs>
  <ScaleCrop>false</ScaleCrop>
  <HeadingPairs>
    <vt:vector size="2" baseType="variant">
      <vt:variant>
        <vt:lpstr>Title</vt:lpstr>
      </vt:variant>
      <vt:variant>
        <vt:i4>1</vt:i4>
      </vt:variant>
    </vt:vector>
  </HeadingPairs>
  <TitlesOfParts>
    <vt:vector size="1" baseType="lpstr">
      <vt:lpstr>T13-WTSA.16-C-0035!!MSW-S</vt:lpstr>
    </vt:vector>
  </TitlesOfParts>
  <Manager>Secretaría General - Pool</Manager>
  <Company>International Telecommunication Union (ITU)</Company>
  <LinksUpToDate>false</LinksUpToDate>
  <CharactersWithSpaces>424632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T13-WTSA.16-C-0035!!MSW-S</dc:title>
  <dc:subject>World Telecommunication Standardization Assembly</dc:subject>
  <dc:creator>Documents Proposals Manager (DPM)</dc:creator>
  <cp:keywords>DPM_v2016.9.14.1_prod</cp:keywords>
  <dc:description>Template used by DPM and CPI for the WTSA-16</dc:description>
  <cp:lastModifiedBy>Ricardo Sáez Grau</cp:lastModifiedBy>
  <cp:revision>589</cp:revision>
  <cp:lastPrinted>2016-10-06T13:23:00Z</cp:lastPrinted>
  <dcterms:created xsi:type="dcterms:W3CDTF">2016-10-06T12:43:00Z</dcterms:created>
  <dcterms:modified xsi:type="dcterms:W3CDTF">2016-10-11T14:08:00Z</dcterms:modified>
  <cp:category>Documento de conferencia</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RR</vt:lpwstr>
  </property>
  <property fmtid="{D5CDD505-2E9C-101B-9397-08002B2CF9AE}" pid="3" name="Docnum">
    <vt:lpwstr>PS_WRC07.dot</vt:lpwstr>
  </property>
  <property fmtid="{D5CDD505-2E9C-101B-9397-08002B2CF9AE}" pid="4" name="Docdate">
    <vt:lpwstr/>
  </property>
  <property fmtid="{D5CDD505-2E9C-101B-9397-08002B2CF9AE}" pid="5" name="Docorlang">
    <vt:lpwstr/>
  </property>
  <property fmtid="{D5CDD505-2E9C-101B-9397-08002B2CF9AE}" pid="6" name="Docbluepink">
    <vt:lpwstr/>
  </property>
  <property fmtid="{D5CDD505-2E9C-101B-9397-08002B2CF9AE}" pid="7" name="Docdest">
    <vt:lpwstr/>
  </property>
  <property fmtid="{D5CDD505-2E9C-101B-9397-08002B2CF9AE}" pid="8" name="Docauthor">
    <vt:lpwstr/>
  </property>
</Properties>
</file>