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174176" w:rsidRPr="00732B2E" w:rsidTr="00E15713">
        <w:trPr>
          <w:cantSplit/>
        </w:trPr>
        <w:tc>
          <w:tcPr>
            <w:tcW w:w="1357" w:type="dxa"/>
            <w:vAlign w:val="center"/>
          </w:tcPr>
          <w:p w:rsidR="00E15713" w:rsidRPr="00732B2E" w:rsidRDefault="00E15713" w:rsidP="000375A2">
            <w:pPr>
              <w:pStyle w:val="TopHeader"/>
              <w:rPr>
                <w:sz w:val="22"/>
                <w:szCs w:val="22"/>
                <w:lang w:val="fr-FR"/>
              </w:rPr>
            </w:pPr>
            <w:r w:rsidRPr="00732B2E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E15713" w:rsidRPr="00732B2E" w:rsidRDefault="00B83236" w:rsidP="000375A2">
            <w:pPr>
              <w:pStyle w:val="TopHeader"/>
              <w:rPr>
                <w:sz w:val="22"/>
                <w:szCs w:val="22"/>
                <w:lang w:val="fr-FR"/>
              </w:rPr>
            </w:pPr>
            <w:r w:rsidRPr="00732B2E">
              <w:rPr>
                <w:sz w:val="20"/>
                <w:szCs w:val="20"/>
                <w:lang w:val="fr-FR"/>
              </w:rPr>
              <w:t>Assemblée mondiale de normalisation des télécommunications (AMNT-16)</w:t>
            </w:r>
            <w:r w:rsidR="00E15713" w:rsidRPr="00732B2E">
              <w:rPr>
                <w:sz w:val="20"/>
                <w:szCs w:val="20"/>
                <w:lang w:val="fr-FR"/>
              </w:rPr>
              <w:br/>
            </w:r>
            <w:r w:rsidR="00B10788" w:rsidRPr="00732B2E">
              <w:rPr>
                <w:sz w:val="20"/>
                <w:szCs w:val="20"/>
                <w:lang w:val="fr-FR"/>
              </w:rPr>
              <w:t>Hammamet, 25 octobre - 3 novembre 2016</w:t>
            </w:r>
          </w:p>
        </w:tc>
        <w:tc>
          <w:tcPr>
            <w:tcW w:w="1804" w:type="dxa"/>
            <w:vAlign w:val="center"/>
          </w:tcPr>
          <w:p w:rsidR="00E15713" w:rsidRPr="00732B2E" w:rsidRDefault="00E15713" w:rsidP="000375A2">
            <w:pPr>
              <w:jc w:val="right"/>
              <w:rPr>
                <w:lang w:val="fr-FR"/>
              </w:rPr>
            </w:pPr>
            <w:r w:rsidRPr="00732B2E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176" w:rsidRPr="00732B2E" w:rsidTr="00E15713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E15713" w:rsidRPr="00732B2E" w:rsidRDefault="00E15713" w:rsidP="000375A2">
            <w:pPr>
              <w:pStyle w:val="TopHeader"/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E15713" w:rsidRPr="00732B2E" w:rsidRDefault="00E15713" w:rsidP="000375A2">
            <w:pPr>
              <w:spacing w:before="0"/>
              <w:rPr>
                <w:sz w:val="20"/>
                <w:lang w:val="fr-FR"/>
              </w:rPr>
            </w:pPr>
          </w:p>
        </w:tc>
      </w:tr>
      <w:tr w:rsidR="00174176" w:rsidRPr="00732B2E" w:rsidTr="00E15713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E15713" w:rsidRPr="00732B2E" w:rsidRDefault="00E15713" w:rsidP="000375A2">
            <w:pPr>
              <w:spacing w:before="0"/>
              <w:rPr>
                <w:sz w:val="20"/>
                <w:lang w:val="fr-FR"/>
              </w:rPr>
            </w:pPr>
          </w:p>
        </w:tc>
        <w:tc>
          <w:tcPr>
            <w:tcW w:w="3194" w:type="dxa"/>
            <w:gridSpan w:val="2"/>
          </w:tcPr>
          <w:p w:rsidR="00E15713" w:rsidRPr="00732B2E" w:rsidRDefault="00E15713" w:rsidP="000375A2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174176" w:rsidRPr="00732B2E" w:rsidTr="00E15713">
        <w:trPr>
          <w:cantSplit/>
        </w:trPr>
        <w:tc>
          <w:tcPr>
            <w:tcW w:w="6617" w:type="dxa"/>
            <w:gridSpan w:val="2"/>
          </w:tcPr>
          <w:p w:rsidR="00E15713" w:rsidRPr="00732B2E" w:rsidRDefault="00602B87" w:rsidP="000375A2">
            <w:pPr>
              <w:pStyle w:val="Committee"/>
              <w:spacing w:line="240" w:lineRule="auto"/>
              <w:rPr>
                <w:lang w:val="fr-FR"/>
              </w:rPr>
            </w:pPr>
            <w:r w:rsidRPr="00732B2E">
              <w:rPr>
                <w:lang w:val="fr-FR"/>
              </w:rPr>
              <w:t>SÉANCE PLÉNIÈRE</w:t>
            </w:r>
          </w:p>
        </w:tc>
        <w:tc>
          <w:tcPr>
            <w:tcW w:w="3194" w:type="dxa"/>
            <w:gridSpan w:val="2"/>
          </w:tcPr>
          <w:p w:rsidR="00E15713" w:rsidRPr="00732B2E" w:rsidRDefault="00A15D3B" w:rsidP="000375A2">
            <w:pPr>
              <w:pStyle w:val="Docnumber"/>
              <w:ind w:left="-57"/>
              <w:rPr>
                <w:lang w:val="fr-FR"/>
              </w:rPr>
            </w:pPr>
            <w:r w:rsidRPr="00732B2E">
              <w:rPr>
                <w:lang w:val="fr-FR"/>
              </w:rPr>
              <w:t>Document 29-F</w:t>
            </w:r>
          </w:p>
        </w:tc>
      </w:tr>
      <w:tr w:rsidR="00174176" w:rsidRPr="00732B2E" w:rsidTr="00E15713">
        <w:trPr>
          <w:cantSplit/>
        </w:trPr>
        <w:tc>
          <w:tcPr>
            <w:tcW w:w="6617" w:type="dxa"/>
            <w:gridSpan w:val="2"/>
          </w:tcPr>
          <w:p w:rsidR="00E15713" w:rsidRPr="00732B2E" w:rsidRDefault="00E15713" w:rsidP="000375A2">
            <w:pPr>
              <w:spacing w:before="0"/>
              <w:rPr>
                <w:sz w:val="20"/>
                <w:lang w:val="fr-FR"/>
              </w:rPr>
            </w:pPr>
          </w:p>
        </w:tc>
        <w:tc>
          <w:tcPr>
            <w:tcW w:w="3194" w:type="dxa"/>
            <w:gridSpan w:val="2"/>
          </w:tcPr>
          <w:p w:rsidR="00E15713" w:rsidRPr="00732B2E" w:rsidRDefault="00F93AFD" w:rsidP="000375A2">
            <w:pPr>
              <w:pStyle w:val="Docnumber"/>
              <w:ind w:left="-57"/>
              <w:rPr>
                <w:lang w:val="fr-FR"/>
              </w:rPr>
            </w:pPr>
            <w:r w:rsidRPr="00732B2E">
              <w:rPr>
                <w:lang w:val="fr-FR"/>
              </w:rPr>
              <w:t>6 octobre 2016</w:t>
            </w:r>
          </w:p>
        </w:tc>
      </w:tr>
      <w:tr w:rsidR="00174176" w:rsidRPr="00732B2E" w:rsidTr="00E15713">
        <w:trPr>
          <w:cantSplit/>
        </w:trPr>
        <w:tc>
          <w:tcPr>
            <w:tcW w:w="6617" w:type="dxa"/>
            <w:gridSpan w:val="2"/>
          </w:tcPr>
          <w:p w:rsidR="00E15713" w:rsidRPr="00732B2E" w:rsidRDefault="00E15713" w:rsidP="000375A2">
            <w:pPr>
              <w:spacing w:before="0"/>
              <w:rPr>
                <w:sz w:val="20"/>
                <w:lang w:val="fr-FR"/>
              </w:rPr>
            </w:pPr>
          </w:p>
        </w:tc>
        <w:tc>
          <w:tcPr>
            <w:tcW w:w="3194" w:type="dxa"/>
            <w:gridSpan w:val="2"/>
          </w:tcPr>
          <w:p w:rsidR="00E15713" w:rsidRPr="00732B2E" w:rsidRDefault="0063285F" w:rsidP="000375A2">
            <w:pPr>
              <w:pStyle w:val="Docnumber"/>
              <w:ind w:left="-57"/>
              <w:rPr>
                <w:lang w:val="fr-FR"/>
              </w:rPr>
            </w:pPr>
            <w:r w:rsidRPr="00732B2E">
              <w:rPr>
                <w:lang w:val="fr-FR"/>
              </w:rPr>
              <w:t>Original: anglais</w:t>
            </w:r>
          </w:p>
        </w:tc>
      </w:tr>
      <w:tr w:rsidR="00174176" w:rsidRPr="00732B2E" w:rsidTr="00E15713">
        <w:trPr>
          <w:cantSplit/>
        </w:trPr>
        <w:tc>
          <w:tcPr>
            <w:tcW w:w="9811" w:type="dxa"/>
            <w:gridSpan w:val="4"/>
          </w:tcPr>
          <w:p w:rsidR="00E15713" w:rsidRPr="00732B2E" w:rsidRDefault="00E15713" w:rsidP="000375A2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</w:p>
        </w:tc>
      </w:tr>
      <w:tr w:rsidR="00174176" w:rsidRPr="00732B2E" w:rsidTr="00E15713">
        <w:trPr>
          <w:cantSplit/>
        </w:trPr>
        <w:tc>
          <w:tcPr>
            <w:tcW w:w="9811" w:type="dxa"/>
            <w:gridSpan w:val="4"/>
          </w:tcPr>
          <w:p w:rsidR="00E15713" w:rsidRPr="00732B2E" w:rsidRDefault="00833145" w:rsidP="000375A2">
            <w:pPr>
              <w:pStyle w:val="Source"/>
              <w:rPr>
                <w:lang w:val="fr-FR"/>
              </w:rPr>
            </w:pPr>
            <w:r w:rsidRPr="00732B2E">
              <w:rPr>
                <w:bCs/>
                <w:szCs w:val="28"/>
                <w:lang w:val="fr-FR"/>
              </w:rPr>
              <w:t>Directeur du TSB</w:t>
            </w:r>
          </w:p>
        </w:tc>
      </w:tr>
      <w:tr w:rsidR="00174176" w:rsidRPr="00CD1B87" w:rsidTr="00E15713">
        <w:trPr>
          <w:cantSplit/>
        </w:trPr>
        <w:tc>
          <w:tcPr>
            <w:tcW w:w="9811" w:type="dxa"/>
            <w:gridSpan w:val="4"/>
          </w:tcPr>
          <w:p w:rsidR="00E15713" w:rsidRPr="00732B2E" w:rsidRDefault="003A436B" w:rsidP="005F35D0">
            <w:pPr>
              <w:pStyle w:val="Title1"/>
              <w:rPr>
                <w:lang w:val="fr-FR"/>
              </w:rPr>
            </w:pPr>
            <w:r w:rsidRPr="00732B2E">
              <w:rPr>
                <w:lang w:val="fr-FR"/>
              </w:rPr>
              <w:t xml:space="preserve">RAPPORT SUR LES ESTIMATIONS DES BESOINS </w:t>
            </w:r>
            <w:r w:rsidR="006C5EAB">
              <w:rPr>
                <w:lang w:val="fr-FR"/>
              </w:rPr>
              <w:t>FINANCIERS JUSQU'À L'AMNT</w:t>
            </w:r>
            <w:r w:rsidR="005F35D0">
              <w:rPr>
                <w:lang w:val="fr-FR"/>
              </w:rPr>
              <w:t>-</w:t>
            </w:r>
            <w:r w:rsidR="006C5EAB">
              <w:rPr>
                <w:lang w:val="fr-FR"/>
              </w:rPr>
              <w:t>20</w:t>
            </w:r>
            <w:r w:rsidRPr="00732B2E">
              <w:rPr>
                <w:lang w:val="fr-FR"/>
              </w:rPr>
              <w:t xml:space="preserve"> ET DÉPENSES DE L'UIT-T PENDANT LA PÉRIODE 2012-2016</w:t>
            </w:r>
          </w:p>
        </w:tc>
      </w:tr>
      <w:tr w:rsidR="00174176" w:rsidRPr="00CD1B87" w:rsidTr="00E15713">
        <w:trPr>
          <w:cantSplit/>
        </w:trPr>
        <w:tc>
          <w:tcPr>
            <w:tcW w:w="9811" w:type="dxa"/>
            <w:gridSpan w:val="4"/>
          </w:tcPr>
          <w:p w:rsidR="00E15713" w:rsidRPr="00732B2E" w:rsidRDefault="00E15713" w:rsidP="000375A2">
            <w:pPr>
              <w:pStyle w:val="Agendaitem"/>
              <w:rPr>
                <w:lang w:val="fr-FR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174176" w:rsidRPr="00CD1B87" w:rsidTr="000375A2">
        <w:trPr>
          <w:cantSplit/>
        </w:trPr>
        <w:tc>
          <w:tcPr>
            <w:tcW w:w="1912" w:type="dxa"/>
          </w:tcPr>
          <w:p w:rsidR="00E15713" w:rsidRPr="00732B2E" w:rsidRDefault="0014692D" w:rsidP="000375A2">
            <w:pPr>
              <w:rPr>
                <w:lang w:val="fr-FR"/>
              </w:rPr>
            </w:pPr>
            <w:r w:rsidRPr="00732B2E">
              <w:rPr>
                <w:b/>
                <w:bCs/>
                <w:lang w:val="fr-FR"/>
              </w:rPr>
              <w:t>Résumé:</w:t>
            </w:r>
          </w:p>
        </w:tc>
        <w:sdt>
          <w:sdtPr>
            <w:rPr>
              <w:color w:val="000000"/>
              <w:lang w:val="fr-FR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</w:tcPr>
              <w:p w:rsidR="00E15713" w:rsidRPr="00732B2E" w:rsidRDefault="006C5EAB" w:rsidP="00195120">
                <w:pPr>
                  <w:rPr>
                    <w:color w:val="000000" w:themeColor="text1"/>
                    <w:lang w:val="fr-FR"/>
                  </w:rPr>
                </w:pPr>
                <w:r>
                  <w:rPr>
                    <w:color w:val="000000"/>
                    <w:lang w:val="fr-FR"/>
                  </w:rPr>
                  <w:t>On trouvera dans l</w:t>
                </w:r>
                <w:r w:rsidR="00261725" w:rsidRPr="006C5EAB">
                  <w:rPr>
                    <w:color w:val="000000"/>
                    <w:lang w:val="fr-FR"/>
                  </w:rPr>
                  <w:t xml:space="preserve">e présent document les estimations des besoins financiers de l’UIT-T jusqu’à la prochaine AMNT et </w:t>
                </w:r>
                <w:r w:rsidR="008F358E" w:rsidRPr="006C5EAB">
                  <w:rPr>
                    <w:color w:val="000000"/>
                    <w:lang w:val="fr-FR"/>
                  </w:rPr>
                  <w:t>un résumé</w:t>
                </w:r>
                <w:r w:rsidR="00261725" w:rsidRPr="006C5EAB">
                  <w:rPr>
                    <w:color w:val="000000"/>
                    <w:lang w:val="fr-FR"/>
                  </w:rPr>
                  <w:t xml:space="preserve"> des comptes des années écoulées depuis la précédente AMNT.</w:t>
                </w:r>
              </w:p>
            </w:tc>
          </w:sdtContent>
        </w:sdt>
      </w:tr>
    </w:tbl>
    <w:p w:rsidR="00E15713" w:rsidRPr="005F35D0" w:rsidRDefault="00E15713" w:rsidP="000375A2">
      <w:pPr>
        <w:pStyle w:val="Heading1"/>
        <w:rPr>
          <w:lang w:val="fr-FR"/>
        </w:rPr>
      </w:pPr>
      <w:r w:rsidRPr="005F35D0">
        <w:rPr>
          <w:lang w:val="fr-FR"/>
        </w:rPr>
        <w:t>1</w:t>
      </w:r>
      <w:r w:rsidRPr="005F35D0">
        <w:rPr>
          <w:lang w:val="fr-FR"/>
        </w:rPr>
        <w:tab/>
        <w:t>Introduction</w:t>
      </w:r>
    </w:p>
    <w:p w:rsidR="00E15713" w:rsidRPr="00732B2E" w:rsidRDefault="00E15713" w:rsidP="005F35D0">
      <w:pPr>
        <w:rPr>
          <w:lang w:val="fr-FR"/>
        </w:rPr>
      </w:pPr>
      <w:r w:rsidRPr="00732B2E">
        <w:rPr>
          <w:lang w:val="fr-FR"/>
        </w:rPr>
        <w:t>1.1</w:t>
      </w:r>
      <w:r w:rsidRPr="00732B2E">
        <w:rPr>
          <w:lang w:val="fr-FR"/>
        </w:rPr>
        <w:tab/>
      </w:r>
      <w:r w:rsidR="006C5EAB">
        <w:rPr>
          <w:lang w:val="fr-FR"/>
        </w:rPr>
        <w:t>En vertu de la Résolution 1 de l'AMNT</w:t>
      </w:r>
      <w:r w:rsidR="005F35D0">
        <w:rPr>
          <w:lang w:val="fr-FR"/>
        </w:rPr>
        <w:t>-</w:t>
      </w:r>
      <w:r w:rsidR="006C5EAB">
        <w:rPr>
          <w:lang w:val="fr-FR"/>
        </w:rPr>
        <w:t>12, le</w:t>
      </w:r>
      <w:r w:rsidR="00926EB6" w:rsidRPr="00732B2E">
        <w:rPr>
          <w:lang w:val="fr-FR"/>
        </w:rPr>
        <w:t xml:space="preserve"> Directeur du TSB </w:t>
      </w:r>
      <w:r w:rsidR="006C5EAB">
        <w:rPr>
          <w:lang w:val="fr-FR"/>
        </w:rPr>
        <w:t xml:space="preserve">était </w:t>
      </w:r>
      <w:r w:rsidR="00CD1B87">
        <w:rPr>
          <w:lang w:val="fr-FR"/>
        </w:rPr>
        <w:t>prié</w:t>
      </w:r>
      <w:r w:rsidR="006C5EAB">
        <w:rPr>
          <w:lang w:val="fr-FR"/>
        </w:rPr>
        <w:t xml:space="preserve"> </w:t>
      </w:r>
      <w:r w:rsidR="00926EB6" w:rsidRPr="00732B2E">
        <w:rPr>
          <w:lang w:val="fr-FR"/>
        </w:rPr>
        <w:t>de présenter à l'Assemblée mondiale de normalisation des télécommunications un rapport sur les besoins financiers de l'UIT-T jusqu'à l'AMNT suivante, et un résumé des comptes des années écoulées depuis la précédente AMNT.</w:t>
      </w:r>
    </w:p>
    <w:p w:rsidR="00E15713" w:rsidRPr="00732B2E" w:rsidRDefault="00E15713" w:rsidP="000375A2">
      <w:pPr>
        <w:rPr>
          <w:lang w:val="fr-FR"/>
        </w:rPr>
      </w:pPr>
      <w:r w:rsidRPr="00732B2E">
        <w:rPr>
          <w:lang w:val="fr-FR"/>
        </w:rPr>
        <w:t>1.2</w:t>
      </w:r>
      <w:r w:rsidRPr="00732B2E">
        <w:rPr>
          <w:color w:val="FF0000"/>
          <w:lang w:val="fr-FR"/>
        </w:rPr>
        <w:tab/>
      </w:r>
      <w:r w:rsidR="007177BA" w:rsidRPr="00732B2E">
        <w:rPr>
          <w:lang w:val="fr-FR"/>
        </w:rPr>
        <w:t>Suite à cette demande, et conformément à la Résolution 122 (Rév. Guadalajara, 2010)</w:t>
      </w:r>
      <w:r>
        <w:rPr>
          <w:lang w:val="fr-FR"/>
        </w:rPr>
        <w:t xml:space="preserve"> de la Conférence de plénipotentiaires</w:t>
      </w:r>
      <w:r w:rsidR="007177BA" w:rsidRPr="00732B2E">
        <w:rPr>
          <w:lang w:val="fr-FR"/>
        </w:rPr>
        <w:t>, le présent document contient un résumé:</w:t>
      </w:r>
      <w:r w:rsidRPr="00732B2E">
        <w:rPr>
          <w:lang w:val="fr-FR"/>
        </w:rPr>
        <w:t xml:space="preserve"> </w:t>
      </w:r>
    </w:p>
    <w:p w:rsidR="00E15713" w:rsidRPr="00732B2E" w:rsidRDefault="00EC0F14" w:rsidP="00EC0F14">
      <w:pPr>
        <w:pStyle w:val="enumlev1"/>
        <w:rPr>
          <w:lang w:val="fr-FR"/>
        </w:rPr>
      </w:pPr>
      <w:r w:rsidRPr="00EC0F14">
        <w:rPr>
          <w:lang w:val="fr-FR"/>
        </w:rPr>
        <w:t>•</w:t>
      </w:r>
      <w:r>
        <w:rPr>
          <w:lang w:val="fr-FR"/>
        </w:rPr>
        <w:tab/>
      </w:r>
      <w:r w:rsidR="00D606BA" w:rsidRPr="00732B2E">
        <w:rPr>
          <w:lang w:val="fr-FR"/>
        </w:rPr>
        <w:t>de l'estimation des besoins financiers jusqu'en 2020;</w:t>
      </w:r>
      <w:r w:rsidR="00E15713" w:rsidRPr="00732B2E">
        <w:rPr>
          <w:lang w:val="fr-FR"/>
        </w:rPr>
        <w:t xml:space="preserve"> </w:t>
      </w:r>
    </w:p>
    <w:p w:rsidR="00E15713" w:rsidRPr="00732B2E" w:rsidRDefault="00EC0F14" w:rsidP="00EC0F14">
      <w:pPr>
        <w:pStyle w:val="enumlev1"/>
        <w:rPr>
          <w:lang w:val="fr-FR"/>
        </w:rPr>
      </w:pPr>
      <w:r w:rsidRPr="00EC0F14">
        <w:rPr>
          <w:lang w:val="fr-FR"/>
        </w:rPr>
        <w:t>•</w:t>
      </w:r>
      <w:r>
        <w:rPr>
          <w:lang w:val="fr-FR"/>
        </w:rPr>
        <w:tab/>
      </w:r>
      <w:r w:rsidR="00906205" w:rsidRPr="00732B2E">
        <w:rPr>
          <w:lang w:val="fr-FR"/>
        </w:rPr>
        <w:t>des contributions financières pour la période 2012-2016;</w:t>
      </w:r>
    </w:p>
    <w:p w:rsidR="00E15713" w:rsidRPr="00732B2E" w:rsidRDefault="00EC0F14" w:rsidP="00EC0F14">
      <w:pPr>
        <w:pStyle w:val="enumlev1"/>
        <w:rPr>
          <w:lang w:val="fr-FR"/>
        </w:rPr>
      </w:pPr>
      <w:r w:rsidRPr="00EC0F14">
        <w:rPr>
          <w:lang w:val="fr-FR"/>
        </w:rPr>
        <w:t>•</w:t>
      </w:r>
      <w:r>
        <w:rPr>
          <w:lang w:val="fr-FR"/>
        </w:rPr>
        <w:tab/>
      </w:r>
      <w:r w:rsidR="00435EFC" w:rsidRPr="00732B2E">
        <w:rPr>
          <w:lang w:val="fr-FR"/>
        </w:rPr>
        <w:t>des dépenses pour la période 2012-2015, avec une estimation pour 2016.</w:t>
      </w:r>
    </w:p>
    <w:p w:rsidR="00E15713" w:rsidRPr="00732B2E" w:rsidRDefault="00E15713" w:rsidP="005F35D0">
      <w:pPr>
        <w:rPr>
          <w:lang w:val="fr-FR"/>
        </w:rPr>
      </w:pPr>
      <w:r w:rsidRPr="00732B2E">
        <w:rPr>
          <w:lang w:val="fr-FR"/>
        </w:rPr>
        <w:t>1.3</w:t>
      </w:r>
      <w:r w:rsidRPr="00732B2E">
        <w:rPr>
          <w:lang w:val="fr-FR"/>
        </w:rPr>
        <w:tab/>
      </w:r>
      <w:r w:rsidR="00261725">
        <w:rPr>
          <w:lang w:val="fr-FR"/>
        </w:rPr>
        <w:t>Le présent document sera actualisé lors de l’AMNT</w:t>
      </w:r>
      <w:r w:rsidR="005F35D0">
        <w:rPr>
          <w:lang w:val="fr-FR"/>
        </w:rPr>
        <w:t>-</w:t>
      </w:r>
      <w:r w:rsidR="00261725">
        <w:rPr>
          <w:lang w:val="fr-FR"/>
        </w:rPr>
        <w:t>16</w:t>
      </w:r>
      <w:r w:rsidR="006C5EAB">
        <w:rPr>
          <w:lang w:val="fr-FR"/>
        </w:rPr>
        <w:t>,</w:t>
      </w:r>
      <w:r w:rsidR="00261725">
        <w:rPr>
          <w:lang w:val="fr-FR"/>
        </w:rPr>
        <w:t xml:space="preserve"> afin de tenir compte des nouvelles tâches identifiées par l’AMNT-16</w:t>
      </w:r>
      <w:r w:rsidRPr="00732B2E">
        <w:rPr>
          <w:lang w:val="fr-FR"/>
        </w:rPr>
        <w:t>.</w:t>
      </w:r>
    </w:p>
    <w:p w:rsidR="00E15713" w:rsidRPr="005F35D0" w:rsidRDefault="00E15713" w:rsidP="00D908D5">
      <w:pPr>
        <w:pStyle w:val="Heading1"/>
        <w:rPr>
          <w:lang w:val="fr-FR"/>
        </w:rPr>
      </w:pPr>
      <w:r w:rsidRPr="005F35D0">
        <w:rPr>
          <w:lang w:val="fr-FR"/>
        </w:rPr>
        <w:t>2</w:t>
      </w:r>
      <w:r w:rsidRPr="005F35D0">
        <w:rPr>
          <w:lang w:val="fr-FR"/>
        </w:rPr>
        <w:tab/>
      </w:r>
      <w:r w:rsidR="00DA5D63" w:rsidRPr="005F35D0">
        <w:rPr>
          <w:lang w:val="fr-FR"/>
        </w:rPr>
        <w:t>Estimation des besoins financiers jusqu'à l'AMNT-20</w:t>
      </w:r>
    </w:p>
    <w:p w:rsidR="00E15713" w:rsidRPr="00732B2E" w:rsidRDefault="00E15713" w:rsidP="000375A2">
      <w:pPr>
        <w:keepNext/>
        <w:keepLines/>
        <w:rPr>
          <w:lang w:val="fr-FR"/>
        </w:rPr>
      </w:pPr>
      <w:r w:rsidRPr="00732B2E">
        <w:rPr>
          <w:lang w:val="fr-FR"/>
        </w:rPr>
        <w:t>2.1</w:t>
      </w:r>
      <w:r w:rsidRPr="00732B2E">
        <w:rPr>
          <w:lang w:val="fr-FR"/>
        </w:rPr>
        <w:tab/>
      </w:r>
      <w:r w:rsidR="00114851" w:rsidRPr="00732B2E">
        <w:rPr>
          <w:lang w:val="fr-FR"/>
        </w:rPr>
        <w:t xml:space="preserve">Le budget de l'Union pour la période 2016-2017, d'un montant de 321 millions CHF, a été approuvé par le </w:t>
      </w:r>
      <w:r w:rsidR="00B87F72">
        <w:rPr>
          <w:lang w:val="fr-FR"/>
        </w:rPr>
        <w:t>Conseil à sa session de 2015 en vertu de</w:t>
      </w:r>
      <w:r w:rsidR="00114851" w:rsidRPr="00732B2E">
        <w:rPr>
          <w:lang w:val="fr-FR"/>
        </w:rPr>
        <w:t xml:space="preserve"> la Résolution 1375.</w:t>
      </w:r>
      <w:r w:rsidRPr="00732B2E">
        <w:rPr>
          <w:lang w:val="fr-FR"/>
        </w:rPr>
        <w:t xml:space="preserve"> </w:t>
      </w:r>
      <w:r w:rsidR="005A2252" w:rsidRPr="00732B2E">
        <w:rPr>
          <w:lang w:val="fr-FR"/>
        </w:rPr>
        <w:t xml:space="preserve">Pour l'UIT-T, le budget s'élève à environ 8% du budget total (voir </w:t>
      </w:r>
      <w:r w:rsidR="006C5EAB">
        <w:rPr>
          <w:lang w:val="fr-FR"/>
        </w:rPr>
        <w:t xml:space="preserve">le </w:t>
      </w:r>
      <w:r w:rsidR="00D908D5">
        <w:rPr>
          <w:lang w:val="fr-FR"/>
        </w:rPr>
        <w:t>Tableau 1 en annexe).</w:t>
      </w:r>
    </w:p>
    <w:p w:rsidR="00E15713" w:rsidRPr="00732B2E" w:rsidRDefault="00EC0F14" w:rsidP="00EC0F14">
      <w:pPr>
        <w:pStyle w:val="enumlev1"/>
        <w:rPr>
          <w:lang w:val="fr-FR"/>
        </w:rPr>
      </w:pPr>
      <w:r w:rsidRPr="00EC0F14">
        <w:rPr>
          <w:lang w:val="fr-FR"/>
        </w:rPr>
        <w:t>•</w:t>
      </w:r>
      <w:r>
        <w:rPr>
          <w:lang w:val="fr-FR"/>
        </w:rPr>
        <w:tab/>
      </w:r>
      <w:r w:rsidR="00B87F72">
        <w:rPr>
          <w:lang w:val="fr-FR"/>
        </w:rPr>
        <w:t xml:space="preserve">13 394 000 </w:t>
      </w:r>
      <w:r w:rsidR="000B4EBD" w:rsidRPr="00732B2E">
        <w:rPr>
          <w:lang w:val="fr-FR"/>
        </w:rPr>
        <w:t>CHF en 2016.</w:t>
      </w:r>
    </w:p>
    <w:p w:rsidR="00E15713" w:rsidRPr="00732B2E" w:rsidRDefault="00EC0F14" w:rsidP="00EC0F14">
      <w:pPr>
        <w:pStyle w:val="enumlev1"/>
        <w:rPr>
          <w:lang w:val="fr-FR"/>
        </w:rPr>
      </w:pPr>
      <w:r w:rsidRPr="00EC0F14">
        <w:rPr>
          <w:lang w:val="fr-FR"/>
        </w:rPr>
        <w:t>•</w:t>
      </w:r>
      <w:r>
        <w:rPr>
          <w:lang w:val="fr-FR"/>
        </w:rPr>
        <w:tab/>
      </w:r>
      <w:r w:rsidR="00474095" w:rsidRPr="00732B2E">
        <w:rPr>
          <w:lang w:val="fr-FR"/>
        </w:rPr>
        <w:t xml:space="preserve">12 438 </w:t>
      </w:r>
      <w:r w:rsidR="00B87F72">
        <w:rPr>
          <w:lang w:val="fr-FR"/>
        </w:rPr>
        <w:t xml:space="preserve">000 </w:t>
      </w:r>
      <w:r w:rsidR="00474095" w:rsidRPr="00732B2E">
        <w:rPr>
          <w:lang w:val="fr-FR"/>
        </w:rPr>
        <w:t>CHF en 2017.</w:t>
      </w:r>
    </w:p>
    <w:p w:rsidR="007231B2" w:rsidRDefault="00E15713" w:rsidP="007231B2">
      <w:pPr>
        <w:rPr>
          <w:lang w:val="fr-FR"/>
        </w:rPr>
      </w:pPr>
      <w:r w:rsidRPr="00732B2E">
        <w:rPr>
          <w:lang w:val="fr-FR"/>
        </w:rPr>
        <w:t>2.2</w:t>
      </w:r>
      <w:r w:rsidRPr="00732B2E">
        <w:rPr>
          <w:lang w:val="fr-FR"/>
        </w:rPr>
        <w:tab/>
      </w:r>
      <w:r w:rsidR="00B933AB" w:rsidRPr="00732B2E">
        <w:rPr>
          <w:lang w:val="fr-FR"/>
        </w:rPr>
        <w:t xml:space="preserve">Les </w:t>
      </w:r>
      <w:r w:rsidR="006C5EAB">
        <w:rPr>
          <w:lang w:val="fr-FR"/>
        </w:rPr>
        <w:t xml:space="preserve">projets de </w:t>
      </w:r>
      <w:r w:rsidR="00B933AB" w:rsidRPr="00732B2E">
        <w:rPr>
          <w:lang w:val="fr-FR"/>
        </w:rPr>
        <w:t>dépenses de l'</w:t>
      </w:r>
      <w:r w:rsidR="006C5EAB">
        <w:rPr>
          <w:lang w:val="fr-FR"/>
        </w:rPr>
        <w:t>UIT-T pour les années suivantes (</w:t>
      </w:r>
      <w:r w:rsidR="00B933AB" w:rsidRPr="00732B2E">
        <w:rPr>
          <w:lang w:val="fr-FR"/>
        </w:rPr>
        <w:t>2018 à 2020</w:t>
      </w:r>
      <w:r w:rsidR="006C5EAB">
        <w:rPr>
          <w:lang w:val="fr-FR"/>
        </w:rPr>
        <w:t>)</w:t>
      </w:r>
      <w:r w:rsidR="00B933AB" w:rsidRPr="00732B2E">
        <w:rPr>
          <w:lang w:val="fr-FR"/>
        </w:rPr>
        <w:t xml:space="preserve"> (voir </w:t>
      </w:r>
      <w:r w:rsidR="006C5EAB">
        <w:rPr>
          <w:lang w:val="fr-FR"/>
        </w:rPr>
        <w:t xml:space="preserve">le </w:t>
      </w:r>
      <w:r w:rsidR="00B933AB" w:rsidRPr="00732B2E">
        <w:rPr>
          <w:lang w:val="fr-FR"/>
        </w:rPr>
        <w:t>Tableau 2), sont estimées à:</w:t>
      </w:r>
    </w:p>
    <w:p w:rsidR="007231B2" w:rsidRPr="00FC37F1" w:rsidRDefault="004F2CC7" w:rsidP="007231B2">
      <w:pPr>
        <w:pStyle w:val="enumlev1"/>
        <w:rPr>
          <w:lang w:val="fr-FR"/>
        </w:rPr>
      </w:pPr>
      <w:r w:rsidRPr="004F2CC7">
        <w:rPr>
          <w:lang w:val="fr-FR"/>
        </w:rPr>
        <w:lastRenderedPageBreak/>
        <w:t>•</w:t>
      </w:r>
      <w:r>
        <w:rPr>
          <w:lang w:val="fr-FR"/>
        </w:rPr>
        <w:tab/>
      </w:r>
      <w:r w:rsidR="00B87F72" w:rsidRPr="00FC37F1">
        <w:rPr>
          <w:lang w:val="fr-FR"/>
        </w:rPr>
        <w:t xml:space="preserve">12 950 000 </w:t>
      </w:r>
      <w:r w:rsidR="00D468E0" w:rsidRPr="00FC37F1">
        <w:rPr>
          <w:lang w:val="fr-FR"/>
        </w:rPr>
        <w:t>CHF en 2018.</w:t>
      </w:r>
    </w:p>
    <w:p w:rsidR="007231B2" w:rsidRDefault="004F2CC7" w:rsidP="007231B2">
      <w:pPr>
        <w:pStyle w:val="enumlev1"/>
        <w:rPr>
          <w:lang w:val="fr-FR"/>
        </w:rPr>
      </w:pPr>
      <w:r w:rsidRPr="004F2CC7">
        <w:rPr>
          <w:lang w:val="fr-FR"/>
        </w:rPr>
        <w:t>•</w:t>
      </w:r>
      <w:r>
        <w:rPr>
          <w:lang w:val="fr-FR"/>
        </w:rPr>
        <w:tab/>
      </w:r>
      <w:r w:rsidR="00B87F72">
        <w:rPr>
          <w:lang w:val="fr-FR"/>
        </w:rPr>
        <w:t xml:space="preserve">13 050 000 </w:t>
      </w:r>
      <w:r w:rsidR="00CB1CC5" w:rsidRPr="00732B2E">
        <w:rPr>
          <w:lang w:val="fr-FR"/>
        </w:rPr>
        <w:t>CHF en 2019.</w:t>
      </w:r>
    </w:p>
    <w:p w:rsidR="00E15713" w:rsidRPr="00732B2E" w:rsidRDefault="004F2CC7" w:rsidP="007231B2">
      <w:pPr>
        <w:pStyle w:val="enumlev1"/>
        <w:rPr>
          <w:lang w:val="fr-FR"/>
        </w:rPr>
      </w:pPr>
      <w:r w:rsidRPr="004F2CC7">
        <w:rPr>
          <w:lang w:val="fr-FR"/>
        </w:rPr>
        <w:t>•</w:t>
      </w:r>
      <w:r>
        <w:rPr>
          <w:lang w:val="fr-FR"/>
        </w:rPr>
        <w:tab/>
      </w:r>
      <w:r w:rsidR="00FC0C0F" w:rsidRPr="00732B2E">
        <w:rPr>
          <w:lang w:val="fr-FR"/>
        </w:rPr>
        <w:t>14</w:t>
      </w:r>
      <w:r w:rsidR="00B87F72">
        <w:rPr>
          <w:lang w:val="fr-FR"/>
        </w:rPr>
        <w:t xml:space="preserve"> 180 000 </w:t>
      </w:r>
      <w:r w:rsidR="00FC0C0F" w:rsidRPr="00732B2E">
        <w:rPr>
          <w:lang w:val="fr-FR"/>
        </w:rPr>
        <w:t xml:space="preserve">CHF en 2020 (cette estimation comprend les </w:t>
      </w:r>
      <w:r w:rsidR="006C5EAB">
        <w:rPr>
          <w:lang w:val="fr-FR"/>
        </w:rPr>
        <w:t>dépenses liées à l’AMNT et aux</w:t>
      </w:r>
      <w:r w:rsidR="00FC0C0F" w:rsidRPr="00732B2E">
        <w:rPr>
          <w:lang w:val="fr-FR"/>
        </w:rPr>
        <w:t xml:space="preserve"> réunions préparatoires</w:t>
      </w:r>
      <w:r w:rsidR="006C5EAB">
        <w:rPr>
          <w:lang w:val="fr-FR"/>
        </w:rPr>
        <w:t xml:space="preserve"> connexes</w:t>
      </w:r>
      <w:r w:rsidR="00FC0C0F" w:rsidRPr="00732B2E">
        <w:rPr>
          <w:lang w:val="fr-FR"/>
        </w:rPr>
        <w:t>)</w:t>
      </w:r>
    </w:p>
    <w:p w:rsidR="00E15713" w:rsidRPr="00732B2E" w:rsidRDefault="00E15713" w:rsidP="000375A2">
      <w:pPr>
        <w:rPr>
          <w:lang w:val="fr-FR"/>
        </w:rPr>
      </w:pPr>
      <w:r w:rsidRPr="00732B2E">
        <w:rPr>
          <w:lang w:val="fr-FR"/>
        </w:rPr>
        <w:t>2.3</w:t>
      </w:r>
      <w:r w:rsidRPr="00732B2E">
        <w:rPr>
          <w:lang w:val="fr-FR"/>
        </w:rPr>
        <w:tab/>
      </w:r>
      <w:r w:rsidR="00F054B2" w:rsidRPr="00732B2E">
        <w:rPr>
          <w:lang w:val="fr-FR"/>
        </w:rPr>
        <w:t>Toute nouvelle tâche identifiée par l'AMNT-16 est susceptible d'augmenter encore les dépenses estimées.</w:t>
      </w:r>
    </w:p>
    <w:p w:rsidR="00E15713" w:rsidRPr="00732B2E" w:rsidRDefault="00E15713" w:rsidP="000375A2">
      <w:pPr>
        <w:pStyle w:val="Heading1"/>
        <w:rPr>
          <w:lang w:val="fr-FR"/>
        </w:rPr>
      </w:pPr>
      <w:r w:rsidRPr="00732B2E">
        <w:rPr>
          <w:lang w:val="fr-FR"/>
        </w:rPr>
        <w:t>3</w:t>
      </w:r>
      <w:r w:rsidRPr="00732B2E">
        <w:rPr>
          <w:lang w:val="fr-FR"/>
        </w:rPr>
        <w:tab/>
      </w:r>
      <w:r w:rsidR="007C0E01" w:rsidRPr="00732B2E">
        <w:rPr>
          <w:lang w:val="fr-FR"/>
        </w:rPr>
        <w:t>Contributions financières pour la période 2012-2016;</w:t>
      </w:r>
    </w:p>
    <w:p w:rsidR="00E15713" w:rsidRPr="00732B2E" w:rsidRDefault="00E15713" w:rsidP="00EC0F14">
      <w:pPr>
        <w:rPr>
          <w:lang w:val="fr-FR"/>
        </w:rPr>
      </w:pPr>
      <w:r w:rsidRPr="00732B2E">
        <w:rPr>
          <w:lang w:val="fr-FR"/>
        </w:rPr>
        <w:t>3.1</w:t>
      </w:r>
      <w:r w:rsidRPr="00732B2E">
        <w:rPr>
          <w:lang w:val="fr-FR"/>
        </w:rPr>
        <w:tab/>
      </w:r>
      <w:r w:rsidR="006C5EAB">
        <w:rPr>
          <w:lang w:val="fr-FR"/>
        </w:rPr>
        <w:t>Le nombre de Membres du</w:t>
      </w:r>
      <w:r w:rsidR="002E5913" w:rsidRPr="00732B2E">
        <w:rPr>
          <w:lang w:val="fr-FR"/>
        </w:rPr>
        <w:t xml:space="preserve"> Secteur de l'UIT-T ainsi que le nombre d'Associés</w:t>
      </w:r>
      <w:r w:rsidR="006C5EAB">
        <w:rPr>
          <w:lang w:val="fr-FR"/>
        </w:rPr>
        <w:t xml:space="preserve"> de l'</w:t>
      </w:r>
      <w:r w:rsidR="00EC0F14">
        <w:rPr>
          <w:lang w:val="fr-FR"/>
        </w:rPr>
        <w:t>UIT</w:t>
      </w:r>
      <w:r w:rsidR="00EC0F14">
        <w:rPr>
          <w:lang w:val="fr-FR"/>
        </w:rPr>
        <w:noBreakHyphen/>
      </w:r>
      <w:r w:rsidR="006C5EAB">
        <w:rPr>
          <w:lang w:val="fr-FR"/>
        </w:rPr>
        <w:t>T et d'établissements universitaires participant à ses travaux</w:t>
      </w:r>
      <w:r w:rsidR="002E5913" w:rsidRPr="00732B2E">
        <w:rPr>
          <w:lang w:val="fr-FR"/>
        </w:rPr>
        <w:t xml:space="preserve"> au début de chaque année de la période 2012-2016 sont présentés dans le Tableau 3.</w:t>
      </w:r>
      <w:r w:rsidRPr="00732B2E">
        <w:rPr>
          <w:lang w:val="fr-FR"/>
        </w:rPr>
        <w:t xml:space="preserve"> </w:t>
      </w:r>
    </w:p>
    <w:p w:rsidR="00E15713" w:rsidRPr="00732B2E" w:rsidRDefault="00E15713" w:rsidP="00195120">
      <w:pPr>
        <w:rPr>
          <w:lang w:val="fr-FR"/>
        </w:rPr>
      </w:pPr>
      <w:r w:rsidRPr="00732B2E">
        <w:rPr>
          <w:lang w:val="fr-FR"/>
        </w:rPr>
        <w:t>3.2</w:t>
      </w:r>
      <w:r w:rsidRPr="00732B2E">
        <w:rPr>
          <w:lang w:val="fr-FR"/>
        </w:rPr>
        <w:tab/>
      </w:r>
      <w:r w:rsidR="006C5EAB">
        <w:rPr>
          <w:lang w:val="fr-FR"/>
        </w:rPr>
        <w:t>La plupart des Membres du</w:t>
      </w:r>
      <w:r w:rsidR="00500721" w:rsidRPr="00732B2E">
        <w:rPr>
          <w:lang w:val="fr-FR"/>
        </w:rPr>
        <w:t xml:space="preserve"> Secteur de l'UIT-T </w:t>
      </w:r>
      <w:r w:rsidR="006C5EAB">
        <w:rPr>
          <w:lang w:val="fr-FR"/>
        </w:rPr>
        <w:t>acquittent une contribution</w:t>
      </w:r>
      <w:r w:rsidR="00195120">
        <w:rPr>
          <w:lang w:val="fr-FR"/>
        </w:rPr>
        <w:t xml:space="preserve"> de</w:t>
      </w:r>
      <w:r w:rsidR="00500721" w:rsidRPr="00732B2E">
        <w:rPr>
          <w:lang w:val="fr-FR"/>
        </w:rPr>
        <w:t xml:space="preserve"> 31</w:t>
      </w:r>
      <w:r w:rsidR="00195120">
        <w:rPr>
          <w:lang w:val="fr-FR"/>
        </w:rPr>
        <w:t> </w:t>
      </w:r>
      <w:r w:rsidR="00500721" w:rsidRPr="00732B2E">
        <w:rPr>
          <w:lang w:val="fr-FR"/>
        </w:rPr>
        <w:t>800</w:t>
      </w:r>
      <w:r w:rsidR="00195120">
        <w:rPr>
          <w:lang w:val="fr-FR"/>
        </w:rPr>
        <w:t> </w:t>
      </w:r>
      <w:r w:rsidR="00500721" w:rsidRPr="00732B2E">
        <w:rPr>
          <w:lang w:val="fr-FR"/>
        </w:rPr>
        <w:t>CHF par an (</w:t>
      </w:r>
      <w:r w:rsidR="006C5EAB">
        <w:rPr>
          <w:lang w:val="fr-FR"/>
        </w:rPr>
        <w:t>1/2</w:t>
      </w:r>
      <w:r w:rsidR="00500721" w:rsidRPr="00732B2E">
        <w:rPr>
          <w:lang w:val="fr-FR"/>
        </w:rPr>
        <w:t xml:space="preserve"> </w:t>
      </w:r>
      <w:r w:rsidR="00195120">
        <w:rPr>
          <w:lang w:val="fr-FR"/>
        </w:rPr>
        <w:t>d'</w:t>
      </w:r>
      <w:r w:rsidR="00500721" w:rsidRPr="00732B2E">
        <w:rPr>
          <w:lang w:val="fr-FR"/>
        </w:rPr>
        <w:t xml:space="preserve">unité contributive), </w:t>
      </w:r>
      <w:r w:rsidR="006C5EAB">
        <w:rPr>
          <w:lang w:val="fr-FR"/>
        </w:rPr>
        <w:t>qui représente la contribution minimale pour les Membres du</w:t>
      </w:r>
      <w:r w:rsidR="00500721" w:rsidRPr="00732B2E">
        <w:rPr>
          <w:lang w:val="fr-FR"/>
        </w:rPr>
        <w:t xml:space="preserve"> Secteur de l'UIT-T.</w:t>
      </w:r>
      <w:r w:rsidRPr="00732B2E">
        <w:rPr>
          <w:lang w:val="fr-FR"/>
        </w:rPr>
        <w:t xml:space="preserve"> </w:t>
      </w:r>
      <w:r w:rsidR="00ED75B4" w:rsidRPr="00732B2E">
        <w:rPr>
          <w:lang w:val="fr-FR"/>
        </w:rPr>
        <w:t>La contribution financière annuelle pour les Associés de l'UIT-T est de 10 600 CHF.</w:t>
      </w:r>
      <w:r w:rsidRPr="00732B2E">
        <w:rPr>
          <w:lang w:val="fr-FR"/>
        </w:rPr>
        <w:t xml:space="preserve"> </w:t>
      </w:r>
      <w:r w:rsidR="00567CD7" w:rsidRPr="00732B2E">
        <w:rPr>
          <w:lang w:val="fr-FR"/>
        </w:rPr>
        <w:t xml:space="preserve">La contribution financière annuelle des établissements universitaires des pays développés </w:t>
      </w:r>
      <w:r w:rsidR="006C5EAB">
        <w:rPr>
          <w:lang w:val="fr-FR"/>
        </w:rPr>
        <w:t>s'élève à</w:t>
      </w:r>
      <w:r w:rsidR="00567CD7" w:rsidRPr="00732B2E">
        <w:rPr>
          <w:lang w:val="fr-FR"/>
        </w:rPr>
        <w:t xml:space="preserve"> 3 975 CHF</w:t>
      </w:r>
      <w:r w:rsidR="006C5EAB">
        <w:rPr>
          <w:lang w:val="fr-FR"/>
        </w:rPr>
        <w:t>,</w:t>
      </w:r>
      <w:r w:rsidR="00567CD7" w:rsidRPr="00732B2E">
        <w:rPr>
          <w:lang w:val="fr-FR"/>
        </w:rPr>
        <w:t xml:space="preserve"> </w:t>
      </w:r>
      <w:r w:rsidR="006C5EAB">
        <w:rPr>
          <w:lang w:val="fr-FR"/>
        </w:rPr>
        <w:t>tandis que</w:t>
      </w:r>
      <w:r w:rsidR="00567CD7" w:rsidRPr="00732B2E">
        <w:rPr>
          <w:lang w:val="fr-FR"/>
        </w:rPr>
        <w:t xml:space="preserve"> celle des établissements universitaires des pays en développement </w:t>
      </w:r>
      <w:r w:rsidR="006C5EAB">
        <w:rPr>
          <w:lang w:val="fr-FR"/>
        </w:rPr>
        <w:t xml:space="preserve">est </w:t>
      </w:r>
      <w:r w:rsidR="00567CD7" w:rsidRPr="00732B2E">
        <w:rPr>
          <w:lang w:val="fr-FR"/>
        </w:rPr>
        <w:t>de 1 987,50 CHF.</w:t>
      </w:r>
      <w:r w:rsidRPr="00732B2E">
        <w:rPr>
          <w:lang w:val="fr-FR"/>
        </w:rPr>
        <w:t xml:space="preserve"> </w:t>
      </w:r>
      <w:r w:rsidR="00817387" w:rsidRPr="00732B2E">
        <w:rPr>
          <w:lang w:val="fr-FR"/>
        </w:rPr>
        <w:t>Les contributions mises en reco</w:t>
      </w:r>
      <w:r w:rsidR="006C5EAB">
        <w:rPr>
          <w:lang w:val="fr-FR"/>
        </w:rPr>
        <w:t>uvrement des Membres de Secteur et</w:t>
      </w:r>
      <w:r w:rsidR="00817387" w:rsidRPr="00732B2E">
        <w:rPr>
          <w:lang w:val="fr-FR"/>
        </w:rPr>
        <w:t xml:space="preserve"> des Associés </w:t>
      </w:r>
      <w:r w:rsidR="006C5EAB" w:rsidRPr="00732B2E">
        <w:rPr>
          <w:lang w:val="fr-FR"/>
        </w:rPr>
        <w:t xml:space="preserve">de l'UIT-T </w:t>
      </w:r>
      <w:r w:rsidR="00817387" w:rsidRPr="00732B2E">
        <w:rPr>
          <w:lang w:val="fr-FR"/>
        </w:rPr>
        <w:t xml:space="preserve">et des établissements universitaires </w:t>
      </w:r>
      <w:r w:rsidR="006C5EAB">
        <w:rPr>
          <w:lang w:val="fr-FR"/>
        </w:rPr>
        <w:t xml:space="preserve">participant à ses travaux </w:t>
      </w:r>
      <w:r w:rsidR="00817387" w:rsidRPr="00732B2E">
        <w:rPr>
          <w:lang w:val="fr-FR"/>
        </w:rPr>
        <w:t>pour les années 2012 à 2016 figurent dans le Tableau 4.</w:t>
      </w:r>
    </w:p>
    <w:p w:rsidR="00E15713" w:rsidRPr="00732B2E" w:rsidRDefault="00E15713" w:rsidP="00C009B3">
      <w:pPr>
        <w:rPr>
          <w:lang w:val="fr-FR"/>
        </w:rPr>
      </w:pPr>
      <w:r w:rsidRPr="00732B2E">
        <w:rPr>
          <w:lang w:val="fr-FR"/>
        </w:rPr>
        <w:t>3.3</w:t>
      </w:r>
      <w:r w:rsidRPr="00732B2E">
        <w:rPr>
          <w:lang w:val="fr-FR"/>
        </w:rPr>
        <w:tab/>
      </w:r>
      <w:r w:rsidR="006C5EAB">
        <w:rPr>
          <w:lang w:val="fr-FR"/>
        </w:rPr>
        <w:t>Le nombre de Membres du</w:t>
      </w:r>
      <w:r w:rsidR="00991EBE" w:rsidRPr="00732B2E">
        <w:rPr>
          <w:lang w:val="fr-FR"/>
        </w:rPr>
        <w:t xml:space="preserve"> Secteur de l’UIT-T est resté stable pendant la période 2012</w:t>
      </w:r>
      <w:r w:rsidR="00C009B3">
        <w:rPr>
          <w:lang w:val="fr-FR"/>
        </w:rPr>
        <w:noBreakHyphen/>
      </w:r>
      <w:r w:rsidR="00991EBE" w:rsidRPr="00732B2E">
        <w:rPr>
          <w:lang w:val="fr-FR"/>
        </w:rPr>
        <w:t>2016 (avec 271 Membres de Secteur au 1</w:t>
      </w:r>
      <w:r w:rsidR="00991EBE" w:rsidRPr="00195120">
        <w:rPr>
          <w:lang w:val="fr-FR"/>
        </w:rPr>
        <w:t>er</w:t>
      </w:r>
      <w:r w:rsidR="00991EBE" w:rsidRPr="00732B2E">
        <w:rPr>
          <w:lang w:val="fr-FR"/>
        </w:rPr>
        <w:t xml:space="preserve"> janvier 2012 contre 272 au 1</w:t>
      </w:r>
      <w:r w:rsidR="00991EBE" w:rsidRPr="00195120">
        <w:rPr>
          <w:lang w:val="fr-FR"/>
        </w:rPr>
        <w:t>er</w:t>
      </w:r>
      <w:r w:rsidR="00991EBE" w:rsidRPr="00732B2E">
        <w:rPr>
          <w:lang w:val="fr-FR"/>
        </w:rPr>
        <w:t xml:space="preserve"> janvier 2016).</w:t>
      </w:r>
      <w:r w:rsidRPr="00732B2E">
        <w:rPr>
          <w:lang w:val="fr-FR"/>
        </w:rPr>
        <w:t xml:space="preserve"> </w:t>
      </w:r>
      <w:r w:rsidR="009B205E" w:rsidRPr="00732B2E">
        <w:rPr>
          <w:lang w:val="fr-FR"/>
        </w:rPr>
        <w:t xml:space="preserve">Le nombre d’Associés de l’UIT a augmenté de </w:t>
      </w:r>
      <w:r w:rsidR="00C009B3">
        <w:rPr>
          <w:lang w:val="fr-FR"/>
        </w:rPr>
        <w:t>4</w:t>
      </w:r>
      <w:r w:rsidR="009B205E" w:rsidRPr="00732B2E">
        <w:rPr>
          <w:lang w:val="fr-FR"/>
        </w:rPr>
        <w:t>% entre 2012 et 2016 (soit 6 Associés de plus).</w:t>
      </w:r>
      <w:r w:rsidRPr="00732B2E">
        <w:rPr>
          <w:lang w:val="fr-FR"/>
        </w:rPr>
        <w:t xml:space="preserve"> </w:t>
      </w:r>
      <w:r w:rsidR="00DC47BD" w:rsidRPr="00732B2E">
        <w:rPr>
          <w:lang w:val="fr-FR"/>
        </w:rPr>
        <w:t>Le nombre d’</w:t>
      </w:r>
      <w:r w:rsidR="00732B2E" w:rsidRPr="00732B2E">
        <w:rPr>
          <w:lang w:val="fr-FR"/>
        </w:rPr>
        <w:t>établissements</w:t>
      </w:r>
      <w:r w:rsidR="00DC47BD" w:rsidRPr="00732B2E">
        <w:rPr>
          <w:lang w:val="fr-FR"/>
        </w:rPr>
        <w:t xml:space="preserve"> universitaires a considérablement augmenté entre 2012 et 2016 (passant de 25 à 109).</w:t>
      </w:r>
      <w:r w:rsidRPr="00732B2E">
        <w:rPr>
          <w:lang w:val="fr-FR"/>
        </w:rPr>
        <w:t xml:space="preserve"> </w:t>
      </w:r>
      <w:r w:rsidR="0040780C" w:rsidRPr="00732B2E">
        <w:rPr>
          <w:lang w:val="fr-FR"/>
        </w:rPr>
        <w:t xml:space="preserve">Cette augmentation s’explique par l’intérêt croissant </w:t>
      </w:r>
      <w:r w:rsidR="004B2CE2">
        <w:rPr>
          <w:lang w:val="fr-FR"/>
        </w:rPr>
        <w:t>que portent</w:t>
      </w:r>
      <w:r w:rsidR="0040780C" w:rsidRPr="00732B2E">
        <w:rPr>
          <w:lang w:val="fr-FR"/>
        </w:rPr>
        <w:t xml:space="preserve"> les établissements universitaires aux travaux de l’UIT-T et par le fait que, depuis la Conférence de plénipotentiaires de 2014 (c’est-à-dire depuis l’adoption de la Résolution 169 relative à l’admission d’établissements universitaires à participer aux travaux des trois Secteurs), les établissements universitaires sont considérés comme un seul et même groupe.</w:t>
      </w:r>
      <w:r w:rsidRPr="00732B2E">
        <w:rPr>
          <w:lang w:val="fr-FR"/>
        </w:rPr>
        <w:t xml:space="preserve"> </w:t>
      </w:r>
    </w:p>
    <w:p w:rsidR="00E15713" w:rsidRPr="00732B2E" w:rsidRDefault="00E15713" w:rsidP="000375A2">
      <w:pPr>
        <w:rPr>
          <w:lang w:val="fr-FR"/>
        </w:rPr>
      </w:pPr>
      <w:r w:rsidRPr="00732B2E">
        <w:rPr>
          <w:lang w:val="fr-FR"/>
        </w:rPr>
        <w:t>3.4</w:t>
      </w:r>
      <w:r w:rsidRPr="00732B2E">
        <w:rPr>
          <w:lang w:val="fr-FR"/>
        </w:rPr>
        <w:tab/>
      </w:r>
      <w:r w:rsidR="00AD508D" w:rsidRPr="00732B2E">
        <w:rPr>
          <w:lang w:val="fr-FR"/>
        </w:rPr>
        <w:t xml:space="preserve">Pendant la période 2012-2016, des contributions volontaires ont été reçues à l'appui des activités du Secteur de l'UIT-T en vertu de la Résolution 34 (Rév. </w:t>
      </w:r>
      <w:r w:rsidR="00732B2E" w:rsidRPr="00732B2E">
        <w:rPr>
          <w:lang w:val="fr-FR"/>
        </w:rPr>
        <w:t>Dubaï</w:t>
      </w:r>
      <w:r w:rsidR="00AD508D" w:rsidRPr="00732B2E">
        <w:rPr>
          <w:lang w:val="fr-FR"/>
        </w:rPr>
        <w:t>, 2012), encourag</w:t>
      </w:r>
      <w:r w:rsidR="006C5EAB">
        <w:rPr>
          <w:lang w:val="fr-FR"/>
        </w:rPr>
        <w:t>eant le financement de projets concrets</w:t>
      </w:r>
      <w:r w:rsidR="00AD508D" w:rsidRPr="00732B2E">
        <w:rPr>
          <w:lang w:val="fr-FR"/>
        </w:rPr>
        <w:t xml:space="preserve">, de groupes spécialisés et d'autres nouvelles initiatives, y compris </w:t>
      </w:r>
      <w:r w:rsidR="006C5EAB">
        <w:rPr>
          <w:lang w:val="fr-FR"/>
        </w:rPr>
        <w:t>les</w:t>
      </w:r>
      <w:r w:rsidR="00AD508D" w:rsidRPr="00732B2E">
        <w:rPr>
          <w:lang w:val="fr-FR"/>
        </w:rPr>
        <w:t xml:space="preserve"> activités </w:t>
      </w:r>
      <w:r w:rsidR="00841E12">
        <w:rPr>
          <w:lang w:val="fr-FR"/>
        </w:rPr>
        <w:t>visant</w:t>
      </w:r>
      <w:r w:rsidR="00AD508D" w:rsidRPr="00732B2E">
        <w:rPr>
          <w:lang w:val="fr-FR"/>
        </w:rPr>
        <w:t xml:space="preserve"> à contribuer à la réalisation des objectifs de la Résolution 44 (Rév. </w:t>
      </w:r>
      <w:r w:rsidR="00732B2E" w:rsidRPr="00732B2E">
        <w:rPr>
          <w:lang w:val="fr-FR"/>
        </w:rPr>
        <w:t>Dubaï</w:t>
      </w:r>
      <w:r w:rsidR="00AD508D" w:rsidRPr="00732B2E">
        <w:rPr>
          <w:lang w:val="fr-FR"/>
        </w:rPr>
        <w:t>, 2012) pour réduire l'écart en matière de normalisation.</w:t>
      </w:r>
      <w:r w:rsidRPr="00732B2E">
        <w:rPr>
          <w:lang w:val="fr-FR"/>
        </w:rPr>
        <w:t xml:space="preserve"> </w:t>
      </w:r>
      <w:r w:rsidR="00F74C14" w:rsidRPr="00732B2E">
        <w:rPr>
          <w:lang w:val="fr-FR"/>
        </w:rPr>
        <w:t>Les montants reçus et dépensés sont indiqués dans le Tableau 5 pour chaque année de la période 2012-2016.</w:t>
      </w:r>
      <w:r w:rsidR="00FE3498">
        <w:rPr>
          <w:lang w:val="fr-FR"/>
        </w:rPr>
        <w:t xml:space="preserve"> </w:t>
      </w:r>
      <w:r w:rsidR="0058460C" w:rsidRPr="00732B2E">
        <w:rPr>
          <w:lang w:val="fr-FR"/>
        </w:rPr>
        <w:t>Au début de 2013, le solde des contributions</w:t>
      </w:r>
      <w:r w:rsidR="004B2CE2">
        <w:rPr>
          <w:lang w:val="fr-FR"/>
        </w:rPr>
        <w:t xml:space="preserve"> volontaires s'est élevé à 433 000 </w:t>
      </w:r>
      <w:r w:rsidR="0058460C" w:rsidRPr="00732B2E">
        <w:rPr>
          <w:lang w:val="fr-FR"/>
        </w:rPr>
        <w:t>CHF.</w:t>
      </w:r>
      <w:r w:rsidRPr="00732B2E">
        <w:rPr>
          <w:lang w:val="fr-FR"/>
        </w:rPr>
        <w:t xml:space="preserve"> </w:t>
      </w:r>
      <w:r w:rsidR="00D4474A" w:rsidRPr="00732B2E">
        <w:rPr>
          <w:lang w:val="fr-FR"/>
        </w:rPr>
        <w:t>Durant la période 2013-2016, les contributions supplémentaires des membres se sont élevées à 3,8 millions CHF.</w:t>
      </w:r>
      <w:r w:rsidRPr="00732B2E">
        <w:rPr>
          <w:lang w:val="fr-FR"/>
        </w:rPr>
        <w:t xml:space="preserve"> </w:t>
      </w:r>
      <w:r w:rsidR="00F41092" w:rsidRPr="00732B2E">
        <w:rPr>
          <w:lang w:val="fr-FR"/>
        </w:rPr>
        <w:t>Le TSB a dépensé environ 2 millions CHF durant la même période.</w:t>
      </w:r>
    </w:p>
    <w:p w:rsidR="00E15713" w:rsidRPr="00FC37F1" w:rsidRDefault="00E15713" w:rsidP="000375A2">
      <w:pPr>
        <w:pStyle w:val="Heading1"/>
        <w:rPr>
          <w:lang w:val="fr-FR"/>
        </w:rPr>
      </w:pPr>
      <w:r w:rsidRPr="00FC37F1">
        <w:rPr>
          <w:lang w:val="fr-FR"/>
        </w:rPr>
        <w:t>4</w:t>
      </w:r>
      <w:r w:rsidRPr="00FC37F1">
        <w:rPr>
          <w:lang w:val="fr-FR"/>
        </w:rPr>
        <w:tab/>
      </w:r>
      <w:r w:rsidR="00365F49" w:rsidRPr="00FC37F1">
        <w:rPr>
          <w:lang w:val="fr-FR"/>
        </w:rPr>
        <w:t>Dépenses de l’UIT-T pour la période 2012-2016</w:t>
      </w:r>
    </w:p>
    <w:p w:rsidR="00E15713" w:rsidRPr="00732B2E" w:rsidRDefault="00E15713" w:rsidP="000375A2">
      <w:pPr>
        <w:keepNext/>
        <w:keepLines/>
        <w:rPr>
          <w:lang w:val="fr-FR"/>
        </w:rPr>
      </w:pPr>
      <w:r w:rsidRPr="00732B2E">
        <w:rPr>
          <w:lang w:val="fr-FR"/>
        </w:rPr>
        <w:t>4.1</w:t>
      </w:r>
      <w:r w:rsidRPr="00732B2E">
        <w:rPr>
          <w:lang w:val="fr-FR"/>
        </w:rPr>
        <w:tab/>
      </w:r>
      <w:r w:rsidR="00D1668E" w:rsidRPr="00732B2E">
        <w:rPr>
          <w:lang w:val="fr-FR"/>
        </w:rPr>
        <w:t xml:space="preserve">Pour chacun des deux exercices biennaux 2012-2013 et 2014-2015, les crédits budgétaires, les dépenses effectives et les écarts sont présentés </w:t>
      </w:r>
      <w:r w:rsidR="00195120">
        <w:rPr>
          <w:lang w:val="fr-FR"/>
        </w:rPr>
        <w:t xml:space="preserve">par section </w:t>
      </w:r>
      <w:r w:rsidR="005E2275">
        <w:rPr>
          <w:lang w:val="fr-FR"/>
        </w:rPr>
        <w:t>dans le Tableau 6 et par catégorie dans le</w:t>
      </w:r>
      <w:r w:rsidR="00D1668E" w:rsidRPr="00732B2E">
        <w:rPr>
          <w:lang w:val="fr-FR"/>
        </w:rPr>
        <w:t xml:space="preserve"> Tableau 7.</w:t>
      </w:r>
      <w:r w:rsidRPr="00732B2E">
        <w:rPr>
          <w:lang w:val="fr-FR"/>
        </w:rPr>
        <w:t xml:space="preserve"> </w:t>
      </w:r>
      <w:r w:rsidR="00F20811" w:rsidRPr="00732B2E">
        <w:rPr>
          <w:lang w:val="fr-FR"/>
        </w:rPr>
        <w:t>Les dépenses effectives en 2014-2015 ont diminué de 1,2 mill</w:t>
      </w:r>
      <w:r w:rsidR="00C009B3">
        <w:rPr>
          <w:lang w:val="fr-FR"/>
        </w:rPr>
        <w:t>ion CHF (</w:t>
      </w:r>
      <w:r w:rsidR="00C009B3" w:rsidRPr="00C009B3">
        <w:rPr>
          <w:lang w:val="fr-FR"/>
        </w:rPr>
        <w:t>–</w:t>
      </w:r>
      <w:r w:rsidR="00F20811" w:rsidRPr="00732B2E">
        <w:rPr>
          <w:lang w:val="fr-FR"/>
        </w:rPr>
        <w:t xml:space="preserve">5%) par rapport à 2012-2013, </w:t>
      </w:r>
      <w:r w:rsidR="005E2275">
        <w:rPr>
          <w:lang w:val="fr-FR"/>
        </w:rPr>
        <w:t>compte non tenu des</w:t>
      </w:r>
      <w:r w:rsidR="00F20811" w:rsidRPr="00732B2E">
        <w:rPr>
          <w:lang w:val="fr-FR"/>
        </w:rPr>
        <w:t xml:space="preserve"> réunions préparatoires à l'AMNT et à la CMTI.</w:t>
      </w:r>
    </w:p>
    <w:p w:rsidR="00E15713" w:rsidRPr="00732B2E" w:rsidRDefault="00E15713" w:rsidP="000375A2">
      <w:pPr>
        <w:keepNext/>
        <w:keepLines/>
        <w:rPr>
          <w:lang w:val="fr-FR"/>
        </w:rPr>
      </w:pPr>
      <w:r w:rsidRPr="00732B2E">
        <w:rPr>
          <w:lang w:val="fr-FR"/>
        </w:rPr>
        <w:t>4.2</w:t>
      </w:r>
      <w:r w:rsidRPr="00732B2E">
        <w:rPr>
          <w:lang w:val="fr-FR"/>
        </w:rPr>
        <w:tab/>
      </w:r>
      <w:r w:rsidR="008444FE" w:rsidRPr="00732B2E">
        <w:rPr>
          <w:lang w:val="fr-FR"/>
        </w:rPr>
        <w:t xml:space="preserve">Pour 2016, les dépenses effectives </w:t>
      </w:r>
      <w:r w:rsidR="00153206">
        <w:rPr>
          <w:lang w:val="fr-FR"/>
        </w:rPr>
        <w:t>devraient concorder avec le</w:t>
      </w:r>
      <w:r w:rsidR="008444FE" w:rsidRPr="00732B2E">
        <w:rPr>
          <w:lang w:val="fr-FR"/>
        </w:rPr>
        <w:t xml:space="preserve"> budget.</w:t>
      </w:r>
    </w:p>
    <w:p w:rsidR="00E15713" w:rsidRPr="00195120" w:rsidRDefault="008558B8" w:rsidP="00195120">
      <w:pPr>
        <w:rPr>
          <w:lang w:val="fr-FR"/>
        </w:rPr>
      </w:pPr>
      <w:r w:rsidRPr="00732B2E">
        <w:rPr>
          <w:lang w:val="fr-FR"/>
        </w:rPr>
        <w:t>Annexe: Tableaux 1 à 7</w:t>
      </w:r>
      <w:r w:rsidR="00E15713" w:rsidRPr="00732B2E">
        <w:rPr>
          <w:lang w:val="fr-FR"/>
        </w:rPr>
        <w:br w:type="page"/>
      </w:r>
    </w:p>
    <w:p w:rsidR="00E15713" w:rsidRPr="00732B2E" w:rsidRDefault="00B0612A" w:rsidP="000375A2">
      <w:pPr>
        <w:pStyle w:val="AnnexNo"/>
        <w:rPr>
          <w:lang w:val="fr-FR"/>
        </w:rPr>
      </w:pPr>
      <w:r w:rsidRPr="00732B2E">
        <w:rPr>
          <w:lang w:val="fr-FR"/>
        </w:rPr>
        <w:lastRenderedPageBreak/>
        <w:t>ANNEXE</w:t>
      </w:r>
    </w:p>
    <w:p w:rsidR="00E15713" w:rsidRDefault="004E4C1B" w:rsidP="00EC0F14">
      <w:pPr>
        <w:pStyle w:val="TableNo"/>
        <w:rPr>
          <w:lang w:val="fr-FR"/>
        </w:rPr>
      </w:pPr>
      <w:r w:rsidRPr="00B17F46">
        <w:rPr>
          <w:lang w:val="fr-FR"/>
        </w:rPr>
        <w:t>Tableau</w:t>
      </w:r>
      <w:r w:rsidRPr="00732B2E">
        <w:rPr>
          <w:lang w:val="fr-FR"/>
        </w:rPr>
        <w:t xml:space="preserve"> 1</w:t>
      </w:r>
    </w:p>
    <w:p w:rsidR="00EC0F14" w:rsidRPr="00EC0F14" w:rsidRDefault="00EC0F14" w:rsidP="00EC0F14">
      <w:pPr>
        <w:pStyle w:val="Tabletitle"/>
        <w:rPr>
          <w:lang w:val="fr-FR"/>
        </w:rPr>
      </w:pPr>
      <w:r w:rsidRPr="00EC0F14">
        <w:rPr>
          <w:lang w:val="fr-FR"/>
        </w:rPr>
        <w:t>Budget de l'UIT-T pour l'exercice 2016-2017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774"/>
        <w:gridCol w:w="1774"/>
        <w:gridCol w:w="2731"/>
      </w:tblGrid>
      <w:tr w:rsidR="00B17F46" w:rsidRPr="00EC0F14" w:rsidTr="00A85770">
        <w:trPr>
          <w:trHeight w:val="300"/>
        </w:trPr>
        <w:tc>
          <w:tcPr>
            <w:tcW w:w="9629" w:type="dxa"/>
            <w:gridSpan w:val="4"/>
            <w:noWrap/>
            <w:hideMark/>
          </w:tcPr>
          <w:p w:rsidR="00B17F46" w:rsidRPr="00EC0F14" w:rsidRDefault="00B17F46" w:rsidP="00B17F46">
            <w:pPr>
              <w:pStyle w:val="Tabletext"/>
              <w:jc w:val="right"/>
              <w:rPr>
                <w:i/>
                <w:iCs/>
                <w:lang w:val="en-US"/>
              </w:rPr>
            </w:pPr>
            <w:r w:rsidRPr="00EC0F14">
              <w:rPr>
                <w:i/>
                <w:iCs/>
                <w:lang w:val="en-US"/>
              </w:rPr>
              <w:t>en milliers CHF</w:t>
            </w:r>
          </w:p>
        </w:tc>
      </w:tr>
      <w:tr w:rsidR="005F35D0" w:rsidRPr="00EC0F14" w:rsidTr="0065411F">
        <w:trPr>
          <w:trHeight w:val="300"/>
        </w:trPr>
        <w:tc>
          <w:tcPr>
            <w:tcW w:w="3350" w:type="dxa"/>
            <w:tcBorders>
              <w:bottom w:val="single" w:sz="4" w:space="0" w:color="auto"/>
            </w:tcBorders>
            <w:noWrap/>
            <w:hideMark/>
          </w:tcPr>
          <w:p w:rsidR="005F35D0" w:rsidRPr="00EC0F14" w:rsidRDefault="005F35D0" w:rsidP="00B17F46">
            <w:pPr>
              <w:pStyle w:val="Tabletext"/>
              <w:rPr>
                <w:lang w:val="fr-FR"/>
              </w:rPr>
            </w:pPr>
            <w:r w:rsidRPr="00EC0F14">
              <w:rPr>
                <w:lang w:val="fr-FR"/>
              </w:rPr>
              <w:t> 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noWrap/>
            <w:hideMark/>
          </w:tcPr>
          <w:p w:rsidR="005F35D0" w:rsidRPr="00EC0F14" w:rsidRDefault="005F35D0" w:rsidP="00B17F46">
            <w:pPr>
              <w:pStyle w:val="Tabletext"/>
              <w:jc w:val="center"/>
              <w:rPr>
                <w:lang w:val="en-US"/>
              </w:rPr>
            </w:pPr>
            <w:r w:rsidRPr="00EC0F14">
              <w:rPr>
                <w:lang w:val="en-US"/>
              </w:rPr>
              <w:t>2016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noWrap/>
            <w:hideMark/>
          </w:tcPr>
          <w:p w:rsidR="005F35D0" w:rsidRPr="00EC0F14" w:rsidRDefault="005F35D0" w:rsidP="00B17F46">
            <w:pPr>
              <w:pStyle w:val="Tabletext"/>
              <w:jc w:val="center"/>
              <w:rPr>
                <w:lang w:val="en-US"/>
              </w:rPr>
            </w:pPr>
            <w:r w:rsidRPr="00EC0F14">
              <w:rPr>
                <w:lang w:val="en-US"/>
              </w:rPr>
              <w:t>2017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noWrap/>
            <w:hideMark/>
          </w:tcPr>
          <w:p w:rsidR="005F35D0" w:rsidRPr="00EC0F14" w:rsidRDefault="005F35D0" w:rsidP="00B17F46">
            <w:pPr>
              <w:pStyle w:val="Tabletext"/>
              <w:jc w:val="center"/>
              <w:rPr>
                <w:lang w:val="en-US"/>
              </w:rPr>
            </w:pPr>
            <w:r w:rsidRPr="00EC0F14">
              <w:rPr>
                <w:lang w:val="en-US"/>
              </w:rPr>
              <w:t>Exercice biennal</w:t>
            </w:r>
          </w:p>
        </w:tc>
      </w:tr>
      <w:tr w:rsidR="005F35D0" w:rsidRPr="00EC0F14" w:rsidTr="0065411F">
        <w:trPr>
          <w:trHeight w:val="300"/>
        </w:trPr>
        <w:tc>
          <w:tcPr>
            <w:tcW w:w="3350" w:type="dxa"/>
            <w:tcBorders>
              <w:top w:val="single" w:sz="4" w:space="0" w:color="auto"/>
            </w:tcBorders>
            <w:noWrap/>
            <w:hideMark/>
          </w:tcPr>
          <w:p w:rsidR="005F35D0" w:rsidRPr="00EC0F14" w:rsidRDefault="005F35D0" w:rsidP="006605D0">
            <w:pPr>
              <w:pStyle w:val="Tabletext"/>
              <w:rPr>
                <w:lang w:val="en-US"/>
              </w:rPr>
            </w:pPr>
            <w:r w:rsidRPr="00EC0F14">
              <w:rPr>
                <w:lang w:val="en-US"/>
              </w:rPr>
              <w:t>AMNT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noWrap/>
            <w:hideMark/>
          </w:tcPr>
          <w:p w:rsidR="005F35D0" w:rsidRPr="00EC0F14" w:rsidRDefault="00D95D9C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697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noWrap/>
            <w:hideMark/>
          </w:tcPr>
          <w:p w:rsidR="005F35D0" w:rsidRPr="00EC0F14" w:rsidRDefault="00EC0F14" w:rsidP="00B17F46">
            <w:pPr>
              <w:pStyle w:val="Tabletext"/>
              <w:jc w:val="right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noWrap/>
            <w:hideMark/>
          </w:tcPr>
          <w:p w:rsidR="005F35D0" w:rsidRPr="00EC0F14" w:rsidRDefault="00D95D9C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697</w:t>
            </w:r>
          </w:p>
        </w:tc>
      </w:tr>
      <w:tr w:rsidR="005F35D0" w:rsidRPr="00EC0F14" w:rsidTr="0065411F">
        <w:trPr>
          <w:trHeight w:val="300"/>
        </w:trPr>
        <w:tc>
          <w:tcPr>
            <w:tcW w:w="3350" w:type="dxa"/>
            <w:noWrap/>
            <w:hideMark/>
          </w:tcPr>
          <w:p w:rsidR="005F35D0" w:rsidRPr="00EC0F14" w:rsidRDefault="005F35D0" w:rsidP="006605D0">
            <w:pPr>
              <w:pStyle w:val="Tabletext"/>
              <w:rPr>
                <w:lang w:val="en-US"/>
              </w:rPr>
            </w:pPr>
            <w:r w:rsidRPr="00EC0F14">
              <w:rPr>
                <w:lang w:val="en-US"/>
              </w:rPr>
              <w:t xml:space="preserve">AMNT </w:t>
            </w:r>
            <w:r w:rsidR="00EC0F14">
              <w:rPr>
                <w:lang w:val="en-US"/>
              </w:rPr>
              <w:t>–</w:t>
            </w:r>
            <w:r w:rsidRPr="00EC0F14">
              <w:rPr>
                <w:lang w:val="en-US"/>
              </w:rPr>
              <w:t xml:space="preserve"> Réunions préparatoires</w:t>
            </w:r>
          </w:p>
        </w:tc>
        <w:tc>
          <w:tcPr>
            <w:tcW w:w="1774" w:type="dxa"/>
            <w:noWrap/>
            <w:hideMark/>
          </w:tcPr>
          <w:p w:rsidR="005F35D0" w:rsidRPr="00EC0F14" w:rsidRDefault="00D95D9C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271</w:t>
            </w:r>
          </w:p>
        </w:tc>
        <w:tc>
          <w:tcPr>
            <w:tcW w:w="1774" w:type="dxa"/>
            <w:noWrap/>
            <w:hideMark/>
          </w:tcPr>
          <w:p w:rsidR="005F35D0" w:rsidRPr="00EC0F14" w:rsidRDefault="005F35D0" w:rsidP="00B17F46">
            <w:pPr>
              <w:pStyle w:val="Tabletext"/>
              <w:jc w:val="right"/>
              <w:rPr>
                <w:lang w:val="en-US"/>
              </w:rPr>
            </w:pPr>
          </w:p>
        </w:tc>
        <w:tc>
          <w:tcPr>
            <w:tcW w:w="2731" w:type="dxa"/>
            <w:noWrap/>
            <w:hideMark/>
          </w:tcPr>
          <w:p w:rsidR="005F35D0" w:rsidRPr="00EC0F14" w:rsidRDefault="00D95D9C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271</w:t>
            </w:r>
          </w:p>
        </w:tc>
      </w:tr>
      <w:tr w:rsidR="005F35D0" w:rsidRPr="00EC0F14" w:rsidTr="0065411F">
        <w:trPr>
          <w:trHeight w:val="300"/>
        </w:trPr>
        <w:tc>
          <w:tcPr>
            <w:tcW w:w="3350" w:type="dxa"/>
            <w:noWrap/>
            <w:hideMark/>
          </w:tcPr>
          <w:p w:rsidR="005F35D0" w:rsidRPr="00EC0F14" w:rsidRDefault="005F35D0" w:rsidP="006605D0">
            <w:pPr>
              <w:pStyle w:val="Tabletext"/>
              <w:rPr>
                <w:lang w:val="en-US"/>
              </w:rPr>
            </w:pPr>
            <w:r w:rsidRPr="00EC0F14">
              <w:rPr>
                <w:lang w:val="en-US"/>
              </w:rPr>
              <w:t>GCNT</w:t>
            </w:r>
          </w:p>
        </w:tc>
        <w:tc>
          <w:tcPr>
            <w:tcW w:w="1774" w:type="dxa"/>
            <w:noWrap/>
            <w:hideMark/>
          </w:tcPr>
          <w:p w:rsidR="005F35D0" w:rsidRPr="00EC0F14" w:rsidRDefault="00D95D9C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78</w:t>
            </w:r>
          </w:p>
        </w:tc>
        <w:tc>
          <w:tcPr>
            <w:tcW w:w="1774" w:type="dxa"/>
            <w:noWrap/>
            <w:hideMark/>
          </w:tcPr>
          <w:p w:rsidR="005F35D0" w:rsidRPr="00EC0F14" w:rsidRDefault="00D95D9C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77</w:t>
            </w:r>
          </w:p>
        </w:tc>
        <w:tc>
          <w:tcPr>
            <w:tcW w:w="2731" w:type="dxa"/>
            <w:noWrap/>
            <w:hideMark/>
          </w:tcPr>
          <w:p w:rsidR="005F35D0" w:rsidRPr="00EC0F14" w:rsidRDefault="00D95D9C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155</w:t>
            </w:r>
          </w:p>
        </w:tc>
      </w:tr>
      <w:tr w:rsidR="005F35D0" w:rsidRPr="00EC0F14" w:rsidTr="0065411F">
        <w:trPr>
          <w:trHeight w:val="300"/>
        </w:trPr>
        <w:tc>
          <w:tcPr>
            <w:tcW w:w="3350" w:type="dxa"/>
            <w:noWrap/>
            <w:hideMark/>
          </w:tcPr>
          <w:p w:rsidR="005F35D0" w:rsidRPr="00EC0F14" w:rsidRDefault="005F35D0" w:rsidP="006605D0">
            <w:pPr>
              <w:pStyle w:val="Tabletext"/>
              <w:rPr>
                <w:lang w:val="en-US"/>
              </w:rPr>
            </w:pPr>
            <w:r w:rsidRPr="00EC0F14">
              <w:rPr>
                <w:lang w:val="en-US"/>
              </w:rPr>
              <w:t>Réunions des Commissions d'études</w:t>
            </w:r>
          </w:p>
        </w:tc>
        <w:tc>
          <w:tcPr>
            <w:tcW w:w="1774" w:type="dxa"/>
            <w:noWrap/>
            <w:hideMark/>
          </w:tcPr>
          <w:p w:rsidR="005F35D0" w:rsidRPr="00EC0F14" w:rsidRDefault="005F35D0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1</w:t>
            </w:r>
            <w:r w:rsidR="00EC0F14" w:rsidRPr="00EC0F14">
              <w:rPr>
                <w:lang w:val="en-US"/>
              </w:rPr>
              <w:t xml:space="preserve"> </w:t>
            </w:r>
            <w:r w:rsidRPr="00EC0F14">
              <w:rPr>
                <w:lang w:val="en-US"/>
              </w:rPr>
              <w:t>082</w:t>
            </w:r>
          </w:p>
        </w:tc>
        <w:tc>
          <w:tcPr>
            <w:tcW w:w="1774" w:type="dxa"/>
            <w:noWrap/>
            <w:hideMark/>
          </w:tcPr>
          <w:p w:rsidR="005F35D0" w:rsidRPr="00EC0F14" w:rsidRDefault="005F35D0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1</w:t>
            </w:r>
            <w:r w:rsidR="00EC0F14" w:rsidRPr="00EC0F14">
              <w:rPr>
                <w:lang w:val="en-US"/>
              </w:rPr>
              <w:t xml:space="preserve"> </w:t>
            </w:r>
            <w:r w:rsidRPr="00EC0F14">
              <w:rPr>
                <w:lang w:val="en-US"/>
              </w:rPr>
              <w:t>083</w:t>
            </w:r>
          </w:p>
        </w:tc>
        <w:tc>
          <w:tcPr>
            <w:tcW w:w="2731" w:type="dxa"/>
            <w:noWrap/>
            <w:hideMark/>
          </w:tcPr>
          <w:p w:rsidR="005F35D0" w:rsidRPr="00EC0F14" w:rsidRDefault="005F35D0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2</w:t>
            </w:r>
            <w:r w:rsidR="00EC0F14" w:rsidRPr="00EC0F14">
              <w:rPr>
                <w:lang w:val="en-US"/>
              </w:rPr>
              <w:t xml:space="preserve"> </w:t>
            </w:r>
            <w:r w:rsidRPr="00EC0F14">
              <w:rPr>
                <w:lang w:val="en-US"/>
              </w:rPr>
              <w:t>165</w:t>
            </w:r>
          </w:p>
        </w:tc>
      </w:tr>
      <w:tr w:rsidR="005F35D0" w:rsidRPr="00EC0F14" w:rsidTr="0065411F">
        <w:trPr>
          <w:trHeight w:val="300"/>
        </w:trPr>
        <w:tc>
          <w:tcPr>
            <w:tcW w:w="3350" w:type="dxa"/>
            <w:noWrap/>
            <w:hideMark/>
          </w:tcPr>
          <w:p w:rsidR="005F35D0" w:rsidRPr="00EC0F14" w:rsidRDefault="005F35D0" w:rsidP="006605D0">
            <w:pPr>
              <w:pStyle w:val="Tabletext"/>
              <w:rPr>
                <w:lang w:val="en-US"/>
              </w:rPr>
            </w:pPr>
            <w:r w:rsidRPr="00EC0F14">
              <w:rPr>
                <w:lang w:val="en-US"/>
              </w:rPr>
              <w:t>Activités et Programme</w:t>
            </w:r>
          </w:p>
        </w:tc>
        <w:tc>
          <w:tcPr>
            <w:tcW w:w="1774" w:type="dxa"/>
            <w:noWrap/>
            <w:hideMark/>
          </w:tcPr>
          <w:p w:rsidR="005F35D0" w:rsidRPr="00EC0F14" w:rsidRDefault="005F35D0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184</w:t>
            </w:r>
          </w:p>
        </w:tc>
        <w:tc>
          <w:tcPr>
            <w:tcW w:w="1774" w:type="dxa"/>
            <w:noWrap/>
            <w:hideMark/>
          </w:tcPr>
          <w:p w:rsidR="005F35D0" w:rsidRPr="00EC0F14" w:rsidRDefault="005F35D0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174</w:t>
            </w:r>
          </w:p>
        </w:tc>
        <w:tc>
          <w:tcPr>
            <w:tcW w:w="2731" w:type="dxa"/>
            <w:noWrap/>
            <w:hideMark/>
          </w:tcPr>
          <w:p w:rsidR="005F35D0" w:rsidRPr="00EC0F14" w:rsidRDefault="005F35D0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358</w:t>
            </w:r>
          </w:p>
        </w:tc>
      </w:tr>
      <w:tr w:rsidR="005F35D0" w:rsidRPr="00EC0F14" w:rsidTr="0065411F">
        <w:trPr>
          <w:trHeight w:val="300"/>
        </w:trPr>
        <w:tc>
          <w:tcPr>
            <w:tcW w:w="3350" w:type="dxa"/>
            <w:noWrap/>
            <w:hideMark/>
          </w:tcPr>
          <w:p w:rsidR="005F35D0" w:rsidRPr="00EC0F14" w:rsidRDefault="005F35D0" w:rsidP="006605D0">
            <w:pPr>
              <w:pStyle w:val="Tabletext"/>
              <w:rPr>
                <w:lang w:val="en-US"/>
              </w:rPr>
            </w:pPr>
            <w:r w:rsidRPr="00EC0F14">
              <w:rPr>
                <w:lang w:val="en-US"/>
              </w:rPr>
              <w:t>Ateliers</w:t>
            </w:r>
          </w:p>
        </w:tc>
        <w:tc>
          <w:tcPr>
            <w:tcW w:w="1774" w:type="dxa"/>
            <w:noWrap/>
            <w:hideMark/>
          </w:tcPr>
          <w:p w:rsidR="005F35D0" w:rsidRPr="00EC0F14" w:rsidRDefault="005F35D0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60</w:t>
            </w:r>
          </w:p>
        </w:tc>
        <w:tc>
          <w:tcPr>
            <w:tcW w:w="1774" w:type="dxa"/>
            <w:noWrap/>
            <w:hideMark/>
          </w:tcPr>
          <w:p w:rsidR="005F35D0" w:rsidRPr="00EC0F14" w:rsidRDefault="005F35D0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60</w:t>
            </w:r>
          </w:p>
        </w:tc>
        <w:tc>
          <w:tcPr>
            <w:tcW w:w="2731" w:type="dxa"/>
            <w:noWrap/>
            <w:hideMark/>
          </w:tcPr>
          <w:p w:rsidR="005F35D0" w:rsidRPr="00EC0F14" w:rsidRDefault="005F35D0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120</w:t>
            </w:r>
          </w:p>
        </w:tc>
      </w:tr>
      <w:tr w:rsidR="005F35D0" w:rsidRPr="00EC0F14" w:rsidTr="0065411F">
        <w:trPr>
          <w:trHeight w:val="300"/>
        </w:trPr>
        <w:tc>
          <w:tcPr>
            <w:tcW w:w="3350" w:type="dxa"/>
            <w:tcBorders>
              <w:bottom w:val="single" w:sz="4" w:space="0" w:color="auto"/>
            </w:tcBorders>
            <w:noWrap/>
            <w:hideMark/>
          </w:tcPr>
          <w:p w:rsidR="005F35D0" w:rsidRPr="00EC0F14" w:rsidRDefault="005F35D0" w:rsidP="006605D0">
            <w:pPr>
              <w:pStyle w:val="Tabletext"/>
              <w:rPr>
                <w:lang w:val="en-US"/>
              </w:rPr>
            </w:pPr>
            <w:r w:rsidRPr="00EC0F14">
              <w:rPr>
                <w:lang w:val="en-US"/>
              </w:rPr>
              <w:t>Bureau (TSB)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noWrap/>
            <w:hideMark/>
          </w:tcPr>
          <w:p w:rsidR="005F35D0" w:rsidRPr="00EC0F14" w:rsidRDefault="005F35D0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11</w:t>
            </w:r>
            <w:r w:rsidR="00EC0F14" w:rsidRPr="00EC0F14">
              <w:rPr>
                <w:lang w:val="en-US"/>
              </w:rPr>
              <w:t xml:space="preserve"> </w:t>
            </w:r>
            <w:r w:rsidRPr="00EC0F14">
              <w:rPr>
                <w:lang w:val="en-US"/>
              </w:rPr>
              <w:t>022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noWrap/>
            <w:hideMark/>
          </w:tcPr>
          <w:p w:rsidR="005F35D0" w:rsidRPr="00EC0F14" w:rsidRDefault="005F35D0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11</w:t>
            </w:r>
            <w:r w:rsidR="00EC0F14" w:rsidRPr="00EC0F14">
              <w:rPr>
                <w:lang w:val="en-US"/>
              </w:rPr>
              <w:t xml:space="preserve"> </w:t>
            </w:r>
            <w:r w:rsidRPr="00EC0F14">
              <w:rPr>
                <w:lang w:val="en-US"/>
              </w:rPr>
              <w:t>044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noWrap/>
            <w:hideMark/>
          </w:tcPr>
          <w:p w:rsidR="005F35D0" w:rsidRPr="00EC0F14" w:rsidRDefault="005F35D0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22</w:t>
            </w:r>
            <w:r w:rsidR="00EC0F14" w:rsidRPr="00EC0F14">
              <w:rPr>
                <w:lang w:val="en-US"/>
              </w:rPr>
              <w:t xml:space="preserve"> </w:t>
            </w:r>
            <w:r w:rsidRPr="00EC0F14">
              <w:rPr>
                <w:lang w:val="en-US"/>
              </w:rPr>
              <w:t>066</w:t>
            </w:r>
          </w:p>
        </w:tc>
      </w:tr>
      <w:tr w:rsidR="005F35D0" w:rsidRPr="00EC0F14" w:rsidTr="0065411F">
        <w:trPr>
          <w:trHeight w:val="300"/>
        </w:trPr>
        <w:tc>
          <w:tcPr>
            <w:tcW w:w="3350" w:type="dxa"/>
            <w:tcBorders>
              <w:top w:val="single" w:sz="4" w:space="0" w:color="auto"/>
            </w:tcBorders>
            <w:noWrap/>
            <w:hideMark/>
          </w:tcPr>
          <w:p w:rsidR="005F35D0" w:rsidRPr="00EC0F14" w:rsidRDefault="005F35D0" w:rsidP="005A3B2B">
            <w:pPr>
              <w:pStyle w:val="Tabletext"/>
              <w:jc w:val="center"/>
              <w:rPr>
                <w:lang w:val="en-US"/>
              </w:rPr>
            </w:pPr>
            <w:r w:rsidRPr="00EC0F14">
              <w:rPr>
                <w:lang w:val="en-US"/>
              </w:rPr>
              <w:t>Total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noWrap/>
            <w:hideMark/>
          </w:tcPr>
          <w:p w:rsidR="005F35D0" w:rsidRPr="00EC0F14" w:rsidRDefault="005F35D0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13</w:t>
            </w:r>
            <w:r w:rsidR="00EC0F14" w:rsidRPr="00EC0F14">
              <w:rPr>
                <w:lang w:val="en-US"/>
              </w:rPr>
              <w:t xml:space="preserve"> </w:t>
            </w:r>
            <w:r w:rsidRPr="00EC0F14">
              <w:rPr>
                <w:lang w:val="en-US"/>
              </w:rPr>
              <w:t>394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noWrap/>
            <w:hideMark/>
          </w:tcPr>
          <w:p w:rsidR="005F35D0" w:rsidRPr="00EC0F14" w:rsidRDefault="005F35D0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12</w:t>
            </w:r>
            <w:r w:rsidR="00EC0F14" w:rsidRPr="00EC0F14">
              <w:rPr>
                <w:lang w:val="en-US"/>
              </w:rPr>
              <w:t xml:space="preserve"> </w:t>
            </w:r>
            <w:r w:rsidRPr="00EC0F14">
              <w:rPr>
                <w:lang w:val="en-US"/>
              </w:rPr>
              <w:t>438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noWrap/>
            <w:hideMark/>
          </w:tcPr>
          <w:p w:rsidR="005F35D0" w:rsidRPr="00EC0F14" w:rsidRDefault="005F35D0" w:rsidP="00B17F46">
            <w:pPr>
              <w:pStyle w:val="Tabletext"/>
              <w:jc w:val="right"/>
              <w:rPr>
                <w:lang w:val="en-US"/>
              </w:rPr>
            </w:pPr>
            <w:r w:rsidRPr="00EC0F14">
              <w:rPr>
                <w:lang w:val="en-US"/>
              </w:rPr>
              <w:t>25</w:t>
            </w:r>
            <w:r w:rsidR="00EC0F14" w:rsidRPr="00EC0F14">
              <w:rPr>
                <w:lang w:val="en-US"/>
              </w:rPr>
              <w:t xml:space="preserve"> </w:t>
            </w:r>
            <w:r w:rsidRPr="00EC0F14">
              <w:rPr>
                <w:lang w:val="en-US"/>
              </w:rPr>
              <w:t>832</w:t>
            </w:r>
          </w:p>
        </w:tc>
      </w:tr>
    </w:tbl>
    <w:p w:rsidR="00153206" w:rsidRPr="00732B2E" w:rsidRDefault="00CC4D64" w:rsidP="000375A2">
      <w:pPr>
        <w:pStyle w:val="TableNo"/>
        <w:rPr>
          <w:lang w:val="fr-FR"/>
        </w:rPr>
      </w:pPr>
      <w:r w:rsidRPr="00732B2E">
        <w:rPr>
          <w:lang w:val="fr-FR"/>
        </w:rPr>
        <w:t>Tableau 2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1985"/>
        <w:gridCol w:w="1842"/>
      </w:tblGrid>
      <w:tr w:rsidR="0065411F" w:rsidRPr="00CD1B87" w:rsidTr="005A3B2B">
        <w:trPr>
          <w:trHeight w:val="300"/>
        </w:trPr>
        <w:tc>
          <w:tcPr>
            <w:tcW w:w="9639" w:type="dxa"/>
            <w:gridSpan w:val="4"/>
            <w:noWrap/>
            <w:hideMark/>
          </w:tcPr>
          <w:p w:rsidR="004E3485" w:rsidRPr="00B17F46" w:rsidRDefault="0065411F" w:rsidP="00B17F46">
            <w:pPr>
              <w:pStyle w:val="Tabletitle"/>
              <w:rPr>
                <w:lang w:val="fr-FR"/>
              </w:rPr>
            </w:pPr>
            <w:r w:rsidRPr="00B17F46">
              <w:rPr>
                <w:lang w:val="fr-FR"/>
              </w:rPr>
              <w:t xml:space="preserve">Estimations budgétaires pour 2018-2020 </w:t>
            </w:r>
          </w:p>
          <w:p w:rsidR="0065411F" w:rsidRPr="00EC0F14" w:rsidRDefault="0065411F" w:rsidP="00195120">
            <w:pPr>
              <w:jc w:val="right"/>
              <w:rPr>
                <w:i/>
                <w:iCs/>
                <w:lang w:val="fr-FR" w:eastAsia="zh-CN"/>
              </w:rPr>
            </w:pPr>
            <w:r w:rsidRPr="00EC0F14">
              <w:rPr>
                <w:i/>
                <w:iCs/>
                <w:lang w:val="fr-CH"/>
              </w:rPr>
              <w:t>en milliers CHF</w:t>
            </w:r>
          </w:p>
        </w:tc>
      </w:tr>
      <w:tr w:rsidR="0065411F" w:rsidRPr="0065411F" w:rsidTr="005A3B2B">
        <w:trPr>
          <w:trHeight w:val="765"/>
        </w:trPr>
        <w:tc>
          <w:tcPr>
            <w:tcW w:w="3969" w:type="dxa"/>
            <w:tcBorders>
              <w:bottom w:val="single" w:sz="4" w:space="0" w:color="auto"/>
            </w:tcBorders>
            <w:noWrap/>
            <w:hideMark/>
          </w:tcPr>
          <w:p w:rsidR="0065411F" w:rsidRPr="00EC0F14" w:rsidRDefault="0065411F" w:rsidP="004E3485">
            <w:pPr>
              <w:pStyle w:val="Tabletext"/>
              <w:rPr>
                <w:lang w:val="fr-CH"/>
              </w:rPr>
            </w:pPr>
            <w:r w:rsidRPr="00EC0F14">
              <w:rPr>
                <w:lang w:val="fr-CH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65411F" w:rsidRPr="0065411F" w:rsidRDefault="0065411F" w:rsidP="005A3B2B">
            <w:pPr>
              <w:pStyle w:val="Tabletext"/>
              <w:jc w:val="center"/>
            </w:pPr>
            <w:r w:rsidRPr="0065411F">
              <w:t>Projet de budget pour 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65411F" w:rsidRPr="0065411F" w:rsidRDefault="0065411F" w:rsidP="005A3B2B">
            <w:pPr>
              <w:pStyle w:val="Tabletext"/>
              <w:jc w:val="center"/>
            </w:pPr>
            <w:r w:rsidRPr="0065411F">
              <w:t>Projet de budget pour 2019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65411F" w:rsidRPr="0065411F" w:rsidRDefault="0065411F" w:rsidP="005A3B2B">
            <w:pPr>
              <w:pStyle w:val="Tabletext"/>
              <w:jc w:val="center"/>
            </w:pPr>
            <w:r w:rsidRPr="0065411F">
              <w:t>Projet de budget pour 2020</w:t>
            </w:r>
          </w:p>
        </w:tc>
      </w:tr>
      <w:tr w:rsidR="0065411F" w:rsidRPr="0065411F" w:rsidTr="005A3B2B">
        <w:trPr>
          <w:trHeight w:val="300"/>
        </w:trPr>
        <w:tc>
          <w:tcPr>
            <w:tcW w:w="3969" w:type="dxa"/>
            <w:tcBorders>
              <w:top w:val="single" w:sz="4" w:space="0" w:color="auto"/>
            </w:tcBorders>
            <w:noWrap/>
            <w:hideMark/>
          </w:tcPr>
          <w:p w:rsidR="0065411F" w:rsidRPr="0065411F" w:rsidRDefault="0065411F" w:rsidP="004E3485">
            <w:pPr>
              <w:pStyle w:val="Tabletext"/>
              <w:rPr>
                <w:szCs w:val="24"/>
              </w:rPr>
            </w:pPr>
            <w:r w:rsidRPr="0065411F">
              <w:rPr>
                <w:szCs w:val="24"/>
              </w:rPr>
              <w:t>AMNT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:rsidR="0065411F" w:rsidRPr="0065411F" w:rsidRDefault="00EC0F14" w:rsidP="00B17F46">
            <w:pPr>
              <w:pStyle w:val="Tabletext"/>
              <w:jc w:val="right"/>
            </w:pPr>
            <w:r>
              <w:t>–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hideMark/>
          </w:tcPr>
          <w:p w:rsidR="0065411F" w:rsidRPr="0065411F" w:rsidRDefault="00B17F46" w:rsidP="00B17F46">
            <w:pPr>
              <w:pStyle w:val="Tabletext"/>
              <w:jc w:val="right"/>
            </w:pPr>
            <w:r>
              <w:t>–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700</w:t>
            </w:r>
          </w:p>
        </w:tc>
      </w:tr>
      <w:tr w:rsidR="0065411F" w:rsidRPr="0065411F" w:rsidTr="005A3B2B">
        <w:trPr>
          <w:trHeight w:val="300"/>
        </w:trPr>
        <w:tc>
          <w:tcPr>
            <w:tcW w:w="3969" w:type="dxa"/>
            <w:noWrap/>
            <w:hideMark/>
          </w:tcPr>
          <w:p w:rsidR="0065411F" w:rsidRPr="0065411F" w:rsidRDefault="0065411F" w:rsidP="00195120">
            <w:pPr>
              <w:pStyle w:val="Tabletext"/>
              <w:rPr>
                <w:szCs w:val="24"/>
              </w:rPr>
            </w:pPr>
            <w:r w:rsidRPr="0065411F">
              <w:rPr>
                <w:szCs w:val="24"/>
              </w:rPr>
              <w:t xml:space="preserve">AMNT </w:t>
            </w:r>
            <w:r w:rsidR="00195120">
              <w:rPr>
                <w:szCs w:val="24"/>
              </w:rPr>
              <w:t>–</w:t>
            </w:r>
            <w:r w:rsidRPr="0065411F">
              <w:rPr>
                <w:szCs w:val="24"/>
              </w:rPr>
              <w:t xml:space="preserve"> Réunions préparatoires</w:t>
            </w:r>
          </w:p>
        </w:tc>
        <w:tc>
          <w:tcPr>
            <w:tcW w:w="1843" w:type="dxa"/>
            <w:noWrap/>
            <w:hideMark/>
          </w:tcPr>
          <w:p w:rsidR="0065411F" w:rsidRPr="0065411F" w:rsidRDefault="00EC0F14" w:rsidP="00B17F46">
            <w:pPr>
              <w:pStyle w:val="Tabletext"/>
              <w:jc w:val="right"/>
            </w:pPr>
            <w:r>
              <w:t>–</w:t>
            </w:r>
          </w:p>
        </w:tc>
        <w:tc>
          <w:tcPr>
            <w:tcW w:w="1985" w:type="dxa"/>
            <w:noWrap/>
            <w:hideMark/>
          </w:tcPr>
          <w:p w:rsidR="0065411F" w:rsidRPr="0065411F" w:rsidRDefault="00EC0F14" w:rsidP="00B17F46">
            <w:pPr>
              <w:pStyle w:val="Tabletext"/>
              <w:jc w:val="right"/>
            </w:pPr>
            <w:r>
              <w:t>–</w:t>
            </w:r>
          </w:p>
        </w:tc>
        <w:tc>
          <w:tcPr>
            <w:tcW w:w="1842" w:type="dxa"/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300</w:t>
            </w:r>
          </w:p>
        </w:tc>
      </w:tr>
      <w:tr w:rsidR="0065411F" w:rsidRPr="0065411F" w:rsidTr="005A3B2B">
        <w:trPr>
          <w:trHeight w:val="300"/>
        </w:trPr>
        <w:tc>
          <w:tcPr>
            <w:tcW w:w="3969" w:type="dxa"/>
            <w:noWrap/>
            <w:hideMark/>
          </w:tcPr>
          <w:p w:rsidR="0065411F" w:rsidRPr="0065411F" w:rsidRDefault="0065411F" w:rsidP="004E3485">
            <w:pPr>
              <w:pStyle w:val="Tabletext"/>
              <w:rPr>
                <w:szCs w:val="24"/>
              </w:rPr>
            </w:pPr>
            <w:r w:rsidRPr="0065411F">
              <w:rPr>
                <w:szCs w:val="24"/>
              </w:rPr>
              <w:t>GCNT</w:t>
            </w:r>
          </w:p>
        </w:tc>
        <w:tc>
          <w:tcPr>
            <w:tcW w:w="1843" w:type="dxa"/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90</w:t>
            </w:r>
          </w:p>
        </w:tc>
        <w:tc>
          <w:tcPr>
            <w:tcW w:w="1985" w:type="dxa"/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90</w:t>
            </w:r>
          </w:p>
        </w:tc>
        <w:tc>
          <w:tcPr>
            <w:tcW w:w="1842" w:type="dxa"/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100</w:t>
            </w:r>
          </w:p>
        </w:tc>
      </w:tr>
      <w:tr w:rsidR="0065411F" w:rsidRPr="0065411F" w:rsidTr="005A3B2B">
        <w:trPr>
          <w:trHeight w:val="300"/>
        </w:trPr>
        <w:tc>
          <w:tcPr>
            <w:tcW w:w="3969" w:type="dxa"/>
            <w:noWrap/>
            <w:hideMark/>
          </w:tcPr>
          <w:p w:rsidR="0065411F" w:rsidRPr="0065411F" w:rsidRDefault="007E6473" w:rsidP="004E348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 xml:space="preserve">Réunions des Commissions </w:t>
            </w:r>
            <w:r w:rsidR="0065411F" w:rsidRPr="0065411F">
              <w:rPr>
                <w:szCs w:val="24"/>
              </w:rPr>
              <w:t>d'études</w:t>
            </w:r>
          </w:p>
        </w:tc>
        <w:tc>
          <w:tcPr>
            <w:tcW w:w="1843" w:type="dxa"/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1</w:t>
            </w:r>
            <w:r w:rsidR="00B17F46">
              <w:t xml:space="preserve"> </w:t>
            </w:r>
            <w:r w:rsidRPr="0065411F">
              <w:t>100</w:t>
            </w:r>
          </w:p>
        </w:tc>
        <w:tc>
          <w:tcPr>
            <w:tcW w:w="1985" w:type="dxa"/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1</w:t>
            </w:r>
            <w:r w:rsidR="00B17F46">
              <w:t xml:space="preserve"> </w:t>
            </w:r>
            <w:r w:rsidRPr="0065411F">
              <w:t>100</w:t>
            </w:r>
          </w:p>
        </w:tc>
        <w:tc>
          <w:tcPr>
            <w:tcW w:w="1842" w:type="dxa"/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1</w:t>
            </w:r>
            <w:r w:rsidR="00B17F46">
              <w:t xml:space="preserve"> </w:t>
            </w:r>
            <w:r w:rsidRPr="0065411F">
              <w:t>100</w:t>
            </w:r>
          </w:p>
        </w:tc>
      </w:tr>
      <w:tr w:rsidR="0065411F" w:rsidRPr="0065411F" w:rsidTr="005A3B2B">
        <w:trPr>
          <w:trHeight w:val="300"/>
        </w:trPr>
        <w:tc>
          <w:tcPr>
            <w:tcW w:w="3969" w:type="dxa"/>
            <w:noWrap/>
            <w:hideMark/>
          </w:tcPr>
          <w:p w:rsidR="0065411F" w:rsidRPr="0065411F" w:rsidRDefault="0065411F" w:rsidP="004E3485">
            <w:pPr>
              <w:pStyle w:val="Tabletext"/>
              <w:rPr>
                <w:szCs w:val="24"/>
              </w:rPr>
            </w:pPr>
            <w:r w:rsidRPr="0065411F">
              <w:rPr>
                <w:szCs w:val="24"/>
              </w:rPr>
              <w:t>Activités et Programme</w:t>
            </w:r>
          </w:p>
        </w:tc>
        <w:tc>
          <w:tcPr>
            <w:tcW w:w="1843" w:type="dxa"/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200</w:t>
            </w:r>
          </w:p>
        </w:tc>
        <w:tc>
          <w:tcPr>
            <w:tcW w:w="1985" w:type="dxa"/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200</w:t>
            </w:r>
          </w:p>
        </w:tc>
        <w:tc>
          <w:tcPr>
            <w:tcW w:w="1842" w:type="dxa"/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200</w:t>
            </w:r>
          </w:p>
        </w:tc>
      </w:tr>
      <w:tr w:rsidR="0065411F" w:rsidRPr="0065411F" w:rsidTr="005A3B2B">
        <w:trPr>
          <w:trHeight w:val="300"/>
        </w:trPr>
        <w:tc>
          <w:tcPr>
            <w:tcW w:w="3969" w:type="dxa"/>
            <w:noWrap/>
            <w:hideMark/>
          </w:tcPr>
          <w:p w:rsidR="0065411F" w:rsidRPr="0065411F" w:rsidRDefault="0065411F" w:rsidP="004E3485">
            <w:pPr>
              <w:pStyle w:val="Tabletext"/>
              <w:rPr>
                <w:szCs w:val="24"/>
              </w:rPr>
            </w:pPr>
            <w:r w:rsidRPr="0065411F">
              <w:rPr>
                <w:szCs w:val="24"/>
              </w:rPr>
              <w:t>Ateliers</w:t>
            </w:r>
          </w:p>
        </w:tc>
        <w:tc>
          <w:tcPr>
            <w:tcW w:w="1843" w:type="dxa"/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60</w:t>
            </w:r>
          </w:p>
        </w:tc>
        <w:tc>
          <w:tcPr>
            <w:tcW w:w="1985" w:type="dxa"/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60</w:t>
            </w:r>
          </w:p>
        </w:tc>
        <w:tc>
          <w:tcPr>
            <w:tcW w:w="1842" w:type="dxa"/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80</w:t>
            </w:r>
          </w:p>
        </w:tc>
      </w:tr>
      <w:tr w:rsidR="0065411F" w:rsidRPr="0065411F" w:rsidTr="005A3B2B">
        <w:trPr>
          <w:trHeight w:val="300"/>
        </w:trPr>
        <w:tc>
          <w:tcPr>
            <w:tcW w:w="3969" w:type="dxa"/>
            <w:tcBorders>
              <w:bottom w:val="single" w:sz="4" w:space="0" w:color="auto"/>
            </w:tcBorders>
            <w:noWrap/>
            <w:hideMark/>
          </w:tcPr>
          <w:p w:rsidR="0065411F" w:rsidRPr="0065411F" w:rsidRDefault="0065411F" w:rsidP="004E3485">
            <w:pPr>
              <w:pStyle w:val="Tabletext"/>
              <w:rPr>
                <w:szCs w:val="24"/>
              </w:rPr>
            </w:pPr>
            <w:r w:rsidRPr="0065411F">
              <w:rPr>
                <w:szCs w:val="24"/>
              </w:rPr>
              <w:t>Bureau (TSB)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11</w:t>
            </w:r>
            <w:r w:rsidR="00B17F46">
              <w:t xml:space="preserve"> </w:t>
            </w:r>
            <w:r w:rsidRPr="0065411F">
              <w:t>500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11</w:t>
            </w:r>
            <w:r w:rsidR="00B17F46">
              <w:t xml:space="preserve"> </w:t>
            </w:r>
            <w:r w:rsidRPr="0065411F">
              <w:t>600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11</w:t>
            </w:r>
            <w:r w:rsidR="00B17F46">
              <w:t xml:space="preserve"> </w:t>
            </w:r>
            <w:r w:rsidRPr="0065411F">
              <w:t>700</w:t>
            </w:r>
          </w:p>
        </w:tc>
      </w:tr>
      <w:tr w:rsidR="0065411F" w:rsidRPr="0065411F" w:rsidTr="005A3B2B">
        <w:trPr>
          <w:trHeight w:val="300"/>
        </w:trPr>
        <w:tc>
          <w:tcPr>
            <w:tcW w:w="3969" w:type="dxa"/>
            <w:tcBorders>
              <w:top w:val="single" w:sz="4" w:space="0" w:color="auto"/>
            </w:tcBorders>
            <w:noWrap/>
            <w:hideMark/>
          </w:tcPr>
          <w:p w:rsidR="0065411F" w:rsidRPr="0065411F" w:rsidRDefault="0065411F" w:rsidP="005A3B2B">
            <w:pPr>
              <w:pStyle w:val="Tabletext"/>
              <w:jc w:val="center"/>
              <w:rPr>
                <w:szCs w:val="24"/>
              </w:rPr>
            </w:pPr>
            <w:r w:rsidRPr="0065411F">
              <w:rPr>
                <w:szCs w:val="24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12</w:t>
            </w:r>
            <w:r w:rsidR="00B17F46">
              <w:t xml:space="preserve"> </w:t>
            </w:r>
            <w:r w:rsidRPr="0065411F">
              <w:t>950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13</w:t>
            </w:r>
            <w:r w:rsidR="00B17F46">
              <w:t xml:space="preserve"> </w:t>
            </w:r>
            <w:r w:rsidRPr="0065411F">
              <w:t>050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hideMark/>
          </w:tcPr>
          <w:p w:rsidR="0065411F" w:rsidRPr="0065411F" w:rsidRDefault="0065411F" w:rsidP="00B17F46">
            <w:pPr>
              <w:pStyle w:val="Tabletext"/>
              <w:jc w:val="right"/>
            </w:pPr>
            <w:r w:rsidRPr="0065411F">
              <w:t>14</w:t>
            </w:r>
            <w:r w:rsidR="00B17F46">
              <w:t xml:space="preserve"> </w:t>
            </w:r>
            <w:r w:rsidRPr="0065411F">
              <w:t>180</w:t>
            </w:r>
          </w:p>
        </w:tc>
      </w:tr>
    </w:tbl>
    <w:p w:rsidR="00E15713" w:rsidRPr="00732B2E" w:rsidRDefault="00EC0F14" w:rsidP="000375A2">
      <w:pPr>
        <w:pStyle w:val="TableNo"/>
        <w:rPr>
          <w:lang w:val="fr-FR"/>
        </w:rPr>
      </w:pPr>
      <w:r>
        <w:rPr>
          <w:lang w:val="fr-FR"/>
        </w:rPr>
        <w:t>Tableau 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87"/>
        <w:gridCol w:w="1210"/>
        <w:gridCol w:w="1211"/>
        <w:gridCol w:w="1211"/>
        <w:gridCol w:w="1211"/>
        <w:gridCol w:w="1209"/>
      </w:tblGrid>
      <w:tr w:rsidR="00153206" w:rsidRPr="00380227" w:rsidTr="00DC1C54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380227" w:rsidRDefault="00153206" w:rsidP="005252A1">
            <w:pPr>
              <w:pStyle w:val="Tabletitle"/>
              <w:rPr>
                <w:lang w:val="en-US" w:eastAsia="zh-CN"/>
              </w:rPr>
            </w:pPr>
            <w:r w:rsidRPr="00380227">
              <w:rPr>
                <w:lang w:val="en-US" w:eastAsia="zh-CN"/>
              </w:rPr>
              <w:t>Membres de l'UIT-T</w:t>
            </w:r>
          </w:p>
        </w:tc>
      </w:tr>
      <w:tr w:rsidR="00153206" w:rsidRPr="00380227" w:rsidTr="00380227">
        <w:trPr>
          <w:trHeight w:val="435"/>
        </w:trPr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380227" w:rsidRDefault="00153206" w:rsidP="005252A1">
            <w:pPr>
              <w:pStyle w:val="Tabletext"/>
              <w:rPr>
                <w:lang w:val="en-US" w:eastAsia="zh-CN"/>
              </w:rPr>
            </w:pPr>
            <w:r w:rsidRPr="00380227">
              <w:rPr>
                <w:lang w:val="en-US" w:eastAsia="zh-CN"/>
              </w:rPr>
              <w:t>Membres de l'UIT-T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380227" w:rsidRDefault="00153206" w:rsidP="005252A1">
            <w:pPr>
              <w:pStyle w:val="Tabletext"/>
              <w:rPr>
                <w:lang w:val="en-US" w:eastAsia="zh-CN"/>
              </w:rPr>
            </w:pPr>
            <w:r w:rsidRPr="00380227">
              <w:rPr>
                <w:lang w:val="en-US" w:eastAsia="zh-CN"/>
              </w:rPr>
              <w:t>01.01.2012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380227" w:rsidRDefault="00153206" w:rsidP="005252A1">
            <w:pPr>
              <w:pStyle w:val="Tabletext"/>
              <w:rPr>
                <w:lang w:val="en-US" w:eastAsia="zh-CN"/>
              </w:rPr>
            </w:pPr>
            <w:r w:rsidRPr="00380227">
              <w:rPr>
                <w:lang w:val="en-US" w:eastAsia="zh-CN"/>
              </w:rPr>
              <w:t>01.01.2013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380227" w:rsidRDefault="00153206" w:rsidP="005252A1">
            <w:pPr>
              <w:pStyle w:val="Tabletext"/>
              <w:rPr>
                <w:lang w:val="en-US" w:eastAsia="zh-CN"/>
              </w:rPr>
            </w:pPr>
            <w:r w:rsidRPr="00380227">
              <w:rPr>
                <w:lang w:val="en-US" w:eastAsia="zh-CN"/>
              </w:rPr>
              <w:t>01.01.2014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380227" w:rsidRDefault="00153206" w:rsidP="005252A1">
            <w:pPr>
              <w:pStyle w:val="Tabletext"/>
              <w:rPr>
                <w:lang w:val="en-US" w:eastAsia="zh-CN"/>
              </w:rPr>
            </w:pPr>
            <w:r w:rsidRPr="00380227">
              <w:rPr>
                <w:lang w:val="en-US" w:eastAsia="zh-CN"/>
              </w:rPr>
              <w:t>01.01.2015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380227" w:rsidRDefault="00153206" w:rsidP="005252A1">
            <w:pPr>
              <w:pStyle w:val="Tabletext"/>
              <w:rPr>
                <w:lang w:val="en-US" w:eastAsia="zh-CN"/>
              </w:rPr>
            </w:pPr>
            <w:r w:rsidRPr="00380227">
              <w:rPr>
                <w:lang w:val="en-US" w:eastAsia="zh-CN"/>
              </w:rPr>
              <w:t>01.01.2016</w:t>
            </w:r>
          </w:p>
        </w:tc>
      </w:tr>
      <w:tr w:rsidR="00153206" w:rsidRPr="00380227" w:rsidTr="00380227">
        <w:trPr>
          <w:trHeight w:val="300"/>
        </w:trPr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380227" w:rsidRDefault="00153206" w:rsidP="005252A1">
            <w:pPr>
              <w:pStyle w:val="Tabletext"/>
              <w:rPr>
                <w:i/>
                <w:iCs/>
                <w:lang w:val="en-US" w:eastAsia="zh-CN"/>
              </w:rPr>
            </w:pPr>
            <w:r w:rsidRPr="00380227">
              <w:rPr>
                <w:i/>
                <w:iCs/>
                <w:lang w:val="en-US" w:eastAsia="zh-CN"/>
              </w:rPr>
              <w:t>Nombre de Membres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</w:p>
        </w:tc>
      </w:tr>
      <w:tr w:rsidR="00153206" w:rsidRPr="00380227" w:rsidTr="00380227">
        <w:trPr>
          <w:trHeight w:val="300"/>
        </w:trPr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380227" w:rsidRDefault="008B4DA9" w:rsidP="005252A1">
            <w:pPr>
              <w:pStyle w:val="Tabletext"/>
              <w:rPr>
                <w:lang w:val="fr-FR" w:eastAsia="zh-CN"/>
              </w:rPr>
            </w:pPr>
            <w:r w:rsidRPr="00380227">
              <w:rPr>
                <w:lang w:val="fr-FR" w:eastAsia="zh-CN"/>
              </w:rPr>
              <w:t>Membres du</w:t>
            </w:r>
            <w:r w:rsidR="00153206" w:rsidRPr="00380227">
              <w:rPr>
                <w:lang w:val="fr-FR" w:eastAsia="zh-CN"/>
              </w:rPr>
              <w:t xml:space="preserve"> Secteur de l'UIT-T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  <w:r w:rsidRPr="005A3B2B">
              <w:t>271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  <w:r w:rsidRPr="005A3B2B">
              <w:t>278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  <w:r w:rsidRPr="005A3B2B">
              <w:t>284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  <w:r w:rsidRPr="005A3B2B">
              <w:t>275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  <w:r w:rsidRPr="005A3B2B">
              <w:t>272</w:t>
            </w:r>
          </w:p>
        </w:tc>
      </w:tr>
      <w:tr w:rsidR="00153206" w:rsidRPr="00380227" w:rsidTr="00380227">
        <w:trPr>
          <w:trHeight w:val="300"/>
        </w:trPr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380227" w:rsidRDefault="00153206" w:rsidP="005252A1">
            <w:pPr>
              <w:pStyle w:val="Tabletext"/>
              <w:rPr>
                <w:lang w:val="en-US" w:eastAsia="zh-CN"/>
              </w:rPr>
            </w:pPr>
            <w:r w:rsidRPr="00380227">
              <w:rPr>
                <w:lang w:val="en-US" w:eastAsia="zh-CN"/>
              </w:rPr>
              <w:t>Associés de l'UIT-T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  <w:r w:rsidRPr="005A3B2B">
              <w:t>136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  <w:r w:rsidRPr="005A3B2B">
              <w:t>144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  <w:r w:rsidRPr="005A3B2B">
              <w:t>139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  <w:r w:rsidRPr="005A3B2B">
              <w:t>138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  <w:r w:rsidRPr="005A3B2B">
              <w:t>142</w:t>
            </w:r>
          </w:p>
        </w:tc>
      </w:tr>
      <w:tr w:rsidR="00153206" w:rsidRPr="00380227" w:rsidTr="00380227">
        <w:trPr>
          <w:trHeight w:val="300"/>
        </w:trPr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380227" w:rsidRDefault="00153206" w:rsidP="005252A1">
            <w:pPr>
              <w:pStyle w:val="Tabletext"/>
              <w:rPr>
                <w:lang w:val="en-US" w:eastAsia="zh-CN"/>
              </w:rPr>
            </w:pPr>
            <w:r w:rsidRPr="00380227">
              <w:rPr>
                <w:lang w:val="en-US" w:eastAsia="zh-CN"/>
              </w:rPr>
              <w:t>Etablissements universitaires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  <w:r w:rsidRPr="005A3B2B">
              <w:t>25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  <w:r w:rsidRPr="005A3B2B">
              <w:t>36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  <w:r w:rsidRPr="005A3B2B">
              <w:t>45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  <w:r w:rsidRPr="005A3B2B">
              <w:t>67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06" w:rsidRPr="005A3B2B" w:rsidRDefault="00153206" w:rsidP="005A3B2B">
            <w:pPr>
              <w:pStyle w:val="Tabletext"/>
              <w:jc w:val="right"/>
            </w:pPr>
            <w:r w:rsidRPr="005A3B2B">
              <w:t>109</w:t>
            </w:r>
          </w:p>
        </w:tc>
      </w:tr>
    </w:tbl>
    <w:p w:rsidR="00E15713" w:rsidRDefault="00EC0F14" w:rsidP="000375A2">
      <w:pPr>
        <w:pStyle w:val="TableNo"/>
        <w:rPr>
          <w:lang w:val="fr-FR"/>
        </w:rPr>
      </w:pPr>
      <w:r>
        <w:rPr>
          <w:lang w:val="fr-FR"/>
        </w:rPr>
        <w:lastRenderedPageBreak/>
        <w:t>Tableau 4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993"/>
        <w:gridCol w:w="991"/>
        <w:gridCol w:w="849"/>
        <w:gridCol w:w="888"/>
        <w:gridCol w:w="2226"/>
      </w:tblGrid>
      <w:tr w:rsidR="0094346E" w:rsidRPr="00CD1B87" w:rsidTr="00A85770">
        <w:trPr>
          <w:trHeight w:val="300"/>
        </w:trPr>
        <w:tc>
          <w:tcPr>
            <w:tcW w:w="5000" w:type="pct"/>
            <w:gridSpan w:val="6"/>
            <w:noWrap/>
            <w:hideMark/>
          </w:tcPr>
          <w:p w:rsidR="0094346E" w:rsidRPr="00DC1C54" w:rsidRDefault="0094346E" w:rsidP="005A3B2B">
            <w:pPr>
              <w:pStyle w:val="Tabletitle"/>
              <w:rPr>
                <w:lang w:val="fr-FR"/>
              </w:rPr>
            </w:pPr>
            <w:r w:rsidRPr="005A3B2B">
              <w:rPr>
                <w:lang w:val="en-US" w:eastAsia="zh-CN"/>
              </w:rPr>
              <w:t>Contributions mises en recouvrement des membres de l'UIT-T</w:t>
            </w:r>
          </w:p>
        </w:tc>
      </w:tr>
      <w:tr w:rsidR="00A85770" w:rsidRPr="0094346E" w:rsidTr="00A85770">
        <w:trPr>
          <w:trHeight w:val="300"/>
        </w:trPr>
        <w:tc>
          <w:tcPr>
            <w:tcW w:w="5000" w:type="pct"/>
            <w:gridSpan w:val="6"/>
            <w:noWrap/>
            <w:hideMark/>
          </w:tcPr>
          <w:p w:rsidR="00A85770" w:rsidRPr="00DC1C54" w:rsidRDefault="00A85770" w:rsidP="00A85770">
            <w:pPr>
              <w:pStyle w:val="Tabletext"/>
              <w:jc w:val="right"/>
              <w:rPr>
                <w:i/>
                <w:iCs/>
                <w:lang w:val="en-US"/>
              </w:rPr>
            </w:pPr>
            <w:r w:rsidRPr="00DC1C54">
              <w:rPr>
                <w:i/>
                <w:iCs/>
                <w:lang w:val="en-US"/>
              </w:rPr>
              <w:t>en milliers CHF</w:t>
            </w:r>
          </w:p>
        </w:tc>
      </w:tr>
      <w:tr w:rsidR="00380227" w:rsidRPr="00DC1C54" w:rsidTr="005A3B2B">
        <w:trPr>
          <w:trHeight w:val="419"/>
        </w:trPr>
        <w:tc>
          <w:tcPr>
            <w:tcW w:w="1820" w:type="pct"/>
            <w:tcBorders>
              <w:bottom w:val="single" w:sz="4" w:space="0" w:color="auto"/>
            </w:tcBorders>
            <w:noWrap/>
            <w:hideMark/>
          </w:tcPr>
          <w:p w:rsidR="0094346E" w:rsidRPr="00DC1C54" w:rsidRDefault="0094346E" w:rsidP="00006A6B">
            <w:pPr>
              <w:pStyle w:val="Tabletext"/>
              <w:rPr>
                <w:lang w:val="en-US"/>
              </w:rPr>
            </w:pPr>
            <w:r w:rsidRPr="00DC1C54">
              <w:rPr>
                <w:lang w:val="en-US"/>
              </w:rPr>
              <w:t>Recettes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center"/>
              <w:rPr>
                <w:lang w:val="en-US"/>
              </w:rPr>
            </w:pPr>
            <w:r w:rsidRPr="00DC1C54">
              <w:rPr>
                <w:lang w:val="en-US"/>
              </w:rPr>
              <w:t>2012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center"/>
              <w:rPr>
                <w:lang w:val="en-US"/>
              </w:rPr>
            </w:pPr>
            <w:r w:rsidRPr="00DC1C54">
              <w:rPr>
                <w:lang w:val="en-US"/>
              </w:rPr>
              <w:t>2013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center"/>
              <w:rPr>
                <w:lang w:val="en-US"/>
              </w:rPr>
            </w:pPr>
            <w:r w:rsidRPr="00DC1C54">
              <w:rPr>
                <w:lang w:val="en-US"/>
              </w:rPr>
              <w:t>2014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center"/>
              <w:rPr>
                <w:lang w:val="en-US"/>
              </w:rPr>
            </w:pPr>
            <w:r w:rsidRPr="00DC1C54">
              <w:rPr>
                <w:lang w:val="en-US"/>
              </w:rPr>
              <w:t>2015</w:t>
            </w:r>
          </w:p>
        </w:tc>
        <w:tc>
          <w:tcPr>
            <w:tcW w:w="1190" w:type="pct"/>
            <w:tcBorders>
              <w:bottom w:val="single" w:sz="4" w:space="0" w:color="auto"/>
            </w:tcBorders>
            <w:hideMark/>
          </w:tcPr>
          <w:p w:rsidR="0094346E" w:rsidRPr="00DC1C54" w:rsidRDefault="0094346E" w:rsidP="005A3B2B">
            <w:pPr>
              <w:pStyle w:val="Tabletext"/>
              <w:jc w:val="center"/>
              <w:rPr>
                <w:lang w:val="fr-FR"/>
              </w:rPr>
            </w:pPr>
            <w:r w:rsidRPr="00DC1C54">
              <w:rPr>
                <w:lang w:val="fr-FR"/>
              </w:rPr>
              <w:t>2016</w:t>
            </w:r>
            <w:r w:rsidR="005A3B2B">
              <w:rPr>
                <w:lang w:val="fr-FR"/>
              </w:rPr>
              <w:br/>
            </w:r>
            <w:r w:rsidRPr="00DC1C54">
              <w:rPr>
                <w:lang w:val="fr-FR"/>
              </w:rPr>
              <w:t>(au 9 septembre 2016)</w:t>
            </w:r>
          </w:p>
        </w:tc>
      </w:tr>
      <w:tr w:rsidR="00380227" w:rsidRPr="00DC1C54" w:rsidTr="005A3B2B">
        <w:trPr>
          <w:trHeight w:val="300"/>
        </w:trPr>
        <w:tc>
          <w:tcPr>
            <w:tcW w:w="1820" w:type="pct"/>
            <w:tcBorders>
              <w:top w:val="single" w:sz="4" w:space="0" w:color="auto"/>
            </w:tcBorders>
            <w:noWrap/>
            <w:hideMark/>
          </w:tcPr>
          <w:p w:rsidR="0094346E" w:rsidRPr="00DC1C54" w:rsidRDefault="00195120" w:rsidP="00006A6B">
            <w:pPr>
              <w:pStyle w:val="Tabletext"/>
              <w:rPr>
                <w:lang w:val="fr-FR"/>
              </w:rPr>
            </w:pPr>
            <w:r>
              <w:rPr>
                <w:lang w:val="fr-FR"/>
              </w:rPr>
              <w:t>Membres du</w:t>
            </w:r>
            <w:r w:rsidR="0094346E" w:rsidRPr="00DC1C54">
              <w:rPr>
                <w:lang w:val="fr-FR"/>
              </w:rPr>
              <w:t xml:space="preserve"> Secteur de l'UIT-T</w:t>
            </w:r>
          </w:p>
        </w:tc>
        <w:tc>
          <w:tcPr>
            <w:tcW w:w="531" w:type="pct"/>
            <w:tcBorders>
              <w:top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fr-FR"/>
              </w:rPr>
            </w:pPr>
            <w:r w:rsidRPr="00DC1C54">
              <w:rPr>
                <w:lang w:val="fr-FR"/>
              </w:rPr>
              <w:t>7</w:t>
            </w:r>
            <w:r w:rsidR="005A3B2B">
              <w:rPr>
                <w:lang w:val="fr-FR"/>
              </w:rPr>
              <w:t> </w:t>
            </w:r>
            <w:r w:rsidRPr="00DC1C54">
              <w:rPr>
                <w:lang w:val="fr-FR"/>
              </w:rPr>
              <w:t>290</w:t>
            </w:r>
          </w:p>
        </w:tc>
        <w:tc>
          <w:tcPr>
            <w:tcW w:w="530" w:type="pct"/>
            <w:tcBorders>
              <w:top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fr-FR"/>
              </w:rPr>
            </w:pPr>
            <w:r w:rsidRPr="00DC1C54">
              <w:rPr>
                <w:lang w:val="fr-FR"/>
              </w:rPr>
              <w:t>7</w:t>
            </w:r>
            <w:r w:rsidR="005A3B2B">
              <w:rPr>
                <w:lang w:val="fr-FR"/>
              </w:rPr>
              <w:t> </w:t>
            </w:r>
            <w:r w:rsidRPr="00DC1C54">
              <w:rPr>
                <w:lang w:val="fr-FR"/>
              </w:rPr>
              <w:t>313</w:t>
            </w:r>
          </w:p>
        </w:tc>
        <w:tc>
          <w:tcPr>
            <w:tcW w:w="454" w:type="pct"/>
            <w:tcBorders>
              <w:top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fr-FR"/>
              </w:rPr>
            </w:pPr>
            <w:r w:rsidRPr="00DC1C54">
              <w:rPr>
                <w:lang w:val="fr-FR"/>
              </w:rPr>
              <w:t>7</w:t>
            </w:r>
            <w:r w:rsidR="005A3B2B">
              <w:rPr>
                <w:lang w:val="fr-FR"/>
              </w:rPr>
              <w:t> </w:t>
            </w:r>
            <w:r w:rsidRPr="00DC1C54">
              <w:rPr>
                <w:lang w:val="fr-FR"/>
              </w:rPr>
              <w:t>051</w:t>
            </w:r>
          </w:p>
        </w:tc>
        <w:tc>
          <w:tcPr>
            <w:tcW w:w="475" w:type="pct"/>
            <w:tcBorders>
              <w:top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fr-FR"/>
              </w:rPr>
            </w:pPr>
            <w:r w:rsidRPr="00DC1C54">
              <w:rPr>
                <w:lang w:val="fr-FR"/>
              </w:rPr>
              <w:t>6</w:t>
            </w:r>
            <w:r w:rsidR="005A3B2B">
              <w:rPr>
                <w:lang w:val="fr-FR"/>
              </w:rPr>
              <w:t> </w:t>
            </w:r>
            <w:r w:rsidRPr="00DC1C54">
              <w:rPr>
                <w:lang w:val="fr-FR"/>
              </w:rPr>
              <w:t>706</w:t>
            </w:r>
          </w:p>
        </w:tc>
        <w:tc>
          <w:tcPr>
            <w:tcW w:w="1190" w:type="pct"/>
            <w:tcBorders>
              <w:top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fr-FR"/>
              </w:rPr>
            </w:pPr>
            <w:r w:rsidRPr="00DC1C54">
              <w:rPr>
                <w:lang w:val="fr-FR"/>
              </w:rPr>
              <w:t>6</w:t>
            </w:r>
            <w:r w:rsidR="005A3B2B">
              <w:rPr>
                <w:lang w:val="fr-FR"/>
              </w:rPr>
              <w:t> </w:t>
            </w:r>
            <w:r w:rsidRPr="00DC1C54">
              <w:rPr>
                <w:lang w:val="fr-FR"/>
              </w:rPr>
              <w:t>530</w:t>
            </w:r>
          </w:p>
        </w:tc>
      </w:tr>
      <w:tr w:rsidR="00380227" w:rsidRPr="00DC1C54" w:rsidTr="005A3B2B">
        <w:trPr>
          <w:trHeight w:val="300"/>
        </w:trPr>
        <w:tc>
          <w:tcPr>
            <w:tcW w:w="1820" w:type="pct"/>
            <w:noWrap/>
            <w:hideMark/>
          </w:tcPr>
          <w:p w:rsidR="0094346E" w:rsidRPr="00DC1C54" w:rsidRDefault="0094346E" w:rsidP="00006A6B">
            <w:pPr>
              <w:pStyle w:val="Tabletext"/>
              <w:rPr>
                <w:lang w:val="fr-FR"/>
              </w:rPr>
            </w:pPr>
            <w:r w:rsidRPr="00DC1C54">
              <w:rPr>
                <w:lang w:val="fr-FR"/>
              </w:rPr>
              <w:t>Associés de l'UIT-T</w:t>
            </w:r>
          </w:p>
        </w:tc>
        <w:tc>
          <w:tcPr>
            <w:tcW w:w="531" w:type="pct"/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fr-FR"/>
              </w:rPr>
            </w:pPr>
            <w:r w:rsidRPr="00DC1C54">
              <w:rPr>
                <w:lang w:val="fr-FR"/>
              </w:rPr>
              <w:t>1</w:t>
            </w:r>
            <w:r w:rsidR="005A3B2B">
              <w:rPr>
                <w:lang w:val="fr-FR"/>
              </w:rPr>
              <w:t> </w:t>
            </w:r>
            <w:r w:rsidRPr="00DC1C54">
              <w:rPr>
                <w:lang w:val="fr-FR"/>
              </w:rPr>
              <w:t>450</w:t>
            </w:r>
          </w:p>
        </w:tc>
        <w:tc>
          <w:tcPr>
            <w:tcW w:w="530" w:type="pct"/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fr-FR"/>
              </w:rPr>
            </w:pPr>
            <w:r w:rsidRPr="00DC1C54">
              <w:rPr>
                <w:lang w:val="fr-FR"/>
              </w:rPr>
              <w:t>1</w:t>
            </w:r>
            <w:r w:rsidR="005A3B2B">
              <w:rPr>
                <w:lang w:val="fr-FR"/>
              </w:rPr>
              <w:t> </w:t>
            </w:r>
            <w:r w:rsidRPr="00DC1C54">
              <w:rPr>
                <w:lang w:val="fr-FR"/>
              </w:rPr>
              <w:t>473</w:t>
            </w:r>
          </w:p>
        </w:tc>
        <w:tc>
          <w:tcPr>
            <w:tcW w:w="454" w:type="pct"/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fr-FR"/>
              </w:rPr>
            </w:pPr>
            <w:r w:rsidRPr="00DC1C54">
              <w:rPr>
                <w:lang w:val="fr-FR"/>
              </w:rPr>
              <w:t>1</w:t>
            </w:r>
            <w:r w:rsidR="005A3B2B">
              <w:rPr>
                <w:lang w:val="fr-FR"/>
              </w:rPr>
              <w:t> </w:t>
            </w:r>
            <w:r w:rsidRPr="00DC1C54">
              <w:rPr>
                <w:lang w:val="fr-FR"/>
              </w:rPr>
              <w:t>403</w:t>
            </w:r>
          </w:p>
        </w:tc>
        <w:tc>
          <w:tcPr>
            <w:tcW w:w="475" w:type="pct"/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fr-FR"/>
              </w:rPr>
            </w:pPr>
            <w:r w:rsidRPr="00DC1C54">
              <w:rPr>
                <w:lang w:val="fr-FR"/>
              </w:rPr>
              <w:t>1</w:t>
            </w:r>
            <w:r w:rsidR="005A3B2B">
              <w:rPr>
                <w:lang w:val="fr-FR"/>
              </w:rPr>
              <w:t> </w:t>
            </w:r>
            <w:r w:rsidRPr="00DC1C54">
              <w:rPr>
                <w:lang w:val="fr-FR"/>
              </w:rPr>
              <w:t>366</w:t>
            </w:r>
          </w:p>
        </w:tc>
        <w:tc>
          <w:tcPr>
            <w:tcW w:w="1190" w:type="pct"/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fr-FR"/>
              </w:rPr>
            </w:pPr>
            <w:r w:rsidRPr="005A3B2B">
              <w:t>1</w:t>
            </w:r>
            <w:r w:rsidR="005A3B2B">
              <w:t> </w:t>
            </w:r>
            <w:r w:rsidRPr="005A3B2B">
              <w:t>345</w:t>
            </w:r>
          </w:p>
        </w:tc>
      </w:tr>
      <w:tr w:rsidR="00380227" w:rsidRPr="0094346E" w:rsidTr="005A3B2B">
        <w:trPr>
          <w:trHeight w:val="300"/>
        </w:trPr>
        <w:tc>
          <w:tcPr>
            <w:tcW w:w="1820" w:type="pct"/>
            <w:tcBorders>
              <w:bottom w:val="single" w:sz="4" w:space="0" w:color="auto"/>
            </w:tcBorders>
            <w:noWrap/>
            <w:hideMark/>
          </w:tcPr>
          <w:p w:rsidR="0094346E" w:rsidRPr="00DC1C54" w:rsidRDefault="0094346E" w:rsidP="00006A6B">
            <w:pPr>
              <w:pStyle w:val="Tabletext"/>
              <w:rPr>
                <w:lang w:val="en-US"/>
              </w:rPr>
            </w:pPr>
            <w:r w:rsidRPr="00DC1C54">
              <w:rPr>
                <w:lang w:val="fr-FR"/>
              </w:rPr>
              <w:t>Etablissements un</w:t>
            </w:r>
            <w:r w:rsidRPr="00DC1C54">
              <w:rPr>
                <w:lang w:val="en-US"/>
              </w:rPr>
              <w:t>iversitaires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en-US"/>
              </w:rPr>
            </w:pPr>
            <w:r w:rsidRPr="00DC1C54">
              <w:rPr>
                <w:lang w:val="en-US"/>
              </w:rPr>
              <w:t>80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en-US"/>
              </w:rPr>
            </w:pPr>
            <w:r w:rsidRPr="00DC1C54">
              <w:rPr>
                <w:lang w:val="en-US"/>
              </w:rPr>
              <w:t>110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en-US"/>
              </w:rPr>
            </w:pPr>
            <w:r w:rsidRPr="00DC1C54">
              <w:rPr>
                <w:lang w:val="en-US"/>
              </w:rPr>
              <w:t>141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en-US"/>
              </w:rPr>
            </w:pPr>
            <w:r w:rsidRPr="00DC1C54">
              <w:rPr>
                <w:lang w:val="en-US"/>
              </w:rPr>
              <w:t>240</w:t>
            </w:r>
          </w:p>
        </w:tc>
        <w:tc>
          <w:tcPr>
            <w:tcW w:w="1190" w:type="pct"/>
            <w:tcBorders>
              <w:bottom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en-US"/>
              </w:rPr>
            </w:pPr>
            <w:r w:rsidRPr="00DC1C54">
              <w:rPr>
                <w:lang w:val="en-US"/>
              </w:rPr>
              <w:t>299</w:t>
            </w:r>
          </w:p>
        </w:tc>
      </w:tr>
      <w:tr w:rsidR="00380227" w:rsidRPr="0094346E" w:rsidTr="005A3B2B">
        <w:trPr>
          <w:trHeight w:val="300"/>
        </w:trPr>
        <w:tc>
          <w:tcPr>
            <w:tcW w:w="1820" w:type="pct"/>
            <w:tcBorders>
              <w:top w:val="single" w:sz="4" w:space="0" w:color="auto"/>
            </w:tcBorders>
            <w:noWrap/>
            <w:hideMark/>
          </w:tcPr>
          <w:p w:rsidR="0094346E" w:rsidRPr="00DC1C54" w:rsidRDefault="0094346E" w:rsidP="005A3B2B">
            <w:pPr>
              <w:pStyle w:val="Tabletext"/>
              <w:jc w:val="center"/>
              <w:rPr>
                <w:lang w:val="en-US"/>
              </w:rPr>
            </w:pPr>
            <w:r w:rsidRPr="00DC1C54">
              <w:rPr>
                <w:lang w:val="en-US"/>
              </w:rPr>
              <w:t>Total</w:t>
            </w:r>
          </w:p>
        </w:tc>
        <w:tc>
          <w:tcPr>
            <w:tcW w:w="531" w:type="pct"/>
            <w:tcBorders>
              <w:top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en-US"/>
              </w:rPr>
            </w:pPr>
            <w:r w:rsidRPr="00DC1C54">
              <w:rPr>
                <w:lang w:val="en-US"/>
              </w:rPr>
              <w:t>8</w:t>
            </w:r>
            <w:r w:rsidR="005A3B2B">
              <w:rPr>
                <w:lang w:val="en-US"/>
              </w:rPr>
              <w:t> </w:t>
            </w:r>
            <w:r w:rsidRPr="00DC1C54">
              <w:rPr>
                <w:lang w:val="en-US"/>
              </w:rPr>
              <w:t>820</w:t>
            </w:r>
          </w:p>
        </w:tc>
        <w:tc>
          <w:tcPr>
            <w:tcW w:w="530" w:type="pct"/>
            <w:tcBorders>
              <w:top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en-US"/>
              </w:rPr>
            </w:pPr>
            <w:r w:rsidRPr="00DC1C54">
              <w:rPr>
                <w:lang w:val="en-US"/>
              </w:rPr>
              <w:t>8</w:t>
            </w:r>
            <w:r w:rsidR="005A3B2B">
              <w:rPr>
                <w:lang w:val="en-US"/>
              </w:rPr>
              <w:t> </w:t>
            </w:r>
            <w:r w:rsidRPr="00DC1C54">
              <w:rPr>
                <w:lang w:val="en-US"/>
              </w:rPr>
              <w:t>897</w:t>
            </w:r>
          </w:p>
        </w:tc>
        <w:tc>
          <w:tcPr>
            <w:tcW w:w="454" w:type="pct"/>
            <w:tcBorders>
              <w:top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en-US"/>
              </w:rPr>
            </w:pPr>
            <w:r w:rsidRPr="00DC1C54">
              <w:rPr>
                <w:lang w:val="en-US"/>
              </w:rPr>
              <w:t>8</w:t>
            </w:r>
            <w:r w:rsidR="005A3B2B">
              <w:rPr>
                <w:lang w:val="en-US"/>
              </w:rPr>
              <w:t> </w:t>
            </w:r>
            <w:r w:rsidRPr="00DC1C54">
              <w:rPr>
                <w:lang w:val="en-US"/>
              </w:rPr>
              <w:t>595</w:t>
            </w:r>
          </w:p>
        </w:tc>
        <w:tc>
          <w:tcPr>
            <w:tcW w:w="475" w:type="pct"/>
            <w:tcBorders>
              <w:top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en-US"/>
              </w:rPr>
            </w:pPr>
            <w:r w:rsidRPr="00DC1C54">
              <w:rPr>
                <w:lang w:val="en-US"/>
              </w:rPr>
              <w:t>8</w:t>
            </w:r>
            <w:r w:rsidR="005A3B2B">
              <w:rPr>
                <w:lang w:val="en-US"/>
              </w:rPr>
              <w:t> </w:t>
            </w:r>
            <w:r w:rsidRPr="00DC1C54">
              <w:rPr>
                <w:lang w:val="en-US"/>
              </w:rPr>
              <w:t>312</w:t>
            </w:r>
          </w:p>
        </w:tc>
        <w:tc>
          <w:tcPr>
            <w:tcW w:w="1190" w:type="pct"/>
            <w:tcBorders>
              <w:top w:val="single" w:sz="4" w:space="0" w:color="auto"/>
            </w:tcBorders>
            <w:noWrap/>
            <w:hideMark/>
          </w:tcPr>
          <w:p w:rsidR="0094346E" w:rsidRPr="00DC1C54" w:rsidRDefault="0094346E" w:rsidP="005252A1">
            <w:pPr>
              <w:pStyle w:val="Tabletext"/>
              <w:jc w:val="right"/>
              <w:rPr>
                <w:lang w:val="en-US"/>
              </w:rPr>
            </w:pPr>
            <w:r w:rsidRPr="00DC1C54">
              <w:rPr>
                <w:lang w:val="en-US"/>
              </w:rPr>
              <w:t>8</w:t>
            </w:r>
            <w:r w:rsidR="005A3B2B">
              <w:rPr>
                <w:lang w:val="en-US"/>
              </w:rPr>
              <w:t> </w:t>
            </w:r>
            <w:r w:rsidRPr="00DC1C54">
              <w:rPr>
                <w:lang w:val="en-US"/>
              </w:rPr>
              <w:t>174</w:t>
            </w:r>
          </w:p>
        </w:tc>
      </w:tr>
    </w:tbl>
    <w:p w:rsidR="00E15713" w:rsidRDefault="00EC0F14" w:rsidP="000375A2">
      <w:pPr>
        <w:pStyle w:val="TableNo"/>
        <w:rPr>
          <w:lang w:val="fr-FR"/>
        </w:rPr>
      </w:pPr>
      <w:r>
        <w:rPr>
          <w:lang w:val="fr-FR"/>
        </w:rPr>
        <w:t>Tableau 5</w:t>
      </w:r>
    </w:p>
    <w:tbl>
      <w:tblPr>
        <w:tblStyle w:val="TableGrid"/>
        <w:tblW w:w="48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922"/>
        <w:gridCol w:w="923"/>
        <w:gridCol w:w="923"/>
        <w:gridCol w:w="923"/>
        <w:gridCol w:w="2264"/>
      </w:tblGrid>
      <w:tr w:rsidR="00380227" w:rsidRPr="00CD1B87" w:rsidTr="005A3B2B">
        <w:trPr>
          <w:trHeight w:val="300"/>
        </w:trPr>
        <w:tc>
          <w:tcPr>
            <w:tcW w:w="5000" w:type="pct"/>
            <w:gridSpan w:val="6"/>
            <w:noWrap/>
            <w:hideMark/>
          </w:tcPr>
          <w:p w:rsidR="00380227" w:rsidRPr="00D95D9C" w:rsidRDefault="00380227" w:rsidP="005A3B2B">
            <w:pPr>
              <w:pStyle w:val="Tabletitle"/>
              <w:rPr>
                <w:lang w:val="fr-FR"/>
              </w:rPr>
            </w:pPr>
            <w:r w:rsidRPr="005A3B2B">
              <w:rPr>
                <w:lang w:val="fr-CH" w:eastAsia="zh-CN"/>
              </w:rPr>
              <w:t>Contributions volontaires et Fonds d’affectation spéciale</w:t>
            </w:r>
          </w:p>
        </w:tc>
      </w:tr>
      <w:tr w:rsidR="005252A1" w:rsidRPr="00D95D9C" w:rsidTr="005A3B2B">
        <w:trPr>
          <w:trHeight w:val="300"/>
        </w:trPr>
        <w:tc>
          <w:tcPr>
            <w:tcW w:w="5000" w:type="pct"/>
            <w:gridSpan w:val="6"/>
            <w:noWrap/>
            <w:hideMark/>
          </w:tcPr>
          <w:p w:rsidR="005252A1" w:rsidRPr="00D95D9C" w:rsidRDefault="005252A1" w:rsidP="005252A1">
            <w:pPr>
              <w:jc w:val="right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sz w:val="20"/>
                <w:lang w:val="en-US"/>
              </w:rPr>
              <w:t xml:space="preserve">en milliers </w:t>
            </w:r>
            <w:r w:rsidRPr="00D95D9C">
              <w:rPr>
                <w:i/>
                <w:iCs/>
                <w:sz w:val="20"/>
                <w:lang w:val="en-US"/>
              </w:rPr>
              <w:t>CHF</w:t>
            </w:r>
          </w:p>
        </w:tc>
      </w:tr>
      <w:tr w:rsidR="005A3B2B" w:rsidRPr="005252A1" w:rsidTr="005A3B2B">
        <w:trPr>
          <w:trHeight w:val="558"/>
        </w:trPr>
        <w:tc>
          <w:tcPr>
            <w:tcW w:w="1818" w:type="pct"/>
            <w:tcBorders>
              <w:bottom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</w:pPr>
            <w:r w:rsidRPr="005252A1">
              <w:t>Recettes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noWrap/>
            <w:hideMark/>
          </w:tcPr>
          <w:p w:rsidR="00380227" w:rsidRPr="005252A1" w:rsidRDefault="00380227" w:rsidP="00FE3498">
            <w:pPr>
              <w:pStyle w:val="Tabletext"/>
              <w:jc w:val="center"/>
            </w:pPr>
            <w:r w:rsidRPr="005252A1">
              <w:t>2012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noWrap/>
            <w:hideMark/>
          </w:tcPr>
          <w:p w:rsidR="00380227" w:rsidRPr="005252A1" w:rsidRDefault="00380227" w:rsidP="00FE3498">
            <w:pPr>
              <w:pStyle w:val="Tabletext"/>
              <w:jc w:val="center"/>
            </w:pPr>
            <w:r w:rsidRPr="005252A1">
              <w:t>2013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noWrap/>
            <w:hideMark/>
          </w:tcPr>
          <w:p w:rsidR="00380227" w:rsidRPr="005252A1" w:rsidRDefault="00380227" w:rsidP="00FE3498">
            <w:pPr>
              <w:pStyle w:val="Tabletext"/>
              <w:jc w:val="center"/>
            </w:pPr>
            <w:r w:rsidRPr="005252A1">
              <w:t>2014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noWrap/>
            <w:hideMark/>
          </w:tcPr>
          <w:p w:rsidR="00380227" w:rsidRPr="005252A1" w:rsidRDefault="00380227" w:rsidP="00FE3498">
            <w:pPr>
              <w:pStyle w:val="Tabletext"/>
              <w:jc w:val="center"/>
            </w:pPr>
            <w:r w:rsidRPr="005252A1">
              <w:t>2015</w:t>
            </w:r>
          </w:p>
        </w:tc>
        <w:tc>
          <w:tcPr>
            <w:tcW w:w="1211" w:type="pct"/>
            <w:tcBorders>
              <w:bottom w:val="single" w:sz="4" w:space="0" w:color="auto"/>
            </w:tcBorders>
            <w:hideMark/>
          </w:tcPr>
          <w:p w:rsidR="005252A1" w:rsidRDefault="00380227" w:rsidP="005252A1">
            <w:pPr>
              <w:pStyle w:val="Tabletext"/>
              <w:jc w:val="center"/>
            </w:pPr>
            <w:r w:rsidRPr="005252A1">
              <w:t>2016</w:t>
            </w:r>
            <w:r w:rsidR="00D95D9C" w:rsidRPr="005252A1">
              <w:t xml:space="preserve"> </w:t>
            </w:r>
          </w:p>
          <w:p w:rsidR="00380227" w:rsidRPr="005252A1" w:rsidRDefault="00380227" w:rsidP="005252A1">
            <w:pPr>
              <w:pStyle w:val="Tabletext"/>
              <w:jc w:val="center"/>
            </w:pPr>
            <w:r w:rsidRPr="005252A1">
              <w:t>(au 9 septembre 2016)</w:t>
            </w:r>
          </w:p>
        </w:tc>
      </w:tr>
      <w:tr w:rsidR="005A3B2B" w:rsidRPr="005252A1" w:rsidTr="005A3B2B">
        <w:trPr>
          <w:trHeight w:val="300"/>
        </w:trPr>
        <w:tc>
          <w:tcPr>
            <w:tcW w:w="1818" w:type="pct"/>
            <w:tcBorders>
              <w:top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  <w:rPr>
                <w:lang w:val="fr-FR"/>
              </w:rPr>
            </w:pPr>
            <w:r w:rsidRPr="005252A1">
              <w:rPr>
                <w:lang w:val="fr-FR"/>
              </w:rPr>
              <w:t>Solde au début de l'année</w:t>
            </w:r>
          </w:p>
        </w:tc>
        <w:tc>
          <w:tcPr>
            <w:tcW w:w="493" w:type="pct"/>
            <w:tcBorders>
              <w:top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632</w:t>
            </w:r>
          </w:p>
        </w:tc>
        <w:tc>
          <w:tcPr>
            <w:tcW w:w="493" w:type="pct"/>
            <w:tcBorders>
              <w:top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433</w:t>
            </w:r>
          </w:p>
        </w:tc>
        <w:tc>
          <w:tcPr>
            <w:tcW w:w="493" w:type="pct"/>
            <w:tcBorders>
              <w:top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576</w:t>
            </w:r>
          </w:p>
        </w:tc>
        <w:tc>
          <w:tcPr>
            <w:tcW w:w="493" w:type="pct"/>
            <w:tcBorders>
              <w:top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2</w:t>
            </w:r>
            <w:r w:rsidR="005252A1">
              <w:t xml:space="preserve"> </w:t>
            </w:r>
            <w:r w:rsidRPr="005252A1">
              <w:t>082</w:t>
            </w:r>
          </w:p>
        </w:tc>
        <w:tc>
          <w:tcPr>
            <w:tcW w:w="1211" w:type="pct"/>
            <w:tcBorders>
              <w:top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2</w:t>
            </w:r>
            <w:r w:rsidR="005252A1">
              <w:t xml:space="preserve"> </w:t>
            </w:r>
            <w:r w:rsidRPr="005252A1">
              <w:t>531</w:t>
            </w:r>
          </w:p>
        </w:tc>
      </w:tr>
      <w:tr w:rsidR="005A3B2B" w:rsidRPr="005252A1" w:rsidTr="005A3B2B">
        <w:trPr>
          <w:trHeight w:val="300"/>
        </w:trPr>
        <w:tc>
          <w:tcPr>
            <w:tcW w:w="1818" w:type="pct"/>
            <w:noWrap/>
            <w:hideMark/>
          </w:tcPr>
          <w:p w:rsidR="00380227" w:rsidRPr="005252A1" w:rsidRDefault="00380227" w:rsidP="005252A1">
            <w:pPr>
              <w:pStyle w:val="Tabletext"/>
            </w:pPr>
            <w:r w:rsidRPr="005252A1">
              <w:t>Reçues</w:t>
            </w:r>
          </w:p>
        </w:tc>
        <w:tc>
          <w:tcPr>
            <w:tcW w:w="493" w:type="pct"/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155</w:t>
            </w:r>
          </w:p>
        </w:tc>
        <w:tc>
          <w:tcPr>
            <w:tcW w:w="493" w:type="pct"/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313</w:t>
            </w:r>
          </w:p>
        </w:tc>
        <w:tc>
          <w:tcPr>
            <w:tcW w:w="493" w:type="pct"/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1</w:t>
            </w:r>
            <w:r w:rsidR="005252A1">
              <w:t xml:space="preserve"> </w:t>
            </w:r>
            <w:r w:rsidRPr="005252A1">
              <w:t>681</w:t>
            </w:r>
          </w:p>
        </w:tc>
        <w:tc>
          <w:tcPr>
            <w:tcW w:w="493" w:type="pct"/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1</w:t>
            </w:r>
            <w:r w:rsidR="005252A1">
              <w:t xml:space="preserve"> </w:t>
            </w:r>
            <w:r w:rsidRPr="005252A1">
              <w:t>505</w:t>
            </w:r>
          </w:p>
        </w:tc>
        <w:tc>
          <w:tcPr>
            <w:tcW w:w="1211" w:type="pct"/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335</w:t>
            </w:r>
          </w:p>
        </w:tc>
      </w:tr>
      <w:tr w:rsidR="005A3B2B" w:rsidRPr="005252A1" w:rsidTr="005A3B2B">
        <w:trPr>
          <w:trHeight w:val="300"/>
        </w:trPr>
        <w:tc>
          <w:tcPr>
            <w:tcW w:w="1818" w:type="pct"/>
            <w:tcBorders>
              <w:bottom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</w:pPr>
            <w:r w:rsidRPr="005252A1">
              <w:t>Dépensées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354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170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175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1</w:t>
            </w:r>
            <w:r w:rsidR="005252A1">
              <w:t xml:space="preserve"> </w:t>
            </w:r>
            <w:r w:rsidRPr="005252A1">
              <w:t>056</w:t>
            </w:r>
          </w:p>
        </w:tc>
        <w:tc>
          <w:tcPr>
            <w:tcW w:w="1211" w:type="pct"/>
            <w:tcBorders>
              <w:bottom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629</w:t>
            </w:r>
          </w:p>
        </w:tc>
      </w:tr>
      <w:tr w:rsidR="005A3B2B" w:rsidRPr="005252A1" w:rsidTr="005A3B2B">
        <w:trPr>
          <w:trHeight w:val="300"/>
        </w:trPr>
        <w:tc>
          <w:tcPr>
            <w:tcW w:w="1818" w:type="pct"/>
            <w:tcBorders>
              <w:top w:val="single" w:sz="4" w:space="0" w:color="auto"/>
            </w:tcBorders>
            <w:noWrap/>
            <w:hideMark/>
          </w:tcPr>
          <w:p w:rsidR="00380227" w:rsidRPr="005252A1" w:rsidRDefault="00380227" w:rsidP="005A3B2B">
            <w:pPr>
              <w:pStyle w:val="Tabletext"/>
              <w:jc w:val="center"/>
              <w:rPr>
                <w:lang w:val="fr-FR"/>
              </w:rPr>
            </w:pPr>
            <w:r w:rsidRPr="005252A1">
              <w:rPr>
                <w:lang w:val="fr-FR"/>
              </w:rPr>
              <w:t>Solde à la fin de l'année</w:t>
            </w:r>
          </w:p>
        </w:tc>
        <w:tc>
          <w:tcPr>
            <w:tcW w:w="493" w:type="pct"/>
            <w:tcBorders>
              <w:top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433</w:t>
            </w:r>
          </w:p>
        </w:tc>
        <w:tc>
          <w:tcPr>
            <w:tcW w:w="493" w:type="pct"/>
            <w:tcBorders>
              <w:top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576</w:t>
            </w:r>
          </w:p>
        </w:tc>
        <w:tc>
          <w:tcPr>
            <w:tcW w:w="493" w:type="pct"/>
            <w:tcBorders>
              <w:top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2</w:t>
            </w:r>
            <w:r w:rsidR="005252A1">
              <w:t xml:space="preserve"> </w:t>
            </w:r>
            <w:r w:rsidRPr="005252A1">
              <w:t>082</w:t>
            </w:r>
          </w:p>
        </w:tc>
        <w:tc>
          <w:tcPr>
            <w:tcW w:w="493" w:type="pct"/>
            <w:tcBorders>
              <w:top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2</w:t>
            </w:r>
            <w:r w:rsidR="005252A1">
              <w:t xml:space="preserve"> </w:t>
            </w:r>
            <w:r w:rsidRPr="005252A1">
              <w:t>531</w:t>
            </w:r>
          </w:p>
        </w:tc>
        <w:tc>
          <w:tcPr>
            <w:tcW w:w="1211" w:type="pct"/>
            <w:tcBorders>
              <w:top w:val="single" w:sz="4" w:space="0" w:color="auto"/>
            </w:tcBorders>
            <w:noWrap/>
            <w:hideMark/>
          </w:tcPr>
          <w:p w:rsidR="00380227" w:rsidRPr="005252A1" w:rsidRDefault="00380227" w:rsidP="005252A1">
            <w:pPr>
              <w:pStyle w:val="Tabletext"/>
              <w:jc w:val="right"/>
            </w:pPr>
            <w:r w:rsidRPr="005252A1">
              <w:t>2</w:t>
            </w:r>
            <w:r w:rsidR="005252A1">
              <w:t xml:space="preserve"> </w:t>
            </w:r>
            <w:r w:rsidRPr="005252A1">
              <w:t>237</w:t>
            </w:r>
          </w:p>
        </w:tc>
      </w:tr>
    </w:tbl>
    <w:p w:rsidR="00FC37F1" w:rsidRPr="00D95D9C" w:rsidRDefault="00584F95" w:rsidP="00D95D9C">
      <w:pPr>
        <w:rPr>
          <w:lang w:val="fr-FR"/>
        </w:rPr>
      </w:pPr>
      <w:r w:rsidRPr="00732B2E">
        <w:rPr>
          <w:lang w:val="fr-FR"/>
        </w:rPr>
        <w:t xml:space="preserve">Note: Environ 95% du montant des contributions volontaires </w:t>
      </w:r>
      <w:r w:rsidR="00DE6599">
        <w:rPr>
          <w:lang w:val="fr-FR"/>
        </w:rPr>
        <w:t>est affecté à des projets spécifiques</w:t>
      </w:r>
      <w:r w:rsidR="00153206">
        <w:rPr>
          <w:lang w:val="fr-FR"/>
        </w:rPr>
        <w:t xml:space="preserve"> qui sont</w:t>
      </w:r>
      <w:r w:rsidRPr="00732B2E">
        <w:rPr>
          <w:lang w:val="fr-FR"/>
        </w:rPr>
        <w:t xml:space="preserve"> déterminés par </w:t>
      </w:r>
      <w:r w:rsidR="00153206">
        <w:rPr>
          <w:lang w:val="fr-FR"/>
        </w:rPr>
        <w:t>le sponsor</w:t>
      </w:r>
      <w:r w:rsidRPr="00732B2E">
        <w:rPr>
          <w:lang w:val="fr-FR"/>
        </w:rPr>
        <w:t>.</w:t>
      </w:r>
      <w:r w:rsidR="00E15713" w:rsidRPr="00732B2E">
        <w:rPr>
          <w:lang w:val="fr-FR"/>
        </w:rPr>
        <w:t xml:space="preserve"> </w:t>
      </w:r>
      <w:r w:rsidR="00153206">
        <w:rPr>
          <w:lang w:val="fr-FR"/>
        </w:rPr>
        <w:t>Concernant les</w:t>
      </w:r>
      <w:r w:rsidR="00E15713" w:rsidRPr="00732B2E">
        <w:rPr>
          <w:lang w:val="fr-FR"/>
        </w:rPr>
        <w:t xml:space="preserve"> 5%</w:t>
      </w:r>
      <w:r w:rsidR="00153206">
        <w:rPr>
          <w:lang w:val="fr-FR"/>
        </w:rPr>
        <w:t xml:space="preserve"> restants</w:t>
      </w:r>
      <w:r w:rsidR="00E15713" w:rsidRPr="00732B2E">
        <w:rPr>
          <w:lang w:val="fr-FR"/>
        </w:rPr>
        <w:t xml:space="preserve">, </w:t>
      </w:r>
      <w:r w:rsidR="00153206">
        <w:rPr>
          <w:lang w:val="fr-FR"/>
        </w:rPr>
        <w:t xml:space="preserve">le sponsor réexamine l’utilisation qui est faite de la </w:t>
      </w:r>
      <w:r w:rsidR="00FC37F1">
        <w:rPr>
          <w:lang w:val="fr-FR"/>
        </w:rPr>
        <w:t>c</w:t>
      </w:r>
      <w:r w:rsidR="00153206">
        <w:rPr>
          <w:lang w:val="fr-FR"/>
        </w:rPr>
        <w:t>ontribution volontaire</w:t>
      </w:r>
      <w:r w:rsidR="00E15713" w:rsidRPr="00732B2E">
        <w:rPr>
          <w:lang w:val="fr-FR"/>
        </w:rPr>
        <w:t>.</w:t>
      </w:r>
    </w:p>
    <w:p w:rsidR="00D95D9C" w:rsidRPr="00D95D9C" w:rsidRDefault="004A42FF" w:rsidP="00006A6B">
      <w:pPr>
        <w:pStyle w:val="TableNo"/>
        <w:rPr>
          <w:lang w:val="fr-FR"/>
        </w:rPr>
      </w:pPr>
      <w:r w:rsidRPr="00732B2E">
        <w:rPr>
          <w:lang w:val="fr-FR"/>
        </w:rPr>
        <w:lastRenderedPageBreak/>
        <w:t>Tableau 6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135"/>
        <w:gridCol w:w="850"/>
        <w:gridCol w:w="910"/>
        <w:gridCol w:w="236"/>
        <w:gridCol w:w="975"/>
        <w:gridCol w:w="1134"/>
        <w:gridCol w:w="852"/>
        <w:gridCol w:w="854"/>
      </w:tblGrid>
      <w:tr w:rsidR="0089626C" w:rsidRPr="00CD1B87" w:rsidTr="00794908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794908" w:rsidRDefault="0089626C" w:rsidP="00A85770">
            <w:pPr>
              <w:pStyle w:val="Tabletitle"/>
              <w:rPr>
                <w:lang w:val="fr-FR" w:eastAsia="zh-CN"/>
              </w:rPr>
            </w:pPr>
            <w:r w:rsidRPr="00794908">
              <w:rPr>
                <w:lang w:val="fr-FR" w:eastAsia="zh-CN"/>
              </w:rPr>
              <w:t>Dépenses de l'UIT-T par section</w:t>
            </w:r>
          </w:p>
        </w:tc>
      </w:tr>
      <w:tr w:rsidR="00A85770" w:rsidRPr="00EC0F14" w:rsidTr="00A85770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70" w:rsidRPr="00EC0F14" w:rsidRDefault="00A85770" w:rsidP="00EC0F14">
            <w:pPr>
              <w:pStyle w:val="Tabletext"/>
              <w:keepNext/>
              <w:jc w:val="right"/>
              <w:rPr>
                <w:i/>
                <w:iCs/>
                <w:szCs w:val="22"/>
                <w:lang w:val="en-US" w:eastAsia="zh-CN"/>
              </w:rPr>
            </w:pPr>
            <w:r w:rsidRPr="00EC0F14">
              <w:rPr>
                <w:i/>
                <w:iCs/>
                <w:szCs w:val="22"/>
                <w:lang w:val="en-US" w:eastAsia="zh-CN"/>
              </w:rPr>
              <w:t>en milliers CHF</w:t>
            </w:r>
          </w:p>
        </w:tc>
      </w:tr>
      <w:tr w:rsidR="0089626C" w:rsidRPr="00EC0F14" w:rsidTr="00A85770">
        <w:trPr>
          <w:trHeight w:val="436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EC0F14" w:rsidRDefault="0089626C" w:rsidP="00A85770">
            <w:pPr>
              <w:pStyle w:val="Tabletext"/>
              <w:keepNext/>
              <w:rPr>
                <w:lang w:val="en-US" w:eastAsia="zh-CN"/>
              </w:rPr>
            </w:pPr>
          </w:p>
        </w:tc>
        <w:tc>
          <w:tcPr>
            <w:tcW w:w="20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EC0F14" w:rsidRDefault="0089626C" w:rsidP="005F46AB">
            <w:pPr>
              <w:pStyle w:val="Tabletext"/>
              <w:keepNext/>
              <w:jc w:val="center"/>
              <w:rPr>
                <w:lang w:val="en-US" w:eastAsia="zh-CN"/>
              </w:rPr>
            </w:pPr>
            <w:r w:rsidRPr="00EC0F14">
              <w:rPr>
                <w:lang w:val="en-US" w:eastAsia="zh-CN"/>
              </w:rPr>
              <w:t>2012-2013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EC0F14" w:rsidRDefault="0089626C" w:rsidP="00A85770">
            <w:pPr>
              <w:pStyle w:val="Tabletext"/>
              <w:keepNext/>
              <w:rPr>
                <w:lang w:val="en-US" w:eastAsia="zh-CN"/>
              </w:rPr>
            </w:pPr>
          </w:p>
        </w:tc>
        <w:tc>
          <w:tcPr>
            <w:tcW w:w="19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EC0F14" w:rsidRDefault="0089626C" w:rsidP="005F46AB">
            <w:pPr>
              <w:pStyle w:val="Tabletext"/>
              <w:keepNext/>
              <w:jc w:val="center"/>
              <w:rPr>
                <w:lang w:val="en-US" w:eastAsia="zh-CN"/>
              </w:rPr>
            </w:pPr>
            <w:r w:rsidRPr="00EC0F14">
              <w:rPr>
                <w:lang w:val="en-US" w:eastAsia="zh-CN"/>
              </w:rPr>
              <w:t>2014-2015</w:t>
            </w:r>
          </w:p>
        </w:tc>
      </w:tr>
      <w:tr w:rsidR="00A85770" w:rsidRPr="00EC0F14" w:rsidTr="00A85770">
        <w:trPr>
          <w:trHeight w:val="615"/>
        </w:trPr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A85770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5F46AB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>Budget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626C" w:rsidRPr="00A85770" w:rsidRDefault="0089626C" w:rsidP="005F46AB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>Dépenses effectives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5F46AB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>Ecart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5F46AB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>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A85770">
            <w:pPr>
              <w:pStyle w:val="Tabletext"/>
              <w:keepNext/>
              <w:rPr>
                <w:szCs w:val="22"/>
                <w:lang w:val="en-US" w:eastAsia="zh-C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5F46AB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>Budget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626C" w:rsidRPr="00A85770" w:rsidRDefault="0089626C" w:rsidP="005F46AB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>Dépenses effectives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5F46AB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>Ecart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5F46AB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>%</w:t>
            </w:r>
          </w:p>
        </w:tc>
      </w:tr>
      <w:tr w:rsidR="00A85770" w:rsidRPr="00EC0F14" w:rsidTr="00A85770">
        <w:trPr>
          <w:trHeight w:val="30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A85770">
            <w:pPr>
              <w:pStyle w:val="Tabletext"/>
              <w:keepNext/>
              <w:rPr>
                <w:szCs w:val="22"/>
                <w:lang w:val="en-US"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A85770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A85770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A85770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A85770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A85770">
            <w:pPr>
              <w:pStyle w:val="Tabletext"/>
              <w:keepNext/>
              <w:rPr>
                <w:szCs w:val="22"/>
                <w:lang w:val="en-US" w:eastAsia="zh-C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A85770">
            <w:pPr>
              <w:pStyle w:val="Tabletext"/>
              <w:keepNext/>
              <w:rPr>
                <w:szCs w:val="22"/>
                <w:lang w:val="en-US"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A85770">
            <w:pPr>
              <w:pStyle w:val="Tabletext"/>
              <w:keepNext/>
              <w:rPr>
                <w:szCs w:val="22"/>
                <w:lang w:val="en-US" w:eastAsia="zh-C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A85770">
            <w:pPr>
              <w:pStyle w:val="Tabletext"/>
              <w:keepNext/>
              <w:rPr>
                <w:szCs w:val="22"/>
                <w:lang w:val="en-US" w:eastAsia="zh-CN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A85770">
            <w:pPr>
              <w:pStyle w:val="Tabletext"/>
              <w:keepNext/>
              <w:rPr>
                <w:szCs w:val="22"/>
                <w:lang w:val="en-US" w:eastAsia="zh-CN"/>
              </w:rPr>
            </w:pPr>
          </w:p>
        </w:tc>
      </w:tr>
      <w:tr w:rsidR="00A85770" w:rsidRPr="00EC0F14" w:rsidTr="00A85770">
        <w:trPr>
          <w:trHeight w:val="30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5F46AB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>AMNT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781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676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105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13%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–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–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</w:p>
        </w:tc>
      </w:tr>
      <w:tr w:rsidR="00A85770" w:rsidRPr="00EC0F14" w:rsidTr="00A85770">
        <w:trPr>
          <w:trHeight w:val="30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5F46AB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 xml:space="preserve">AMNT </w:t>
            </w:r>
            <w:r w:rsidR="005F46AB">
              <w:rPr>
                <w:szCs w:val="22"/>
                <w:lang w:val="en-US" w:eastAsia="zh-CN"/>
              </w:rPr>
              <w:t>–</w:t>
            </w:r>
            <w:r w:rsidRPr="00A85770">
              <w:rPr>
                <w:szCs w:val="22"/>
                <w:lang w:val="en-US" w:eastAsia="zh-CN"/>
              </w:rPr>
              <w:t xml:space="preserve"> Réunions préparatoires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215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260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7E6473" w:rsidP="007E6473">
            <w:pPr>
              <w:pStyle w:val="Tabletext"/>
              <w:jc w:val="right"/>
            </w:pPr>
            <w:r>
              <w:t>–</w:t>
            </w:r>
            <w:r w:rsidR="0089626C" w:rsidRPr="005F46AB">
              <w:t>45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–</w:t>
            </w:r>
            <w:r w:rsidR="0089626C" w:rsidRPr="005F46AB">
              <w:t>21%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–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–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</w:p>
        </w:tc>
      </w:tr>
      <w:tr w:rsidR="00A85770" w:rsidRPr="00EC0F14" w:rsidTr="00A85770">
        <w:trPr>
          <w:trHeight w:val="30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5F46AB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>GCNT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133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13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10%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134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115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19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14%</w:t>
            </w:r>
          </w:p>
        </w:tc>
      </w:tr>
      <w:tr w:rsidR="00A85770" w:rsidRPr="00EC0F14" w:rsidTr="00A85770">
        <w:trPr>
          <w:trHeight w:val="30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5F46AB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>Réunions des Commissions d'études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>
              <w:t xml:space="preserve">2 </w:t>
            </w:r>
            <w:r w:rsidR="0089626C" w:rsidRPr="005F46AB">
              <w:t>745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DE6599" w:rsidP="005F46AB">
            <w:pPr>
              <w:pStyle w:val="Tabletext"/>
              <w:jc w:val="right"/>
            </w:pPr>
            <w:r w:rsidRPr="005F46AB">
              <w:t>2 </w:t>
            </w:r>
            <w:r w:rsidR="0089626C" w:rsidRPr="005F46AB">
              <w:t>954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A85770" w:rsidP="005F46AB">
            <w:pPr>
              <w:pStyle w:val="Tabletext"/>
              <w:jc w:val="right"/>
            </w:pPr>
            <w:r w:rsidRPr="005F46AB">
              <w:t>–</w:t>
            </w:r>
            <w:r w:rsidR="0089626C" w:rsidRPr="005F46AB">
              <w:t>209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–</w:t>
            </w:r>
            <w:r w:rsidR="0089626C" w:rsidRPr="005F46AB">
              <w:t>8%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>
              <w:t xml:space="preserve">2 </w:t>
            </w:r>
            <w:r w:rsidR="0089626C" w:rsidRPr="005F46AB">
              <w:t>745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 xml:space="preserve">2 </w:t>
            </w:r>
            <w:r w:rsidR="0089626C" w:rsidRPr="005F46AB">
              <w:t>381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364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13%</w:t>
            </w:r>
          </w:p>
        </w:tc>
      </w:tr>
      <w:tr w:rsidR="00A85770" w:rsidRPr="005F46AB" w:rsidTr="00A85770">
        <w:trPr>
          <w:trHeight w:val="30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5F46AB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>Activités et Programme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368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361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2%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368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310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58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16%</w:t>
            </w:r>
          </w:p>
        </w:tc>
      </w:tr>
      <w:tr w:rsidR="00A85770" w:rsidRPr="00EC0F14" w:rsidTr="00A85770">
        <w:trPr>
          <w:trHeight w:val="30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5F46AB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>Ateliers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0%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120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120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0%</w:t>
            </w:r>
          </w:p>
        </w:tc>
      </w:tr>
      <w:tr w:rsidR="00A85770" w:rsidRPr="00EC0F14" w:rsidTr="00A85770">
        <w:trPr>
          <w:trHeight w:val="300"/>
        </w:trPr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5F46AB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>Bureau (TSB)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>
              <w:t>21</w:t>
            </w:r>
            <w:r w:rsidRPr="005F46AB">
              <w:t xml:space="preserve"> </w:t>
            </w:r>
            <w:r w:rsidR="0089626C" w:rsidRPr="005F46AB">
              <w:t>838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 xml:space="preserve">22 </w:t>
            </w:r>
            <w:r w:rsidR="0089626C" w:rsidRPr="005F46AB">
              <w:t>478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–</w:t>
            </w:r>
            <w:r w:rsidR="0089626C" w:rsidRPr="005F46AB">
              <w:t>640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–</w:t>
            </w:r>
            <w:r w:rsidR="0089626C" w:rsidRPr="005F46AB">
              <w:t>3%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>
              <w:t xml:space="preserve">22 </w:t>
            </w:r>
            <w:r w:rsidR="0089626C" w:rsidRPr="005F46AB">
              <w:t>162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 xml:space="preserve">21 </w:t>
            </w:r>
            <w:r w:rsidR="004E3485" w:rsidRPr="005F46AB">
              <w:t>884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278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1%</w:t>
            </w:r>
          </w:p>
        </w:tc>
      </w:tr>
      <w:tr w:rsidR="00A85770" w:rsidRPr="00EC0F14" w:rsidTr="00A85770">
        <w:trPr>
          <w:trHeight w:val="30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A85770" w:rsidRDefault="0089626C" w:rsidP="005F46AB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A85770">
              <w:rPr>
                <w:szCs w:val="22"/>
                <w:lang w:val="en-US" w:eastAsia="zh-CN"/>
              </w:rPr>
              <w:t>Total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>
              <w:t>26</w:t>
            </w:r>
            <w:r w:rsidRPr="005F46AB">
              <w:t xml:space="preserve"> </w:t>
            </w:r>
            <w:r w:rsidR="0089626C" w:rsidRPr="005F46AB"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 xml:space="preserve">26 </w:t>
            </w:r>
            <w:r w:rsidR="0089626C" w:rsidRPr="005F46AB">
              <w:t>970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–</w:t>
            </w:r>
            <w:r w:rsidR="0089626C" w:rsidRPr="005F46AB">
              <w:t>770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–</w:t>
            </w:r>
            <w:r w:rsidR="0089626C" w:rsidRPr="005F46AB">
              <w:t>3%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>
              <w:t xml:space="preserve">25 </w:t>
            </w:r>
            <w:r w:rsidR="0089626C" w:rsidRPr="005F46AB">
              <w:t>529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5F46AB" w:rsidP="005F46AB">
            <w:pPr>
              <w:pStyle w:val="Tabletext"/>
              <w:jc w:val="right"/>
            </w:pPr>
            <w:r w:rsidRPr="005F46AB">
              <w:t>24 810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4E3485" w:rsidP="005F46AB">
            <w:pPr>
              <w:pStyle w:val="Tabletext"/>
              <w:jc w:val="right"/>
            </w:pPr>
            <w:r w:rsidRPr="005F46AB">
              <w:t>7</w:t>
            </w:r>
            <w:r w:rsidR="005F46AB" w:rsidRPr="005F46AB">
              <w:t>19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F46AB" w:rsidRDefault="0089626C" w:rsidP="005F46AB">
            <w:pPr>
              <w:pStyle w:val="Tabletext"/>
              <w:jc w:val="right"/>
            </w:pPr>
            <w:r w:rsidRPr="005F46AB">
              <w:t>3%</w:t>
            </w:r>
          </w:p>
        </w:tc>
      </w:tr>
    </w:tbl>
    <w:p w:rsidR="005F46AB" w:rsidRDefault="005F46A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lang w:val="fr-FR"/>
        </w:rPr>
      </w:pPr>
    </w:p>
    <w:p w:rsidR="00E15713" w:rsidRPr="00732B2E" w:rsidRDefault="0043098C" w:rsidP="005F46AB">
      <w:pPr>
        <w:pStyle w:val="TableNo"/>
        <w:rPr>
          <w:lang w:val="fr-FR"/>
        </w:rPr>
      </w:pPr>
      <w:r w:rsidRPr="00732B2E">
        <w:rPr>
          <w:lang w:val="fr-FR"/>
        </w:rPr>
        <w:lastRenderedPageBreak/>
        <w:t>TABLEAU 7</w:t>
      </w: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708"/>
        <w:gridCol w:w="819"/>
        <w:gridCol w:w="222"/>
        <w:gridCol w:w="852"/>
        <w:gridCol w:w="1110"/>
        <w:gridCol w:w="966"/>
        <w:gridCol w:w="851"/>
      </w:tblGrid>
      <w:tr w:rsidR="0089626C" w:rsidRPr="00CD1B87" w:rsidTr="005F46AB">
        <w:trPr>
          <w:trHeight w:val="30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6C1F82" w:rsidRDefault="0089626C" w:rsidP="00581594">
            <w:pPr>
              <w:pStyle w:val="Tabletitle"/>
              <w:rPr>
                <w:lang w:val="fr-FR" w:eastAsia="zh-CN"/>
              </w:rPr>
            </w:pPr>
            <w:r w:rsidRPr="006C1F82">
              <w:rPr>
                <w:lang w:val="fr-FR" w:eastAsia="zh-CN"/>
              </w:rPr>
              <w:t>Dépenses de l'UIT-T par catégorie</w:t>
            </w:r>
          </w:p>
        </w:tc>
      </w:tr>
      <w:tr w:rsidR="005F46AB" w:rsidRPr="006C1F82" w:rsidTr="005F46AB">
        <w:trPr>
          <w:trHeight w:val="30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AB" w:rsidRPr="006C1F82" w:rsidRDefault="005F46AB" w:rsidP="00581594">
            <w:pPr>
              <w:pStyle w:val="Tabletext"/>
              <w:keepNext/>
              <w:jc w:val="right"/>
              <w:rPr>
                <w:i/>
                <w:iCs/>
                <w:sz w:val="20"/>
                <w:lang w:val="en-US" w:eastAsia="zh-CN"/>
              </w:rPr>
            </w:pPr>
            <w:r w:rsidRPr="006C1F82">
              <w:rPr>
                <w:i/>
                <w:iCs/>
                <w:sz w:val="20"/>
                <w:lang w:val="en-US" w:eastAsia="zh-CN"/>
              </w:rPr>
              <w:t>en milliers CHF</w:t>
            </w:r>
          </w:p>
        </w:tc>
      </w:tr>
      <w:tr w:rsidR="0089626C" w:rsidRPr="00581594" w:rsidTr="005F46A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581594">
            <w:pPr>
              <w:pStyle w:val="Tabletext"/>
              <w:keepNext/>
              <w:rPr>
                <w:szCs w:val="22"/>
                <w:lang w:val="en-US" w:eastAsia="zh-CN"/>
              </w:rPr>
            </w:pP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A3B2B" w:rsidRDefault="0089626C" w:rsidP="005A3B2B">
            <w:pPr>
              <w:pStyle w:val="Tabletext"/>
              <w:keepNext/>
              <w:jc w:val="center"/>
              <w:rPr>
                <w:lang w:val="en-US" w:eastAsia="zh-CN"/>
              </w:rPr>
            </w:pPr>
            <w:r w:rsidRPr="005A3B2B">
              <w:rPr>
                <w:lang w:val="en-US" w:eastAsia="zh-CN"/>
              </w:rPr>
              <w:t>2012-2013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A3B2B" w:rsidRDefault="0089626C" w:rsidP="005A3B2B">
            <w:pPr>
              <w:pStyle w:val="Tabletext"/>
              <w:keepNext/>
              <w:jc w:val="center"/>
              <w:rPr>
                <w:lang w:val="en-US" w:eastAsia="zh-CN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A3B2B" w:rsidRDefault="0089626C" w:rsidP="005A3B2B">
            <w:pPr>
              <w:pStyle w:val="Tabletext"/>
              <w:keepNext/>
              <w:jc w:val="center"/>
              <w:rPr>
                <w:lang w:val="en-US" w:eastAsia="zh-CN"/>
              </w:rPr>
            </w:pPr>
            <w:r w:rsidRPr="005A3B2B">
              <w:rPr>
                <w:lang w:val="en-US" w:eastAsia="zh-CN"/>
              </w:rPr>
              <w:t>2014-2015</w:t>
            </w:r>
          </w:p>
        </w:tc>
      </w:tr>
      <w:tr w:rsidR="0089626C" w:rsidRPr="00581594" w:rsidTr="005F46AB">
        <w:trPr>
          <w:trHeight w:val="63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581594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3F7C5A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626C" w:rsidRPr="00581594" w:rsidRDefault="0089626C" w:rsidP="003F7C5A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Dépenses effectives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3F7C5A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Ecart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3F7C5A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3F7C5A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3F7C5A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Budget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626C" w:rsidRPr="00581594" w:rsidRDefault="0089626C" w:rsidP="003F7C5A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Dépenses effectives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3F7C5A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Ecart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3F7C5A">
            <w:pPr>
              <w:pStyle w:val="Tabletext"/>
              <w:keepNext/>
              <w:jc w:val="center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%</w:t>
            </w:r>
          </w:p>
        </w:tc>
      </w:tr>
      <w:tr w:rsidR="0089626C" w:rsidRPr="00581594" w:rsidTr="005F46A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581594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Personnel permanent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5A3B2B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 xml:space="preserve">20 </w:t>
            </w:r>
            <w:r w:rsidR="0089626C" w:rsidRPr="00581594">
              <w:rPr>
                <w:szCs w:val="22"/>
                <w:lang w:val="en-US" w:eastAsia="zh-CN"/>
              </w:rPr>
              <w:t>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5A3B2B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 xml:space="preserve">20 </w:t>
            </w:r>
            <w:r w:rsidR="0089626C" w:rsidRPr="00581594">
              <w:rPr>
                <w:szCs w:val="22"/>
                <w:lang w:val="en-US" w:eastAsia="zh-CN"/>
              </w:rPr>
              <w:t>837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5A3B2B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145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A3B2B" w:rsidRDefault="0089626C" w:rsidP="005A3B2B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A3B2B">
              <w:rPr>
                <w:szCs w:val="22"/>
                <w:lang w:val="en-US" w:eastAsia="zh-CN"/>
              </w:rPr>
              <w:t>1%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A3B2B" w:rsidRDefault="0089626C" w:rsidP="005A3B2B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A3B2B" w:rsidRDefault="00581594" w:rsidP="005A3B2B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A3B2B">
              <w:rPr>
                <w:szCs w:val="22"/>
                <w:lang w:val="en-US" w:eastAsia="zh-CN"/>
              </w:rPr>
              <w:t xml:space="preserve">21 </w:t>
            </w:r>
            <w:r w:rsidR="0089626C" w:rsidRPr="005A3B2B">
              <w:rPr>
                <w:szCs w:val="22"/>
                <w:lang w:val="en-US" w:eastAsia="zh-CN"/>
              </w:rPr>
              <w:t>203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A3B2B" w:rsidRDefault="00581594" w:rsidP="005A3B2B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A3B2B">
              <w:rPr>
                <w:szCs w:val="22"/>
                <w:lang w:val="en-US" w:eastAsia="zh-CN"/>
              </w:rPr>
              <w:t xml:space="preserve">20 </w:t>
            </w:r>
            <w:r w:rsidR="0089626C" w:rsidRPr="005A3B2B">
              <w:rPr>
                <w:szCs w:val="22"/>
                <w:lang w:val="en-US" w:eastAsia="zh-CN"/>
              </w:rPr>
              <w:t>503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A3B2B" w:rsidRDefault="0089626C" w:rsidP="005A3B2B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A3B2B">
              <w:rPr>
                <w:szCs w:val="22"/>
                <w:lang w:val="en-US" w:eastAsia="zh-CN"/>
              </w:rPr>
              <w:t>699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A3B2B" w:rsidRDefault="0089626C" w:rsidP="005A3B2B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A3B2B">
              <w:rPr>
                <w:szCs w:val="22"/>
                <w:lang w:val="en-US" w:eastAsia="zh-CN"/>
              </w:rPr>
              <w:t>3%</w:t>
            </w:r>
          </w:p>
        </w:tc>
      </w:tr>
      <w:tr w:rsidR="0089626C" w:rsidRPr="00581594" w:rsidTr="005F46A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581594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Personnel court terme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FE3498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1 </w:t>
            </w:r>
            <w:r w:rsidR="0089626C" w:rsidRPr="00581594">
              <w:rPr>
                <w:szCs w:val="22"/>
                <w:lang w:val="en-US" w:eastAsia="zh-CN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DE6599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1 </w:t>
            </w:r>
            <w:r w:rsidR="0089626C" w:rsidRPr="00581594">
              <w:rPr>
                <w:szCs w:val="22"/>
                <w:lang w:val="en-US" w:eastAsia="zh-CN"/>
              </w:rPr>
              <w:t>380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EC0F14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–</w:t>
            </w:r>
            <w:r w:rsidR="0089626C" w:rsidRPr="00581594">
              <w:rPr>
                <w:szCs w:val="22"/>
                <w:lang w:val="en-US" w:eastAsia="zh-CN"/>
              </w:rPr>
              <w:t>367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–</w:t>
            </w:r>
            <w:r w:rsidR="0089626C"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36%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549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503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8%</w:t>
            </w:r>
          </w:p>
        </w:tc>
      </w:tr>
      <w:tr w:rsidR="0089626C" w:rsidRPr="00581594" w:rsidTr="005F46A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581594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Interprétation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DE6599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1 </w:t>
            </w:r>
            <w:r w:rsidR="0089626C" w:rsidRPr="00581594">
              <w:rPr>
                <w:szCs w:val="22"/>
                <w:lang w:val="en-US" w:eastAsia="zh-CN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141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12%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774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569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26%</w:t>
            </w:r>
          </w:p>
        </w:tc>
      </w:tr>
      <w:tr w:rsidR="0089626C" w:rsidRPr="00581594" w:rsidTr="005F46A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581594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Frais de mission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881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147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–</w:t>
            </w:r>
            <w:r w:rsidR="0089626C"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20%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960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890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7%</w:t>
            </w:r>
          </w:p>
        </w:tc>
      </w:tr>
      <w:tr w:rsidR="0089626C" w:rsidRPr="00581594" w:rsidTr="005F46A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581594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Bourses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DE6599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1 </w:t>
            </w:r>
            <w:r w:rsidR="0089626C" w:rsidRPr="00581594">
              <w:rPr>
                <w:szCs w:val="22"/>
                <w:lang w:val="en-US" w:eastAsia="zh-CN"/>
              </w:rPr>
              <w:t>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–</w:t>
            </w:r>
            <w:r w:rsidR="0089626C" w:rsidRPr="00581594">
              <w:rPr>
                <w:szCs w:val="22"/>
                <w:lang w:val="en-US" w:eastAsia="zh-CN"/>
              </w:rPr>
              <w:t>378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–</w:t>
            </w:r>
            <w:r w:rsidR="0089626C"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58%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740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604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18%</w:t>
            </w:r>
          </w:p>
        </w:tc>
      </w:tr>
      <w:tr w:rsidR="0089626C" w:rsidRPr="00581594" w:rsidTr="005F46A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581594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Services contractuels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DE6599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1 </w:t>
            </w:r>
            <w:r w:rsidR="0089626C" w:rsidRPr="00581594">
              <w:rPr>
                <w:szCs w:val="22"/>
                <w:lang w:val="en-US" w:eastAsia="zh-CN"/>
              </w:rPr>
              <w:t>269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F46AB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–</w:t>
            </w:r>
            <w:r w:rsidR="0089626C" w:rsidRPr="00581594">
              <w:rPr>
                <w:szCs w:val="22"/>
                <w:lang w:val="en-US" w:eastAsia="zh-CN"/>
              </w:rPr>
              <w:t>579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–</w:t>
            </w:r>
            <w:r w:rsidR="0089626C"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84%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756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DE6599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1 </w:t>
            </w:r>
            <w:r w:rsidR="0089626C"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245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4B0579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>–490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–</w:t>
            </w:r>
            <w:r w:rsidR="0089626C"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65%</w:t>
            </w:r>
          </w:p>
        </w:tc>
      </w:tr>
      <w:tr w:rsidR="0089626C" w:rsidRPr="00581594" w:rsidTr="005F46A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581594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Location et entretien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134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53%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54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55%</w:t>
            </w:r>
          </w:p>
        </w:tc>
      </w:tr>
      <w:tr w:rsidR="0089626C" w:rsidRPr="00581594" w:rsidTr="005F46A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581594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Matériels et fournitures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71%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79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21%</w:t>
            </w:r>
          </w:p>
        </w:tc>
      </w:tr>
      <w:tr w:rsidR="0089626C" w:rsidRPr="00581594" w:rsidTr="005F46A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581594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Achats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–</w:t>
            </w:r>
            <w:r w:rsidR="0089626C" w:rsidRPr="00581594">
              <w:rPr>
                <w:szCs w:val="22"/>
                <w:lang w:val="en-US" w:eastAsia="zh-CN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–</w:t>
            </w:r>
            <w:r w:rsidR="0089626C"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50%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140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168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–</w:t>
            </w:r>
            <w:r w:rsidR="0089626C"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–</w:t>
            </w:r>
            <w:r w:rsidR="0089626C"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20%</w:t>
            </w:r>
          </w:p>
        </w:tc>
      </w:tr>
      <w:tr w:rsidR="0089626C" w:rsidRPr="00581594" w:rsidTr="005F46A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581594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Services publics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7%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168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171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–</w:t>
            </w:r>
            <w:r w:rsidR="0089626C"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–</w:t>
            </w:r>
            <w:r w:rsidR="0089626C"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2%</w:t>
            </w:r>
          </w:p>
        </w:tc>
      </w:tr>
      <w:tr w:rsidR="0089626C" w:rsidRPr="00581594" w:rsidTr="005F46A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581594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Divers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186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83%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23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–</w:t>
            </w:r>
            <w:r w:rsidR="0089626C"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–</w:t>
            </w:r>
            <w:r w:rsidR="0089626C"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14%</w:t>
            </w:r>
          </w:p>
        </w:tc>
      </w:tr>
      <w:tr w:rsidR="0089626C" w:rsidRPr="00581594" w:rsidTr="005F46A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581594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 </w:t>
            </w:r>
          </w:p>
        </w:tc>
      </w:tr>
      <w:tr w:rsidR="0089626C" w:rsidRPr="00581594" w:rsidTr="005F46A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581594">
            <w:pPr>
              <w:pStyle w:val="Tabletext"/>
              <w:keepNext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 xml:space="preserve">26 </w:t>
            </w:r>
            <w:bookmarkStart w:id="0" w:name="_GoBack"/>
            <w:bookmarkEnd w:id="0"/>
            <w:r w:rsidR="0089626C" w:rsidRPr="00581594">
              <w:rPr>
                <w:szCs w:val="22"/>
                <w:lang w:val="en-US"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 xml:space="preserve">26 </w:t>
            </w:r>
            <w:r w:rsidR="0089626C" w:rsidRPr="00581594">
              <w:rPr>
                <w:szCs w:val="22"/>
                <w:lang w:val="en-US" w:eastAsia="zh-CN"/>
              </w:rPr>
              <w:t>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–</w:t>
            </w:r>
            <w:r w:rsidR="0089626C" w:rsidRPr="00581594">
              <w:rPr>
                <w:szCs w:val="22"/>
                <w:lang w:val="en-US" w:eastAsia="zh-CN"/>
              </w:rPr>
              <w:t>770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–</w:t>
            </w:r>
            <w:r w:rsidR="0089626C" w:rsidRPr="00581594">
              <w:rPr>
                <w:szCs w:val="22"/>
                <w:lang w:val="en-US" w:eastAsia="zh-CN"/>
              </w:rPr>
              <w:t>3%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 xml:space="preserve">25 </w:t>
            </w:r>
            <w:r w:rsidR="0089626C" w:rsidRPr="00581594">
              <w:rPr>
                <w:szCs w:val="22"/>
                <w:lang w:val="en-US" w:eastAsia="zh-CN"/>
              </w:rPr>
              <w:t>529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581594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 xml:space="preserve">24 </w:t>
            </w:r>
            <w:r w:rsidR="0089626C" w:rsidRPr="00581594">
              <w:rPr>
                <w:szCs w:val="22"/>
                <w:lang w:val="en-US" w:eastAsia="zh-CN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szCs w:val="22"/>
                <w:lang w:val="en-US" w:eastAsia="zh-CN"/>
              </w:rPr>
            </w:pPr>
            <w:r w:rsidRPr="00581594">
              <w:rPr>
                <w:szCs w:val="22"/>
                <w:lang w:val="en-US" w:eastAsia="zh-CN"/>
              </w:rPr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6C" w:rsidRPr="00581594" w:rsidRDefault="0089626C" w:rsidP="00FF4C39">
            <w:pPr>
              <w:pStyle w:val="Tabletext"/>
              <w:keepNext/>
              <w:jc w:val="right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581594">
              <w:rPr>
                <w:rFonts w:asciiTheme="majorBidi" w:hAnsiTheme="majorBidi" w:cstheme="majorBidi"/>
                <w:szCs w:val="22"/>
                <w:lang w:val="en-US" w:eastAsia="zh-CN"/>
              </w:rPr>
              <w:t>3%</w:t>
            </w:r>
          </w:p>
        </w:tc>
      </w:tr>
    </w:tbl>
    <w:p w:rsidR="003818B6" w:rsidRDefault="003818B6" w:rsidP="0032202E">
      <w:pPr>
        <w:pStyle w:val="Reasons"/>
      </w:pPr>
    </w:p>
    <w:p w:rsidR="003818B6" w:rsidRDefault="003818B6">
      <w:pPr>
        <w:jc w:val="center"/>
      </w:pPr>
      <w:r>
        <w:t>______________</w:t>
      </w:r>
    </w:p>
    <w:sectPr w:rsidR="003818B6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770" w:rsidRDefault="00A85770">
      <w:pPr>
        <w:spacing w:before="0"/>
      </w:pPr>
      <w:r>
        <w:separator/>
      </w:r>
    </w:p>
  </w:endnote>
  <w:endnote w:type="continuationSeparator" w:id="0">
    <w:p w:rsidR="00A85770" w:rsidRDefault="00A857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70" w:rsidRDefault="00A8577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85770" w:rsidRPr="004B0579" w:rsidRDefault="00A85770">
    <w:pPr>
      <w:ind w:right="360"/>
      <w:rPr>
        <w:lang w:val="fr-FR"/>
      </w:rPr>
    </w:pPr>
    <w:r>
      <w:fldChar w:fldCharType="begin"/>
    </w:r>
    <w:r w:rsidRPr="004B0579">
      <w:rPr>
        <w:lang w:val="fr-FR"/>
      </w:rPr>
      <w:instrText xml:space="preserve"> FILENAME \p  \* MERGEFORMAT </w:instrText>
    </w:r>
    <w:r>
      <w:fldChar w:fldCharType="separate"/>
    </w:r>
    <w:r w:rsidR="004B0579" w:rsidRPr="004B0579">
      <w:rPr>
        <w:noProof/>
        <w:lang w:val="fr-FR"/>
      </w:rPr>
      <w:t>P:\FRA\ITU-T\CONF-T\WTSA16\000\029F.docx</w:t>
    </w:r>
    <w:r>
      <w:fldChar w:fldCharType="end"/>
    </w:r>
    <w:r w:rsidRPr="004B0579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5120">
      <w:rPr>
        <w:noProof/>
      </w:rPr>
      <w:t>19.10.16</w:t>
    </w:r>
    <w:r>
      <w:fldChar w:fldCharType="end"/>
    </w:r>
    <w:r w:rsidRPr="004B0579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0579">
      <w:rPr>
        <w:noProof/>
      </w:rPr>
      <w:t>19.10.16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70" w:rsidRPr="00EC0F14" w:rsidRDefault="00A85770" w:rsidP="00E15713">
    <w:pPr>
      <w:pStyle w:val="Footer"/>
      <w:rPr>
        <w:lang w:val="fr-CH"/>
      </w:rPr>
    </w:pPr>
    <w:r>
      <w:fldChar w:fldCharType="begin"/>
    </w:r>
    <w:r w:rsidRPr="00EC0F14">
      <w:rPr>
        <w:lang w:val="fr-CH"/>
      </w:rPr>
      <w:instrText xml:space="preserve"> FILENAME \p  \* MERGEFORMAT </w:instrText>
    </w:r>
    <w:r>
      <w:fldChar w:fldCharType="separate"/>
    </w:r>
    <w:r w:rsidR="004B0579">
      <w:rPr>
        <w:lang w:val="fr-CH"/>
      </w:rPr>
      <w:t>P:\FRA\ITU-T\CONF-T\WTSA16\000\029F.docx</w:t>
    </w:r>
    <w:r>
      <w:fldChar w:fldCharType="end"/>
    </w:r>
    <w:r w:rsidRPr="00EC0F14">
      <w:rPr>
        <w:lang w:val="fr-CH"/>
      </w:rPr>
      <w:t xml:space="preserve"> (400258)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70" w:rsidRPr="004B0579" w:rsidRDefault="00A85770" w:rsidP="00E15713">
    <w:pPr>
      <w:pStyle w:val="Footer"/>
      <w:rPr>
        <w:lang w:val="fr-FR"/>
      </w:rPr>
    </w:pPr>
    <w:r>
      <w:fldChar w:fldCharType="begin"/>
    </w:r>
    <w:r w:rsidRPr="004B0579">
      <w:rPr>
        <w:lang w:val="fr-FR"/>
      </w:rPr>
      <w:instrText xml:space="preserve"> FILENAME \p  \* MERGEFORMAT </w:instrText>
    </w:r>
    <w:r>
      <w:fldChar w:fldCharType="separate"/>
    </w:r>
    <w:r w:rsidR="004B0579" w:rsidRPr="004B0579">
      <w:rPr>
        <w:lang w:val="fr-FR"/>
      </w:rPr>
      <w:t>P:\FRA\ITU-T\CONF-T\WTSA16\000\029F.docx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770" w:rsidRDefault="00A85770">
      <w:pPr>
        <w:spacing w:before="0"/>
      </w:pPr>
      <w:r>
        <w:separator/>
      </w:r>
    </w:p>
  </w:footnote>
  <w:footnote w:type="continuationSeparator" w:id="0">
    <w:p w:rsidR="00A85770" w:rsidRDefault="00A857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70" w:rsidRDefault="00A85770" w:rsidP="00E1571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A3B2B">
      <w:rPr>
        <w:noProof/>
      </w:rPr>
      <w:t>5</w:t>
    </w:r>
    <w:r>
      <w:fldChar w:fldCharType="end"/>
    </w:r>
  </w:p>
  <w:p w:rsidR="00A85770" w:rsidRPr="00C72D5C" w:rsidRDefault="00A85770" w:rsidP="00E15713">
    <w:pPr>
      <w:pStyle w:val="Header"/>
    </w:pPr>
    <w:r>
      <w:t>WTSA16/29-F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3CB5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389D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5EAA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024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3CE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103E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189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786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CC9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CF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A54635B"/>
    <w:multiLevelType w:val="hybridMultilevel"/>
    <w:tmpl w:val="DB9220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9A7D5C"/>
    <w:multiLevelType w:val="hybridMultilevel"/>
    <w:tmpl w:val="15408792"/>
    <w:lvl w:ilvl="0" w:tplc="981E33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AEE9D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6CE0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A889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3A86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D3E0A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5A8F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026B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E697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152B6A"/>
    <w:multiLevelType w:val="hybridMultilevel"/>
    <w:tmpl w:val="5734E7F8"/>
    <w:lvl w:ilvl="0" w:tplc="04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4" w15:restartNumberingAfterBreak="0">
    <w:nsid w:val="5E9C4422"/>
    <w:multiLevelType w:val="hybridMultilevel"/>
    <w:tmpl w:val="5ED815BC"/>
    <w:lvl w:ilvl="0" w:tplc="EC5046F6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B06A779C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6ECA56A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40D20C08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DEDE7F18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4D924DDA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B0E9B34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AB8CC820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F42E0DC0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77EC6AA5"/>
    <w:multiLevelType w:val="hybridMultilevel"/>
    <w:tmpl w:val="1E9CB292"/>
    <w:lvl w:ilvl="0" w:tplc="4D7C15DC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316DCB8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3FB4446E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968CE56E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41DA9878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9B70B9EA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E6FE2F26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293C5100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0AE29A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76"/>
    <w:rsid w:val="00006A6B"/>
    <w:rsid w:val="00011E1D"/>
    <w:rsid w:val="000375A2"/>
    <w:rsid w:val="000B4EBD"/>
    <w:rsid w:val="00114851"/>
    <w:rsid w:val="0014692D"/>
    <w:rsid w:val="00153206"/>
    <w:rsid w:val="00174176"/>
    <w:rsid w:val="00195120"/>
    <w:rsid w:val="001B7E4E"/>
    <w:rsid w:val="001C672B"/>
    <w:rsid w:val="0021478E"/>
    <w:rsid w:val="00261725"/>
    <w:rsid w:val="002D2173"/>
    <w:rsid w:val="002E5913"/>
    <w:rsid w:val="00364C57"/>
    <w:rsid w:val="00365F49"/>
    <w:rsid w:val="00380227"/>
    <w:rsid w:val="003818B6"/>
    <w:rsid w:val="003A436B"/>
    <w:rsid w:val="003F7C5A"/>
    <w:rsid w:val="0040780C"/>
    <w:rsid w:val="0043098C"/>
    <w:rsid w:val="00435EFC"/>
    <w:rsid w:val="00474095"/>
    <w:rsid w:val="004A42FF"/>
    <w:rsid w:val="004B0579"/>
    <w:rsid w:val="004B2CE2"/>
    <w:rsid w:val="004C335E"/>
    <w:rsid w:val="004E3485"/>
    <w:rsid w:val="004E4C1B"/>
    <w:rsid w:val="004F2CC7"/>
    <w:rsid w:val="00500721"/>
    <w:rsid w:val="005252A1"/>
    <w:rsid w:val="00567CD7"/>
    <w:rsid w:val="00581594"/>
    <w:rsid w:val="0058460C"/>
    <w:rsid w:val="00584F95"/>
    <w:rsid w:val="005A2252"/>
    <w:rsid w:val="005A3B2B"/>
    <w:rsid w:val="005E2275"/>
    <w:rsid w:val="005F35D0"/>
    <w:rsid w:val="005F46AB"/>
    <w:rsid w:val="00602B87"/>
    <w:rsid w:val="0063285F"/>
    <w:rsid w:val="0065411F"/>
    <w:rsid w:val="006605D0"/>
    <w:rsid w:val="006C1F82"/>
    <w:rsid w:val="006C5EAB"/>
    <w:rsid w:val="006D65B2"/>
    <w:rsid w:val="007177BA"/>
    <w:rsid w:val="007231B2"/>
    <w:rsid w:val="00732B2E"/>
    <w:rsid w:val="00794908"/>
    <w:rsid w:val="007C0E01"/>
    <w:rsid w:val="007E6473"/>
    <w:rsid w:val="007E6D57"/>
    <w:rsid w:val="00817387"/>
    <w:rsid w:val="00833145"/>
    <w:rsid w:val="00841E12"/>
    <w:rsid w:val="008444FE"/>
    <w:rsid w:val="008558B8"/>
    <w:rsid w:val="0089626C"/>
    <w:rsid w:val="008B4DA9"/>
    <w:rsid w:val="008C6038"/>
    <w:rsid w:val="008F358E"/>
    <w:rsid w:val="00906205"/>
    <w:rsid w:val="00926EB6"/>
    <w:rsid w:val="0094346E"/>
    <w:rsid w:val="00961D95"/>
    <w:rsid w:val="00991EBE"/>
    <w:rsid w:val="009A06BA"/>
    <w:rsid w:val="009B205E"/>
    <w:rsid w:val="00A15D3B"/>
    <w:rsid w:val="00A85770"/>
    <w:rsid w:val="00AD508D"/>
    <w:rsid w:val="00B0612A"/>
    <w:rsid w:val="00B10788"/>
    <w:rsid w:val="00B17F46"/>
    <w:rsid w:val="00B83236"/>
    <w:rsid w:val="00B87F72"/>
    <w:rsid w:val="00B933AB"/>
    <w:rsid w:val="00C009B3"/>
    <w:rsid w:val="00CB1CC5"/>
    <w:rsid w:val="00CC4D64"/>
    <w:rsid w:val="00CD1B87"/>
    <w:rsid w:val="00CD63B9"/>
    <w:rsid w:val="00D1668E"/>
    <w:rsid w:val="00D4474A"/>
    <w:rsid w:val="00D468E0"/>
    <w:rsid w:val="00D606BA"/>
    <w:rsid w:val="00D908D5"/>
    <w:rsid w:val="00D95D9C"/>
    <w:rsid w:val="00DA5D63"/>
    <w:rsid w:val="00DC1C54"/>
    <w:rsid w:val="00DC47BD"/>
    <w:rsid w:val="00DE6599"/>
    <w:rsid w:val="00E15713"/>
    <w:rsid w:val="00EC0F14"/>
    <w:rsid w:val="00ED0CA6"/>
    <w:rsid w:val="00ED75B4"/>
    <w:rsid w:val="00F054B2"/>
    <w:rsid w:val="00F20811"/>
    <w:rsid w:val="00F41092"/>
    <w:rsid w:val="00F5795B"/>
    <w:rsid w:val="00F74C14"/>
    <w:rsid w:val="00F93AFD"/>
    <w:rsid w:val="00FC0C0F"/>
    <w:rsid w:val="00FC37F1"/>
    <w:rsid w:val="00FE3498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45AE6D-30F1-4722-8565-5EBCBBBE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_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paragraph" w:styleId="ListParagraph">
    <w:name w:val="List Paragraph"/>
    <w:basedOn w:val="Normal"/>
    <w:uiPriority w:val="34"/>
    <w:rsid w:val="00D908D5"/>
    <w:pPr>
      <w:ind w:left="720"/>
      <w:contextualSpacing/>
    </w:pPr>
  </w:style>
  <w:style w:type="table" w:styleId="TableGrid">
    <w:name w:val="Table Grid"/>
    <w:basedOn w:val="TableNormal"/>
    <w:rsid w:val="005F3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le">
    <w:name w:val="Tabble"/>
    <w:basedOn w:val="Normal"/>
    <w:rsid w:val="004E348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color w:val="000000"/>
      <w:sz w:val="22"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B7397D" w:rsidRDefault="00DE363B" w:rsidP="00DE363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oNotTrackMov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3B"/>
    <w:rsid w:val="005538E3"/>
    <w:rsid w:val="00B7397D"/>
    <w:rsid w:val="00DE363B"/>
    <w:rsid w:val="00F1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024d668-0080-4fdd-84dc-31b0e2f14e5a" targetNamespace="http://schemas.microsoft.com/office/2006/metadata/properties" ma:root="true" ma:fieldsID="d41af5c836d734370eb92e7ee5f83852" ns2:_="" ns3:_="">
    <xsd:import namespace="996b2e75-67fd-4955-a3b0-5ab9934cb50b"/>
    <xsd:import namespace="2024d668-0080-4fdd-84dc-31b0e2f14e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4d668-0080-4fdd-84dc-31b0e2f14e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024d668-0080-4fdd-84dc-31b0e2f14e5a">Documents Proposals Manager (DPM)</DPM_x0020_Author>
    <DPM_x0020_File_x0020_name xmlns="2024d668-0080-4fdd-84dc-31b0e2f14e5a">T13-WTSA.16-C-0029!!MSW-E</DPM_x0020_File_x0020_name>
    <DPM_x0020_Version xmlns="2024d668-0080-4fdd-84dc-31b0e2f14e5a">DPM_v2016.10.17.1_prod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024d668-0080-4fdd-84dc-31b0e2f14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024d668-0080-4fdd-84dc-31b0e2f14e5a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2DF0E7-521F-4088-9994-D9C6CD12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1418</Words>
  <Characters>7107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T13-WTSA.16-C-0029!!MSW-E</vt:lpstr>
    </vt:vector>
  </TitlesOfParts>
  <Manager>General Secretariat - Pool</Manager>
  <Company>International Telecommunication Union (ITU)</Company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T13-WTSA.16-C-0029!!MSW-E</dc:title>
  <dc:subject>World Telecommunication Standardization Assembly</dc:subject>
  <dc:creator>Documents Proposals Manager (DPM)</dc:creator>
  <cp:keywords>DPM_v2016.10.17.1_prod</cp:keywords>
  <dc:description>Template used by DPM and CPI for the WTSA-16</dc:description>
  <cp:lastModifiedBy>Haari, Laetitia</cp:lastModifiedBy>
  <cp:revision>29</cp:revision>
  <cp:lastPrinted>2016-10-19T10:15:00Z</cp:lastPrinted>
  <dcterms:created xsi:type="dcterms:W3CDTF">2016-10-18T13:53:00Z</dcterms:created>
  <dcterms:modified xsi:type="dcterms:W3CDTF">2016-10-19T11:56:00Z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author">
    <vt:lpwstr/>
  </property>
  <property fmtid="{D5CDD505-2E9C-101B-9397-08002B2CF9AE}" pid="3" name="Docbluepink">
    <vt:lpwstr/>
  </property>
  <property fmtid="{D5CDD505-2E9C-101B-9397-08002B2CF9AE}" pid="4" name="Docdate">
    <vt:lpwstr/>
  </property>
  <property fmtid="{D5CDD505-2E9C-101B-9397-08002B2CF9AE}" pid="5" name="Docdest">
    <vt:lpwstr/>
  </property>
  <property fmtid="{D5CDD505-2E9C-101B-9397-08002B2CF9AE}" pid="6" name="Docnum">
    <vt:lpwstr>WTSA16.dotx</vt:lpwstr>
  </property>
  <property fmtid="{D5CDD505-2E9C-101B-9397-08002B2CF9AE}" pid="7" name="Docorlang">
    <vt:lpwstr/>
  </property>
  <property fmtid="{D5CDD505-2E9C-101B-9397-08002B2CF9AE}" pid="8" name="Header">
    <vt:lpwstr>RR</vt:lpwstr>
  </property>
</Properties>
</file>