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434AB1" w14:paraId="57D9300C" w14:textId="77777777" w:rsidTr="00530525">
        <w:trPr>
          <w:cantSplit/>
        </w:trPr>
        <w:tc>
          <w:tcPr>
            <w:tcW w:w="1382" w:type="dxa"/>
            <w:vAlign w:val="center"/>
          </w:tcPr>
          <w:p w14:paraId="2E393E97" w14:textId="77777777" w:rsidR="00CF1E9D" w:rsidRPr="00434AB1" w:rsidRDefault="00CF1E9D" w:rsidP="006F2F9E">
            <w:pPr>
              <w:rPr>
                <w:rFonts w:ascii="Verdana" w:hAnsi="Verdana" w:cs="Times New Roman Bold"/>
                <w:b/>
                <w:bCs/>
                <w:sz w:val="22"/>
                <w:szCs w:val="22"/>
                <w:lang w:val="fr-FR"/>
              </w:rPr>
            </w:pPr>
            <w:r w:rsidRPr="00434AB1">
              <w:rPr>
                <w:noProof/>
                <w:lang w:eastAsia="zh-CN"/>
              </w:rPr>
              <w:drawing>
                <wp:inline distT="0" distB="0" distL="0" distR="0" wp14:anchorId="2F328486" wp14:editId="4012C66C">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14:paraId="6522F621" w14:textId="77777777" w:rsidR="00CF1E9D" w:rsidRPr="00434AB1" w:rsidRDefault="001D581B" w:rsidP="006F2F9E">
            <w:pPr>
              <w:rPr>
                <w:rFonts w:ascii="Verdana" w:hAnsi="Verdana" w:cs="Times New Roman Bold"/>
                <w:b/>
                <w:bCs/>
                <w:sz w:val="22"/>
                <w:szCs w:val="22"/>
                <w:lang w:val="fr-FR"/>
              </w:rPr>
            </w:pPr>
            <w:r w:rsidRPr="00434AB1">
              <w:rPr>
                <w:rFonts w:ascii="Verdana" w:hAnsi="Verdana" w:cs="Times New Roman Bold"/>
                <w:b/>
                <w:bCs/>
                <w:szCs w:val="24"/>
                <w:lang w:val="fr-FR"/>
              </w:rPr>
              <w:t xml:space="preserve">Assemblée mondiale de normalisation </w:t>
            </w:r>
            <w:r w:rsidR="00C26BA2" w:rsidRPr="00434AB1">
              <w:rPr>
                <w:rFonts w:ascii="Verdana" w:hAnsi="Verdana" w:cs="Times New Roman Bold"/>
                <w:b/>
                <w:bCs/>
                <w:szCs w:val="24"/>
                <w:lang w:val="fr-FR"/>
              </w:rPr>
              <w:br/>
            </w:r>
            <w:r w:rsidRPr="00434AB1">
              <w:rPr>
                <w:rFonts w:ascii="Verdana" w:hAnsi="Verdana" w:cs="Times New Roman Bold"/>
                <w:b/>
                <w:bCs/>
                <w:szCs w:val="24"/>
                <w:lang w:val="fr-FR"/>
              </w:rPr>
              <w:t xml:space="preserve">des télécommunications </w:t>
            </w:r>
            <w:r w:rsidR="00CF1E9D" w:rsidRPr="00434AB1">
              <w:rPr>
                <w:rFonts w:ascii="Verdana" w:hAnsi="Verdana" w:cs="Times New Roman Bold"/>
                <w:b/>
                <w:bCs/>
                <w:szCs w:val="24"/>
                <w:lang w:val="fr-FR"/>
              </w:rPr>
              <w:t>(</w:t>
            </w:r>
            <w:r w:rsidRPr="00434AB1">
              <w:rPr>
                <w:rFonts w:ascii="Verdana" w:hAnsi="Verdana" w:cs="Times New Roman Bold"/>
                <w:b/>
                <w:bCs/>
                <w:szCs w:val="24"/>
                <w:lang w:val="fr-FR"/>
              </w:rPr>
              <w:t>AMNT</w:t>
            </w:r>
            <w:r w:rsidR="00CF1E9D" w:rsidRPr="00434AB1">
              <w:rPr>
                <w:rFonts w:ascii="Verdana" w:hAnsi="Verdana" w:cs="Times New Roman Bold"/>
                <w:b/>
                <w:bCs/>
                <w:szCs w:val="24"/>
                <w:lang w:val="fr-FR"/>
              </w:rPr>
              <w:t>-16</w:t>
            </w:r>
            <w:proofErr w:type="gramStart"/>
            <w:r w:rsidR="00CF1E9D" w:rsidRPr="00434AB1">
              <w:rPr>
                <w:rFonts w:ascii="Verdana" w:hAnsi="Verdana" w:cs="Times New Roman Bold"/>
                <w:b/>
                <w:bCs/>
                <w:szCs w:val="24"/>
                <w:lang w:val="fr-FR"/>
              </w:rPr>
              <w:t>)</w:t>
            </w:r>
            <w:proofErr w:type="gramEnd"/>
            <w:r w:rsidR="00CF1E9D" w:rsidRPr="00434AB1">
              <w:rPr>
                <w:rFonts w:ascii="Verdana" w:hAnsi="Verdana" w:cs="Times New Roman Bold"/>
                <w:b/>
                <w:bCs/>
                <w:sz w:val="22"/>
                <w:szCs w:val="22"/>
                <w:lang w:val="fr-FR"/>
              </w:rPr>
              <w:br/>
            </w:r>
            <w:r w:rsidR="00CF1E9D" w:rsidRPr="00434AB1">
              <w:rPr>
                <w:rFonts w:ascii="Verdana" w:hAnsi="Verdana" w:cs="Times New Roman Bold"/>
                <w:b/>
                <w:bCs/>
                <w:sz w:val="18"/>
                <w:szCs w:val="18"/>
                <w:lang w:val="fr-FR"/>
              </w:rPr>
              <w:t xml:space="preserve">Hammamet, 25 </w:t>
            </w:r>
            <w:r w:rsidRPr="00434AB1">
              <w:rPr>
                <w:rFonts w:ascii="Verdana" w:hAnsi="Verdana" w:cs="Times New Roman Bold"/>
                <w:b/>
                <w:bCs/>
                <w:sz w:val="18"/>
                <w:szCs w:val="18"/>
                <w:lang w:val="fr-FR"/>
              </w:rPr>
              <w:t>o</w:t>
            </w:r>
            <w:r w:rsidR="00CF1E9D" w:rsidRPr="00434AB1">
              <w:rPr>
                <w:rFonts w:ascii="Verdana" w:hAnsi="Verdana" w:cs="Times New Roman Bold"/>
                <w:b/>
                <w:bCs/>
                <w:sz w:val="18"/>
                <w:szCs w:val="18"/>
                <w:lang w:val="fr-FR"/>
              </w:rPr>
              <w:t>ct</w:t>
            </w:r>
            <w:r w:rsidR="00C26BA2" w:rsidRPr="00434AB1">
              <w:rPr>
                <w:rFonts w:ascii="Verdana" w:hAnsi="Verdana" w:cs="Times New Roman Bold"/>
                <w:b/>
                <w:bCs/>
                <w:sz w:val="18"/>
                <w:szCs w:val="18"/>
                <w:lang w:val="fr-FR"/>
              </w:rPr>
              <w:t xml:space="preserve">obre </w:t>
            </w:r>
            <w:r w:rsidR="00CF1E9D" w:rsidRPr="00434AB1">
              <w:rPr>
                <w:rFonts w:ascii="Verdana" w:hAnsi="Verdana" w:cs="Times New Roman Bold"/>
                <w:b/>
                <w:bCs/>
                <w:sz w:val="18"/>
                <w:szCs w:val="18"/>
                <w:lang w:val="fr-FR"/>
              </w:rPr>
              <w:t>-</w:t>
            </w:r>
            <w:r w:rsidR="00C26BA2" w:rsidRPr="00434AB1">
              <w:rPr>
                <w:rFonts w:ascii="Verdana" w:hAnsi="Verdana" w:cs="Times New Roman Bold"/>
                <w:b/>
                <w:bCs/>
                <w:sz w:val="18"/>
                <w:szCs w:val="18"/>
                <w:lang w:val="fr-FR"/>
              </w:rPr>
              <w:t xml:space="preserve"> </w:t>
            </w:r>
            <w:r w:rsidR="00CF1E9D" w:rsidRPr="00434AB1">
              <w:rPr>
                <w:rFonts w:ascii="Verdana" w:hAnsi="Verdana" w:cs="Times New Roman Bold"/>
                <w:b/>
                <w:bCs/>
                <w:sz w:val="18"/>
                <w:szCs w:val="18"/>
                <w:lang w:val="fr-FR"/>
              </w:rPr>
              <w:t xml:space="preserve">3 </w:t>
            </w:r>
            <w:r w:rsidRPr="00434AB1">
              <w:rPr>
                <w:rFonts w:ascii="Verdana" w:hAnsi="Verdana" w:cs="Times New Roman Bold"/>
                <w:b/>
                <w:bCs/>
                <w:sz w:val="18"/>
                <w:szCs w:val="18"/>
                <w:lang w:val="fr-FR"/>
              </w:rPr>
              <w:t>n</w:t>
            </w:r>
            <w:r w:rsidR="00CF1E9D" w:rsidRPr="00434AB1">
              <w:rPr>
                <w:rFonts w:ascii="Verdana" w:hAnsi="Verdana" w:cs="Times New Roman Bold"/>
                <w:b/>
                <w:bCs/>
                <w:sz w:val="18"/>
                <w:szCs w:val="18"/>
                <w:lang w:val="fr-FR"/>
              </w:rPr>
              <w:t>ov</w:t>
            </w:r>
            <w:r w:rsidR="00C26BA2" w:rsidRPr="00434AB1">
              <w:rPr>
                <w:rFonts w:ascii="Verdana" w:hAnsi="Verdana" w:cs="Times New Roman Bold"/>
                <w:b/>
                <w:bCs/>
                <w:sz w:val="18"/>
                <w:szCs w:val="18"/>
                <w:lang w:val="fr-FR"/>
              </w:rPr>
              <w:t>embre</w:t>
            </w:r>
            <w:r w:rsidR="00CF1E9D" w:rsidRPr="00434AB1">
              <w:rPr>
                <w:rFonts w:ascii="Verdana" w:hAnsi="Verdana" w:cs="Times New Roman Bold"/>
                <w:b/>
                <w:bCs/>
                <w:sz w:val="18"/>
                <w:szCs w:val="18"/>
                <w:lang w:val="fr-FR"/>
              </w:rPr>
              <w:t xml:space="preserve"> 2016</w:t>
            </w:r>
          </w:p>
        </w:tc>
        <w:tc>
          <w:tcPr>
            <w:tcW w:w="2440" w:type="dxa"/>
            <w:vAlign w:val="center"/>
          </w:tcPr>
          <w:p w14:paraId="09493093" w14:textId="77777777" w:rsidR="00CF1E9D" w:rsidRPr="00434AB1" w:rsidRDefault="00CF1E9D" w:rsidP="004671FB">
            <w:pPr>
              <w:spacing w:before="0" w:line="360" w:lineRule="auto"/>
              <w:jc w:val="right"/>
              <w:rPr>
                <w:lang w:val="fr-FR"/>
              </w:rPr>
            </w:pPr>
            <w:r w:rsidRPr="00434AB1">
              <w:rPr>
                <w:noProof/>
                <w:lang w:eastAsia="zh-CN"/>
              </w:rPr>
              <w:drawing>
                <wp:inline distT="0" distB="0" distL="0" distR="0" wp14:anchorId="2B52EA7D" wp14:editId="26FA7B4E">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434AB1" w14:paraId="7DEF77FB" w14:textId="77777777" w:rsidTr="00530525">
        <w:trPr>
          <w:cantSplit/>
        </w:trPr>
        <w:tc>
          <w:tcPr>
            <w:tcW w:w="6804" w:type="dxa"/>
            <w:gridSpan w:val="2"/>
            <w:tcBorders>
              <w:bottom w:val="single" w:sz="12" w:space="0" w:color="auto"/>
            </w:tcBorders>
          </w:tcPr>
          <w:p w14:paraId="4215227D" w14:textId="77777777" w:rsidR="00595780" w:rsidRPr="00434AB1" w:rsidRDefault="00595780" w:rsidP="006F2F9E">
            <w:pPr>
              <w:spacing w:before="0"/>
              <w:rPr>
                <w:lang w:val="fr-FR"/>
              </w:rPr>
            </w:pPr>
          </w:p>
        </w:tc>
        <w:tc>
          <w:tcPr>
            <w:tcW w:w="3007" w:type="dxa"/>
            <w:gridSpan w:val="2"/>
            <w:tcBorders>
              <w:bottom w:val="single" w:sz="12" w:space="0" w:color="auto"/>
            </w:tcBorders>
          </w:tcPr>
          <w:p w14:paraId="3FD8DEFD" w14:textId="77777777" w:rsidR="00595780" w:rsidRPr="00434AB1" w:rsidRDefault="00595780" w:rsidP="004671FB">
            <w:pPr>
              <w:spacing w:before="0" w:line="360" w:lineRule="auto"/>
              <w:rPr>
                <w:lang w:val="fr-FR"/>
              </w:rPr>
            </w:pPr>
          </w:p>
        </w:tc>
      </w:tr>
      <w:tr w:rsidR="001D581B" w:rsidRPr="00434AB1" w14:paraId="725BD2DF" w14:textId="77777777" w:rsidTr="00530525">
        <w:trPr>
          <w:cantSplit/>
        </w:trPr>
        <w:tc>
          <w:tcPr>
            <w:tcW w:w="6804" w:type="dxa"/>
            <w:gridSpan w:val="2"/>
            <w:tcBorders>
              <w:top w:val="single" w:sz="12" w:space="0" w:color="auto"/>
            </w:tcBorders>
          </w:tcPr>
          <w:p w14:paraId="66DAE3D9" w14:textId="77777777" w:rsidR="00595780" w:rsidRPr="00434AB1" w:rsidRDefault="00595780" w:rsidP="006F2F9E">
            <w:pPr>
              <w:spacing w:before="0"/>
              <w:rPr>
                <w:lang w:val="fr-FR"/>
              </w:rPr>
            </w:pPr>
          </w:p>
        </w:tc>
        <w:tc>
          <w:tcPr>
            <w:tcW w:w="3007" w:type="dxa"/>
            <w:gridSpan w:val="2"/>
          </w:tcPr>
          <w:p w14:paraId="7663EBD9" w14:textId="77777777" w:rsidR="00595780" w:rsidRPr="00434AB1" w:rsidRDefault="00595780" w:rsidP="00434AB1">
            <w:pPr>
              <w:spacing w:before="0" w:line="360" w:lineRule="auto"/>
              <w:rPr>
                <w:rFonts w:ascii="Verdana" w:hAnsi="Verdana"/>
                <w:b/>
                <w:bCs/>
                <w:sz w:val="20"/>
                <w:lang w:val="fr-FR"/>
              </w:rPr>
            </w:pPr>
          </w:p>
        </w:tc>
      </w:tr>
      <w:tr w:rsidR="00C26BA2" w:rsidRPr="00434AB1" w14:paraId="24D6ACFF" w14:textId="77777777" w:rsidTr="00530525">
        <w:trPr>
          <w:cantSplit/>
        </w:trPr>
        <w:tc>
          <w:tcPr>
            <w:tcW w:w="6804" w:type="dxa"/>
            <w:gridSpan w:val="2"/>
          </w:tcPr>
          <w:p w14:paraId="47B5BCB5" w14:textId="77777777" w:rsidR="00C26BA2" w:rsidRPr="00434AB1" w:rsidRDefault="00A54708" w:rsidP="006F2F9E">
            <w:pPr>
              <w:spacing w:before="0"/>
              <w:rPr>
                <w:lang w:val="fr-FR"/>
              </w:rPr>
            </w:pPr>
            <w:r w:rsidRPr="00434AB1">
              <w:rPr>
                <w:rFonts w:ascii="Verdana" w:hAnsi="Verdana"/>
                <w:b/>
                <w:sz w:val="20"/>
                <w:lang w:val="fr-FR"/>
              </w:rPr>
              <w:t>SÉANCE PLÉNIÈRE</w:t>
            </w:r>
          </w:p>
        </w:tc>
        <w:tc>
          <w:tcPr>
            <w:tcW w:w="3007" w:type="dxa"/>
            <w:gridSpan w:val="2"/>
          </w:tcPr>
          <w:p w14:paraId="221543CC" w14:textId="77777777" w:rsidR="00C26BA2" w:rsidRPr="00434AB1" w:rsidRDefault="00A54708" w:rsidP="00434AB1">
            <w:pPr>
              <w:spacing w:before="0"/>
              <w:rPr>
                <w:rFonts w:ascii="Verdana" w:hAnsi="Verdana"/>
                <w:sz w:val="20"/>
                <w:lang w:val="fr-FR"/>
              </w:rPr>
            </w:pPr>
            <w:r w:rsidRPr="00434AB1">
              <w:rPr>
                <w:rFonts w:ascii="Verdana" w:eastAsia="Times New Roman" w:hAnsi="Verdana" w:cs="Times New Roman Bold"/>
                <w:b/>
                <w:bCs/>
                <w:sz w:val="20"/>
                <w:lang w:val="fr-FR"/>
              </w:rPr>
              <w:t>Document 27-F</w:t>
            </w:r>
          </w:p>
        </w:tc>
      </w:tr>
      <w:tr w:rsidR="001D581B" w:rsidRPr="00434AB1" w14:paraId="229E16F0" w14:textId="77777777" w:rsidTr="00530525">
        <w:trPr>
          <w:cantSplit/>
        </w:trPr>
        <w:tc>
          <w:tcPr>
            <w:tcW w:w="6804" w:type="dxa"/>
            <w:gridSpan w:val="2"/>
          </w:tcPr>
          <w:p w14:paraId="5AB77BD7" w14:textId="7FCF2C16" w:rsidR="00595780" w:rsidRPr="00434AB1" w:rsidRDefault="00595780" w:rsidP="006F2F9E">
            <w:pPr>
              <w:spacing w:before="0"/>
              <w:rPr>
                <w:lang w:val="fr-FR"/>
              </w:rPr>
            </w:pPr>
          </w:p>
        </w:tc>
        <w:tc>
          <w:tcPr>
            <w:tcW w:w="3007" w:type="dxa"/>
            <w:gridSpan w:val="2"/>
          </w:tcPr>
          <w:p w14:paraId="4C16D2B4" w14:textId="77777777" w:rsidR="00595780" w:rsidRPr="00434AB1" w:rsidRDefault="00A54708" w:rsidP="00434AB1">
            <w:pPr>
              <w:spacing w:before="0"/>
              <w:rPr>
                <w:lang w:val="fr-FR"/>
              </w:rPr>
            </w:pPr>
            <w:r w:rsidRPr="00434AB1">
              <w:rPr>
                <w:rFonts w:ascii="Verdana" w:eastAsia="Times New Roman" w:hAnsi="Verdana" w:cs="Times New Roman Bold"/>
                <w:b/>
                <w:bCs/>
                <w:sz w:val="20"/>
                <w:lang w:val="fr-FR"/>
              </w:rPr>
              <w:t>Septembre 2016</w:t>
            </w:r>
          </w:p>
        </w:tc>
      </w:tr>
      <w:tr w:rsidR="001D581B" w:rsidRPr="00434AB1" w14:paraId="50B094B8" w14:textId="77777777" w:rsidTr="00530525">
        <w:trPr>
          <w:cantSplit/>
        </w:trPr>
        <w:tc>
          <w:tcPr>
            <w:tcW w:w="6804" w:type="dxa"/>
            <w:gridSpan w:val="2"/>
          </w:tcPr>
          <w:p w14:paraId="25E2BCF9" w14:textId="77777777" w:rsidR="00595780" w:rsidRPr="00434AB1" w:rsidRDefault="00595780" w:rsidP="006F2F9E">
            <w:pPr>
              <w:spacing w:before="0"/>
              <w:rPr>
                <w:lang w:val="fr-FR"/>
              </w:rPr>
            </w:pPr>
          </w:p>
        </w:tc>
        <w:tc>
          <w:tcPr>
            <w:tcW w:w="3007" w:type="dxa"/>
            <w:gridSpan w:val="2"/>
          </w:tcPr>
          <w:p w14:paraId="06785063" w14:textId="77777777" w:rsidR="00595780" w:rsidRPr="00434AB1" w:rsidRDefault="00A54708" w:rsidP="00434AB1">
            <w:pPr>
              <w:spacing w:before="0" w:line="360" w:lineRule="auto"/>
              <w:rPr>
                <w:lang w:val="fr-FR"/>
              </w:rPr>
            </w:pPr>
            <w:r w:rsidRPr="00434AB1">
              <w:rPr>
                <w:rFonts w:ascii="Verdana" w:eastAsia="Times New Roman" w:hAnsi="Verdana" w:cs="Times New Roman Bold"/>
                <w:b/>
                <w:bCs/>
                <w:sz w:val="20"/>
                <w:lang w:val="fr-FR"/>
              </w:rPr>
              <w:t>Original: anglais</w:t>
            </w:r>
          </w:p>
        </w:tc>
      </w:tr>
      <w:tr w:rsidR="000032AD" w:rsidRPr="00434AB1" w14:paraId="1EC0647D" w14:textId="77777777" w:rsidTr="00530525">
        <w:trPr>
          <w:cantSplit/>
        </w:trPr>
        <w:tc>
          <w:tcPr>
            <w:tcW w:w="9811" w:type="dxa"/>
            <w:gridSpan w:val="4"/>
          </w:tcPr>
          <w:p w14:paraId="21463DDF" w14:textId="77777777" w:rsidR="000032AD" w:rsidRPr="00434AB1" w:rsidRDefault="000032AD" w:rsidP="006F2F9E">
            <w:pPr>
              <w:spacing w:before="0"/>
              <w:rPr>
                <w:rFonts w:ascii="Verdana" w:hAnsi="Verdana"/>
                <w:b/>
                <w:bCs/>
                <w:sz w:val="20"/>
                <w:lang w:val="fr-FR"/>
              </w:rPr>
            </w:pPr>
          </w:p>
        </w:tc>
      </w:tr>
      <w:tr w:rsidR="00595780" w:rsidRPr="00434AB1" w14:paraId="6B490AB4" w14:textId="77777777" w:rsidTr="00530525">
        <w:trPr>
          <w:cantSplit/>
        </w:trPr>
        <w:tc>
          <w:tcPr>
            <w:tcW w:w="9811" w:type="dxa"/>
            <w:gridSpan w:val="4"/>
          </w:tcPr>
          <w:p w14:paraId="55DBC608" w14:textId="77777777" w:rsidR="00595780" w:rsidRPr="00434AB1" w:rsidRDefault="005456D5" w:rsidP="006F2F9E">
            <w:pPr>
              <w:pStyle w:val="Source"/>
              <w:rPr>
                <w:lang w:val="fr-FR"/>
              </w:rPr>
            </w:pPr>
            <w:r w:rsidRPr="00434AB1">
              <w:rPr>
                <w:lang w:val="fr-FR"/>
              </w:rPr>
              <w:t>Directeur du TSB</w:t>
            </w:r>
          </w:p>
        </w:tc>
      </w:tr>
      <w:tr w:rsidR="00595780" w:rsidRPr="003B3DC9" w14:paraId="03578AA1" w14:textId="77777777" w:rsidTr="00530525">
        <w:trPr>
          <w:cantSplit/>
        </w:trPr>
        <w:tc>
          <w:tcPr>
            <w:tcW w:w="9811" w:type="dxa"/>
            <w:gridSpan w:val="4"/>
          </w:tcPr>
          <w:p w14:paraId="6C2C8783" w14:textId="2F71BAA3" w:rsidR="00595780" w:rsidRPr="00434AB1" w:rsidRDefault="005456D5" w:rsidP="00434AB1">
            <w:pPr>
              <w:pStyle w:val="Title1"/>
              <w:rPr>
                <w:lang w:val="fr-FR"/>
              </w:rPr>
            </w:pPr>
            <w:r w:rsidRPr="00434AB1">
              <w:rPr>
                <w:lang w:val="fr-FR"/>
              </w:rPr>
              <w:t>RAPPORT DU GROUPE CONS</w:t>
            </w:r>
            <w:r w:rsidR="006F2F9E" w:rsidRPr="00434AB1">
              <w:rPr>
                <w:lang w:val="fr-FR"/>
              </w:rPr>
              <w:t>ULTATIF DE LA NORMALISATION</w:t>
            </w:r>
            <w:r w:rsidR="00434AB1">
              <w:rPr>
                <w:lang w:val="fr-FR"/>
              </w:rPr>
              <w:br/>
            </w:r>
            <w:r w:rsidR="006F2F9E" w:rsidRPr="00434AB1">
              <w:rPr>
                <w:lang w:val="fr-FR"/>
              </w:rPr>
              <w:t xml:space="preserve">DES </w:t>
            </w:r>
            <w:r w:rsidR="00A11BD6" w:rsidRPr="00434AB1">
              <w:rPr>
                <w:lang w:val="fr-FR"/>
              </w:rPr>
              <w:t>TéLé</w:t>
            </w:r>
            <w:r w:rsidRPr="00434AB1">
              <w:rPr>
                <w:lang w:val="fr-FR"/>
              </w:rPr>
              <w:t>COMMUNICATIONS à L'</w:t>
            </w:r>
            <w:r w:rsidR="00AD0D49" w:rsidRPr="00434AB1">
              <w:rPr>
                <w:lang w:val="fr-FR"/>
              </w:rPr>
              <w:t>assemblée mondiale de normalisation des télécommunications (</w:t>
            </w:r>
            <w:r w:rsidRPr="00434AB1">
              <w:rPr>
                <w:lang w:val="fr-FR"/>
              </w:rPr>
              <w:t>AMNT-16</w:t>
            </w:r>
            <w:r w:rsidR="00AD0D49" w:rsidRPr="00434AB1">
              <w:rPr>
                <w:lang w:val="fr-FR"/>
              </w:rPr>
              <w:t>)</w:t>
            </w:r>
            <w:proofErr w:type="gramStart"/>
            <w:r w:rsidRPr="00434AB1">
              <w:rPr>
                <w:lang w:val="fr-FR"/>
              </w:rPr>
              <w:t>,</w:t>
            </w:r>
            <w:proofErr w:type="gramEnd"/>
            <w:r w:rsidR="00434AB1">
              <w:rPr>
                <w:lang w:val="fr-FR"/>
              </w:rPr>
              <w:br/>
            </w:r>
            <w:r w:rsidRPr="00434AB1">
              <w:rPr>
                <w:lang w:val="fr-FR"/>
              </w:rPr>
              <w:t>PARTIE IV: RAPPORT DU GCNT CONCERNant LA RÉSOLUTION 22</w:t>
            </w:r>
          </w:p>
        </w:tc>
      </w:tr>
      <w:tr w:rsidR="00595780" w:rsidRPr="003B3DC9" w14:paraId="254858FE" w14:textId="77777777" w:rsidTr="00530525">
        <w:trPr>
          <w:cantSplit/>
        </w:trPr>
        <w:tc>
          <w:tcPr>
            <w:tcW w:w="9811" w:type="dxa"/>
            <w:gridSpan w:val="4"/>
          </w:tcPr>
          <w:p w14:paraId="506DF477" w14:textId="77777777" w:rsidR="00595780" w:rsidRPr="00434AB1" w:rsidRDefault="00595780" w:rsidP="006F2F9E">
            <w:pPr>
              <w:pStyle w:val="Title2"/>
              <w:rPr>
                <w:lang w:val="fr-FR"/>
              </w:rPr>
            </w:pPr>
          </w:p>
        </w:tc>
      </w:tr>
    </w:tbl>
    <w:p w14:paraId="638AC0FE" w14:textId="77777777" w:rsidR="00E11197" w:rsidRPr="00434AB1" w:rsidRDefault="00E11197" w:rsidP="006F2F9E">
      <w:pPr>
        <w:rPr>
          <w:lang w:val="fr-FR"/>
        </w:rPr>
      </w:pPr>
    </w:p>
    <w:tbl>
      <w:tblPr>
        <w:tblW w:w="5089" w:type="pct"/>
        <w:tblLayout w:type="fixed"/>
        <w:tblLook w:val="0000" w:firstRow="0" w:lastRow="0" w:firstColumn="0" w:lastColumn="0" w:noHBand="0" w:noVBand="0"/>
      </w:tblPr>
      <w:tblGrid>
        <w:gridCol w:w="1912"/>
        <w:gridCol w:w="7899"/>
      </w:tblGrid>
      <w:tr w:rsidR="00E11197" w:rsidRPr="003B3DC9" w14:paraId="50AED48B" w14:textId="77777777" w:rsidTr="00193AD1">
        <w:trPr>
          <w:cantSplit/>
        </w:trPr>
        <w:tc>
          <w:tcPr>
            <w:tcW w:w="1951" w:type="dxa"/>
          </w:tcPr>
          <w:p w14:paraId="5D1ABD5E" w14:textId="77777777" w:rsidR="00E11197" w:rsidRPr="00434AB1" w:rsidRDefault="00E11197" w:rsidP="006F2F9E">
            <w:pPr>
              <w:rPr>
                <w:lang w:val="fr-FR"/>
              </w:rPr>
            </w:pPr>
            <w:r w:rsidRPr="00434AB1">
              <w:rPr>
                <w:b/>
                <w:bCs/>
                <w:lang w:val="fr-FR"/>
              </w:rPr>
              <w:t>Résumé:</w:t>
            </w:r>
          </w:p>
        </w:tc>
        <w:sdt>
          <w:sdtPr>
            <w:rPr>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14:paraId="65DFAAF8" w14:textId="7A6DCBB5" w:rsidR="00E11197" w:rsidRPr="00434AB1" w:rsidRDefault="00AE3D15" w:rsidP="006F2F9E">
                <w:pPr>
                  <w:rPr>
                    <w:color w:val="000000" w:themeColor="text1"/>
                    <w:lang w:val="fr-FR"/>
                  </w:rPr>
                </w:pPr>
                <w:r w:rsidRPr="00434AB1">
                  <w:rPr>
                    <w:lang w:val="fr-FR"/>
                  </w:rPr>
                  <w:t xml:space="preserve">L'AMNT-12 a confié au GCNT l'étude de questions spécifiques au sujet desquelles il peut prendre des mesures entre l'AMNT-12 et l'Assemblée suivante. </w:t>
                </w:r>
                <w:r w:rsidR="00AD0D49" w:rsidRPr="00434AB1">
                  <w:rPr>
                    <w:lang w:val="fr-FR"/>
                  </w:rPr>
                  <w:t>Le présent document contient</w:t>
                </w:r>
                <w:r w:rsidRPr="00434AB1">
                  <w:rPr>
                    <w:lang w:val="fr-FR"/>
                  </w:rPr>
                  <w:t xml:space="preserve"> le rapport que le GCNT </w:t>
                </w:r>
                <w:r w:rsidR="00AD0D49" w:rsidRPr="00434AB1">
                  <w:rPr>
                    <w:lang w:val="fr-FR"/>
                  </w:rPr>
                  <w:t>est tenu de présenter à l'AMNT-16</w:t>
                </w:r>
                <w:r w:rsidRPr="00434AB1">
                  <w:rPr>
                    <w:lang w:val="fr-FR"/>
                  </w:rPr>
                  <w:t xml:space="preserve"> en ce qui concerne les mesures qu'il a prises. Chaque titre de paragraphe renvoie aux points correspondants du décide de la Résolution 22.</w:t>
                </w:r>
              </w:p>
            </w:tc>
          </w:sdtContent>
        </w:sdt>
      </w:tr>
    </w:tbl>
    <w:p w14:paraId="5E1CBA47" w14:textId="77777777" w:rsidR="00F776DF" w:rsidRPr="00434AB1" w:rsidRDefault="00F776DF" w:rsidP="006F2F9E">
      <w:pPr>
        <w:tabs>
          <w:tab w:val="clear" w:pos="1134"/>
          <w:tab w:val="clear" w:pos="1871"/>
          <w:tab w:val="clear" w:pos="2268"/>
        </w:tabs>
        <w:overflowPunct/>
        <w:autoSpaceDE/>
        <w:autoSpaceDN/>
        <w:adjustRightInd/>
        <w:spacing w:before="0"/>
        <w:textAlignment w:val="auto"/>
        <w:rPr>
          <w:lang w:val="fr-FR"/>
        </w:rPr>
      </w:pPr>
    </w:p>
    <w:p w14:paraId="0F231135" w14:textId="77777777" w:rsidR="005456D5" w:rsidRPr="00434AB1" w:rsidRDefault="005456D5" w:rsidP="006F2F9E">
      <w:pPr>
        <w:tabs>
          <w:tab w:val="clear" w:pos="1134"/>
          <w:tab w:val="clear" w:pos="1871"/>
          <w:tab w:val="clear" w:pos="2268"/>
        </w:tabs>
        <w:overflowPunct/>
        <w:autoSpaceDE/>
        <w:autoSpaceDN/>
        <w:adjustRightInd/>
        <w:spacing w:before="0"/>
        <w:textAlignment w:val="auto"/>
        <w:rPr>
          <w:lang w:val="fr-FR"/>
        </w:rPr>
      </w:pPr>
    </w:p>
    <w:p w14:paraId="4F57E8CF" w14:textId="77777777" w:rsidR="005456D5" w:rsidRPr="00434AB1" w:rsidRDefault="005456D5" w:rsidP="006F2F9E">
      <w:pPr>
        <w:tabs>
          <w:tab w:val="clear" w:pos="1134"/>
          <w:tab w:val="clear" w:pos="1871"/>
          <w:tab w:val="clear" w:pos="2268"/>
        </w:tabs>
        <w:overflowPunct/>
        <w:autoSpaceDE/>
        <w:autoSpaceDN/>
        <w:adjustRightInd/>
        <w:spacing w:before="0"/>
        <w:textAlignment w:val="auto"/>
        <w:rPr>
          <w:lang w:val="fr-FR"/>
        </w:rPr>
      </w:pPr>
    </w:p>
    <w:p w14:paraId="7A8B1CC5" w14:textId="77777777" w:rsidR="00F776DF" w:rsidRPr="00434AB1" w:rsidRDefault="00F776DF" w:rsidP="006F2F9E">
      <w:pPr>
        <w:tabs>
          <w:tab w:val="clear" w:pos="1134"/>
          <w:tab w:val="clear" w:pos="1871"/>
          <w:tab w:val="clear" w:pos="2268"/>
        </w:tabs>
        <w:overflowPunct/>
        <w:autoSpaceDE/>
        <w:autoSpaceDN/>
        <w:adjustRightInd/>
        <w:spacing w:before="0"/>
        <w:textAlignment w:val="auto"/>
        <w:rPr>
          <w:lang w:val="fr-FR"/>
        </w:rPr>
      </w:pPr>
      <w:r w:rsidRPr="00434AB1">
        <w:rPr>
          <w:lang w:val="fr-FR"/>
        </w:rPr>
        <w:br w:type="page"/>
      </w:r>
    </w:p>
    <w:p w14:paraId="45DBAE06" w14:textId="77777777" w:rsidR="005456D5" w:rsidRPr="00434AB1" w:rsidRDefault="005456D5" w:rsidP="006F2F9E">
      <w:pPr>
        <w:pStyle w:val="enumlev1"/>
        <w:rPr>
          <w:lang w:val="fr-FR"/>
        </w:rPr>
      </w:pPr>
      <w:r w:rsidRPr="00434AB1">
        <w:rPr>
          <w:lang w:val="fr-FR"/>
        </w:rPr>
        <w:lastRenderedPageBreak/>
        <w:t>1</w:t>
      </w:r>
      <w:r w:rsidRPr="00434AB1">
        <w:rPr>
          <w:lang w:val="fr-FR"/>
        </w:rPr>
        <w:tab/>
      </w:r>
      <w:r w:rsidR="00AE3D15" w:rsidRPr="00434AB1">
        <w:rPr>
          <w:lang w:val="fr-FR"/>
        </w:rPr>
        <w:t>de confier au GCNT les questions spécifiques suivantes relevant de sa compétence entre la présente Assemblée et la prochaine pour agir dans les domaines suivants, en consultation avec le Directeur du TSB, si nécessaire</w:t>
      </w:r>
      <w:r w:rsidRPr="00434AB1">
        <w:rPr>
          <w:lang w:val="fr-FR"/>
        </w:rPr>
        <w:t>:</w:t>
      </w:r>
    </w:p>
    <w:p w14:paraId="17AFEAC8" w14:textId="77777777" w:rsidR="005456D5" w:rsidRPr="00434AB1" w:rsidRDefault="005456D5" w:rsidP="003B3DC9">
      <w:pPr>
        <w:pStyle w:val="enumlev2"/>
        <w:spacing w:before="60"/>
        <w:rPr>
          <w:lang w:val="fr-FR"/>
        </w:rPr>
      </w:pPr>
      <w:r w:rsidRPr="00434AB1">
        <w:rPr>
          <w:lang w:val="fr-FR"/>
        </w:rPr>
        <w:t>1a)</w:t>
      </w:r>
      <w:r w:rsidRPr="00434AB1">
        <w:rPr>
          <w:lang w:val="fr-FR"/>
        </w:rPr>
        <w:tab/>
      </w:r>
      <w:r w:rsidR="00AE3D15" w:rsidRPr="00434AB1">
        <w:rPr>
          <w:lang w:val="fr-FR"/>
        </w:rPr>
        <w:t>s'assurer que les lignes directrices du travail sont efficaces, souples et à jour</w:t>
      </w:r>
      <w:r w:rsidRPr="00434AB1">
        <w:rPr>
          <w:lang w:val="fr-FR"/>
        </w:rPr>
        <w:t>;</w:t>
      </w:r>
    </w:p>
    <w:p w14:paraId="52CEC2E3" w14:textId="6803E76D" w:rsidR="005456D5" w:rsidRPr="00434AB1" w:rsidRDefault="005456D5" w:rsidP="003B3DC9">
      <w:pPr>
        <w:pStyle w:val="enumlev3"/>
        <w:spacing w:before="60"/>
        <w:rPr>
          <w:lang w:val="fr-FR"/>
        </w:rPr>
      </w:pPr>
      <w:r w:rsidRPr="00434AB1">
        <w:rPr>
          <w:lang w:val="fr-FR"/>
        </w:rPr>
        <w:t>•</w:t>
      </w:r>
      <w:r w:rsidRPr="00434AB1">
        <w:rPr>
          <w:lang w:val="fr-FR"/>
        </w:rPr>
        <w:tab/>
      </w:r>
      <w:r w:rsidR="00AD0D49" w:rsidRPr="00434AB1">
        <w:rPr>
          <w:lang w:val="fr-FR"/>
        </w:rPr>
        <w:t>v</w:t>
      </w:r>
      <w:r w:rsidR="00AE79DC" w:rsidRPr="00434AB1">
        <w:rPr>
          <w:lang w:val="fr-FR"/>
        </w:rPr>
        <w:t xml:space="preserve">oir </w:t>
      </w:r>
      <w:r w:rsidR="004671FB" w:rsidRPr="00434AB1">
        <w:rPr>
          <w:lang w:val="fr-FR"/>
        </w:rPr>
        <w:t>le paragraphe</w:t>
      </w:r>
      <w:r w:rsidR="00AE79DC" w:rsidRPr="00434AB1">
        <w:rPr>
          <w:lang w:val="fr-FR"/>
        </w:rPr>
        <w:t xml:space="preserve"> 2 du </w:t>
      </w:r>
      <w:hyperlink r:id="rId10" w:history="1">
        <w:r w:rsidR="00AE79DC" w:rsidRPr="00434AB1">
          <w:rPr>
            <w:rStyle w:val="Hyperlink"/>
            <w:lang w:val="fr-FR"/>
          </w:rPr>
          <w:t>Document 24</w:t>
        </w:r>
      </w:hyperlink>
      <w:r w:rsidR="004A28DA" w:rsidRPr="00434AB1">
        <w:rPr>
          <w:lang w:val="fr-FR"/>
        </w:rPr>
        <w:t>,</w:t>
      </w:r>
      <w:r w:rsidR="00AE79DC" w:rsidRPr="00434AB1">
        <w:rPr>
          <w:lang w:val="fr-FR"/>
        </w:rPr>
        <w:t xml:space="preserve"> Rapport du GCNT</w:t>
      </w:r>
      <w:r w:rsidR="004A28DA" w:rsidRPr="00434AB1">
        <w:rPr>
          <w:lang w:val="fr-FR"/>
        </w:rPr>
        <w:t xml:space="preserve"> –</w:t>
      </w:r>
      <w:r w:rsidR="00AE79DC" w:rsidRPr="00434AB1">
        <w:rPr>
          <w:lang w:val="fr-FR"/>
        </w:rPr>
        <w:t xml:space="preserve"> Partie I</w:t>
      </w:r>
      <w:r w:rsidR="00B00A64" w:rsidRPr="00434AB1">
        <w:rPr>
          <w:lang w:val="fr-FR"/>
        </w:rPr>
        <w:t>:</w:t>
      </w:r>
      <w:r w:rsidR="00AE79DC" w:rsidRPr="00434AB1">
        <w:rPr>
          <w:lang w:val="fr-FR"/>
        </w:rPr>
        <w:t xml:space="preserve"> </w:t>
      </w:r>
      <w:r w:rsidR="00B00A64" w:rsidRPr="00434AB1">
        <w:rPr>
          <w:lang w:val="fr-FR"/>
        </w:rPr>
        <w:t>Considérations générales</w:t>
      </w:r>
      <w:r w:rsidR="00AD0D49" w:rsidRPr="00434AB1">
        <w:rPr>
          <w:lang w:val="fr-FR"/>
        </w:rPr>
        <w:t>;</w:t>
      </w:r>
    </w:p>
    <w:p w14:paraId="61175C33" w14:textId="77777777" w:rsidR="005456D5" w:rsidRPr="00434AB1" w:rsidRDefault="005456D5" w:rsidP="003B3DC9">
      <w:pPr>
        <w:pStyle w:val="enumlev2"/>
        <w:spacing w:before="60"/>
        <w:rPr>
          <w:lang w:val="fr-FR"/>
        </w:rPr>
      </w:pPr>
      <w:r w:rsidRPr="00434AB1">
        <w:rPr>
          <w:lang w:val="fr-FR"/>
        </w:rPr>
        <w:t>1b)</w:t>
      </w:r>
      <w:r w:rsidRPr="00434AB1">
        <w:rPr>
          <w:lang w:val="fr-FR"/>
        </w:rPr>
        <w:tab/>
      </w:r>
      <w:r w:rsidR="00AE3D15" w:rsidRPr="00434AB1">
        <w:rPr>
          <w:lang w:val="fr-FR"/>
        </w:rPr>
        <w:t>assumer la responsabilité des Recommandations UIT</w:t>
      </w:r>
      <w:r w:rsidR="00AE3D15" w:rsidRPr="00434AB1">
        <w:rPr>
          <w:lang w:val="fr-FR"/>
        </w:rPr>
        <w:noBreakHyphen/>
        <w:t>T de la série A (organisation du travail de l'UIT-T), et notamment celle de leur élaboration et de leur soumission pour approbation selon les procédures appropriées</w:t>
      </w:r>
      <w:r w:rsidRPr="00434AB1">
        <w:rPr>
          <w:lang w:val="fr-FR"/>
        </w:rPr>
        <w:t>;</w:t>
      </w:r>
    </w:p>
    <w:p w14:paraId="5838F348" w14:textId="07C71622" w:rsidR="005456D5" w:rsidRPr="00434AB1" w:rsidRDefault="005456D5" w:rsidP="003B3DC9">
      <w:pPr>
        <w:pStyle w:val="enumlev3"/>
        <w:spacing w:before="60"/>
        <w:rPr>
          <w:lang w:val="fr-FR"/>
        </w:rPr>
      </w:pPr>
      <w:r w:rsidRPr="00434AB1">
        <w:rPr>
          <w:lang w:val="fr-FR"/>
        </w:rPr>
        <w:t>•</w:t>
      </w:r>
      <w:r w:rsidRPr="00434AB1">
        <w:rPr>
          <w:lang w:val="fr-FR"/>
        </w:rPr>
        <w:tab/>
      </w:r>
      <w:r w:rsidR="00AD0D49" w:rsidRPr="00434AB1">
        <w:rPr>
          <w:lang w:val="fr-FR"/>
        </w:rPr>
        <w:t>v</w:t>
      </w:r>
      <w:r w:rsidR="00AE79DC" w:rsidRPr="00434AB1">
        <w:rPr>
          <w:lang w:val="fr-FR"/>
        </w:rPr>
        <w:t xml:space="preserve">oir </w:t>
      </w:r>
      <w:r w:rsidR="004671FB" w:rsidRPr="00434AB1">
        <w:rPr>
          <w:lang w:val="fr-FR"/>
        </w:rPr>
        <w:t>le paragraphe</w:t>
      </w:r>
      <w:r w:rsidRPr="00434AB1">
        <w:rPr>
          <w:lang w:val="fr-FR"/>
        </w:rPr>
        <w:t xml:space="preserve"> 2 </w:t>
      </w:r>
      <w:r w:rsidR="00AE79DC" w:rsidRPr="00434AB1">
        <w:rPr>
          <w:lang w:val="fr-FR"/>
        </w:rPr>
        <w:t xml:space="preserve">du </w:t>
      </w:r>
      <w:hyperlink r:id="rId11" w:history="1">
        <w:r w:rsidR="00AE79DC" w:rsidRPr="00434AB1">
          <w:rPr>
            <w:rStyle w:val="Hyperlink"/>
            <w:lang w:val="fr-FR"/>
          </w:rPr>
          <w:t>Document 24</w:t>
        </w:r>
      </w:hyperlink>
      <w:r w:rsidR="004A28DA" w:rsidRPr="00434AB1">
        <w:rPr>
          <w:lang w:val="fr-FR"/>
        </w:rPr>
        <w:t>, Rapport du GCNT – P</w:t>
      </w:r>
      <w:r w:rsidR="00AE79DC" w:rsidRPr="00434AB1">
        <w:rPr>
          <w:lang w:val="fr-FR"/>
        </w:rPr>
        <w:t>artie I</w:t>
      </w:r>
      <w:r w:rsidR="00B00A64" w:rsidRPr="00434AB1">
        <w:rPr>
          <w:lang w:val="fr-FR"/>
        </w:rPr>
        <w:t>: Considérations générales</w:t>
      </w:r>
      <w:r w:rsidR="00AD0D49" w:rsidRPr="00434AB1">
        <w:rPr>
          <w:lang w:val="fr-FR"/>
        </w:rPr>
        <w:t>;</w:t>
      </w:r>
      <w:r w:rsidR="00FC62D6">
        <w:rPr>
          <w:lang w:val="fr-FR"/>
        </w:rPr>
        <w:t xml:space="preserve"> </w:t>
      </w:r>
      <w:bookmarkStart w:id="0" w:name="_GoBack"/>
      <w:bookmarkEnd w:id="0"/>
    </w:p>
    <w:p w14:paraId="1BD9FA6F" w14:textId="77777777" w:rsidR="005456D5" w:rsidRPr="00434AB1" w:rsidRDefault="005456D5" w:rsidP="003B3DC9">
      <w:pPr>
        <w:pStyle w:val="enumlev2"/>
        <w:spacing w:before="60"/>
        <w:rPr>
          <w:lang w:val="fr-FR"/>
        </w:rPr>
      </w:pPr>
      <w:r w:rsidRPr="00434AB1">
        <w:rPr>
          <w:lang w:val="fr-FR"/>
        </w:rPr>
        <w:t>1c)</w:t>
      </w:r>
      <w:r w:rsidRPr="00434AB1">
        <w:rPr>
          <w:lang w:val="fr-FR"/>
        </w:rPr>
        <w:tab/>
      </w:r>
      <w:r w:rsidR="00AE3D15" w:rsidRPr="00434AB1">
        <w:rPr>
          <w:lang w:val="fr-FR"/>
        </w:rPr>
        <w:t>restructurer et créer des commissions d'études de l'UIT</w:t>
      </w:r>
      <w:r w:rsidR="00AE3D15" w:rsidRPr="00434AB1">
        <w:rPr>
          <w:lang w:val="fr-FR"/>
        </w:rPr>
        <w:noBreakHyphen/>
        <w:t>T et désigner les présidents et les vice</w:t>
      </w:r>
      <w:r w:rsidR="00AE3D15" w:rsidRPr="00434AB1">
        <w:rPr>
          <w:lang w:val="fr-FR"/>
        </w:rPr>
        <w:noBreakHyphen/>
        <w:t>présidents qui agiront jusqu'à la prochaine AMNT pour répondre à l'évolution du marché des télécommunications</w:t>
      </w:r>
      <w:r w:rsidRPr="00434AB1">
        <w:rPr>
          <w:lang w:val="fr-FR"/>
        </w:rPr>
        <w:t>;</w:t>
      </w:r>
    </w:p>
    <w:p w14:paraId="14692FAC" w14:textId="0556C044" w:rsidR="005456D5" w:rsidRPr="00434AB1" w:rsidRDefault="005456D5" w:rsidP="003B3DC9">
      <w:pPr>
        <w:pStyle w:val="enumlev3"/>
        <w:spacing w:before="60"/>
        <w:rPr>
          <w:lang w:val="fr-FR"/>
        </w:rPr>
      </w:pPr>
      <w:r w:rsidRPr="00434AB1">
        <w:rPr>
          <w:lang w:val="fr-FR"/>
        </w:rPr>
        <w:t>•</w:t>
      </w:r>
      <w:r w:rsidRPr="00434AB1">
        <w:rPr>
          <w:lang w:val="fr-FR"/>
        </w:rPr>
        <w:tab/>
      </w:r>
      <w:r w:rsidR="00AD0D49" w:rsidRPr="00434AB1">
        <w:rPr>
          <w:lang w:val="fr-FR"/>
        </w:rPr>
        <w:t>v</w:t>
      </w:r>
      <w:r w:rsidR="00177E1C" w:rsidRPr="00434AB1">
        <w:rPr>
          <w:lang w:val="fr-FR"/>
        </w:rPr>
        <w:t xml:space="preserve">oir </w:t>
      </w:r>
      <w:r w:rsidR="004671FB" w:rsidRPr="00434AB1">
        <w:rPr>
          <w:lang w:val="fr-FR"/>
        </w:rPr>
        <w:t>les paragraphes</w:t>
      </w:r>
      <w:r w:rsidR="00177E1C" w:rsidRPr="00434AB1">
        <w:rPr>
          <w:lang w:val="fr-FR"/>
        </w:rPr>
        <w:t xml:space="preserve"> 1 et 3.1 du </w:t>
      </w:r>
      <w:hyperlink r:id="rId12" w:history="1">
        <w:r w:rsidR="00177E1C" w:rsidRPr="00434AB1">
          <w:rPr>
            <w:rStyle w:val="Hyperlink"/>
            <w:lang w:val="fr-FR"/>
          </w:rPr>
          <w:t>Document 24</w:t>
        </w:r>
      </w:hyperlink>
      <w:r w:rsidR="004A28DA" w:rsidRPr="00434AB1">
        <w:rPr>
          <w:lang w:val="fr-FR"/>
        </w:rPr>
        <w:t>,</w:t>
      </w:r>
      <w:r w:rsidR="00177E1C" w:rsidRPr="00434AB1">
        <w:rPr>
          <w:lang w:val="fr-FR"/>
        </w:rPr>
        <w:t xml:space="preserve"> </w:t>
      </w:r>
      <w:r w:rsidR="004A28DA" w:rsidRPr="00434AB1">
        <w:rPr>
          <w:lang w:val="fr-FR"/>
        </w:rPr>
        <w:t>Rapport du GCNT – Partie I: Considérations générales</w:t>
      </w:r>
      <w:r w:rsidR="00AD0D49" w:rsidRPr="00434AB1">
        <w:rPr>
          <w:lang w:val="fr-FR"/>
        </w:rPr>
        <w:t>;</w:t>
      </w:r>
    </w:p>
    <w:p w14:paraId="22568791" w14:textId="77777777" w:rsidR="005456D5" w:rsidRPr="00434AB1" w:rsidRDefault="005456D5" w:rsidP="003B3DC9">
      <w:pPr>
        <w:pStyle w:val="enumlev2"/>
        <w:spacing w:before="60"/>
        <w:rPr>
          <w:lang w:val="fr-FR"/>
        </w:rPr>
      </w:pPr>
      <w:r w:rsidRPr="00434AB1">
        <w:rPr>
          <w:lang w:val="fr-FR"/>
        </w:rPr>
        <w:t>1d)</w:t>
      </w:r>
      <w:r w:rsidRPr="00434AB1">
        <w:rPr>
          <w:lang w:val="fr-FR"/>
        </w:rPr>
        <w:tab/>
      </w:r>
      <w:r w:rsidR="00AE3D15" w:rsidRPr="00434AB1">
        <w:rPr>
          <w:lang w:val="fr-FR"/>
        </w:rPr>
        <w:t>formuler des avis sur les calendriers de travail des commissions d'études pour respecter les priorités dans le domaine de la normalisation</w:t>
      </w:r>
      <w:r w:rsidRPr="00434AB1">
        <w:rPr>
          <w:lang w:val="fr-FR"/>
        </w:rPr>
        <w:t>;</w:t>
      </w:r>
    </w:p>
    <w:p w14:paraId="6C9B9459" w14:textId="3C6E7F3A" w:rsidR="005456D5" w:rsidRPr="00434AB1" w:rsidRDefault="005456D5" w:rsidP="003B3DC9">
      <w:pPr>
        <w:pStyle w:val="enumlev3"/>
        <w:spacing w:before="60"/>
        <w:rPr>
          <w:lang w:val="fr-FR"/>
        </w:rPr>
      </w:pPr>
      <w:r w:rsidRPr="00434AB1">
        <w:rPr>
          <w:lang w:val="fr-FR"/>
        </w:rPr>
        <w:t>•</w:t>
      </w:r>
      <w:r w:rsidRPr="00434AB1">
        <w:rPr>
          <w:lang w:val="fr-FR"/>
        </w:rPr>
        <w:tab/>
      </w:r>
      <w:r w:rsidR="00AD0D49" w:rsidRPr="00434AB1">
        <w:rPr>
          <w:lang w:val="fr-FR"/>
        </w:rPr>
        <w:t>à</w:t>
      </w:r>
      <w:r w:rsidR="00177E1C" w:rsidRPr="00434AB1">
        <w:rPr>
          <w:lang w:val="fr-FR"/>
        </w:rPr>
        <w:t xml:space="preserve"> chaque réunion, le GCNT a examiné et approuvé l</w:t>
      </w:r>
      <w:r w:rsidR="00A11BD6" w:rsidRPr="00434AB1">
        <w:rPr>
          <w:lang w:val="fr-FR"/>
        </w:rPr>
        <w:t>e calendrier des réunions pour d</w:t>
      </w:r>
      <w:r w:rsidR="00177E1C" w:rsidRPr="00434AB1">
        <w:rPr>
          <w:lang w:val="fr-FR"/>
        </w:rPr>
        <w:t>es commissions d'études</w:t>
      </w:r>
      <w:r w:rsidR="00570E03" w:rsidRPr="00434AB1">
        <w:rPr>
          <w:lang w:val="fr-FR"/>
        </w:rPr>
        <w:t xml:space="preserve"> et d</w:t>
      </w:r>
      <w:r w:rsidR="00177E1C" w:rsidRPr="00434AB1">
        <w:rPr>
          <w:lang w:val="fr-FR"/>
        </w:rPr>
        <w:t>es groupes de tra</w:t>
      </w:r>
      <w:r w:rsidR="00AD0D49" w:rsidRPr="00434AB1">
        <w:rPr>
          <w:lang w:val="fr-FR"/>
        </w:rPr>
        <w:t>vail pour les années</w:t>
      </w:r>
      <w:r w:rsidR="00570E03" w:rsidRPr="00434AB1">
        <w:rPr>
          <w:lang w:val="fr-FR"/>
        </w:rPr>
        <w:t xml:space="preserve"> suivantes</w:t>
      </w:r>
      <w:r w:rsidR="00AD0D49" w:rsidRPr="00434AB1">
        <w:rPr>
          <w:lang w:val="fr-FR"/>
        </w:rPr>
        <w:t>;</w:t>
      </w:r>
    </w:p>
    <w:p w14:paraId="27970FE5" w14:textId="77777777" w:rsidR="005456D5" w:rsidRPr="00434AB1" w:rsidRDefault="00AE3D15" w:rsidP="003B3DC9">
      <w:pPr>
        <w:pStyle w:val="enumlev2"/>
        <w:spacing w:before="60"/>
        <w:rPr>
          <w:lang w:val="fr-FR"/>
        </w:rPr>
      </w:pPr>
      <w:r w:rsidRPr="00434AB1">
        <w:rPr>
          <w:lang w:val="fr-FR"/>
        </w:rPr>
        <w:t>1e)</w:t>
      </w:r>
      <w:r w:rsidR="005456D5" w:rsidRPr="00434AB1">
        <w:rPr>
          <w:lang w:val="fr-FR"/>
        </w:rPr>
        <w:tab/>
      </w:r>
      <w:r w:rsidRPr="00434AB1">
        <w:rPr>
          <w:lang w:val="fr-FR"/>
        </w:rPr>
        <w:t>tout en reconnaissant que les commissions d'études sont responsables au premier chef de la réalisation des activités de l'UIT-T, créer, dissoudre ou maintenir d'autres groupes, y compris des groupes spécialisés, en désigner les présidents et vice</w:t>
      </w:r>
      <w:r w:rsidRPr="00434AB1">
        <w:rPr>
          <w:lang w:val="fr-FR"/>
        </w:rPr>
        <w:noBreakHyphen/>
        <w:t>présidents, en établir le mandat et ce, pour une durée définie, conformément aux numéros 191A et 191B de la Convention, afin de renforcer et d'améliorer l'efficacité des travaux de l'UIT-T et de ménager davantage de souplesse pour trouver rapidement une réponse aux questions hautement prioritaires. Ces groupes n'adoptent ni Questions ni Recommandations, mais ont un mandat précis</w:t>
      </w:r>
      <w:r w:rsidR="005456D5" w:rsidRPr="00434AB1">
        <w:rPr>
          <w:lang w:val="fr-FR"/>
        </w:rPr>
        <w:t>;</w:t>
      </w:r>
    </w:p>
    <w:p w14:paraId="69499DE1" w14:textId="25DB2980" w:rsidR="005456D5" w:rsidRPr="00434AB1" w:rsidRDefault="005456D5" w:rsidP="003B3DC9">
      <w:pPr>
        <w:pStyle w:val="enumlev3"/>
        <w:spacing w:before="60"/>
        <w:rPr>
          <w:lang w:val="fr-FR"/>
        </w:rPr>
      </w:pPr>
      <w:r w:rsidRPr="00434AB1">
        <w:rPr>
          <w:lang w:val="fr-FR"/>
        </w:rPr>
        <w:t>•</w:t>
      </w:r>
      <w:r w:rsidRPr="00434AB1">
        <w:rPr>
          <w:lang w:val="fr-FR"/>
        </w:rPr>
        <w:tab/>
      </w:r>
      <w:r w:rsidR="00AD0D49" w:rsidRPr="00434AB1">
        <w:rPr>
          <w:lang w:val="fr-FR"/>
        </w:rPr>
        <w:t>v</w:t>
      </w:r>
      <w:r w:rsidR="00A94CFF" w:rsidRPr="00434AB1">
        <w:rPr>
          <w:lang w:val="fr-FR"/>
        </w:rPr>
        <w:t xml:space="preserve">oir </w:t>
      </w:r>
      <w:r w:rsidR="004671FB" w:rsidRPr="00434AB1">
        <w:rPr>
          <w:lang w:val="fr-FR"/>
        </w:rPr>
        <w:t>le paragraphe</w:t>
      </w:r>
      <w:r w:rsidR="00A94CFF" w:rsidRPr="00434AB1">
        <w:rPr>
          <w:lang w:val="fr-FR"/>
        </w:rPr>
        <w:t xml:space="preserve"> 3 du</w:t>
      </w:r>
      <w:r w:rsidRPr="00434AB1">
        <w:rPr>
          <w:lang w:val="fr-FR"/>
        </w:rPr>
        <w:t xml:space="preserve"> </w:t>
      </w:r>
      <w:hyperlink r:id="rId13" w:history="1">
        <w:r w:rsidRPr="00434AB1">
          <w:rPr>
            <w:rStyle w:val="Hyperlink"/>
            <w:lang w:val="fr-FR"/>
          </w:rPr>
          <w:t>Doc</w:t>
        </w:r>
        <w:r w:rsidR="00A94CFF" w:rsidRPr="00434AB1">
          <w:rPr>
            <w:rStyle w:val="Hyperlink"/>
            <w:lang w:val="fr-FR"/>
          </w:rPr>
          <w:t>ument</w:t>
        </w:r>
        <w:r w:rsidR="00557788" w:rsidRPr="00434AB1">
          <w:rPr>
            <w:rStyle w:val="Hyperlink"/>
            <w:lang w:val="fr-FR"/>
          </w:rPr>
          <w:t xml:space="preserve"> </w:t>
        </w:r>
        <w:r w:rsidRPr="00434AB1">
          <w:rPr>
            <w:rStyle w:val="Hyperlink"/>
            <w:lang w:val="fr-FR"/>
          </w:rPr>
          <w:t>24</w:t>
        </w:r>
      </w:hyperlink>
      <w:r w:rsidR="004A28DA" w:rsidRPr="00434AB1">
        <w:rPr>
          <w:lang w:val="fr-FR"/>
        </w:rPr>
        <w:t>,</w:t>
      </w:r>
      <w:r w:rsidRPr="00434AB1">
        <w:rPr>
          <w:lang w:val="fr-FR"/>
        </w:rPr>
        <w:t xml:space="preserve"> </w:t>
      </w:r>
      <w:r w:rsidR="004A28DA" w:rsidRPr="00434AB1">
        <w:rPr>
          <w:lang w:val="fr-FR"/>
        </w:rPr>
        <w:t>Rapport du GCNT – Partie I: Considérations générales</w:t>
      </w:r>
      <w:r w:rsidR="00AD0D49" w:rsidRPr="00434AB1">
        <w:rPr>
          <w:lang w:val="fr-FR"/>
        </w:rPr>
        <w:t>;</w:t>
      </w:r>
    </w:p>
    <w:p w14:paraId="483AAAD6" w14:textId="77777777" w:rsidR="005456D5" w:rsidRPr="00434AB1" w:rsidRDefault="005456D5" w:rsidP="003B3DC9">
      <w:pPr>
        <w:pStyle w:val="enumlev2"/>
        <w:spacing w:before="60"/>
        <w:rPr>
          <w:lang w:val="fr-FR"/>
        </w:rPr>
      </w:pPr>
      <w:r w:rsidRPr="00434AB1">
        <w:rPr>
          <w:lang w:val="fr-FR"/>
        </w:rPr>
        <w:t>1f)</w:t>
      </w:r>
      <w:r w:rsidRPr="00434AB1">
        <w:rPr>
          <w:lang w:val="fr-FR"/>
        </w:rPr>
        <w:tab/>
      </w:r>
      <w:r w:rsidR="00AE3D15" w:rsidRPr="00434AB1">
        <w:rPr>
          <w:lang w:val="fr-FR"/>
        </w:rPr>
        <w:t>examiner les rapports et les propositions appropriées soumis par les groupes de coordination et les autres groupes, et mettre en œuvre ceux qui sont approuvés</w:t>
      </w:r>
      <w:r w:rsidRPr="00434AB1">
        <w:rPr>
          <w:lang w:val="fr-FR"/>
        </w:rPr>
        <w:t>;</w:t>
      </w:r>
    </w:p>
    <w:p w14:paraId="0DB8B561" w14:textId="500D0834" w:rsidR="005456D5" w:rsidRPr="00434AB1" w:rsidRDefault="005456D5" w:rsidP="003B3DC9">
      <w:pPr>
        <w:pStyle w:val="enumlev3"/>
        <w:spacing w:before="60"/>
        <w:rPr>
          <w:lang w:val="fr-FR"/>
        </w:rPr>
      </w:pPr>
      <w:r w:rsidRPr="00434AB1">
        <w:rPr>
          <w:lang w:val="fr-FR"/>
        </w:rPr>
        <w:t>•</w:t>
      </w:r>
      <w:r w:rsidRPr="00434AB1">
        <w:rPr>
          <w:lang w:val="fr-FR"/>
        </w:rPr>
        <w:tab/>
      </w:r>
      <w:r w:rsidR="00AD0D49" w:rsidRPr="00434AB1">
        <w:rPr>
          <w:lang w:val="fr-FR"/>
        </w:rPr>
        <w:t>v</w:t>
      </w:r>
      <w:r w:rsidR="00EA764F" w:rsidRPr="00434AB1">
        <w:rPr>
          <w:lang w:val="fr-FR"/>
        </w:rPr>
        <w:t xml:space="preserve">oir </w:t>
      </w:r>
      <w:r w:rsidR="004671FB" w:rsidRPr="00434AB1">
        <w:rPr>
          <w:lang w:val="fr-FR"/>
        </w:rPr>
        <w:t>le paragraphe</w:t>
      </w:r>
      <w:r w:rsidRPr="00434AB1">
        <w:rPr>
          <w:lang w:val="fr-FR"/>
        </w:rPr>
        <w:t xml:space="preserve"> 5 </w:t>
      </w:r>
      <w:r w:rsidR="00EA764F" w:rsidRPr="00434AB1">
        <w:rPr>
          <w:lang w:val="fr-FR"/>
        </w:rPr>
        <w:t xml:space="preserve">du </w:t>
      </w:r>
      <w:hyperlink r:id="rId14" w:history="1">
        <w:r w:rsidRPr="00434AB1">
          <w:rPr>
            <w:rStyle w:val="Hyperlink"/>
            <w:lang w:val="fr-FR"/>
          </w:rPr>
          <w:t>Doc</w:t>
        </w:r>
        <w:r w:rsidR="00EA764F" w:rsidRPr="00434AB1">
          <w:rPr>
            <w:rStyle w:val="Hyperlink"/>
            <w:lang w:val="fr-FR"/>
          </w:rPr>
          <w:t xml:space="preserve">ument </w:t>
        </w:r>
        <w:r w:rsidRPr="00434AB1">
          <w:rPr>
            <w:rStyle w:val="Hyperlink"/>
            <w:lang w:val="fr-FR"/>
          </w:rPr>
          <w:t>24</w:t>
        </w:r>
      </w:hyperlink>
      <w:r w:rsidR="004A28DA" w:rsidRPr="00434AB1">
        <w:rPr>
          <w:lang w:val="fr-FR"/>
        </w:rPr>
        <w:t>,</w:t>
      </w:r>
      <w:r w:rsidRPr="00434AB1">
        <w:rPr>
          <w:lang w:val="fr-FR"/>
        </w:rPr>
        <w:t xml:space="preserve"> </w:t>
      </w:r>
      <w:r w:rsidR="004A28DA" w:rsidRPr="00434AB1">
        <w:rPr>
          <w:lang w:val="fr-FR"/>
        </w:rPr>
        <w:t>Rapport du GCNT – Partie I: Considérations générales</w:t>
      </w:r>
      <w:r w:rsidR="00AD0D49" w:rsidRPr="00434AB1">
        <w:rPr>
          <w:lang w:val="fr-FR"/>
        </w:rPr>
        <w:t>;</w:t>
      </w:r>
    </w:p>
    <w:p w14:paraId="0212F15B" w14:textId="77777777" w:rsidR="005456D5" w:rsidRPr="00434AB1" w:rsidRDefault="005456D5" w:rsidP="003B3DC9">
      <w:pPr>
        <w:pStyle w:val="enumlev2"/>
        <w:spacing w:before="60"/>
        <w:rPr>
          <w:lang w:val="fr-FR"/>
        </w:rPr>
      </w:pPr>
      <w:r w:rsidRPr="00434AB1">
        <w:rPr>
          <w:lang w:val="fr-FR"/>
        </w:rPr>
        <w:t>1g)</w:t>
      </w:r>
      <w:r w:rsidRPr="00434AB1">
        <w:rPr>
          <w:lang w:val="fr-FR"/>
        </w:rPr>
        <w:tab/>
      </w:r>
      <w:r w:rsidR="00AE3D15" w:rsidRPr="00434AB1">
        <w:rPr>
          <w:lang w:val="fr-FR"/>
        </w:rPr>
        <w:t>établir le mécanisme approprié et encourager l'utilisation, par exemple, des groupes de coordination ou d'autres groupes, pour l'examen de sujets d'étude de première importance intéressant plusieurs commissions d'études, afin d'assurer une coordination efficace des questions de normalisation et de trouver ainsi des solutions appropriées à l'échelle mondiale</w:t>
      </w:r>
      <w:r w:rsidRPr="00434AB1">
        <w:rPr>
          <w:lang w:val="fr-FR"/>
        </w:rPr>
        <w:t>;</w:t>
      </w:r>
    </w:p>
    <w:p w14:paraId="2BC1DC7E" w14:textId="014B8D25" w:rsidR="005456D5" w:rsidRPr="00434AB1" w:rsidRDefault="005456D5" w:rsidP="003B3DC9">
      <w:pPr>
        <w:pStyle w:val="enumlev3"/>
        <w:spacing w:before="60"/>
        <w:rPr>
          <w:lang w:val="fr-FR"/>
        </w:rPr>
      </w:pPr>
      <w:r w:rsidRPr="00434AB1">
        <w:rPr>
          <w:lang w:val="fr-FR"/>
        </w:rPr>
        <w:t>•</w:t>
      </w:r>
      <w:r w:rsidRPr="00434AB1">
        <w:rPr>
          <w:lang w:val="fr-FR"/>
        </w:rPr>
        <w:tab/>
      </w:r>
      <w:r w:rsidR="00AD0D49" w:rsidRPr="00434AB1">
        <w:rPr>
          <w:lang w:val="fr-FR"/>
        </w:rPr>
        <w:t>v</w:t>
      </w:r>
      <w:r w:rsidR="009B038B" w:rsidRPr="00434AB1">
        <w:rPr>
          <w:lang w:val="fr-FR"/>
        </w:rPr>
        <w:t xml:space="preserve">oir </w:t>
      </w:r>
      <w:r w:rsidR="004671FB" w:rsidRPr="00434AB1">
        <w:rPr>
          <w:lang w:val="fr-FR"/>
        </w:rPr>
        <w:t>le paragraphe</w:t>
      </w:r>
      <w:r w:rsidRPr="00434AB1">
        <w:rPr>
          <w:lang w:val="fr-FR"/>
        </w:rPr>
        <w:t xml:space="preserve"> 3 </w:t>
      </w:r>
      <w:r w:rsidR="009B038B" w:rsidRPr="00434AB1">
        <w:rPr>
          <w:lang w:val="fr-FR"/>
        </w:rPr>
        <w:t xml:space="preserve">du </w:t>
      </w:r>
      <w:hyperlink r:id="rId15" w:history="1">
        <w:r w:rsidRPr="00434AB1">
          <w:rPr>
            <w:rStyle w:val="Hyperlink"/>
            <w:lang w:val="fr-FR"/>
          </w:rPr>
          <w:t>Doc</w:t>
        </w:r>
        <w:r w:rsidR="009B038B" w:rsidRPr="00434AB1">
          <w:rPr>
            <w:rStyle w:val="Hyperlink"/>
            <w:lang w:val="fr-FR"/>
          </w:rPr>
          <w:t xml:space="preserve">ument </w:t>
        </w:r>
        <w:r w:rsidRPr="00434AB1">
          <w:rPr>
            <w:rStyle w:val="Hyperlink"/>
            <w:lang w:val="fr-FR"/>
          </w:rPr>
          <w:t>24</w:t>
        </w:r>
      </w:hyperlink>
      <w:r w:rsidR="004A28DA" w:rsidRPr="00434AB1">
        <w:rPr>
          <w:lang w:val="fr-FR"/>
        </w:rPr>
        <w:t>,</w:t>
      </w:r>
      <w:r w:rsidRPr="00434AB1">
        <w:rPr>
          <w:lang w:val="fr-FR"/>
        </w:rPr>
        <w:t xml:space="preserve"> </w:t>
      </w:r>
      <w:r w:rsidR="004A28DA" w:rsidRPr="00434AB1">
        <w:rPr>
          <w:lang w:val="fr-FR"/>
        </w:rPr>
        <w:t>Rapport du GCNT – Partie I: Considérations générales</w:t>
      </w:r>
      <w:r w:rsidR="00AD0D49" w:rsidRPr="00434AB1">
        <w:rPr>
          <w:lang w:val="fr-FR"/>
        </w:rPr>
        <w:t>;</w:t>
      </w:r>
    </w:p>
    <w:p w14:paraId="47349C9A" w14:textId="77777777" w:rsidR="005456D5" w:rsidRPr="00434AB1" w:rsidRDefault="005456D5" w:rsidP="003B3DC9">
      <w:pPr>
        <w:pStyle w:val="enumlev2"/>
        <w:spacing w:before="60"/>
        <w:rPr>
          <w:lang w:val="fr-FR"/>
        </w:rPr>
      </w:pPr>
      <w:r w:rsidRPr="00434AB1">
        <w:rPr>
          <w:lang w:val="fr-FR"/>
        </w:rPr>
        <w:t>1h)</w:t>
      </w:r>
      <w:r w:rsidRPr="00434AB1">
        <w:rPr>
          <w:lang w:val="fr-FR"/>
        </w:rPr>
        <w:tab/>
      </w:r>
      <w:r w:rsidR="00AE3D15" w:rsidRPr="00434AB1">
        <w:rPr>
          <w:lang w:val="fr-FR"/>
        </w:rPr>
        <w:t>donner des avis au Directeur du TSB sur les questions financières et autres</w:t>
      </w:r>
      <w:r w:rsidRPr="00434AB1">
        <w:rPr>
          <w:lang w:val="fr-FR"/>
        </w:rPr>
        <w:t>;</w:t>
      </w:r>
    </w:p>
    <w:p w14:paraId="48688DB8" w14:textId="64E30040" w:rsidR="005456D5" w:rsidRPr="00434AB1" w:rsidRDefault="005456D5" w:rsidP="003B3DC9">
      <w:pPr>
        <w:pStyle w:val="enumlev3"/>
        <w:spacing w:before="60"/>
        <w:rPr>
          <w:lang w:val="fr-FR"/>
        </w:rPr>
      </w:pPr>
      <w:r w:rsidRPr="00434AB1">
        <w:rPr>
          <w:lang w:val="fr-FR"/>
        </w:rPr>
        <w:t>•</w:t>
      </w:r>
      <w:r w:rsidRPr="00434AB1">
        <w:rPr>
          <w:lang w:val="fr-FR"/>
        </w:rPr>
        <w:tab/>
      </w:r>
      <w:r w:rsidR="00AD0D49" w:rsidRPr="00434AB1">
        <w:rPr>
          <w:lang w:val="fr-FR"/>
        </w:rPr>
        <w:t>v</w:t>
      </w:r>
      <w:r w:rsidR="009B038B" w:rsidRPr="00434AB1">
        <w:rPr>
          <w:lang w:val="fr-FR"/>
        </w:rPr>
        <w:t xml:space="preserve">oir </w:t>
      </w:r>
      <w:r w:rsidR="004671FB" w:rsidRPr="00434AB1">
        <w:rPr>
          <w:lang w:val="fr-FR"/>
        </w:rPr>
        <w:t>le paragraphe</w:t>
      </w:r>
      <w:r w:rsidRPr="00434AB1">
        <w:rPr>
          <w:lang w:val="fr-FR"/>
        </w:rPr>
        <w:t xml:space="preserve"> 4.1 </w:t>
      </w:r>
      <w:r w:rsidR="009B038B" w:rsidRPr="00434AB1">
        <w:rPr>
          <w:lang w:val="fr-FR"/>
        </w:rPr>
        <w:t xml:space="preserve">du </w:t>
      </w:r>
      <w:hyperlink r:id="rId16" w:history="1">
        <w:r w:rsidRPr="00434AB1">
          <w:rPr>
            <w:rStyle w:val="Hyperlink"/>
            <w:lang w:val="fr-FR"/>
          </w:rPr>
          <w:t>Doc</w:t>
        </w:r>
        <w:r w:rsidR="009B038B" w:rsidRPr="00434AB1">
          <w:rPr>
            <w:rStyle w:val="Hyperlink"/>
            <w:lang w:val="fr-FR"/>
          </w:rPr>
          <w:t xml:space="preserve">ument </w:t>
        </w:r>
        <w:r w:rsidRPr="00434AB1">
          <w:rPr>
            <w:rStyle w:val="Hyperlink"/>
            <w:lang w:val="fr-FR"/>
          </w:rPr>
          <w:t>24</w:t>
        </w:r>
      </w:hyperlink>
      <w:r w:rsidR="004A28DA" w:rsidRPr="00434AB1">
        <w:rPr>
          <w:lang w:val="fr-FR"/>
        </w:rPr>
        <w:t>,</w:t>
      </w:r>
      <w:r w:rsidRPr="00434AB1">
        <w:rPr>
          <w:lang w:val="fr-FR"/>
        </w:rPr>
        <w:t xml:space="preserve"> </w:t>
      </w:r>
      <w:r w:rsidR="004A28DA" w:rsidRPr="00434AB1">
        <w:rPr>
          <w:lang w:val="fr-FR"/>
        </w:rPr>
        <w:t>Rapport du GCNT – Partie I: Considérations générales</w:t>
      </w:r>
      <w:r w:rsidR="00AD0D49" w:rsidRPr="00434AB1">
        <w:rPr>
          <w:lang w:val="fr-FR"/>
        </w:rPr>
        <w:t>;</w:t>
      </w:r>
    </w:p>
    <w:p w14:paraId="6E11BA83" w14:textId="77777777" w:rsidR="005456D5" w:rsidRPr="00434AB1" w:rsidRDefault="005456D5" w:rsidP="003B3DC9">
      <w:pPr>
        <w:pStyle w:val="enumlev2"/>
        <w:spacing w:before="60"/>
        <w:rPr>
          <w:lang w:val="fr-FR"/>
        </w:rPr>
      </w:pPr>
      <w:r w:rsidRPr="00434AB1">
        <w:rPr>
          <w:lang w:val="fr-FR"/>
        </w:rPr>
        <w:lastRenderedPageBreak/>
        <w:t>1i)</w:t>
      </w:r>
      <w:r w:rsidRPr="00434AB1">
        <w:rPr>
          <w:lang w:val="fr-FR"/>
        </w:rPr>
        <w:tab/>
      </w:r>
      <w:r w:rsidR="00AE3D15" w:rsidRPr="00434AB1">
        <w:rPr>
          <w:lang w:val="fr-FR"/>
        </w:rPr>
        <w:t>approuver le programme de travail découlant de l'examen de Questions existantes ou nouvelles et déterminer la priorité, l'urgence, les incidences financières estimées et le délai imparti pour l'achèvement de leur étude</w:t>
      </w:r>
      <w:r w:rsidRPr="00434AB1">
        <w:rPr>
          <w:lang w:val="fr-FR"/>
        </w:rPr>
        <w:t>;</w:t>
      </w:r>
    </w:p>
    <w:p w14:paraId="392D184B" w14:textId="3FEB7CDA" w:rsidR="005456D5" w:rsidRPr="00434AB1" w:rsidRDefault="005456D5" w:rsidP="003B3DC9">
      <w:pPr>
        <w:pStyle w:val="enumlev3"/>
        <w:spacing w:before="40"/>
        <w:rPr>
          <w:lang w:val="fr-FR"/>
        </w:rPr>
      </w:pPr>
      <w:r w:rsidRPr="00434AB1">
        <w:rPr>
          <w:lang w:val="fr-FR"/>
        </w:rPr>
        <w:t>•</w:t>
      </w:r>
      <w:r w:rsidRPr="00434AB1">
        <w:rPr>
          <w:lang w:val="fr-FR"/>
        </w:rPr>
        <w:tab/>
      </w:r>
      <w:r w:rsidR="00AD0D49" w:rsidRPr="00434AB1">
        <w:rPr>
          <w:lang w:val="fr-FR"/>
        </w:rPr>
        <w:t>v</w:t>
      </w:r>
      <w:r w:rsidR="007771F7" w:rsidRPr="00434AB1">
        <w:rPr>
          <w:lang w:val="fr-FR"/>
        </w:rPr>
        <w:t xml:space="preserve">oir </w:t>
      </w:r>
      <w:r w:rsidR="004671FB" w:rsidRPr="00434AB1">
        <w:rPr>
          <w:lang w:val="fr-FR"/>
        </w:rPr>
        <w:t>le paragraphe</w:t>
      </w:r>
      <w:r w:rsidRPr="00434AB1">
        <w:rPr>
          <w:lang w:val="fr-FR"/>
        </w:rPr>
        <w:t xml:space="preserve"> 3.2 </w:t>
      </w:r>
      <w:r w:rsidR="007771F7" w:rsidRPr="00434AB1">
        <w:rPr>
          <w:lang w:val="fr-FR"/>
        </w:rPr>
        <w:t xml:space="preserve">du </w:t>
      </w:r>
      <w:hyperlink r:id="rId17" w:history="1">
        <w:r w:rsidRPr="00434AB1">
          <w:rPr>
            <w:rStyle w:val="Hyperlink"/>
            <w:lang w:val="fr-FR"/>
          </w:rPr>
          <w:t>Doc</w:t>
        </w:r>
        <w:r w:rsidR="007771F7" w:rsidRPr="00434AB1">
          <w:rPr>
            <w:rStyle w:val="Hyperlink"/>
            <w:lang w:val="fr-FR"/>
          </w:rPr>
          <w:t xml:space="preserve">ument </w:t>
        </w:r>
        <w:r w:rsidRPr="00434AB1">
          <w:rPr>
            <w:rStyle w:val="Hyperlink"/>
            <w:lang w:val="fr-FR"/>
          </w:rPr>
          <w:t>24</w:t>
        </w:r>
      </w:hyperlink>
      <w:r w:rsidR="004A28DA" w:rsidRPr="00434AB1">
        <w:rPr>
          <w:lang w:val="fr-FR"/>
        </w:rPr>
        <w:t>,</w:t>
      </w:r>
      <w:r w:rsidRPr="00434AB1">
        <w:rPr>
          <w:lang w:val="fr-FR"/>
        </w:rPr>
        <w:t xml:space="preserve"> </w:t>
      </w:r>
      <w:r w:rsidR="004A28DA" w:rsidRPr="00434AB1">
        <w:rPr>
          <w:lang w:val="fr-FR"/>
        </w:rPr>
        <w:t>Rapport du GCNT – Partie I: Considérations générales</w:t>
      </w:r>
      <w:r w:rsidR="00AD0D49" w:rsidRPr="00434AB1">
        <w:rPr>
          <w:lang w:val="fr-FR"/>
        </w:rPr>
        <w:t>;</w:t>
      </w:r>
    </w:p>
    <w:p w14:paraId="1209D3E2" w14:textId="742CE063" w:rsidR="005456D5" w:rsidRPr="00434AB1" w:rsidRDefault="005456D5" w:rsidP="003B3DC9">
      <w:pPr>
        <w:pStyle w:val="enumlev3"/>
        <w:spacing w:before="40"/>
        <w:rPr>
          <w:lang w:val="fr-FR"/>
        </w:rPr>
      </w:pPr>
      <w:r w:rsidRPr="00434AB1">
        <w:rPr>
          <w:lang w:val="fr-FR"/>
        </w:rPr>
        <w:t>•</w:t>
      </w:r>
      <w:r w:rsidRPr="00434AB1">
        <w:rPr>
          <w:lang w:val="fr-FR"/>
        </w:rPr>
        <w:tab/>
      </w:r>
      <w:r w:rsidR="003337A2" w:rsidRPr="00434AB1">
        <w:rPr>
          <w:lang w:val="fr-FR"/>
        </w:rPr>
        <w:t>l</w:t>
      </w:r>
      <w:r w:rsidR="007E1F3C" w:rsidRPr="00434AB1">
        <w:rPr>
          <w:lang w:val="fr-FR"/>
        </w:rPr>
        <w:t>e GCNT</w:t>
      </w:r>
      <w:r w:rsidR="00CC1005" w:rsidRPr="00434AB1">
        <w:rPr>
          <w:lang w:val="fr-FR"/>
        </w:rPr>
        <w:t xml:space="preserve"> a examiné, </w:t>
      </w:r>
      <w:r w:rsidR="007771F7" w:rsidRPr="00434AB1">
        <w:rPr>
          <w:lang w:val="fr-FR"/>
        </w:rPr>
        <w:t xml:space="preserve">proposé des </w:t>
      </w:r>
      <w:r w:rsidR="00271302" w:rsidRPr="00434AB1">
        <w:rPr>
          <w:lang w:val="fr-FR"/>
        </w:rPr>
        <w:t>modifications en cas de besoin,</w:t>
      </w:r>
      <w:r w:rsidR="00CC1005" w:rsidRPr="00434AB1">
        <w:rPr>
          <w:lang w:val="fr-FR"/>
        </w:rPr>
        <w:t xml:space="preserve"> et approuvé </w:t>
      </w:r>
      <w:r w:rsidR="007771F7" w:rsidRPr="00434AB1">
        <w:rPr>
          <w:lang w:val="fr-FR"/>
        </w:rPr>
        <w:t>des Questions nouvelles ou révisées</w:t>
      </w:r>
      <w:r w:rsidR="007E1F3C" w:rsidRPr="00434AB1">
        <w:rPr>
          <w:lang w:val="fr-FR"/>
        </w:rPr>
        <w:t xml:space="preserve"> à chacune de ses réunions</w:t>
      </w:r>
      <w:r w:rsidR="003337A2" w:rsidRPr="00434AB1">
        <w:rPr>
          <w:lang w:val="fr-FR"/>
        </w:rPr>
        <w:t>;</w:t>
      </w:r>
    </w:p>
    <w:p w14:paraId="1E124864" w14:textId="77777777" w:rsidR="005456D5" w:rsidRPr="00434AB1" w:rsidRDefault="005456D5" w:rsidP="003B3DC9">
      <w:pPr>
        <w:pStyle w:val="enumlev2"/>
        <w:spacing w:before="60"/>
        <w:rPr>
          <w:lang w:val="fr-FR"/>
        </w:rPr>
      </w:pPr>
      <w:r w:rsidRPr="00434AB1">
        <w:rPr>
          <w:lang w:val="fr-FR"/>
        </w:rPr>
        <w:t>1j)</w:t>
      </w:r>
      <w:r w:rsidRPr="00434AB1">
        <w:rPr>
          <w:lang w:val="fr-FR"/>
        </w:rPr>
        <w:tab/>
      </w:r>
      <w:r w:rsidR="00AE3D15" w:rsidRPr="00434AB1">
        <w:rPr>
          <w:lang w:val="fr-FR"/>
        </w:rPr>
        <w:t>regrouper, dans la mesure du possible, les Questions présentant de l'intérêt pour les pays en développement, y compris les pays les moins avancés, les petits Etats insulaires en développement et les pays dont l'économie est en transition, afin de faciliter leur participation à ces études</w:t>
      </w:r>
      <w:r w:rsidRPr="00434AB1">
        <w:rPr>
          <w:lang w:val="fr-FR"/>
        </w:rPr>
        <w:t>;</w:t>
      </w:r>
    </w:p>
    <w:p w14:paraId="3E6FDC26" w14:textId="0E8A21A1" w:rsidR="005456D5" w:rsidRPr="00434AB1" w:rsidRDefault="005456D5" w:rsidP="003B3DC9">
      <w:pPr>
        <w:pStyle w:val="enumlev3"/>
        <w:spacing w:before="40"/>
        <w:rPr>
          <w:lang w:val="fr-FR"/>
        </w:rPr>
      </w:pPr>
      <w:r w:rsidRPr="00434AB1">
        <w:rPr>
          <w:lang w:val="fr-FR"/>
        </w:rPr>
        <w:t>•</w:t>
      </w:r>
      <w:r w:rsidRPr="00434AB1">
        <w:rPr>
          <w:lang w:val="fr-FR"/>
        </w:rPr>
        <w:tab/>
      </w:r>
      <w:r w:rsidR="003337A2" w:rsidRPr="00434AB1">
        <w:rPr>
          <w:lang w:val="fr-FR"/>
        </w:rPr>
        <w:t>p</w:t>
      </w:r>
      <w:r w:rsidR="00570E03" w:rsidRPr="00434AB1">
        <w:rPr>
          <w:lang w:val="fr-FR"/>
        </w:rPr>
        <w:t>rocessus permanent</w:t>
      </w:r>
      <w:r w:rsidR="00070549" w:rsidRPr="00434AB1">
        <w:rPr>
          <w:lang w:val="fr-FR"/>
        </w:rPr>
        <w:t xml:space="preserve"> d'examen</w:t>
      </w:r>
      <w:r w:rsidR="00AD0D49" w:rsidRPr="00434AB1">
        <w:rPr>
          <w:lang w:val="fr-FR"/>
        </w:rPr>
        <w:t>;</w:t>
      </w:r>
    </w:p>
    <w:p w14:paraId="645D8401" w14:textId="6CC7FD03" w:rsidR="005456D5" w:rsidRPr="00434AB1" w:rsidRDefault="005456D5" w:rsidP="003B3DC9">
      <w:pPr>
        <w:pStyle w:val="enumlev2"/>
        <w:spacing w:before="60"/>
        <w:rPr>
          <w:lang w:val="fr-FR"/>
        </w:rPr>
      </w:pPr>
      <w:r w:rsidRPr="00434AB1">
        <w:rPr>
          <w:lang w:val="fr-FR"/>
        </w:rPr>
        <w:t>1k)</w:t>
      </w:r>
      <w:r w:rsidRPr="00434AB1">
        <w:rPr>
          <w:lang w:val="fr-FR"/>
        </w:rPr>
        <w:tab/>
      </w:r>
      <w:r w:rsidR="00070549" w:rsidRPr="00434AB1">
        <w:rPr>
          <w:lang w:val="fr-FR"/>
        </w:rPr>
        <w:t>D</w:t>
      </w:r>
      <w:r w:rsidR="00AE3D15" w:rsidRPr="00434AB1">
        <w:rPr>
          <w:lang w:val="fr-FR"/>
        </w:rPr>
        <w:t>'autres questions particulières relevant de la compétence de l'AMNT, sous réserve de l'approbation des Etats Membres, moyennant l'application de la procédure d'approbation figurant dans la section</w:t>
      </w:r>
      <w:r w:rsidR="00570E03" w:rsidRPr="00434AB1">
        <w:rPr>
          <w:lang w:val="fr-FR"/>
        </w:rPr>
        <w:t xml:space="preserve"> 9 de la Résolution 1 </w:t>
      </w:r>
      <w:r w:rsidR="00AE3D15" w:rsidRPr="00434AB1">
        <w:rPr>
          <w:lang w:val="fr-FR"/>
        </w:rPr>
        <w:t>de la présente Assemblée</w:t>
      </w:r>
      <w:r w:rsidRPr="00434AB1">
        <w:rPr>
          <w:lang w:val="fr-FR"/>
        </w:rPr>
        <w:t>;</w:t>
      </w:r>
    </w:p>
    <w:p w14:paraId="729E1146" w14:textId="276AAB5F" w:rsidR="005456D5" w:rsidRPr="00434AB1" w:rsidRDefault="005456D5" w:rsidP="003B3DC9">
      <w:pPr>
        <w:pStyle w:val="enumlev3"/>
        <w:spacing w:before="40"/>
        <w:rPr>
          <w:lang w:val="fr-FR"/>
        </w:rPr>
      </w:pPr>
      <w:r w:rsidRPr="00434AB1">
        <w:rPr>
          <w:lang w:val="fr-FR"/>
        </w:rPr>
        <w:t>•</w:t>
      </w:r>
      <w:r w:rsidRPr="00434AB1">
        <w:rPr>
          <w:lang w:val="fr-FR"/>
        </w:rPr>
        <w:tab/>
      </w:r>
      <w:r w:rsidR="00AD0D49" w:rsidRPr="00434AB1">
        <w:rPr>
          <w:lang w:val="fr-FR"/>
        </w:rPr>
        <w:t>a</w:t>
      </w:r>
      <w:r w:rsidR="00ED7B2E" w:rsidRPr="00434AB1">
        <w:rPr>
          <w:lang w:val="fr-FR"/>
        </w:rPr>
        <w:t>ucune mesure à prendre</w:t>
      </w:r>
      <w:r w:rsidR="00AD0D49" w:rsidRPr="00434AB1">
        <w:rPr>
          <w:lang w:val="fr-FR"/>
        </w:rPr>
        <w:t>;</w:t>
      </w:r>
    </w:p>
    <w:p w14:paraId="35098E63" w14:textId="77777777" w:rsidR="005456D5" w:rsidRPr="00434AB1" w:rsidRDefault="005456D5" w:rsidP="003B3DC9">
      <w:pPr>
        <w:pStyle w:val="enumlev1"/>
        <w:spacing w:before="60"/>
        <w:rPr>
          <w:lang w:val="fr-FR"/>
        </w:rPr>
      </w:pPr>
      <w:r w:rsidRPr="00434AB1">
        <w:rPr>
          <w:lang w:val="fr-FR"/>
        </w:rPr>
        <w:t>2</w:t>
      </w:r>
      <w:r w:rsidRPr="00434AB1">
        <w:rPr>
          <w:lang w:val="fr-FR"/>
        </w:rPr>
        <w:tab/>
      </w:r>
      <w:r w:rsidR="00AE3D15" w:rsidRPr="00434AB1">
        <w:rPr>
          <w:lang w:val="fr-FR"/>
        </w:rPr>
        <w:t>que des révisions des procédures pertinentes d'adoption par les commissions d'études des Questions et des Recommandations autres que celles visées aux numéros 246D, 246F et 246H de la Convention, peuvent être entreprises par le GCNT, en vue de leur approbation par les Etats Membres entre deux AMNT, moyennant l'application de la procédure d'approbation figurant dans la section 9 de la Résolution 1  de la présente Assemblée</w:t>
      </w:r>
      <w:r w:rsidRPr="00434AB1">
        <w:rPr>
          <w:lang w:val="fr-FR"/>
        </w:rPr>
        <w:t>;</w:t>
      </w:r>
    </w:p>
    <w:p w14:paraId="4AA82B6E" w14:textId="5A6C4214" w:rsidR="005456D5" w:rsidRPr="00434AB1" w:rsidRDefault="005456D5" w:rsidP="003B3DC9">
      <w:pPr>
        <w:pStyle w:val="enumlev2"/>
        <w:spacing w:before="40"/>
        <w:rPr>
          <w:lang w:val="fr-FR"/>
        </w:rPr>
      </w:pPr>
      <w:r w:rsidRPr="00434AB1">
        <w:rPr>
          <w:lang w:val="fr-FR"/>
        </w:rPr>
        <w:t>•</w:t>
      </w:r>
      <w:r w:rsidRPr="00434AB1">
        <w:rPr>
          <w:lang w:val="fr-FR"/>
        </w:rPr>
        <w:tab/>
      </w:r>
      <w:r w:rsidR="00AD0D49" w:rsidRPr="00434AB1">
        <w:rPr>
          <w:lang w:val="fr-FR"/>
        </w:rPr>
        <w:t>a</w:t>
      </w:r>
      <w:r w:rsidR="00EE4BD3" w:rsidRPr="00434AB1">
        <w:rPr>
          <w:lang w:val="fr-FR"/>
        </w:rPr>
        <w:t>ucune mesure à prendre</w:t>
      </w:r>
      <w:r w:rsidR="00AD0D49" w:rsidRPr="00434AB1">
        <w:rPr>
          <w:lang w:val="fr-FR"/>
        </w:rPr>
        <w:t>;</w:t>
      </w:r>
    </w:p>
    <w:p w14:paraId="3096EF08" w14:textId="77777777" w:rsidR="005456D5" w:rsidRPr="00434AB1" w:rsidRDefault="005456D5" w:rsidP="003B3DC9">
      <w:pPr>
        <w:pStyle w:val="enumlev1"/>
        <w:spacing w:before="60"/>
        <w:rPr>
          <w:lang w:val="fr-FR"/>
        </w:rPr>
      </w:pPr>
      <w:r w:rsidRPr="00434AB1">
        <w:rPr>
          <w:lang w:val="fr-FR"/>
        </w:rPr>
        <w:t>3</w:t>
      </w:r>
      <w:r w:rsidRPr="00434AB1">
        <w:rPr>
          <w:lang w:val="fr-FR"/>
        </w:rPr>
        <w:tab/>
      </w:r>
      <w:r w:rsidR="00AE3D15" w:rsidRPr="00434AB1">
        <w:rPr>
          <w:lang w:val="fr-FR"/>
        </w:rPr>
        <w:t>que le GCNT assurera la liaison avec des organisations extérieures à l'UIT pour ce qui est de ses propres activités, en consultation avec le Directeur du TSB, si nécessaire</w:t>
      </w:r>
      <w:r w:rsidRPr="00434AB1">
        <w:rPr>
          <w:lang w:val="fr-FR"/>
        </w:rPr>
        <w:t>;</w:t>
      </w:r>
    </w:p>
    <w:p w14:paraId="295CD81B" w14:textId="6438DFCC" w:rsidR="005456D5" w:rsidRPr="00434AB1" w:rsidRDefault="005456D5" w:rsidP="003B3DC9">
      <w:pPr>
        <w:pStyle w:val="enumlev2"/>
        <w:spacing w:before="40"/>
        <w:rPr>
          <w:lang w:val="fr-FR" w:eastAsia="zh-CN"/>
        </w:rPr>
      </w:pPr>
      <w:r w:rsidRPr="00434AB1">
        <w:rPr>
          <w:lang w:val="fr-FR"/>
        </w:rPr>
        <w:t>•</w:t>
      </w:r>
      <w:r w:rsidRPr="00434AB1">
        <w:rPr>
          <w:lang w:val="fr-FR"/>
        </w:rPr>
        <w:tab/>
      </w:r>
      <w:r w:rsidR="00AD0D49" w:rsidRPr="00434AB1">
        <w:rPr>
          <w:lang w:val="fr-FR"/>
        </w:rPr>
        <w:t>l</w:t>
      </w:r>
      <w:r w:rsidR="00C5579D" w:rsidRPr="00434AB1">
        <w:rPr>
          <w:lang w:val="fr-FR"/>
        </w:rPr>
        <w:t xml:space="preserve">e GCNT a </w:t>
      </w:r>
      <w:r w:rsidR="00570E03" w:rsidRPr="00434AB1">
        <w:rPr>
          <w:lang w:val="fr-FR"/>
        </w:rPr>
        <w:t>reconduit</w:t>
      </w:r>
      <w:r w:rsidR="00C5579D" w:rsidRPr="00434AB1">
        <w:rPr>
          <w:lang w:val="fr-FR"/>
        </w:rPr>
        <w:t xml:space="preserve"> M. Olivier Dubuisson (Orange, France) </w:t>
      </w:r>
      <w:r w:rsidR="000938E9" w:rsidRPr="00434AB1">
        <w:rPr>
          <w:lang w:val="fr-FR"/>
        </w:rPr>
        <w:t>en tant que chargé de</w:t>
      </w:r>
      <w:r w:rsidR="00C5579D" w:rsidRPr="00434AB1">
        <w:rPr>
          <w:lang w:val="fr-FR"/>
        </w:rPr>
        <w:t xml:space="preserve"> liaison </w:t>
      </w:r>
      <w:r w:rsidR="000938E9" w:rsidRPr="00434AB1">
        <w:rPr>
          <w:lang w:val="fr-FR"/>
        </w:rPr>
        <w:t>de</w:t>
      </w:r>
      <w:r w:rsidR="00C5579D" w:rsidRPr="00434AB1">
        <w:rPr>
          <w:lang w:val="fr-FR"/>
        </w:rPr>
        <w:t xml:space="preserve"> l'UIT-T </w:t>
      </w:r>
      <w:r w:rsidR="000938E9" w:rsidRPr="00434AB1">
        <w:rPr>
          <w:lang w:val="fr-FR"/>
        </w:rPr>
        <w:t>auprès du</w:t>
      </w:r>
      <w:r w:rsidR="00C5579D" w:rsidRPr="00434AB1">
        <w:rPr>
          <w:lang w:val="fr-FR"/>
        </w:rPr>
        <w:t xml:space="preserve"> JTC1 de l'ISO/CEI. Le JTC1 de l'ISO/CEI et l'IETF ont adressé une note de liaison au GCNT concernant la nomination de leurs </w:t>
      </w:r>
      <w:r w:rsidR="000938E9" w:rsidRPr="00434AB1">
        <w:rPr>
          <w:lang w:val="fr-FR"/>
        </w:rPr>
        <w:t>chargés de</w:t>
      </w:r>
      <w:r w:rsidR="00AD0D49" w:rsidRPr="00434AB1">
        <w:rPr>
          <w:lang w:val="fr-FR"/>
        </w:rPr>
        <w:t xml:space="preserve"> liaison </w:t>
      </w:r>
      <w:r w:rsidR="000938E9" w:rsidRPr="00434AB1">
        <w:rPr>
          <w:lang w:val="fr-FR"/>
        </w:rPr>
        <w:t>auprès de</w:t>
      </w:r>
      <w:r w:rsidR="00AD0D49" w:rsidRPr="00434AB1">
        <w:rPr>
          <w:lang w:val="fr-FR"/>
        </w:rPr>
        <w:t xml:space="preserve"> l'UIT-T;</w:t>
      </w:r>
    </w:p>
    <w:p w14:paraId="69DB413F" w14:textId="7E75E028" w:rsidR="005456D5" w:rsidRPr="00434AB1" w:rsidRDefault="005456D5" w:rsidP="003B3DC9">
      <w:pPr>
        <w:pStyle w:val="enumlev1"/>
        <w:spacing w:before="60"/>
        <w:rPr>
          <w:lang w:val="fr-FR"/>
        </w:rPr>
      </w:pPr>
      <w:r w:rsidRPr="00434AB1">
        <w:rPr>
          <w:lang w:val="fr-FR"/>
        </w:rPr>
        <w:t>4</w:t>
      </w:r>
      <w:r w:rsidRPr="00434AB1">
        <w:rPr>
          <w:lang w:val="fr-FR"/>
        </w:rPr>
        <w:tab/>
      </w:r>
      <w:r w:rsidR="00AE3D15" w:rsidRPr="00434AB1">
        <w:rPr>
          <w:lang w:val="fr-FR"/>
        </w:rPr>
        <w:t>que le GCNT examinera les incidences pour l'UIT-T des besoins du marché et des nouvelles technologies émergentes qui n'ont pas encore été pris en compte aux fins de normalisation par l'UIT</w:t>
      </w:r>
      <w:r w:rsidR="00AE3D15" w:rsidRPr="00434AB1">
        <w:rPr>
          <w:lang w:val="fr-FR"/>
        </w:rPr>
        <w:noBreakHyphen/>
        <w:t>T, établira un mécanisme approprié permettant de faciliter l'examen de leur possible prise en compte, par exemple en attribuant des Questions, en assurant la coordination des travaux des commissions d'études ou en créant des groupes de coordination ou d'autres groupes et désignera leurs présidents et vice-présidents</w:t>
      </w:r>
      <w:r w:rsidR="003337A2" w:rsidRPr="00434AB1">
        <w:rPr>
          <w:lang w:val="fr-FR"/>
        </w:rPr>
        <w:t>;</w:t>
      </w:r>
    </w:p>
    <w:p w14:paraId="1B630BFE" w14:textId="5717392B" w:rsidR="005456D5" w:rsidRPr="00434AB1" w:rsidRDefault="005456D5" w:rsidP="003B3DC9">
      <w:pPr>
        <w:pStyle w:val="enumlev2"/>
        <w:spacing w:before="40"/>
        <w:rPr>
          <w:lang w:val="fr-FR"/>
        </w:rPr>
      </w:pPr>
      <w:r w:rsidRPr="00434AB1">
        <w:rPr>
          <w:lang w:val="fr-FR"/>
        </w:rPr>
        <w:t>•</w:t>
      </w:r>
      <w:r w:rsidRPr="00434AB1">
        <w:rPr>
          <w:lang w:val="fr-FR"/>
        </w:rPr>
        <w:tab/>
      </w:r>
      <w:r w:rsidR="00AD0D49" w:rsidRPr="00434AB1">
        <w:rPr>
          <w:lang w:val="fr-FR"/>
        </w:rPr>
        <w:t>v</w:t>
      </w:r>
      <w:r w:rsidR="006C1C33" w:rsidRPr="00434AB1">
        <w:rPr>
          <w:lang w:val="fr-FR"/>
        </w:rPr>
        <w:t xml:space="preserve">oir </w:t>
      </w:r>
      <w:r w:rsidR="004671FB" w:rsidRPr="00434AB1">
        <w:rPr>
          <w:lang w:val="fr-FR"/>
        </w:rPr>
        <w:t>le paragraphe</w:t>
      </w:r>
      <w:r w:rsidR="006C1C33" w:rsidRPr="00434AB1">
        <w:rPr>
          <w:lang w:val="fr-FR"/>
        </w:rPr>
        <w:t xml:space="preserve"> </w:t>
      </w:r>
      <w:r w:rsidRPr="00434AB1">
        <w:rPr>
          <w:lang w:val="fr-FR"/>
        </w:rPr>
        <w:t>3.1</w:t>
      </w:r>
      <w:r w:rsidR="00C44CBF" w:rsidRPr="00434AB1">
        <w:rPr>
          <w:lang w:val="fr-FR"/>
        </w:rPr>
        <w:t xml:space="preserve"> (</w:t>
      </w:r>
      <w:r w:rsidR="006C1C33" w:rsidRPr="00434AB1">
        <w:rPr>
          <w:lang w:val="fr-FR"/>
        </w:rPr>
        <w:t>Commissions d'études</w:t>
      </w:r>
      <w:r w:rsidR="00C44CBF" w:rsidRPr="00434AB1">
        <w:rPr>
          <w:lang w:val="fr-FR"/>
        </w:rPr>
        <w:t>)</w:t>
      </w:r>
      <w:r w:rsidRPr="00434AB1">
        <w:rPr>
          <w:lang w:val="fr-FR"/>
        </w:rPr>
        <w:t xml:space="preserve"> </w:t>
      </w:r>
      <w:r w:rsidR="006C1C33" w:rsidRPr="00434AB1">
        <w:rPr>
          <w:lang w:val="fr-FR"/>
        </w:rPr>
        <w:t xml:space="preserve">et </w:t>
      </w:r>
      <w:r w:rsidR="004671FB" w:rsidRPr="00434AB1">
        <w:rPr>
          <w:lang w:val="fr-FR"/>
        </w:rPr>
        <w:t>le paragraphe</w:t>
      </w:r>
      <w:r w:rsidRPr="00434AB1">
        <w:rPr>
          <w:lang w:val="fr-FR"/>
        </w:rPr>
        <w:t xml:space="preserve"> 3.5 </w:t>
      </w:r>
      <w:r w:rsidR="00C44CBF" w:rsidRPr="00434AB1">
        <w:rPr>
          <w:lang w:val="fr-FR"/>
        </w:rPr>
        <w:t>(</w:t>
      </w:r>
      <w:r w:rsidR="006C1C33" w:rsidRPr="00434AB1">
        <w:rPr>
          <w:lang w:val="fr-FR"/>
        </w:rPr>
        <w:t xml:space="preserve">Groupes </w:t>
      </w:r>
      <w:r w:rsidR="000938E9" w:rsidRPr="00434AB1">
        <w:rPr>
          <w:lang w:val="fr-FR"/>
        </w:rPr>
        <w:t>spécialisés</w:t>
      </w:r>
      <w:r w:rsidR="00C44CBF" w:rsidRPr="00434AB1">
        <w:rPr>
          <w:lang w:val="fr-FR"/>
        </w:rPr>
        <w:t>)</w:t>
      </w:r>
      <w:r w:rsidR="006C1C33" w:rsidRPr="00434AB1">
        <w:rPr>
          <w:i/>
          <w:iCs/>
          <w:lang w:val="fr-FR"/>
        </w:rPr>
        <w:t xml:space="preserve"> </w:t>
      </w:r>
      <w:r w:rsidR="006C1C33" w:rsidRPr="00434AB1">
        <w:rPr>
          <w:lang w:val="fr-FR"/>
        </w:rPr>
        <w:t>du</w:t>
      </w:r>
      <w:r w:rsidRPr="00434AB1">
        <w:rPr>
          <w:lang w:val="fr-FR"/>
        </w:rPr>
        <w:t xml:space="preserve"> </w:t>
      </w:r>
      <w:hyperlink r:id="rId18" w:history="1">
        <w:r w:rsidRPr="00434AB1">
          <w:rPr>
            <w:rStyle w:val="Hyperlink"/>
            <w:lang w:val="fr-FR"/>
          </w:rPr>
          <w:t>Doc</w:t>
        </w:r>
        <w:r w:rsidR="006C1C33" w:rsidRPr="00434AB1">
          <w:rPr>
            <w:rStyle w:val="Hyperlink"/>
            <w:lang w:val="fr-FR"/>
          </w:rPr>
          <w:t xml:space="preserve">ument </w:t>
        </w:r>
        <w:r w:rsidRPr="00434AB1">
          <w:rPr>
            <w:rStyle w:val="Hyperlink"/>
            <w:lang w:val="fr-FR"/>
          </w:rPr>
          <w:t>24</w:t>
        </w:r>
      </w:hyperlink>
      <w:r w:rsidR="004A28DA" w:rsidRPr="00434AB1">
        <w:rPr>
          <w:lang w:val="fr-FR"/>
        </w:rPr>
        <w:t>,</w:t>
      </w:r>
      <w:r w:rsidRPr="00434AB1">
        <w:rPr>
          <w:lang w:val="fr-FR"/>
        </w:rPr>
        <w:t xml:space="preserve"> </w:t>
      </w:r>
      <w:r w:rsidR="004A28DA" w:rsidRPr="00434AB1">
        <w:rPr>
          <w:lang w:val="fr-FR"/>
        </w:rPr>
        <w:t>Rapport du GCNT – Partie I: Considérations générales</w:t>
      </w:r>
      <w:r w:rsidR="00AD0D49" w:rsidRPr="00434AB1">
        <w:rPr>
          <w:lang w:val="fr-FR"/>
        </w:rPr>
        <w:t>;</w:t>
      </w:r>
    </w:p>
    <w:p w14:paraId="41CFDDA6" w14:textId="77777777" w:rsidR="005456D5" w:rsidRPr="00434AB1" w:rsidRDefault="005456D5" w:rsidP="003B3DC9">
      <w:pPr>
        <w:pStyle w:val="enumlev1"/>
        <w:spacing w:before="60"/>
        <w:rPr>
          <w:lang w:val="fr-FR"/>
        </w:rPr>
      </w:pPr>
      <w:r w:rsidRPr="00434AB1">
        <w:rPr>
          <w:lang w:val="fr-FR"/>
        </w:rPr>
        <w:t>5</w:t>
      </w:r>
      <w:r w:rsidRPr="00434AB1">
        <w:rPr>
          <w:lang w:val="fr-FR"/>
        </w:rPr>
        <w:tab/>
      </w:r>
      <w:r w:rsidR="00AE3D15" w:rsidRPr="00434AB1">
        <w:rPr>
          <w:lang w:val="fr-FR"/>
        </w:rPr>
        <w:t>que le GCNT examinera les résultats de la présente Assemblée en ce qui concerne le Colloque mondial sur la normalisation et prendra des mesures de suivi, s'il y a lieu</w:t>
      </w:r>
      <w:r w:rsidRPr="00434AB1">
        <w:rPr>
          <w:lang w:val="fr-FR"/>
        </w:rPr>
        <w:t>;</w:t>
      </w:r>
    </w:p>
    <w:p w14:paraId="5E7702FE" w14:textId="11685C37" w:rsidR="005456D5" w:rsidRPr="00434AB1" w:rsidRDefault="005456D5" w:rsidP="003B3DC9">
      <w:pPr>
        <w:pStyle w:val="enumlev2"/>
        <w:spacing w:before="40"/>
        <w:rPr>
          <w:lang w:val="fr-FR" w:eastAsia="zh-CN"/>
        </w:rPr>
      </w:pPr>
      <w:r w:rsidRPr="00434AB1">
        <w:rPr>
          <w:lang w:val="fr-FR" w:eastAsia="zh-CN"/>
        </w:rPr>
        <w:t>•</w:t>
      </w:r>
      <w:r w:rsidRPr="00434AB1">
        <w:rPr>
          <w:lang w:val="fr-FR" w:eastAsia="zh-CN"/>
        </w:rPr>
        <w:tab/>
      </w:r>
      <w:r w:rsidR="00AD0D49" w:rsidRPr="00434AB1">
        <w:rPr>
          <w:lang w:val="fr-FR" w:eastAsia="zh-CN"/>
        </w:rPr>
        <w:t>l</w:t>
      </w:r>
      <w:r w:rsidR="00E91BE8" w:rsidRPr="00434AB1">
        <w:rPr>
          <w:lang w:val="fr-FR" w:eastAsia="zh-CN"/>
        </w:rPr>
        <w:t>'AMNT-12 a examiné les résultats du Colloque mondial sur la normalisation</w:t>
      </w:r>
      <w:r w:rsidR="001B166D" w:rsidRPr="00434AB1">
        <w:rPr>
          <w:lang w:val="fr-FR" w:eastAsia="zh-CN"/>
        </w:rPr>
        <w:t xml:space="preserve"> de 2012</w:t>
      </w:r>
      <w:r w:rsidR="00E91BE8" w:rsidRPr="00434AB1">
        <w:rPr>
          <w:lang w:val="fr-FR" w:eastAsia="zh-CN"/>
        </w:rPr>
        <w:t>. Aucune mesu</w:t>
      </w:r>
      <w:r w:rsidR="00AD0D49" w:rsidRPr="00434AB1">
        <w:rPr>
          <w:lang w:val="fr-FR" w:eastAsia="zh-CN"/>
        </w:rPr>
        <w:t>re n'est à prendre pour le GCNT;</w:t>
      </w:r>
    </w:p>
    <w:p w14:paraId="16BAB460" w14:textId="77777777" w:rsidR="005456D5" w:rsidRPr="00434AB1" w:rsidRDefault="005456D5" w:rsidP="00434AB1">
      <w:pPr>
        <w:pStyle w:val="enumlev1"/>
        <w:keepNext/>
        <w:keepLines/>
        <w:rPr>
          <w:lang w:val="fr-FR"/>
        </w:rPr>
      </w:pPr>
      <w:r w:rsidRPr="00434AB1">
        <w:rPr>
          <w:lang w:val="fr-FR"/>
        </w:rPr>
        <w:t>6</w:t>
      </w:r>
      <w:r w:rsidRPr="00434AB1">
        <w:rPr>
          <w:lang w:val="fr-FR"/>
        </w:rPr>
        <w:tab/>
      </w:r>
      <w:r w:rsidR="00AE3D15" w:rsidRPr="00434AB1">
        <w:rPr>
          <w:lang w:val="fr-FR"/>
        </w:rPr>
        <w:t>que le GCNT devra faire rapport à la prochaine AMNT sur les activités énumérées ci</w:t>
      </w:r>
      <w:r w:rsidR="00AE3D15" w:rsidRPr="00434AB1">
        <w:rPr>
          <w:lang w:val="fr-FR"/>
        </w:rPr>
        <w:noBreakHyphen/>
        <w:t>dessus</w:t>
      </w:r>
      <w:r w:rsidRPr="00434AB1">
        <w:rPr>
          <w:lang w:val="fr-FR"/>
        </w:rPr>
        <w:t>.</w:t>
      </w:r>
    </w:p>
    <w:p w14:paraId="0369FD7A" w14:textId="337A63FF" w:rsidR="003337A2" w:rsidRDefault="005456D5" w:rsidP="00434AB1">
      <w:pPr>
        <w:pStyle w:val="enumlev2"/>
        <w:keepNext/>
        <w:keepLines/>
        <w:rPr>
          <w:lang w:val="fr-FR"/>
        </w:rPr>
      </w:pPr>
      <w:r w:rsidRPr="00434AB1">
        <w:rPr>
          <w:lang w:val="fr-FR"/>
        </w:rPr>
        <w:t>•</w:t>
      </w:r>
      <w:r w:rsidRPr="00434AB1">
        <w:rPr>
          <w:lang w:val="fr-FR"/>
        </w:rPr>
        <w:tab/>
      </w:r>
      <w:r w:rsidR="00AD0D49" w:rsidRPr="00434AB1">
        <w:rPr>
          <w:lang w:val="fr-FR"/>
        </w:rPr>
        <w:t>l</w:t>
      </w:r>
      <w:r w:rsidR="00E91BE8" w:rsidRPr="00434AB1">
        <w:rPr>
          <w:lang w:val="fr-FR"/>
        </w:rPr>
        <w:t>e présent document</w:t>
      </w:r>
      <w:r w:rsidR="00434AB1" w:rsidRPr="00434AB1">
        <w:rPr>
          <w:lang w:val="fr-FR"/>
        </w:rPr>
        <w:t>.</w:t>
      </w:r>
    </w:p>
    <w:p w14:paraId="13A68225" w14:textId="795B07EC" w:rsidR="005456D5" w:rsidRPr="00434AB1" w:rsidRDefault="003337A2" w:rsidP="00434AB1">
      <w:pPr>
        <w:spacing w:before="0"/>
        <w:jc w:val="center"/>
        <w:rPr>
          <w:lang w:val="fr-FR"/>
        </w:rPr>
      </w:pPr>
      <w:r w:rsidRPr="00434AB1">
        <w:rPr>
          <w:lang w:val="fr-FR"/>
        </w:rPr>
        <w:t>______________</w:t>
      </w:r>
    </w:p>
    <w:sectPr w:rsidR="005456D5" w:rsidRPr="00434AB1" w:rsidSect="0039169B">
      <w:headerReference w:type="default" r:id="rId19"/>
      <w:footerReference w:type="even" r:id="rId20"/>
      <w:footerReference w:type="default" r:id="rId21"/>
      <w:footerReference w:type="first" r:id="rId22"/>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41A5C" w14:textId="77777777" w:rsidR="00A54708" w:rsidRDefault="00A54708">
      <w:r>
        <w:separator/>
      </w:r>
    </w:p>
  </w:endnote>
  <w:endnote w:type="continuationSeparator" w:id="0">
    <w:p w14:paraId="53D1802C" w14:textId="77777777" w:rsidR="00A54708" w:rsidRDefault="00A54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D3AC1" w14:textId="77777777" w:rsidR="00E45D05" w:rsidRDefault="00E45D05">
    <w:pPr>
      <w:framePr w:wrap="around" w:vAnchor="text" w:hAnchor="margin" w:xAlign="right" w:y="1"/>
    </w:pPr>
    <w:r>
      <w:fldChar w:fldCharType="begin"/>
    </w:r>
    <w:r>
      <w:instrText xml:space="preserve">PAGE  </w:instrText>
    </w:r>
    <w:r>
      <w:fldChar w:fldCharType="end"/>
    </w:r>
  </w:p>
  <w:p w14:paraId="16E3D87B" w14:textId="77777777" w:rsidR="00E45D05" w:rsidRPr="00A11BD6" w:rsidRDefault="00E45D05">
    <w:pPr>
      <w:ind w:right="360"/>
      <w:rPr>
        <w:lang w:val="fr-CH"/>
      </w:rPr>
    </w:pPr>
    <w:r>
      <w:fldChar w:fldCharType="begin"/>
    </w:r>
    <w:r w:rsidRPr="00A11BD6">
      <w:rPr>
        <w:lang w:val="fr-CH"/>
      </w:rPr>
      <w:instrText xml:space="preserve"> FILENAME \p  \* MERGEFORMAT </w:instrText>
    </w:r>
    <w:r>
      <w:fldChar w:fldCharType="separate"/>
    </w:r>
    <w:r w:rsidR="00A11BD6">
      <w:rPr>
        <w:noProof/>
        <w:lang w:val="fr-CH"/>
      </w:rPr>
      <w:t>P:\FRA\ITU-T\CONF-T\WTSA16\000\027F.docx</w:t>
    </w:r>
    <w:r>
      <w:fldChar w:fldCharType="end"/>
    </w:r>
    <w:r w:rsidRPr="00A11BD6">
      <w:rPr>
        <w:lang w:val="fr-CH"/>
      </w:rPr>
      <w:tab/>
    </w:r>
    <w:r>
      <w:fldChar w:fldCharType="begin"/>
    </w:r>
    <w:r>
      <w:instrText xml:space="preserve"> SAVEDATE \@ DD.MM.YY </w:instrText>
    </w:r>
    <w:r>
      <w:fldChar w:fldCharType="separate"/>
    </w:r>
    <w:r w:rsidR="003B3DC9">
      <w:rPr>
        <w:noProof/>
      </w:rPr>
      <w:t>16.09.16</w:t>
    </w:r>
    <w:r>
      <w:fldChar w:fldCharType="end"/>
    </w:r>
    <w:r w:rsidRPr="00A11BD6">
      <w:rPr>
        <w:lang w:val="fr-CH"/>
      </w:rPr>
      <w:tab/>
    </w:r>
    <w:r>
      <w:fldChar w:fldCharType="begin"/>
    </w:r>
    <w:r>
      <w:instrText xml:space="preserve"> PRINTDATE \@ DD.MM.YY </w:instrText>
    </w:r>
    <w:r>
      <w:fldChar w:fldCharType="separate"/>
    </w:r>
    <w:r w:rsidR="00A11BD6">
      <w:rPr>
        <w:noProof/>
      </w:rPr>
      <w:t>16.09.16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24AF" w14:textId="66751EF3" w:rsidR="00E45D05" w:rsidRPr="003B3DC9" w:rsidRDefault="003B3DC9" w:rsidP="003B3DC9">
    <w:pPr>
      <w:pStyle w:val="Footer"/>
      <w:rPr>
        <w:lang w:val="fr-CH"/>
      </w:rPr>
    </w:pPr>
    <w:r w:rsidRPr="003B3DC9">
      <w:rPr>
        <w:lang w:val="fr-CH"/>
      </w:rPr>
      <w:t>ITU-T\CONF-T\WTSA16\000\27</w:t>
    </w:r>
    <w:r>
      <w:rPr>
        <w:lang w:val="fr-CH"/>
      </w:rPr>
      <w:t>F</w:t>
    </w:r>
    <w:r w:rsidRPr="003B3DC9">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5456D5" w:rsidRPr="003B3DC9" w14:paraId="65FD0D33" w14:textId="77777777" w:rsidTr="0093558E">
      <w:trPr>
        <w:cantSplit/>
        <w:trHeight w:val="204"/>
      </w:trPr>
      <w:tc>
        <w:tcPr>
          <w:tcW w:w="1617" w:type="dxa"/>
          <w:tcBorders>
            <w:top w:val="single" w:sz="12" w:space="0" w:color="auto"/>
          </w:tcBorders>
        </w:tcPr>
        <w:p w14:paraId="0320AC90" w14:textId="77777777" w:rsidR="005456D5" w:rsidRDefault="005456D5" w:rsidP="005456D5">
          <w:pPr>
            <w:rPr>
              <w:b/>
              <w:bCs/>
            </w:rPr>
          </w:pPr>
          <w:bookmarkStart w:id="1" w:name="dcontact"/>
          <w:r>
            <w:rPr>
              <w:b/>
              <w:bCs/>
            </w:rPr>
            <w:t>Contact:</w:t>
          </w:r>
        </w:p>
      </w:tc>
      <w:tc>
        <w:tcPr>
          <w:tcW w:w="4394" w:type="dxa"/>
          <w:tcBorders>
            <w:top w:val="single" w:sz="12" w:space="0" w:color="auto"/>
          </w:tcBorders>
        </w:tcPr>
        <w:p w14:paraId="1788C61D" w14:textId="77777777" w:rsidR="005456D5" w:rsidRDefault="005456D5" w:rsidP="005456D5">
          <w:r>
            <w:t>M. Bruce Gracie</w:t>
          </w:r>
        </w:p>
      </w:tc>
      <w:tc>
        <w:tcPr>
          <w:tcW w:w="3912" w:type="dxa"/>
          <w:tcBorders>
            <w:top w:val="single" w:sz="12" w:space="0" w:color="auto"/>
          </w:tcBorders>
        </w:tcPr>
        <w:p w14:paraId="75250A0C" w14:textId="42D47094" w:rsidR="005456D5" w:rsidRPr="00434AB1" w:rsidRDefault="005456D5" w:rsidP="005456D5">
          <w:pPr>
            <w:rPr>
              <w:lang w:val="fr-CH"/>
            </w:rPr>
          </w:pPr>
          <w:r w:rsidRPr="00434AB1">
            <w:rPr>
              <w:lang w:val="fr-CH"/>
            </w:rPr>
            <w:t>Tél</w:t>
          </w:r>
          <w:r w:rsidR="00AD0D49" w:rsidRPr="00434AB1">
            <w:rPr>
              <w:lang w:val="fr-CH"/>
            </w:rPr>
            <w:t>.</w:t>
          </w:r>
          <w:r w:rsidRPr="00434AB1">
            <w:rPr>
              <w:lang w:val="fr-CH"/>
            </w:rPr>
            <w:t>: +1 613 592-3180</w:t>
          </w:r>
        </w:p>
        <w:p w14:paraId="28FF5217" w14:textId="722E85C9" w:rsidR="005456D5" w:rsidRPr="00434AB1" w:rsidRDefault="00434AB1" w:rsidP="005456D5">
          <w:pPr>
            <w:spacing w:before="0"/>
            <w:rPr>
              <w:lang w:val="fr-CH"/>
            </w:rPr>
          </w:pPr>
          <w:r w:rsidRPr="00434AB1">
            <w:rPr>
              <w:lang w:val="fr-CH"/>
            </w:rPr>
            <w:t>Courriel</w:t>
          </w:r>
          <w:r w:rsidR="005456D5" w:rsidRPr="00434AB1">
            <w:rPr>
              <w:lang w:val="fr-CH"/>
            </w:rPr>
            <w:t xml:space="preserve">: </w:t>
          </w:r>
          <w:hyperlink r:id="rId1" w:history="1">
            <w:r w:rsidR="005456D5" w:rsidRPr="00434AB1">
              <w:rPr>
                <w:rStyle w:val="Hyperlink"/>
                <w:lang w:val="fr-CH"/>
              </w:rPr>
              <w:t>bruce.gracie13@rogers.com</w:t>
            </w:r>
          </w:hyperlink>
          <w:r w:rsidR="005456D5" w:rsidRPr="00434AB1">
            <w:rPr>
              <w:lang w:val="fr-CH"/>
            </w:rPr>
            <w:t xml:space="preserve"> </w:t>
          </w:r>
        </w:p>
      </w:tc>
    </w:tr>
    <w:bookmarkEnd w:id="1"/>
  </w:tbl>
  <w:p w14:paraId="51B7633C" w14:textId="77777777" w:rsidR="00AD0D49" w:rsidRPr="00434AB1" w:rsidRDefault="00AD0D49" w:rsidP="003B3DC9">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E6AB3" w14:textId="77777777" w:rsidR="00A54708" w:rsidRDefault="00A54708">
      <w:r>
        <w:rPr>
          <w:b/>
        </w:rPr>
        <w:t>_______________</w:t>
      </w:r>
    </w:p>
  </w:footnote>
  <w:footnote w:type="continuationSeparator" w:id="0">
    <w:p w14:paraId="7F451F41" w14:textId="77777777" w:rsidR="00A54708" w:rsidRDefault="00A54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0DB20" w14:textId="77777777" w:rsidR="00987C1F" w:rsidRDefault="00987C1F" w:rsidP="00987C1F">
    <w:pPr>
      <w:pStyle w:val="Header"/>
    </w:pPr>
    <w:r>
      <w:fldChar w:fldCharType="begin"/>
    </w:r>
    <w:r>
      <w:instrText xml:space="preserve"> PAGE </w:instrText>
    </w:r>
    <w:r>
      <w:fldChar w:fldCharType="separate"/>
    </w:r>
    <w:r w:rsidR="00FC62D6">
      <w:rPr>
        <w:noProof/>
      </w:rPr>
      <w:t>3</w:t>
    </w:r>
    <w:r>
      <w:fldChar w:fldCharType="end"/>
    </w:r>
  </w:p>
  <w:p w14:paraId="33FF202B" w14:textId="6AEBF5EA" w:rsidR="00987C1F" w:rsidRDefault="00AB3E06" w:rsidP="00434AB1">
    <w:pPr>
      <w:pStyle w:val="Header"/>
    </w:pPr>
    <w:r>
      <w:t>AMNT16/27-</w:t>
    </w:r>
    <w:r w:rsidRPr="00C7563B">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0549"/>
    <w:rsid w:val="000714B8"/>
    <w:rsid w:val="00077239"/>
    <w:rsid w:val="00086491"/>
    <w:rsid w:val="00091346"/>
    <w:rsid w:val="000938E9"/>
    <w:rsid w:val="0009706C"/>
    <w:rsid w:val="000A14AF"/>
    <w:rsid w:val="000F73FF"/>
    <w:rsid w:val="00114CF7"/>
    <w:rsid w:val="00123B68"/>
    <w:rsid w:val="00126F2E"/>
    <w:rsid w:val="00146F6F"/>
    <w:rsid w:val="00164C14"/>
    <w:rsid w:val="00177E1C"/>
    <w:rsid w:val="00187BD9"/>
    <w:rsid w:val="00190B55"/>
    <w:rsid w:val="001978FA"/>
    <w:rsid w:val="001A0F27"/>
    <w:rsid w:val="001B166D"/>
    <w:rsid w:val="001C3B5F"/>
    <w:rsid w:val="001D058F"/>
    <w:rsid w:val="001D581B"/>
    <w:rsid w:val="001D77E9"/>
    <w:rsid w:val="001E1430"/>
    <w:rsid w:val="002009EA"/>
    <w:rsid w:val="00202CA0"/>
    <w:rsid w:val="00211C06"/>
    <w:rsid w:val="00216B6D"/>
    <w:rsid w:val="00250AF4"/>
    <w:rsid w:val="00271302"/>
    <w:rsid w:val="00271316"/>
    <w:rsid w:val="002B2A75"/>
    <w:rsid w:val="002D58BE"/>
    <w:rsid w:val="002E210D"/>
    <w:rsid w:val="002E74D5"/>
    <w:rsid w:val="003160F4"/>
    <w:rsid w:val="003236A6"/>
    <w:rsid w:val="00332C56"/>
    <w:rsid w:val="003337A2"/>
    <w:rsid w:val="00345A52"/>
    <w:rsid w:val="00377BD3"/>
    <w:rsid w:val="003832C0"/>
    <w:rsid w:val="00384088"/>
    <w:rsid w:val="0039169B"/>
    <w:rsid w:val="003A7F8C"/>
    <w:rsid w:val="003B3DC9"/>
    <w:rsid w:val="003B532E"/>
    <w:rsid w:val="003D0F8B"/>
    <w:rsid w:val="004054F5"/>
    <w:rsid w:val="00406E37"/>
    <w:rsid w:val="004079B0"/>
    <w:rsid w:val="0041348E"/>
    <w:rsid w:val="00417AD4"/>
    <w:rsid w:val="00434AB1"/>
    <w:rsid w:val="00444030"/>
    <w:rsid w:val="004508E2"/>
    <w:rsid w:val="004671FB"/>
    <w:rsid w:val="00476533"/>
    <w:rsid w:val="00492075"/>
    <w:rsid w:val="004969AD"/>
    <w:rsid w:val="004A26C4"/>
    <w:rsid w:val="004A28DA"/>
    <w:rsid w:val="004B13CB"/>
    <w:rsid w:val="004D5D5C"/>
    <w:rsid w:val="004E42A3"/>
    <w:rsid w:val="0050139F"/>
    <w:rsid w:val="00526703"/>
    <w:rsid w:val="00530525"/>
    <w:rsid w:val="005456D5"/>
    <w:rsid w:val="0055140B"/>
    <w:rsid w:val="00557788"/>
    <w:rsid w:val="00570E03"/>
    <w:rsid w:val="00595780"/>
    <w:rsid w:val="005964AB"/>
    <w:rsid w:val="005C099A"/>
    <w:rsid w:val="005C31A5"/>
    <w:rsid w:val="005E10C9"/>
    <w:rsid w:val="005E61DD"/>
    <w:rsid w:val="006023DF"/>
    <w:rsid w:val="006127D8"/>
    <w:rsid w:val="00657DE0"/>
    <w:rsid w:val="00685313"/>
    <w:rsid w:val="0069092B"/>
    <w:rsid w:val="00692833"/>
    <w:rsid w:val="006A6E9B"/>
    <w:rsid w:val="006B249F"/>
    <w:rsid w:val="006B7C2A"/>
    <w:rsid w:val="006C1C33"/>
    <w:rsid w:val="006C23DA"/>
    <w:rsid w:val="006E013B"/>
    <w:rsid w:val="006E3D45"/>
    <w:rsid w:val="006F2F9E"/>
    <w:rsid w:val="006F580E"/>
    <w:rsid w:val="00702E19"/>
    <w:rsid w:val="007149F9"/>
    <w:rsid w:val="00731C17"/>
    <w:rsid w:val="00733A30"/>
    <w:rsid w:val="00745AEE"/>
    <w:rsid w:val="00750F10"/>
    <w:rsid w:val="00765C9D"/>
    <w:rsid w:val="00772580"/>
    <w:rsid w:val="007742CA"/>
    <w:rsid w:val="007771F7"/>
    <w:rsid w:val="00790D70"/>
    <w:rsid w:val="007D5320"/>
    <w:rsid w:val="007E1F3C"/>
    <w:rsid w:val="007E47A1"/>
    <w:rsid w:val="008006C5"/>
    <w:rsid w:val="00800972"/>
    <w:rsid w:val="00804475"/>
    <w:rsid w:val="00807293"/>
    <w:rsid w:val="00811633"/>
    <w:rsid w:val="00813B79"/>
    <w:rsid w:val="00864CD2"/>
    <w:rsid w:val="00872FC8"/>
    <w:rsid w:val="008845D0"/>
    <w:rsid w:val="008A69FB"/>
    <w:rsid w:val="008B1AEA"/>
    <w:rsid w:val="008B43F2"/>
    <w:rsid w:val="008B6CFF"/>
    <w:rsid w:val="008C27E9"/>
    <w:rsid w:val="008C6BAA"/>
    <w:rsid w:val="0092425C"/>
    <w:rsid w:val="009274B4"/>
    <w:rsid w:val="00934EA2"/>
    <w:rsid w:val="00940614"/>
    <w:rsid w:val="00944A5C"/>
    <w:rsid w:val="00952A66"/>
    <w:rsid w:val="00957670"/>
    <w:rsid w:val="00987C1F"/>
    <w:rsid w:val="009B038B"/>
    <w:rsid w:val="009C3191"/>
    <w:rsid w:val="009C56E5"/>
    <w:rsid w:val="009C6A8D"/>
    <w:rsid w:val="009E5FC8"/>
    <w:rsid w:val="009E687A"/>
    <w:rsid w:val="009F63E2"/>
    <w:rsid w:val="00A045E0"/>
    <w:rsid w:val="00A066F1"/>
    <w:rsid w:val="00A11BD6"/>
    <w:rsid w:val="00A141AF"/>
    <w:rsid w:val="00A16D29"/>
    <w:rsid w:val="00A30305"/>
    <w:rsid w:val="00A31D2D"/>
    <w:rsid w:val="00A4600A"/>
    <w:rsid w:val="00A50A30"/>
    <w:rsid w:val="00A538A6"/>
    <w:rsid w:val="00A54708"/>
    <w:rsid w:val="00A54C25"/>
    <w:rsid w:val="00A710E7"/>
    <w:rsid w:val="00A7372E"/>
    <w:rsid w:val="00A811DC"/>
    <w:rsid w:val="00A90939"/>
    <w:rsid w:val="00A93B85"/>
    <w:rsid w:val="00A94A88"/>
    <w:rsid w:val="00A94CFF"/>
    <w:rsid w:val="00AA0B18"/>
    <w:rsid w:val="00AA666F"/>
    <w:rsid w:val="00AB3E06"/>
    <w:rsid w:val="00AB5A50"/>
    <w:rsid w:val="00AB7C5F"/>
    <w:rsid w:val="00AC19E1"/>
    <w:rsid w:val="00AD0D49"/>
    <w:rsid w:val="00AE3D15"/>
    <w:rsid w:val="00AE79DC"/>
    <w:rsid w:val="00B00A64"/>
    <w:rsid w:val="00B31EF6"/>
    <w:rsid w:val="00B639E9"/>
    <w:rsid w:val="00B817CD"/>
    <w:rsid w:val="00B94AD0"/>
    <w:rsid w:val="00BA5265"/>
    <w:rsid w:val="00BB3A95"/>
    <w:rsid w:val="00BB6D50"/>
    <w:rsid w:val="00C0018F"/>
    <w:rsid w:val="00C16A5A"/>
    <w:rsid w:val="00C20466"/>
    <w:rsid w:val="00C214ED"/>
    <w:rsid w:val="00C234E6"/>
    <w:rsid w:val="00C26BA2"/>
    <w:rsid w:val="00C324A8"/>
    <w:rsid w:val="00C37E53"/>
    <w:rsid w:val="00C44CBF"/>
    <w:rsid w:val="00C54517"/>
    <w:rsid w:val="00C5579D"/>
    <w:rsid w:val="00C62940"/>
    <w:rsid w:val="00C64CD8"/>
    <w:rsid w:val="00C97C68"/>
    <w:rsid w:val="00CA1A47"/>
    <w:rsid w:val="00CC1005"/>
    <w:rsid w:val="00CC247A"/>
    <w:rsid w:val="00CE388F"/>
    <w:rsid w:val="00CE5E47"/>
    <w:rsid w:val="00CF020F"/>
    <w:rsid w:val="00CF1E9D"/>
    <w:rsid w:val="00CF2B5B"/>
    <w:rsid w:val="00D14CE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45D05"/>
    <w:rsid w:val="00E55816"/>
    <w:rsid w:val="00E55AEF"/>
    <w:rsid w:val="00E84ED7"/>
    <w:rsid w:val="00E917FD"/>
    <w:rsid w:val="00E91BE8"/>
    <w:rsid w:val="00E976C1"/>
    <w:rsid w:val="00EA041B"/>
    <w:rsid w:val="00EA12E5"/>
    <w:rsid w:val="00EA764F"/>
    <w:rsid w:val="00EB55C6"/>
    <w:rsid w:val="00ED7B2E"/>
    <w:rsid w:val="00EE4BD3"/>
    <w:rsid w:val="00EF2B09"/>
    <w:rsid w:val="00F02766"/>
    <w:rsid w:val="00F05BD4"/>
    <w:rsid w:val="00F6155B"/>
    <w:rsid w:val="00F65C19"/>
    <w:rsid w:val="00F7356B"/>
    <w:rsid w:val="00F776DF"/>
    <w:rsid w:val="00F840C7"/>
    <w:rsid w:val="00FC62D6"/>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126A814"/>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AB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434AB1"/>
    <w:pPr>
      <w:keepNext/>
      <w:keepLines/>
      <w:spacing w:before="280"/>
      <w:ind w:left="1134" w:hanging="1134"/>
      <w:outlineLvl w:val="0"/>
    </w:pPr>
    <w:rPr>
      <w:b/>
      <w:sz w:val="28"/>
    </w:rPr>
  </w:style>
  <w:style w:type="paragraph" w:styleId="Heading2">
    <w:name w:val="heading 2"/>
    <w:basedOn w:val="Heading1"/>
    <w:next w:val="Normal"/>
    <w:qFormat/>
    <w:rsid w:val="00434AB1"/>
    <w:pPr>
      <w:spacing w:before="200"/>
      <w:outlineLvl w:val="1"/>
    </w:pPr>
    <w:rPr>
      <w:sz w:val="24"/>
    </w:rPr>
  </w:style>
  <w:style w:type="paragraph" w:styleId="Heading3">
    <w:name w:val="heading 3"/>
    <w:basedOn w:val="Heading1"/>
    <w:next w:val="Normal"/>
    <w:qFormat/>
    <w:rsid w:val="00434AB1"/>
    <w:pPr>
      <w:tabs>
        <w:tab w:val="clear" w:pos="1134"/>
      </w:tabs>
      <w:spacing w:before="200"/>
      <w:outlineLvl w:val="2"/>
    </w:pPr>
    <w:rPr>
      <w:sz w:val="24"/>
    </w:rPr>
  </w:style>
  <w:style w:type="paragraph" w:styleId="Heading4">
    <w:name w:val="heading 4"/>
    <w:basedOn w:val="Heading3"/>
    <w:next w:val="Normal"/>
    <w:qFormat/>
    <w:rsid w:val="00434AB1"/>
    <w:pPr>
      <w:outlineLvl w:val="3"/>
    </w:pPr>
  </w:style>
  <w:style w:type="paragraph" w:styleId="Heading5">
    <w:name w:val="heading 5"/>
    <w:basedOn w:val="Heading4"/>
    <w:next w:val="Normal"/>
    <w:qFormat/>
    <w:rsid w:val="00434AB1"/>
    <w:pPr>
      <w:outlineLvl w:val="4"/>
    </w:pPr>
  </w:style>
  <w:style w:type="paragraph" w:styleId="Heading6">
    <w:name w:val="heading 6"/>
    <w:basedOn w:val="Heading4"/>
    <w:next w:val="Normal"/>
    <w:qFormat/>
    <w:rsid w:val="00434AB1"/>
    <w:pPr>
      <w:outlineLvl w:val="5"/>
    </w:pPr>
  </w:style>
  <w:style w:type="paragraph" w:styleId="Heading7">
    <w:name w:val="heading 7"/>
    <w:basedOn w:val="Heading6"/>
    <w:next w:val="Normal"/>
    <w:qFormat/>
    <w:rsid w:val="00434AB1"/>
    <w:pPr>
      <w:outlineLvl w:val="6"/>
    </w:pPr>
  </w:style>
  <w:style w:type="paragraph" w:styleId="Heading8">
    <w:name w:val="heading 8"/>
    <w:basedOn w:val="Heading6"/>
    <w:next w:val="Normal"/>
    <w:qFormat/>
    <w:rsid w:val="00434AB1"/>
    <w:pPr>
      <w:outlineLvl w:val="7"/>
    </w:pPr>
  </w:style>
  <w:style w:type="paragraph" w:styleId="Heading9">
    <w:name w:val="heading 9"/>
    <w:basedOn w:val="Heading6"/>
    <w:next w:val="Normal"/>
    <w:qFormat/>
    <w:rsid w:val="00434A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434AB1"/>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434AB1"/>
    <w:pPr>
      <w:keepNext/>
      <w:keepLines/>
      <w:spacing w:before="480" w:after="80"/>
      <w:jc w:val="center"/>
    </w:pPr>
    <w:rPr>
      <w:caps/>
      <w:sz w:val="28"/>
    </w:rPr>
  </w:style>
  <w:style w:type="paragraph" w:customStyle="1" w:styleId="Annexref">
    <w:name w:val="Annex_ref"/>
    <w:basedOn w:val="Normal"/>
    <w:next w:val="Normal"/>
    <w:rsid w:val="00434AB1"/>
    <w:pPr>
      <w:keepNext/>
      <w:keepLines/>
      <w:spacing w:after="280"/>
      <w:jc w:val="center"/>
    </w:pPr>
  </w:style>
  <w:style w:type="paragraph" w:customStyle="1" w:styleId="Annextitle">
    <w:name w:val="Annex_title"/>
    <w:basedOn w:val="Normal"/>
    <w:next w:val="Normal"/>
    <w:rsid w:val="00434AB1"/>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434AB1"/>
    <w:pPr>
      <w:tabs>
        <w:tab w:val="left" w:pos="851"/>
      </w:tabs>
      <w:spacing w:before="0" w:line="240" w:lineRule="atLeast"/>
    </w:pPr>
    <w:rPr>
      <w:rFonts w:cstheme="minorHAnsi"/>
      <w:b/>
      <w:szCs w:val="24"/>
    </w:rPr>
  </w:style>
  <w:style w:type="paragraph" w:customStyle="1" w:styleId="Volumetitle">
    <w:name w:val="Volume_title"/>
    <w:basedOn w:val="Normal"/>
    <w:qFormat/>
    <w:rsid w:val="00434AB1"/>
    <w:pPr>
      <w:jc w:val="center"/>
    </w:pPr>
    <w:rPr>
      <w:b/>
      <w:bCs/>
      <w:sz w:val="28"/>
      <w:szCs w:val="28"/>
    </w:rPr>
  </w:style>
  <w:style w:type="paragraph" w:customStyle="1" w:styleId="AppendixNo">
    <w:name w:val="Appendix_No"/>
    <w:basedOn w:val="AnnexNo"/>
    <w:next w:val="Annexref"/>
    <w:rsid w:val="00434AB1"/>
  </w:style>
  <w:style w:type="paragraph" w:customStyle="1" w:styleId="Appendixref">
    <w:name w:val="Appendix_ref"/>
    <w:basedOn w:val="Annexref"/>
    <w:next w:val="Annextitle"/>
    <w:rsid w:val="00434AB1"/>
  </w:style>
  <w:style w:type="paragraph" w:customStyle="1" w:styleId="Appendixtitle">
    <w:name w:val="Appendix_title"/>
    <w:basedOn w:val="Annextitle"/>
    <w:next w:val="Normal"/>
    <w:rsid w:val="00434AB1"/>
  </w:style>
  <w:style w:type="paragraph" w:customStyle="1" w:styleId="Call">
    <w:name w:val="Call"/>
    <w:basedOn w:val="Normal"/>
    <w:next w:val="Normal"/>
    <w:rsid w:val="00434AB1"/>
    <w:pPr>
      <w:keepNext/>
      <w:keepLines/>
      <w:spacing w:before="160"/>
      <w:ind w:left="1134"/>
    </w:pPr>
    <w:rPr>
      <w:i/>
    </w:rPr>
  </w:style>
  <w:style w:type="paragraph" w:customStyle="1" w:styleId="ChapNo">
    <w:name w:val="Chap_No"/>
    <w:basedOn w:val="Normal"/>
    <w:next w:val="Normal"/>
    <w:rsid w:val="00434AB1"/>
    <w:rPr>
      <w:rFonts w:ascii="Times New Roman Bold" w:hAnsi="Times New Roman Bold"/>
      <w:b/>
    </w:rPr>
  </w:style>
  <w:style w:type="paragraph" w:customStyle="1" w:styleId="Chaptitle">
    <w:name w:val="Chap_title"/>
    <w:basedOn w:val="Normal"/>
    <w:next w:val="Normal"/>
    <w:rsid w:val="00434AB1"/>
  </w:style>
  <w:style w:type="character" w:styleId="EndnoteReference">
    <w:name w:val="endnote reference"/>
    <w:basedOn w:val="DefaultParagraphFont"/>
    <w:rsid w:val="00434AB1"/>
    <w:rPr>
      <w:vertAlign w:val="superscript"/>
    </w:rPr>
  </w:style>
  <w:style w:type="paragraph" w:customStyle="1" w:styleId="enumlev1">
    <w:name w:val="enumlev1"/>
    <w:basedOn w:val="Normal"/>
    <w:rsid w:val="00434AB1"/>
    <w:pPr>
      <w:tabs>
        <w:tab w:val="clear" w:pos="2268"/>
        <w:tab w:val="left" w:pos="2608"/>
        <w:tab w:val="left" w:pos="3345"/>
      </w:tabs>
      <w:spacing w:before="80"/>
      <w:ind w:left="1134" w:hanging="1134"/>
    </w:pPr>
  </w:style>
  <w:style w:type="paragraph" w:customStyle="1" w:styleId="enumlev2">
    <w:name w:val="enumlev2"/>
    <w:basedOn w:val="enumlev1"/>
    <w:rsid w:val="00434AB1"/>
    <w:pPr>
      <w:ind w:left="1871" w:hanging="737"/>
    </w:pPr>
  </w:style>
  <w:style w:type="paragraph" w:customStyle="1" w:styleId="enumlev3">
    <w:name w:val="enumlev3"/>
    <w:basedOn w:val="enumlev2"/>
    <w:rsid w:val="00434AB1"/>
    <w:pPr>
      <w:ind w:left="2268" w:hanging="397"/>
    </w:pPr>
  </w:style>
  <w:style w:type="paragraph" w:customStyle="1" w:styleId="Equation">
    <w:name w:val="Equation"/>
    <w:basedOn w:val="Normal"/>
    <w:rsid w:val="00434AB1"/>
    <w:pPr>
      <w:tabs>
        <w:tab w:val="clear" w:pos="1871"/>
        <w:tab w:val="clear" w:pos="2268"/>
        <w:tab w:val="center" w:pos="4820"/>
        <w:tab w:val="right" w:pos="9639"/>
      </w:tabs>
    </w:pPr>
  </w:style>
  <w:style w:type="paragraph" w:customStyle="1" w:styleId="Equationlegend">
    <w:name w:val="Equation_legend"/>
    <w:basedOn w:val="NormalIndent"/>
    <w:rsid w:val="00434AB1"/>
    <w:pPr>
      <w:tabs>
        <w:tab w:val="clear" w:pos="1134"/>
        <w:tab w:val="clear" w:pos="2268"/>
        <w:tab w:val="right" w:pos="1871"/>
        <w:tab w:val="left" w:pos="2041"/>
      </w:tabs>
      <w:spacing w:before="80"/>
      <w:ind w:left="2041" w:hanging="2041"/>
    </w:pPr>
  </w:style>
  <w:style w:type="paragraph" w:styleId="NormalIndent">
    <w:name w:val="Normal Indent"/>
    <w:basedOn w:val="Normal"/>
    <w:rsid w:val="00434AB1"/>
    <w:pPr>
      <w:ind w:left="1134"/>
    </w:pPr>
  </w:style>
  <w:style w:type="paragraph" w:customStyle="1" w:styleId="Figure">
    <w:name w:val="Figure"/>
    <w:basedOn w:val="Normal"/>
    <w:next w:val="Normal"/>
    <w:rsid w:val="00434AB1"/>
    <w:pPr>
      <w:keepNext/>
      <w:keepLines/>
      <w:jc w:val="center"/>
    </w:pPr>
  </w:style>
  <w:style w:type="paragraph" w:customStyle="1" w:styleId="Figurelegend">
    <w:name w:val="Figure_legend"/>
    <w:basedOn w:val="Normal"/>
    <w:rsid w:val="00434AB1"/>
    <w:pPr>
      <w:keepNext/>
      <w:keepLines/>
      <w:spacing w:before="20" w:after="20"/>
    </w:pPr>
    <w:rPr>
      <w:sz w:val="18"/>
    </w:rPr>
  </w:style>
  <w:style w:type="paragraph" w:customStyle="1" w:styleId="FigureNo">
    <w:name w:val="Figure_No"/>
    <w:basedOn w:val="Normal"/>
    <w:next w:val="Normal"/>
    <w:rsid w:val="00434AB1"/>
    <w:pPr>
      <w:keepNext/>
      <w:keepLines/>
      <w:spacing w:before="480" w:after="120"/>
      <w:jc w:val="center"/>
    </w:pPr>
    <w:rPr>
      <w:caps/>
    </w:rPr>
  </w:style>
  <w:style w:type="paragraph" w:customStyle="1" w:styleId="Figuretitle">
    <w:name w:val="Figure_title"/>
    <w:basedOn w:val="Normal"/>
    <w:next w:val="Normal"/>
    <w:rsid w:val="00434AB1"/>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434AB1"/>
    <w:pPr>
      <w:keepNext w:val="0"/>
    </w:pPr>
  </w:style>
  <w:style w:type="paragraph" w:styleId="Footer">
    <w:name w:val="footer"/>
    <w:basedOn w:val="Normal"/>
    <w:link w:val="FooterChar"/>
    <w:rsid w:val="00434AB1"/>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434AB1"/>
    <w:rPr>
      <w:rFonts w:ascii="Times New Roman" w:hAnsi="Times New Roman"/>
      <w:caps/>
      <w:noProof/>
      <w:sz w:val="16"/>
      <w:lang w:val="en-GB" w:eastAsia="en-US"/>
    </w:rPr>
  </w:style>
  <w:style w:type="paragraph" w:customStyle="1" w:styleId="FirstFooter">
    <w:name w:val="FirstFooter"/>
    <w:basedOn w:val="Footer"/>
    <w:rsid w:val="00434AB1"/>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434AB1"/>
    <w:rPr>
      <w:position w:val="6"/>
      <w:sz w:val="18"/>
    </w:rPr>
  </w:style>
  <w:style w:type="paragraph" w:styleId="FootnoteText">
    <w:name w:val="footnote text"/>
    <w:basedOn w:val="Normal"/>
    <w:link w:val="FootnoteTextChar"/>
    <w:uiPriority w:val="99"/>
    <w:rsid w:val="00434AB1"/>
    <w:pPr>
      <w:keepLines/>
      <w:tabs>
        <w:tab w:val="left" w:pos="255"/>
      </w:tabs>
    </w:pPr>
  </w:style>
  <w:style w:type="character" w:customStyle="1" w:styleId="FootnoteTextChar">
    <w:name w:val="Footnote Text Char"/>
    <w:basedOn w:val="DefaultParagraphFont"/>
    <w:link w:val="FootnoteText"/>
    <w:uiPriority w:val="99"/>
    <w:rsid w:val="00434AB1"/>
    <w:rPr>
      <w:rFonts w:ascii="Times New Roman" w:hAnsi="Times New Roman"/>
      <w:sz w:val="24"/>
      <w:lang w:val="en-GB" w:eastAsia="en-US"/>
    </w:rPr>
  </w:style>
  <w:style w:type="paragraph" w:styleId="Header">
    <w:name w:val="header"/>
    <w:basedOn w:val="Normal"/>
    <w:link w:val="HeaderChar"/>
    <w:rsid w:val="00434AB1"/>
    <w:pPr>
      <w:spacing w:before="0"/>
      <w:jc w:val="center"/>
    </w:pPr>
    <w:rPr>
      <w:sz w:val="18"/>
    </w:rPr>
  </w:style>
  <w:style w:type="character" w:customStyle="1" w:styleId="HeaderChar">
    <w:name w:val="Header Char"/>
    <w:basedOn w:val="DefaultParagraphFont"/>
    <w:link w:val="Header"/>
    <w:rsid w:val="00434AB1"/>
    <w:rPr>
      <w:rFonts w:ascii="Times New Roman" w:hAnsi="Times New Roman"/>
      <w:sz w:val="18"/>
      <w:lang w:val="en-GB" w:eastAsia="en-US"/>
    </w:rPr>
  </w:style>
  <w:style w:type="paragraph" w:customStyle="1" w:styleId="Normalaftertitle">
    <w:name w:val="Normal after title"/>
    <w:basedOn w:val="Normal"/>
    <w:next w:val="Normal"/>
    <w:rsid w:val="00434AB1"/>
    <w:pPr>
      <w:spacing w:before="280"/>
    </w:pPr>
  </w:style>
  <w:style w:type="paragraph" w:customStyle="1" w:styleId="Section1">
    <w:name w:val="Section_1"/>
    <w:basedOn w:val="Normal"/>
    <w:rsid w:val="00434AB1"/>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34AB1"/>
    <w:rPr>
      <w:b w:val="0"/>
      <w:i/>
    </w:rPr>
  </w:style>
  <w:style w:type="paragraph" w:customStyle="1" w:styleId="Section3">
    <w:name w:val="Section_3"/>
    <w:basedOn w:val="Section1"/>
    <w:rsid w:val="00434AB1"/>
    <w:rPr>
      <w:b w:val="0"/>
    </w:rPr>
  </w:style>
  <w:style w:type="paragraph" w:customStyle="1" w:styleId="SectionNo">
    <w:name w:val="Section_No"/>
    <w:basedOn w:val="AnnexNo"/>
    <w:next w:val="Normal"/>
    <w:rsid w:val="00434AB1"/>
  </w:style>
  <w:style w:type="paragraph" w:customStyle="1" w:styleId="Sectiontitle">
    <w:name w:val="Section_title"/>
    <w:basedOn w:val="Annextitle"/>
    <w:next w:val="Normalaftertitle"/>
    <w:rsid w:val="00434AB1"/>
  </w:style>
  <w:style w:type="paragraph" w:customStyle="1" w:styleId="Source">
    <w:name w:val="Source"/>
    <w:basedOn w:val="Normal"/>
    <w:next w:val="Normal"/>
    <w:rsid w:val="00434AB1"/>
    <w:pPr>
      <w:spacing w:before="840"/>
      <w:jc w:val="center"/>
    </w:pPr>
    <w:rPr>
      <w:b/>
      <w:sz w:val="28"/>
    </w:rPr>
  </w:style>
  <w:style w:type="paragraph" w:customStyle="1" w:styleId="SpecialFooter">
    <w:name w:val="Special Footer"/>
    <w:basedOn w:val="Footer"/>
    <w:rsid w:val="00434AB1"/>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34AB1"/>
    <w:rPr>
      <w:b/>
      <w:color w:val="auto"/>
      <w:sz w:val="20"/>
    </w:rPr>
  </w:style>
  <w:style w:type="paragraph" w:customStyle="1" w:styleId="Tablehead">
    <w:name w:val="Table_head"/>
    <w:basedOn w:val="Normal"/>
    <w:rsid w:val="00434AB1"/>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434AB1"/>
    <w:rPr>
      <w:sz w:val="20"/>
    </w:rPr>
  </w:style>
  <w:style w:type="paragraph" w:customStyle="1" w:styleId="TableNo">
    <w:name w:val="Table_No"/>
    <w:basedOn w:val="Normal"/>
    <w:next w:val="Normal"/>
    <w:rsid w:val="00434AB1"/>
    <w:pPr>
      <w:keepNext/>
      <w:spacing w:before="560" w:after="120"/>
      <w:jc w:val="center"/>
    </w:pPr>
    <w:rPr>
      <w:caps/>
      <w:sz w:val="20"/>
    </w:rPr>
  </w:style>
  <w:style w:type="paragraph" w:customStyle="1" w:styleId="Tableref">
    <w:name w:val="Table_ref"/>
    <w:basedOn w:val="Normal"/>
    <w:next w:val="Normal"/>
    <w:rsid w:val="00434AB1"/>
    <w:pPr>
      <w:keepNext/>
      <w:spacing w:before="560"/>
      <w:jc w:val="center"/>
    </w:pPr>
    <w:rPr>
      <w:sz w:val="20"/>
    </w:rPr>
  </w:style>
  <w:style w:type="paragraph" w:customStyle="1" w:styleId="Normalend">
    <w:name w:val="Normal_end"/>
    <w:basedOn w:val="Normal"/>
    <w:next w:val="Normal"/>
    <w:qFormat/>
    <w:rsid w:val="00434AB1"/>
    <w:rPr>
      <w:lang w:val="en-US"/>
    </w:rPr>
  </w:style>
  <w:style w:type="paragraph" w:customStyle="1" w:styleId="Proposal">
    <w:name w:val="Proposal"/>
    <w:basedOn w:val="Normal"/>
    <w:next w:val="Normal"/>
    <w:rsid w:val="00434AB1"/>
    <w:pPr>
      <w:keepNext/>
      <w:spacing w:before="240"/>
    </w:pPr>
    <w:rPr>
      <w:rFonts w:hAnsi="Times New Roman Bold"/>
      <w:b/>
    </w:rPr>
  </w:style>
  <w:style w:type="paragraph" w:customStyle="1" w:styleId="Reasons">
    <w:name w:val="Reasons"/>
    <w:basedOn w:val="Normal"/>
    <w:rsid w:val="00434AB1"/>
    <w:pPr>
      <w:tabs>
        <w:tab w:val="clear" w:pos="1871"/>
        <w:tab w:val="clear" w:pos="2268"/>
        <w:tab w:val="left" w:pos="1588"/>
        <w:tab w:val="left" w:pos="1985"/>
      </w:tabs>
    </w:pPr>
  </w:style>
  <w:style w:type="paragraph" w:customStyle="1" w:styleId="Questiondate">
    <w:name w:val="Question_date"/>
    <w:basedOn w:val="Normal"/>
    <w:next w:val="Normalaftertitle"/>
    <w:rsid w:val="00434AB1"/>
    <w:pPr>
      <w:keepNext/>
      <w:keepLines/>
      <w:jc w:val="right"/>
    </w:pPr>
    <w:rPr>
      <w:sz w:val="22"/>
    </w:rPr>
  </w:style>
  <w:style w:type="paragraph" w:customStyle="1" w:styleId="QuestionNo">
    <w:name w:val="Question_No"/>
    <w:basedOn w:val="Normal"/>
    <w:next w:val="Normal"/>
    <w:rsid w:val="00434AB1"/>
    <w:pPr>
      <w:keepNext/>
      <w:keepLines/>
      <w:spacing w:before="480"/>
      <w:jc w:val="center"/>
    </w:pPr>
    <w:rPr>
      <w:caps/>
      <w:sz w:val="28"/>
    </w:rPr>
  </w:style>
  <w:style w:type="paragraph" w:customStyle="1" w:styleId="Questiontitle">
    <w:name w:val="Question_title"/>
    <w:basedOn w:val="Normal"/>
    <w:next w:val="Normal"/>
    <w:rsid w:val="00434AB1"/>
    <w:pPr>
      <w:keepNext/>
      <w:keepLines/>
      <w:spacing w:before="240"/>
      <w:jc w:val="center"/>
    </w:pPr>
    <w:rPr>
      <w:rFonts w:ascii="Times New Roman Bold" w:hAnsi="Times New Roman Bold"/>
      <w:b/>
      <w:sz w:val="28"/>
    </w:rPr>
  </w:style>
  <w:style w:type="paragraph" w:styleId="TOC1">
    <w:name w:val="toc 1"/>
    <w:basedOn w:val="Normal"/>
    <w:rsid w:val="00434AB1"/>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434AB1"/>
    <w:pPr>
      <w:spacing w:before="120"/>
    </w:pPr>
  </w:style>
  <w:style w:type="paragraph" w:styleId="TOC3">
    <w:name w:val="toc 3"/>
    <w:basedOn w:val="TOC2"/>
    <w:rsid w:val="00434AB1"/>
  </w:style>
  <w:style w:type="paragraph" w:styleId="TOC4">
    <w:name w:val="toc 4"/>
    <w:basedOn w:val="TOC3"/>
    <w:rsid w:val="00434AB1"/>
  </w:style>
  <w:style w:type="paragraph" w:styleId="TOC5">
    <w:name w:val="toc 5"/>
    <w:basedOn w:val="TOC4"/>
    <w:rsid w:val="00434AB1"/>
  </w:style>
  <w:style w:type="paragraph" w:styleId="TOC6">
    <w:name w:val="toc 6"/>
    <w:basedOn w:val="TOC4"/>
    <w:rsid w:val="00434AB1"/>
  </w:style>
  <w:style w:type="paragraph" w:styleId="TOC7">
    <w:name w:val="toc 7"/>
    <w:basedOn w:val="TOC4"/>
    <w:rsid w:val="00434AB1"/>
  </w:style>
  <w:style w:type="paragraph" w:styleId="TOC8">
    <w:name w:val="toc 8"/>
    <w:basedOn w:val="TOC4"/>
    <w:rsid w:val="00434AB1"/>
  </w:style>
  <w:style w:type="paragraph" w:customStyle="1" w:styleId="Title1">
    <w:name w:val="Title 1"/>
    <w:basedOn w:val="Source"/>
    <w:next w:val="Normal"/>
    <w:rsid w:val="00434AB1"/>
    <w:pPr>
      <w:tabs>
        <w:tab w:val="left" w:pos="567"/>
        <w:tab w:val="left" w:pos="1701"/>
        <w:tab w:val="left" w:pos="2835"/>
      </w:tabs>
      <w:spacing w:before="240"/>
    </w:pPr>
    <w:rPr>
      <w:b w:val="0"/>
      <w:caps/>
    </w:rPr>
  </w:style>
  <w:style w:type="paragraph" w:customStyle="1" w:styleId="Title2">
    <w:name w:val="Title 2"/>
    <w:basedOn w:val="Source"/>
    <w:next w:val="Normal"/>
    <w:rsid w:val="00434AB1"/>
    <w:pPr>
      <w:overflowPunct/>
      <w:autoSpaceDE/>
      <w:autoSpaceDN/>
      <w:adjustRightInd/>
      <w:spacing w:before="480"/>
      <w:textAlignment w:val="auto"/>
    </w:pPr>
    <w:rPr>
      <w:b w:val="0"/>
      <w:caps/>
    </w:rPr>
  </w:style>
  <w:style w:type="paragraph" w:customStyle="1" w:styleId="Title3">
    <w:name w:val="Title 3"/>
    <w:basedOn w:val="Title2"/>
    <w:next w:val="Normal"/>
    <w:rsid w:val="00434AB1"/>
    <w:pPr>
      <w:spacing w:before="240"/>
    </w:pPr>
    <w:rPr>
      <w:caps w:val="0"/>
    </w:rPr>
  </w:style>
  <w:style w:type="paragraph" w:customStyle="1" w:styleId="Title4">
    <w:name w:val="Title 4"/>
    <w:basedOn w:val="Title3"/>
    <w:next w:val="Heading1"/>
    <w:rsid w:val="00434AB1"/>
    <w:rPr>
      <w:b/>
    </w:rPr>
  </w:style>
  <w:style w:type="paragraph" w:customStyle="1" w:styleId="Tabletext">
    <w:name w:val="Table_text"/>
    <w:basedOn w:val="Normal"/>
    <w:rsid w:val="00434A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434AB1"/>
    <w:pPr>
      <w:keepNext/>
      <w:keepLines/>
      <w:jc w:val="center"/>
    </w:pPr>
    <w:rPr>
      <w:i/>
      <w:lang w:val="fr-FR"/>
    </w:rPr>
  </w:style>
  <w:style w:type="paragraph" w:customStyle="1" w:styleId="Tabletitle">
    <w:name w:val="Table_title"/>
    <w:basedOn w:val="Normal"/>
    <w:next w:val="Tabletext"/>
    <w:rsid w:val="00434AB1"/>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434AB1"/>
    <w:pPr>
      <w:spacing w:before="160"/>
    </w:pPr>
    <w:rPr>
      <w:i/>
    </w:rPr>
  </w:style>
  <w:style w:type="paragraph" w:customStyle="1" w:styleId="Headingb">
    <w:name w:val="Heading_b"/>
    <w:basedOn w:val="Normal"/>
    <w:next w:val="Normal"/>
    <w:qFormat/>
    <w:rsid w:val="00434AB1"/>
    <w:pPr>
      <w:keepNext/>
      <w:spacing w:before="160"/>
    </w:pPr>
    <w:rPr>
      <w:rFonts w:ascii="Times New Roman Bold" w:hAnsi="Times New Roman Bold" w:cs="Times New Roman Bold"/>
      <w:b/>
      <w:lang w:val="fr-CH"/>
    </w:rPr>
  </w:style>
  <w:style w:type="paragraph" w:customStyle="1" w:styleId="Note">
    <w:name w:val="Note"/>
    <w:basedOn w:val="Normal"/>
    <w:next w:val="Normal"/>
    <w:rsid w:val="00434AB1"/>
    <w:pPr>
      <w:tabs>
        <w:tab w:val="left" w:pos="284"/>
      </w:tabs>
      <w:spacing w:before="80"/>
    </w:pPr>
  </w:style>
  <w:style w:type="paragraph" w:customStyle="1" w:styleId="Part1">
    <w:name w:val="Part_1"/>
    <w:basedOn w:val="Section1"/>
    <w:next w:val="Section1"/>
    <w:qFormat/>
    <w:rsid w:val="00434AB1"/>
  </w:style>
  <w:style w:type="paragraph" w:customStyle="1" w:styleId="PartNo">
    <w:name w:val="Part_No"/>
    <w:basedOn w:val="AnnexNo"/>
    <w:next w:val="Normal"/>
    <w:rsid w:val="00434AB1"/>
  </w:style>
  <w:style w:type="paragraph" w:customStyle="1" w:styleId="Partref">
    <w:name w:val="Part_ref"/>
    <w:basedOn w:val="Annexref"/>
    <w:next w:val="Normal"/>
    <w:rsid w:val="00434AB1"/>
  </w:style>
  <w:style w:type="paragraph" w:customStyle="1" w:styleId="Parttitle">
    <w:name w:val="Part_title"/>
    <w:basedOn w:val="Annextitle"/>
    <w:next w:val="Normalaftertitle"/>
    <w:rsid w:val="00434AB1"/>
  </w:style>
  <w:style w:type="paragraph" w:customStyle="1" w:styleId="Recdate">
    <w:name w:val="Rec_date"/>
    <w:basedOn w:val="Normal"/>
    <w:next w:val="Normalaftertitle"/>
    <w:rsid w:val="00434AB1"/>
    <w:pPr>
      <w:keepNext/>
      <w:keepLines/>
      <w:jc w:val="right"/>
    </w:pPr>
    <w:rPr>
      <w:rFonts w:ascii="Times New Roman italic" w:hAnsi="Times New Roman italic" w:cs="Times New Roman italic"/>
      <w:i/>
    </w:rPr>
  </w:style>
  <w:style w:type="paragraph" w:customStyle="1" w:styleId="RecNo">
    <w:name w:val="Rec_No"/>
    <w:basedOn w:val="Normal"/>
    <w:next w:val="Normal"/>
    <w:rsid w:val="00434AB1"/>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434AB1"/>
    <w:pPr>
      <w:spacing w:before="240"/>
      <w:jc w:val="center"/>
    </w:pPr>
    <w:rPr>
      <w:rFonts w:ascii="Times New Roman" w:cs="Times New Roman"/>
      <w:bCs/>
    </w:rPr>
  </w:style>
  <w:style w:type="paragraph" w:customStyle="1" w:styleId="ResNo">
    <w:name w:val="Res_No"/>
    <w:basedOn w:val="RecNo"/>
    <w:next w:val="Normal"/>
    <w:rsid w:val="00434AB1"/>
    <w:pPr>
      <w:jc w:val="center"/>
    </w:pPr>
    <w:rPr>
      <w:rFonts w:ascii="Times New Roman" w:hAnsi="Times New Roman" w:cs="Times New Roman"/>
      <w:b w:val="0"/>
      <w:bCs/>
      <w:caps/>
    </w:rPr>
  </w:style>
  <w:style w:type="paragraph" w:customStyle="1" w:styleId="Restitle">
    <w:name w:val="Res_title"/>
    <w:basedOn w:val="Rectitle"/>
    <w:next w:val="Normal"/>
    <w:rsid w:val="00434AB1"/>
  </w:style>
  <w:style w:type="paragraph" w:customStyle="1" w:styleId="Opiniontitle">
    <w:name w:val="Opinion_title"/>
    <w:basedOn w:val="Normal"/>
    <w:next w:val="Normal"/>
    <w:qFormat/>
    <w:rsid w:val="00434AB1"/>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434AB1"/>
    <w:rPr>
      <w:bCs w:val="0"/>
      <w:lang w:val="fr-CH"/>
    </w:rPr>
  </w:style>
  <w:style w:type="paragraph" w:customStyle="1" w:styleId="Opinionref">
    <w:name w:val="Opinion_ref"/>
    <w:basedOn w:val="Annexref"/>
    <w:next w:val="Opiniontitle"/>
    <w:qFormat/>
    <w:rsid w:val="00434AB1"/>
    <w:rPr>
      <w:i/>
      <w:iCs/>
      <w:sz w:val="22"/>
      <w:szCs w:val="22"/>
      <w:lang w:val="fr-CH"/>
    </w:rPr>
  </w:style>
  <w:style w:type="paragraph" w:customStyle="1" w:styleId="Recref">
    <w:name w:val="Rec_ref"/>
    <w:basedOn w:val="Resref"/>
    <w:qFormat/>
    <w:rsid w:val="00434AB1"/>
    <w:rPr>
      <w:lang w:val="en-GB"/>
    </w:rPr>
  </w:style>
  <w:style w:type="paragraph" w:customStyle="1" w:styleId="HeadingSummary">
    <w:name w:val="HeadingSummary"/>
    <w:basedOn w:val="Headingb"/>
    <w:qFormat/>
    <w:rsid w:val="00434AB1"/>
  </w:style>
  <w:style w:type="character" w:styleId="PlaceholderText">
    <w:name w:val="Placeholder Text"/>
    <w:basedOn w:val="DefaultParagraphFont"/>
    <w:uiPriority w:val="99"/>
    <w:semiHidden/>
    <w:rsid w:val="00434AB1"/>
    <w:rPr>
      <w:color w:val="808080"/>
    </w:rPr>
  </w:style>
  <w:style w:type="paragraph" w:styleId="BalloonText">
    <w:name w:val="Balloon Text"/>
    <w:basedOn w:val="Normal"/>
    <w:link w:val="BalloonTextChar"/>
    <w:semiHidden/>
    <w:unhideWhenUsed/>
    <w:rsid w:val="00434AB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34AB1"/>
    <w:rPr>
      <w:rFonts w:ascii="Segoe UI" w:hAnsi="Segoe UI" w:cs="Segoe UI"/>
      <w:sz w:val="18"/>
      <w:szCs w:val="18"/>
      <w:lang w:val="en-GB" w:eastAsia="en-US"/>
    </w:rPr>
  </w:style>
  <w:style w:type="character" w:styleId="Hyperlink">
    <w:name w:val="Hyperlink"/>
    <w:basedOn w:val="DefaultParagraphFont"/>
    <w:unhideWhenUsed/>
    <w:rsid w:val="005456D5"/>
    <w:rPr>
      <w:color w:val="0000FF" w:themeColor="hyperlink"/>
      <w:u w:val="single"/>
    </w:rPr>
  </w:style>
  <w:style w:type="character" w:styleId="FollowedHyperlink">
    <w:name w:val="FollowedHyperlink"/>
    <w:basedOn w:val="DefaultParagraphFont"/>
    <w:semiHidden/>
    <w:unhideWhenUsed/>
    <w:rsid w:val="00AE79DC"/>
    <w:rPr>
      <w:color w:val="800080" w:themeColor="followedHyperlink"/>
      <w:u w:val="single"/>
    </w:rPr>
  </w:style>
  <w:style w:type="character" w:styleId="CommentReference">
    <w:name w:val="annotation reference"/>
    <w:basedOn w:val="DefaultParagraphFont"/>
    <w:semiHidden/>
    <w:unhideWhenUsed/>
    <w:rsid w:val="004A28DA"/>
    <w:rPr>
      <w:sz w:val="16"/>
      <w:szCs w:val="16"/>
    </w:rPr>
  </w:style>
  <w:style w:type="paragraph" w:styleId="CommentText">
    <w:name w:val="annotation text"/>
    <w:basedOn w:val="Normal"/>
    <w:link w:val="CommentTextChar"/>
    <w:semiHidden/>
    <w:unhideWhenUsed/>
    <w:rsid w:val="004A28DA"/>
    <w:rPr>
      <w:sz w:val="20"/>
    </w:rPr>
  </w:style>
  <w:style w:type="character" w:customStyle="1" w:styleId="CommentTextChar">
    <w:name w:val="Comment Text Char"/>
    <w:basedOn w:val="DefaultParagraphFont"/>
    <w:link w:val="CommentText"/>
    <w:semiHidden/>
    <w:rsid w:val="004A28D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A28DA"/>
    <w:rPr>
      <w:b/>
      <w:bCs/>
    </w:rPr>
  </w:style>
  <w:style w:type="character" w:customStyle="1" w:styleId="CommentSubjectChar">
    <w:name w:val="Comment Subject Char"/>
    <w:basedOn w:val="CommentTextChar"/>
    <w:link w:val="CommentSubject"/>
    <w:semiHidden/>
    <w:rsid w:val="004A28DA"/>
    <w:rPr>
      <w:rFonts w:ascii="Times New Roman" w:hAnsi="Times New Roman"/>
      <w:b/>
      <w:bCs/>
      <w:lang w:val="en-GB" w:eastAsia="en-US"/>
    </w:rPr>
  </w:style>
  <w:style w:type="paragraph" w:styleId="Revision">
    <w:name w:val="Revision"/>
    <w:hidden/>
    <w:uiPriority w:val="99"/>
    <w:semiHidden/>
    <w:rsid w:val="004671F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3-WTSA.16-C-0024/en" TargetMode="External"/><Relationship Id="rId18" Type="http://schemas.openxmlformats.org/officeDocument/2006/relationships/hyperlink" Target="http://www.itu.int/md/T13-WTSA.16-C-0024/e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md/T13-WTSA.16-C-0024/en" TargetMode="External"/><Relationship Id="rId17" Type="http://schemas.openxmlformats.org/officeDocument/2006/relationships/hyperlink" Target="http://www.itu.int/md/T13-WTSA.16-C-0024/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T13-WTSA.16-C-0024/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WTSA.16-C-0024/en"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itu.int/md/T13-WTSA.16-C-0024/en" TargetMode="External"/><Relationship Id="rId23" Type="http://schemas.openxmlformats.org/officeDocument/2006/relationships/fontTable" Target="fontTable.xml"/><Relationship Id="rId10" Type="http://schemas.openxmlformats.org/officeDocument/2006/relationships/hyperlink" Target="http://www.itu.int/md/T13-WTSA.16-C-0024/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md/T13-WTSA.16-C-0024/en"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bruce.gracie13@roger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WTSA16-F.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2A33BE"/>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33BE"/>
    <w:rPr>
      <w:color w:val="808080"/>
    </w:rPr>
  </w:style>
  <w:style w:type="paragraph" w:customStyle="1" w:styleId="CEF0515E39224C1BB445B352EB3113A9">
    <w:name w:val="CEF0515E39224C1BB445B352EB3113A9"/>
    <w:rsid w:val="00D83E31"/>
  </w:style>
  <w:style w:type="paragraph" w:customStyle="1" w:styleId="636B04E51DF84F78B06C9F21E3ACFB56">
    <w:name w:val="636B04E51DF84F78B06C9F21E3ACFB56"/>
    <w:rsid w:val="002A33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361BE-B146-492E-AC51-F3BD50691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WTSA16-F.docx</Template>
  <TotalTime>50</TotalTime>
  <Pages>3</Pages>
  <Words>1029</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7351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saxod</dc:creator>
  <dc:description>Template used by DPM and CPI for the WTSA-16</dc:description>
  <cp:lastModifiedBy>Clark, Robert</cp:lastModifiedBy>
  <cp:revision>10</cp:revision>
  <cp:lastPrinted>2016-09-16T08:26:00Z</cp:lastPrinted>
  <dcterms:created xsi:type="dcterms:W3CDTF">2016-09-16T07:45:00Z</dcterms:created>
  <dcterms:modified xsi:type="dcterms:W3CDTF">2016-09-21T08:09:00Z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