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590119" w:rsidRPr="00F50108" w:rsidTr="005D7A4D">
        <w:trPr>
          <w:cantSplit/>
        </w:trPr>
        <w:tc>
          <w:tcPr>
            <w:tcW w:w="1418" w:type="dxa"/>
            <w:vAlign w:val="center"/>
          </w:tcPr>
          <w:p w:rsidR="00590119" w:rsidRPr="00B73F4D" w:rsidRDefault="00A6538E" w:rsidP="000374D1">
            <w:pPr>
              <w:tabs>
                <w:tab w:val="right" w:pos="8732"/>
              </w:tabs>
              <w:spacing w:before="0"/>
              <w:rPr>
                <w:rFonts w:ascii="SimSun" w:hAnsi="SimSun"/>
                <w:b/>
                <w:bCs/>
                <w:iCs/>
                <w:color w:val="FFFFFF"/>
                <w:sz w:val="26"/>
                <w:szCs w:val="26"/>
              </w:rPr>
            </w:pPr>
            <w:r w:rsidRPr="009F68B7">
              <w:rPr>
                <w:noProof/>
                <w:lang w:eastAsia="zh-CN"/>
              </w:rPr>
              <w:drawing>
                <wp:inline distT="0" distB="0" distL="0" distR="0" wp14:anchorId="30DB8522" wp14:editId="708F388C">
                  <wp:extent cx="717550" cy="831850"/>
                  <wp:effectExtent l="0" t="0" r="6350" b="6350"/>
                  <wp:docPr id="1" name="Picture 1" descr="itu-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831850"/>
                          </a:xfrm>
                          <a:prstGeom prst="rect">
                            <a:avLst/>
                          </a:prstGeom>
                          <a:noFill/>
                          <a:ln>
                            <a:noFill/>
                          </a:ln>
                        </pic:spPr>
                      </pic:pic>
                    </a:graphicData>
                  </a:graphic>
                </wp:inline>
              </w:drawing>
            </w:r>
          </w:p>
        </w:tc>
        <w:tc>
          <w:tcPr>
            <w:tcW w:w="5953" w:type="dxa"/>
            <w:gridSpan w:val="2"/>
            <w:vAlign w:val="center"/>
          </w:tcPr>
          <w:p w:rsidR="006B463C" w:rsidRPr="00390EC6" w:rsidRDefault="006B463C" w:rsidP="000374D1">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0374D1">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A6538E" w:rsidP="000374D1">
            <w:pPr>
              <w:spacing w:before="0"/>
              <w:jc w:val="right"/>
              <w:rPr>
                <w:rFonts w:ascii="Verdana" w:hAnsi="Verdana"/>
                <w:color w:val="FFFFFF"/>
                <w:sz w:val="26"/>
                <w:szCs w:val="26"/>
              </w:rPr>
            </w:pPr>
            <w:bookmarkStart w:id="0" w:name="ditulogo"/>
            <w:bookmarkEnd w:id="0"/>
            <w:r w:rsidRPr="009F68B7">
              <w:rPr>
                <w:noProof/>
                <w:lang w:eastAsia="zh-CN"/>
              </w:rPr>
              <w:drawing>
                <wp:inline distT="0" distB="0" distL="0" distR="0" wp14:anchorId="4E8656C4" wp14:editId="12BB6A4F">
                  <wp:extent cx="876300" cy="762000"/>
                  <wp:effectExtent l="0" t="0" r="0" b="0"/>
                  <wp:docPr id="2" name="Picture 2" descr="ITUT60_blu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T60_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762000"/>
                          </a:xfrm>
                          <a:prstGeom prst="rect">
                            <a:avLst/>
                          </a:prstGeom>
                          <a:noFill/>
                          <a:ln>
                            <a:noFill/>
                          </a:ln>
                        </pic:spPr>
                      </pic:pic>
                    </a:graphicData>
                  </a:graphic>
                </wp:inline>
              </w:drawing>
            </w:r>
          </w:p>
        </w:tc>
      </w:tr>
      <w:tr w:rsidR="00F346AB" w:rsidRPr="00F50108" w:rsidTr="005D7A4D">
        <w:trPr>
          <w:cantSplit/>
        </w:trPr>
        <w:tc>
          <w:tcPr>
            <w:tcW w:w="6237" w:type="dxa"/>
            <w:gridSpan w:val="2"/>
            <w:vAlign w:val="center"/>
          </w:tcPr>
          <w:p w:rsidR="00F346AB" w:rsidRPr="00F50108" w:rsidRDefault="00F346AB" w:rsidP="000374D1">
            <w:pPr>
              <w:tabs>
                <w:tab w:val="right" w:pos="8732"/>
              </w:tabs>
              <w:spacing w:before="0"/>
              <w:rPr>
                <w:rFonts w:ascii="Verdana" w:hAnsi="Verdana"/>
                <w:b/>
                <w:bCs/>
                <w:iCs/>
                <w:sz w:val="18"/>
                <w:szCs w:val="18"/>
              </w:rPr>
            </w:pPr>
          </w:p>
        </w:tc>
        <w:tc>
          <w:tcPr>
            <w:tcW w:w="3261" w:type="dxa"/>
            <w:gridSpan w:val="2"/>
            <w:vAlign w:val="center"/>
          </w:tcPr>
          <w:p w:rsidR="00F346AB" w:rsidRPr="00F50108" w:rsidRDefault="00F346AB" w:rsidP="000374D1">
            <w:pPr>
              <w:spacing w:before="0"/>
              <w:ind w:left="993" w:hanging="993"/>
              <w:jc w:val="right"/>
              <w:rPr>
                <w:rFonts w:ascii="Verdana" w:hAnsi="Verdana"/>
                <w:sz w:val="18"/>
                <w:szCs w:val="18"/>
                <w:lang w:val="en-US"/>
              </w:rPr>
            </w:pPr>
          </w:p>
        </w:tc>
      </w:tr>
    </w:tbl>
    <w:p w:rsidR="0063445E" w:rsidRDefault="0063445E" w:rsidP="000374D1">
      <w:pPr>
        <w:pStyle w:val="Index1"/>
        <w:tabs>
          <w:tab w:val="clear" w:pos="794"/>
          <w:tab w:val="clear" w:pos="1191"/>
          <w:tab w:val="clear" w:pos="1588"/>
          <w:tab w:val="clear" w:pos="1985"/>
          <w:tab w:val="left" w:pos="5387"/>
        </w:tabs>
        <w:rPr>
          <w:lang w:eastAsia="zh-CN"/>
        </w:rPr>
      </w:pPr>
    </w:p>
    <w:p w:rsidR="0063445E" w:rsidRDefault="0063445E" w:rsidP="000374D1">
      <w:pPr>
        <w:pStyle w:val="Index1"/>
        <w:tabs>
          <w:tab w:val="clear" w:pos="794"/>
          <w:tab w:val="clear" w:pos="1191"/>
          <w:tab w:val="clear" w:pos="1588"/>
          <w:tab w:val="clear" w:pos="1985"/>
          <w:tab w:val="left" w:pos="5387"/>
        </w:tabs>
        <w:rPr>
          <w:lang w:eastAsia="zh-CN"/>
        </w:rPr>
      </w:pPr>
      <w:r>
        <w:rPr>
          <w:lang w:eastAsia="zh-CN"/>
        </w:rPr>
        <w:tab/>
      </w:r>
      <w:r w:rsidR="005B7162">
        <w:rPr>
          <w:lang w:eastAsia="zh-CN"/>
        </w:rPr>
        <w:t>201</w:t>
      </w:r>
      <w:r w:rsidR="00A6538E">
        <w:rPr>
          <w:lang w:eastAsia="zh-CN"/>
        </w:rPr>
        <w:t>6</w:t>
      </w:r>
      <w:r w:rsidR="005B7162">
        <w:rPr>
          <w:rFonts w:hint="eastAsia"/>
          <w:lang w:eastAsia="zh-CN"/>
        </w:rPr>
        <w:t>年</w:t>
      </w:r>
      <w:r w:rsidR="005B7162">
        <w:rPr>
          <w:lang w:eastAsia="zh-CN"/>
        </w:rPr>
        <w:t>1</w:t>
      </w:r>
      <w:r w:rsidR="00A6538E">
        <w:rPr>
          <w:lang w:eastAsia="zh-CN"/>
        </w:rPr>
        <w:t>1</w:t>
      </w:r>
      <w:r w:rsidR="005B7162">
        <w:rPr>
          <w:lang w:eastAsia="zh-CN"/>
        </w:rPr>
        <w:t>月</w:t>
      </w:r>
      <w:r w:rsidR="005B7162">
        <w:rPr>
          <w:lang w:eastAsia="zh-CN"/>
        </w:rPr>
        <w:t>2</w:t>
      </w:r>
      <w:r w:rsidR="00A6538E">
        <w:rPr>
          <w:lang w:eastAsia="zh-CN"/>
        </w:rPr>
        <w:t>8</w:t>
      </w:r>
      <w:r w:rsidR="005B7162">
        <w:rPr>
          <w:lang w:eastAsia="zh-CN"/>
        </w:rPr>
        <w:t>日</w:t>
      </w:r>
      <w:r w:rsidR="005B7162">
        <w:rPr>
          <w:rFonts w:hint="eastAsia"/>
          <w:lang w:eastAsia="zh-CN"/>
        </w:rPr>
        <w:t>，日内瓦</w:t>
      </w:r>
    </w:p>
    <w:p w:rsidR="0063445E" w:rsidRDefault="0063445E" w:rsidP="000374D1"/>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0C6FAA" w:rsidRDefault="0063445E" w:rsidP="000374D1">
            <w:pPr>
              <w:tabs>
                <w:tab w:val="left" w:pos="4111"/>
              </w:tabs>
              <w:spacing w:before="10"/>
              <w:rPr>
                <w:b/>
                <w:bCs/>
                <w:szCs w:val="24"/>
                <w:lang w:eastAsia="zh-CN"/>
              </w:rPr>
            </w:pPr>
            <w:r w:rsidRPr="000C6FAA">
              <w:rPr>
                <w:rFonts w:hint="eastAsia"/>
                <w:b/>
                <w:bCs/>
                <w:szCs w:val="24"/>
                <w:lang w:eastAsia="zh-CN"/>
              </w:rPr>
              <w:t>文号：</w:t>
            </w:r>
          </w:p>
          <w:p w:rsidR="0063445E" w:rsidRPr="000C6FAA" w:rsidRDefault="0063445E" w:rsidP="000374D1">
            <w:pPr>
              <w:tabs>
                <w:tab w:val="left" w:pos="4111"/>
              </w:tabs>
              <w:spacing w:before="10"/>
              <w:rPr>
                <w:b/>
                <w:bCs/>
                <w:szCs w:val="24"/>
              </w:rPr>
            </w:pPr>
          </w:p>
          <w:p w:rsidR="0063445E" w:rsidRPr="000C6FAA" w:rsidRDefault="0063445E" w:rsidP="000374D1">
            <w:pPr>
              <w:tabs>
                <w:tab w:val="left" w:pos="4111"/>
              </w:tabs>
              <w:spacing w:before="10"/>
              <w:rPr>
                <w:b/>
                <w:bCs/>
                <w:szCs w:val="24"/>
                <w:lang w:eastAsia="zh-CN"/>
              </w:rPr>
            </w:pPr>
            <w:r w:rsidRPr="000C6FAA">
              <w:rPr>
                <w:b/>
                <w:bCs/>
                <w:szCs w:val="24"/>
              </w:rPr>
              <w:br/>
            </w:r>
            <w:r w:rsidRPr="000C6FAA">
              <w:rPr>
                <w:rFonts w:hint="eastAsia"/>
                <w:b/>
                <w:bCs/>
                <w:szCs w:val="24"/>
                <w:lang w:eastAsia="zh-CN"/>
              </w:rPr>
              <w:t>电话：</w:t>
            </w:r>
          </w:p>
          <w:p w:rsidR="0063445E" w:rsidRPr="000C6FAA" w:rsidRDefault="0063445E" w:rsidP="000374D1">
            <w:pPr>
              <w:tabs>
                <w:tab w:val="left" w:pos="4111"/>
              </w:tabs>
              <w:spacing w:before="10"/>
              <w:rPr>
                <w:rFonts w:ascii="Futura Lt BT" w:hAnsi="Futura Lt BT"/>
                <w:b/>
                <w:bCs/>
                <w:szCs w:val="24"/>
                <w:lang w:eastAsia="zh-CN"/>
              </w:rPr>
            </w:pPr>
            <w:r w:rsidRPr="000C6FAA">
              <w:rPr>
                <w:rFonts w:hint="eastAsia"/>
                <w:b/>
                <w:bCs/>
                <w:szCs w:val="24"/>
                <w:lang w:eastAsia="zh-CN"/>
              </w:rPr>
              <w:t>传真：</w:t>
            </w:r>
          </w:p>
        </w:tc>
        <w:tc>
          <w:tcPr>
            <w:tcW w:w="4436" w:type="dxa"/>
          </w:tcPr>
          <w:p w:rsidR="005B7162" w:rsidRPr="008B1EB3" w:rsidRDefault="005B7162" w:rsidP="000374D1">
            <w:pPr>
              <w:tabs>
                <w:tab w:val="left" w:pos="4111"/>
              </w:tabs>
              <w:spacing w:before="10"/>
              <w:rPr>
                <w:b/>
                <w:szCs w:val="24"/>
                <w:lang w:eastAsia="zh-CN"/>
              </w:rPr>
            </w:pPr>
            <w:r w:rsidRPr="008B1EB3">
              <w:rPr>
                <w:rFonts w:hint="eastAsia"/>
                <w:b/>
                <w:szCs w:val="24"/>
                <w:lang w:eastAsia="zh-CN"/>
              </w:rPr>
              <w:t>电信标准化局第</w:t>
            </w:r>
            <w:r w:rsidR="00A6538E">
              <w:rPr>
                <w:b/>
                <w:szCs w:val="24"/>
                <w:lang w:eastAsia="zh-CN"/>
              </w:rPr>
              <w:t>2</w:t>
            </w:r>
            <w:r>
              <w:rPr>
                <w:b/>
                <w:szCs w:val="24"/>
                <w:lang w:eastAsia="zh-CN"/>
              </w:rPr>
              <w:t>4</w:t>
            </w:r>
            <w:r w:rsidR="00A6538E">
              <w:rPr>
                <w:b/>
                <w:szCs w:val="24"/>
                <w:lang w:eastAsia="zh-CN"/>
              </w:rPr>
              <w:t>6</w:t>
            </w:r>
            <w:r w:rsidRPr="008B1EB3">
              <w:rPr>
                <w:rFonts w:hint="eastAsia"/>
                <w:b/>
                <w:szCs w:val="24"/>
                <w:lang w:eastAsia="zh-CN"/>
              </w:rPr>
              <w:t>号通函</w:t>
            </w:r>
          </w:p>
          <w:p w:rsidR="0063445E" w:rsidRPr="00841612" w:rsidRDefault="00A6538E" w:rsidP="000374D1">
            <w:pPr>
              <w:tabs>
                <w:tab w:val="left" w:pos="4111"/>
              </w:tabs>
              <w:spacing w:before="0"/>
              <w:rPr>
                <w:b/>
                <w:szCs w:val="24"/>
                <w:lang w:eastAsia="zh-CN"/>
              </w:rPr>
            </w:pPr>
            <w:r>
              <w:rPr>
                <w:lang w:eastAsia="zh-CN"/>
              </w:rPr>
              <w:t>SG</w:t>
            </w:r>
            <w:r w:rsidR="005B7162">
              <w:rPr>
                <w:lang w:eastAsia="zh-CN"/>
              </w:rPr>
              <w:t xml:space="preserve"> 17/MEU</w:t>
            </w:r>
          </w:p>
          <w:p w:rsidR="005B7162" w:rsidRPr="00841612" w:rsidRDefault="0063445E" w:rsidP="000374D1">
            <w:pPr>
              <w:tabs>
                <w:tab w:val="left" w:pos="4111"/>
              </w:tabs>
              <w:spacing w:before="80"/>
              <w:rPr>
                <w:szCs w:val="24"/>
                <w:lang w:val="en-US" w:eastAsia="zh-CN"/>
              </w:rPr>
            </w:pPr>
            <w:r w:rsidRPr="00841612">
              <w:rPr>
                <w:szCs w:val="24"/>
                <w:lang w:eastAsia="zh-CN"/>
              </w:rPr>
              <w:br/>
            </w:r>
            <w:r w:rsidR="005B7162">
              <w:rPr>
                <w:szCs w:val="24"/>
                <w:lang w:eastAsia="zh-CN"/>
              </w:rPr>
              <w:t>+41 22 730 5866</w:t>
            </w:r>
          </w:p>
          <w:p w:rsidR="0063445E" w:rsidRPr="00841612" w:rsidRDefault="005B7162" w:rsidP="000374D1">
            <w:pPr>
              <w:tabs>
                <w:tab w:val="left" w:pos="4111"/>
              </w:tabs>
              <w:spacing w:before="40"/>
              <w:rPr>
                <w:szCs w:val="24"/>
                <w:lang w:eastAsia="zh-CN"/>
              </w:rPr>
            </w:pPr>
            <w:r w:rsidRPr="00841612">
              <w:rPr>
                <w:szCs w:val="24"/>
                <w:lang w:eastAsia="zh-CN"/>
              </w:rPr>
              <w:t>+41 22 730 5853</w:t>
            </w:r>
          </w:p>
        </w:tc>
        <w:tc>
          <w:tcPr>
            <w:tcW w:w="4436" w:type="dxa"/>
          </w:tcPr>
          <w:p w:rsidR="0063445E" w:rsidRDefault="005B7162" w:rsidP="000374D1">
            <w:pPr>
              <w:tabs>
                <w:tab w:val="clear" w:pos="794"/>
                <w:tab w:val="clear" w:pos="1191"/>
                <w:tab w:val="clear" w:pos="1588"/>
                <w:tab w:val="clear" w:pos="1985"/>
                <w:tab w:val="left" w:pos="284"/>
              </w:tabs>
              <w:spacing w:before="0"/>
              <w:ind w:left="284" w:hanging="284"/>
              <w:rPr>
                <w:lang w:eastAsia="zh-CN"/>
              </w:rPr>
            </w:pPr>
            <w:bookmarkStart w:id="1" w:name="Addressee_E"/>
            <w:bookmarkEnd w:id="1"/>
            <w:r w:rsidRPr="00D04B1F">
              <w:rPr>
                <w:rFonts w:ascii="Calibri" w:hAnsi="Calibri" w:cs="Microsoft YaHei"/>
                <w:lang w:eastAsia="zh-CN"/>
              </w:rPr>
              <w:t>–</w:t>
            </w:r>
            <w:r w:rsidRPr="00276F18">
              <w:rPr>
                <w:rFonts w:ascii="Calibri" w:hAnsi="Calibri" w:cs="Microsoft YaHei"/>
                <w:lang w:eastAsia="zh-CN"/>
              </w:rPr>
              <w:tab/>
            </w:r>
            <w:r>
              <w:rPr>
                <w:rFonts w:ascii="Calibri" w:hAnsi="Calibri" w:cs="Microsoft YaHei" w:hint="eastAsia"/>
                <w:lang w:eastAsia="zh-CN"/>
              </w:rPr>
              <w:t>致</w:t>
            </w:r>
            <w:r w:rsidRPr="00276F18">
              <w:rPr>
                <w:rFonts w:ascii="Calibri" w:hAnsi="Calibri" w:cs="Microsoft YaHei" w:hint="eastAsia"/>
                <w:lang w:eastAsia="zh-CN"/>
              </w:rPr>
              <w:t>国际电联各成员国主管部门</w:t>
            </w:r>
          </w:p>
        </w:tc>
      </w:tr>
      <w:tr w:rsidR="0063445E">
        <w:trPr>
          <w:cantSplit/>
        </w:trPr>
        <w:tc>
          <w:tcPr>
            <w:tcW w:w="993" w:type="dxa"/>
          </w:tcPr>
          <w:p w:rsidR="0063445E" w:rsidRPr="000C6FAA" w:rsidRDefault="0063445E" w:rsidP="000374D1">
            <w:pPr>
              <w:spacing w:before="40"/>
              <w:rPr>
                <w:b/>
                <w:bCs/>
                <w:szCs w:val="24"/>
                <w:lang w:eastAsia="zh-CN"/>
              </w:rPr>
            </w:pPr>
            <w:r w:rsidRPr="000C6FAA">
              <w:rPr>
                <w:rFonts w:hint="eastAsia"/>
                <w:b/>
                <w:bCs/>
                <w:szCs w:val="24"/>
                <w:lang w:eastAsia="zh-CN"/>
              </w:rPr>
              <w:t>电子</w:t>
            </w:r>
            <w:r w:rsidR="00F9383A" w:rsidRPr="000C6FAA">
              <w:rPr>
                <w:b/>
                <w:bCs/>
                <w:szCs w:val="24"/>
                <w:lang w:eastAsia="zh-CN"/>
              </w:rPr>
              <w:br/>
            </w:r>
            <w:r w:rsidRPr="000C6FAA">
              <w:rPr>
                <w:rFonts w:hint="eastAsia"/>
                <w:b/>
                <w:bCs/>
                <w:szCs w:val="24"/>
                <w:lang w:eastAsia="zh-CN"/>
              </w:rPr>
              <w:t>邮件：</w:t>
            </w:r>
          </w:p>
        </w:tc>
        <w:tc>
          <w:tcPr>
            <w:tcW w:w="4436" w:type="dxa"/>
          </w:tcPr>
          <w:p w:rsidR="00D70069" w:rsidRDefault="00D70069" w:rsidP="000374D1">
            <w:pPr>
              <w:tabs>
                <w:tab w:val="left" w:pos="4111"/>
              </w:tabs>
              <w:spacing w:before="0"/>
            </w:pPr>
          </w:p>
          <w:p w:rsidR="00C70EDA" w:rsidRPr="00C70EDA" w:rsidRDefault="0091442D" w:rsidP="000374D1">
            <w:pPr>
              <w:tabs>
                <w:tab w:val="left" w:pos="4111"/>
              </w:tabs>
              <w:spacing w:before="60"/>
              <w:rPr>
                <w:color w:val="0000FF"/>
                <w:u w:val="single"/>
                <w:lang w:eastAsia="zh-CN"/>
              </w:rPr>
            </w:pPr>
            <w:hyperlink r:id="rId10" w:history="1">
              <w:r w:rsidR="00C70EDA" w:rsidRPr="00C70938">
                <w:rPr>
                  <w:rStyle w:val="Hyperlink"/>
                  <w:lang w:eastAsia="zh-CN"/>
                </w:rPr>
                <w:t>tsbsg17@itu.int</w:t>
              </w:r>
            </w:hyperlink>
          </w:p>
          <w:p w:rsidR="007568DA" w:rsidRPr="00841612" w:rsidRDefault="007568DA" w:rsidP="000374D1">
            <w:pPr>
              <w:tabs>
                <w:tab w:val="left" w:pos="4111"/>
              </w:tabs>
              <w:spacing w:before="40"/>
              <w:rPr>
                <w:szCs w:val="24"/>
                <w:lang w:eastAsia="zh-CN"/>
              </w:rPr>
            </w:pPr>
          </w:p>
        </w:tc>
        <w:tc>
          <w:tcPr>
            <w:tcW w:w="4436" w:type="dxa"/>
          </w:tcPr>
          <w:p w:rsidR="005B7162" w:rsidRPr="00E02380" w:rsidRDefault="005B7162" w:rsidP="000374D1">
            <w:pPr>
              <w:tabs>
                <w:tab w:val="left" w:pos="4111"/>
              </w:tabs>
              <w:spacing w:before="0"/>
              <w:rPr>
                <w:b/>
                <w:lang w:eastAsia="zh-CN"/>
              </w:rPr>
            </w:pPr>
            <w:r>
              <w:rPr>
                <w:rFonts w:hint="eastAsia"/>
                <w:b/>
                <w:lang w:eastAsia="zh-CN"/>
              </w:rPr>
              <w:t>抄送：</w:t>
            </w:r>
          </w:p>
          <w:p w:rsidR="005B7162" w:rsidRPr="00E02380" w:rsidRDefault="005B7162" w:rsidP="000374D1">
            <w:pPr>
              <w:pStyle w:val="Tabletext"/>
              <w:tabs>
                <w:tab w:val="clear" w:pos="284"/>
                <w:tab w:val="clear" w:pos="567"/>
                <w:tab w:val="left" w:pos="283"/>
              </w:tabs>
              <w:ind w:left="283" w:hanging="283"/>
              <w:rPr>
                <w:rFonts w:ascii="Calibri" w:eastAsia="SimSun" w:hAnsi="Calibri"/>
                <w:lang w:eastAsia="zh-CN"/>
              </w:rPr>
            </w:pPr>
            <w:r w:rsidRPr="00E02380">
              <w:rPr>
                <w:rFonts w:ascii="Calibri" w:eastAsia="SimSun" w:hAnsi="Calibri"/>
                <w:lang w:eastAsia="zh-CN"/>
              </w:rPr>
              <w:t>–</w:t>
            </w:r>
            <w:r w:rsidRPr="00E02380">
              <w:rPr>
                <w:rFonts w:ascii="Calibri" w:eastAsia="SimSun" w:hAnsi="Calibri"/>
                <w:lang w:eastAsia="zh-CN"/>
              </w:rPr>
              <w:tab/>
              <w:t>ITU-T</w:t>
            </w:r>
            <w:r w:rsidRPr="00E02380">
              <w:rPr>
                <w:rFonts w:ascii="Calibri" w:eastAsia="SimSun" w:hAnsi="Calibri"/>
                <w:lang w:eastAsia="zh-CN"/>
              </w:rPr>
              <w:t>部门成员；</w:t>
            </w:r>
          </w:p>
          <w:p w:rsidR="005B7162" w:rsidRPr="00E02380" w:rsidRDefault="005B7162" w:rsidP="000374D1">
            <w:pPr>
              <w:pStyle w:val="Tabletext"/>
              <w:tabs>
                <w:tab w:val="clear" w:pos="284"/>
                <w:tab w:val="clear" w:pos="567"/>
                <w:tab w:val="left" w:pos="283"/>
              </w:tabs>
              <w:ind w:left="283" w:hanging="283"/>
              <w:rPr>
                <w:rFonts w:ascii="Calibri" w:eastAsia="SimSun" w:hAnsi="Calibri"/>
                <w:lang w:eastAsia="zh-CN"/>
              </w:rPr>
            </w:pPr>
            <w:r w:rsidRPr="00E02380">
              <w:rPr>
                <w:rFonts w:ascii="Calibri" w:eastAsia="SimSun" w:hAnsi="Calibri"/>
                <w:lang w:eastAsia="zh-CN"/>
              </w:rPr>
              <w:t>–</w:t>
            </w:r>
            <w:r w:rsidRPr="00E02380">
              <w:rPr>
                <w:rFonts w:ascii="Calibri" w:eastAsia="SimSun" w:hAnsi="Calibri"/>
                <w:lang w:eastAsia="zh-CN"/>
              </w:rPr>
              <w:tab/>
              <w:t>ITU-T</w:t>
            </w:r>
            <w:r w:rsidRPr="00E02380">
              <w:rPr>
                <w:rFonts w:ascii="Calibri" w:eastAsia="SimSun" w:hAnsi="Calibri"/>
                <w:lang w:eastAsia="zh-CN"/>
              </w:rPr>
              <w:t>部门准成员；</w:t>
            </w:r>
          </w:p>
          <w:p w:rsidR="005B7162" w:rsidRPr="00E02380" w:rsidRDefault="005B7162" w:rsidP="000374D1">
            <w:pPr>
              <w:pStyle w:val="Tabletext"/>
              <w:tabs>
                <w:tab w:val="clear" w:pos="284"/>
                <w:tab w:val="clear" w:pos="567"/>
                <w:tab w:val="left" w:pos="283"/>
              </w:tabs>
              <w:ind w:left="283" w:hanging="283"/>
              <w:rPr>
                <w:rFonts w:ascii="Calibri" w:eastAsia="SimSun" w:hAnsi="Calibri"/>
                <w:lang w:eastAsia="zh-CN"/>
              </w:rPr>
            </w:pPr>
            <w:r w:rsidRPr="00E02380">
              <w:rPr>
                <w:rFonts w:ascii="Calibri" w:eastAsia="SimSun" w:hAnsi="Calibri"/>
                <w:lang w:eastAsia="zh-CN"/>
              </w:rPr>
              <w:t>–</w:t>
            </w:r>
            <w:r w:rsidRPr="00E02380">
              <w:rPr>
                <w:rFonts w:ascii="Calibri" w:eastAsia="SimSun" w:hAnsi="Calibri"/>
                <w:lang w:eastAsia="zh-CN"/>
              </w:rPr>
              <w:tab/>
            </w:r>
            <w:proofErr w:type="spellStart"/>
            <w:r w:rsidR="00BD77CF" w:rsidRPr="0038372D">
              <w:rPr>
                <w:rFonts w:asciiTheme="minorEastAsia" w:hAnsiTheme="minorEastAsia" w:cs="Microsoft YaHei" w:hint="eastAsia"/>
                <w:lang w:eastAsia="zh-CN"/>
              </w:rPr>
              <w:t>国际</w:t>
            </w:r>
            <w:r w:rsidR="00BD77CF" w:rsidRPr="0038372D">
              <w:rPr>
                <w:rFonts w:asciiTheme="minorEastAsia" w:hAnsiTheme="minorEastAsia" w:cs="Microsoft YaHei"/>
                <w:lang w:eastAsia="zh-CN"/>
              </w:rPr>
              <w:t>电联</w:t>
            </w:r>
            <w:r w:rsidR="00BD77CF" w:rsidRPr="0038372D">
              <w:rPr>
                <w:rFonts w:asciiTheme="minorEastAsia" w:hAnsiTheme="minorEastAsia" w:cs="Microsoft YaHei" w:hint="eastAsia"/>
                <w:lang w:eastAsia="zh-CN"/>
              </w:rPr>
              <w:t>学术成员</w:t>
            </w:r>
            <w:proofErr w:type="spellEnd"/>
            <w:r w:rsidRPr="00E02380">
              <w:rPr>
                <w:rFonts w:ascii="Calibri" w:eastAsia="SimSun" w:hAnsi="Calibri"/>
                <w:lang w:eastAsia="zh-CN"/>
              </w:rPr>
              <w:t>；</w:t>
            </w:r>
          </w:p>
          <w:p w:rsidR="005B7162" w:rsidRPr="00E02380" w:rsidRDefault="005B7162" w:rsidP="000374D1">
            <w:pPr>
              <w:pStyle w:val="Tabletext"/>
              <w:tabs>
                <w:tab w:val="clear" w:pos="284"/>
                <w:tab w:val="clear" w:pos="567"/>
                <w:tab w:val="left" w:pos="283"/>
              </w:tabs>
              <w:ind w:left="283" w:hanging="283"/>
              <w:rPr>
                <w:rFonts w:ascii="Calibri" w:eastAsia="SimSun" w:hAnsi="Calibri"/>
                <w:lang w:eastAsia="zh-CN"/>
              </w:rPr>
            </w:pPr>
            <w:r w:rsidRPr="00E02380">
              <w:rPr>
                <w:rFonts w:ascii="Calibri" w:eastAsia="SimSun" w:hAnsi="Calibri"/>
                <w:lang w:eastAsia="zh-CN"/>
              </w:rPr>
              <w:t>–</w:t>
            </w:r>
            <w:r w:rsidRPr="00E02380">
              <w:rPr>
                <w:rFonts w:ascii="Calibri" w:eastAsia="SimSun" w:hAnsi="Calibri"/>
                <w:lang w:eastAsia="zh-CN"/>
              </w:rPr>
              <w:tab/>
            </w:r>
            <w:r w:rsidR="00A6538E">
              <w:rPr>
                <w:lang w:eastAsia="zh-CN"/>
              </w:rPr>
              <w:t>ITU-T</w:t>
            </w:r>
            <w:r w:rsidRPr="00E02380">
              <w:rPr>
                <w:rFonts w:ascii="Calibri" w:eastAsia="SimSun" w:hAnsi="Calibri"/>
                <w:lang w:eastAsia="zh-CN"/>
              </w:rPr>
              <w:t>第</w:t>
            </w:r>
            <w:r w:rsidRPr="00E02380">
              <w:rPr>
                <w:rFonts w:ascii="Calibri" w:eastAsia="SimSun" w:hAnsi="Calibri"/>
                <w:lang w:eastAsia="zh-CN"/>
              </w:rPr>
              <w:t>17</w:t>
            </w:r>
            <w:r w:rsidRPr="00E02380">
              <w:rPr>
                <w:rFonts w:ascii="Calibri" w:eastAsia="SimSun" w:hAnsi="Calibri"/>
                <w:lang w:eastAsia="zh-CN"/>
              </w:rPr>
              <w:t>研究组正副主席；</w:t>
            </w:r>
          </w:p>
          <w:p w:rsidR="005B7162" w:rsidRDefault="005B7162" w:rsidP="000374D1">
            <w:pPr>
              <w:pStyle w:val="Tabletext"/>
              <w:tabs>
                <w:tab w:val="clear" w:pos="284"/>
                <w:tab w:val="clear" w:pos="567"/>
                <w:tab w:val="left" w:pos="283"/>
              </w:tabs>
              <w:ind w:left="283" w:hanging="283"/>
              <w:rPr>
                <w:rFonts w:ascii="Calibri" w:eastAsia="SimSun" w:hAnsi="Calibri"/>
                <w:lang w:eastAsia="zh-CN"/>
              </w:rPr>
            </w:pPr>
            <w:r w:rsidRPr="00E02380">
              <w:rPr>
                <w:rFonts w:ascii="Calibri" w:eastAsia="SimSun" w:hAnsi="Calibri"/>
                <w:lang w:eastAsia="zh-CN"/>
              </w:rPr>
              <w:t>–</w:t>
            </w:r>
            <w:r w:rsidRPr="00E02380">
              <w:rPr>
                <w:rFonts w:ascii="Calibri" w:eastAsia="SimSun" w:hAnsi="Calibri"/>
                <w:lang w:eastAsia="zh-CN"/>
              </w:rPr>
              <w:tab/>
            </w:r>
            <w:r w:rsidRPr="00E02380">
              <w:rPr>
                <w:rFonts w:ascii="Calibri" w:eastAsia="SimSun" w:hAnsi="Calibri"/>
                <w:lang w:eastAsia="zh-CN"/>
              </w:rPr>
              <w:t>电信发展局主任；</w:t>
            </w:r>
          </w:p>
          <w:p w:rsidR="0063445E" w:rsidRDefault="00A577A3" w:rsidP="000374D1">
            <w:pPr>
              <w:pStyle w:val="Tabletext"/>
              <w:tabs>
                <w:tab w:val="clear" w:pos="567"/>
              </w:tabs>
              <w:ind w:left="283" w:hanging="283"/>
              <w:rPr>
                <w:lang w:eastAsia="zh-CN"/>
              </w:rPr>
            </w:pPr>
            <w:r w:rsidRPr="00A577A3">
              <w:rPr>
                <w:rFonts w:ascii="Calibri" w:eastAsia="SimSun" w:hAnsi="Calibri"/>
                <w:lang w:eastAsia="zh-CN"/>
              </w:rPr>
              <w:t>–</w:t>
            </w:r>
            <w:r w:rsidRPr="00A577A3">
              <w:rPr>
                <w:rFonts w:ascii="Calibri" w:eastAsia="SimSun" w:hAnsi="Calibri"/>
                <w:lang w:eastAsia="zh-CN"/>
              </w:rPr>
              <w:tab/>
            </w:r>
            <w:r w:rsidRPr="00A577A3">
              <w:rPr>
                <w:rFonts w:ascii="Calibri" w:eastAsia="SimSun" w:hAnsi="Calibri"/>
                <w:lang w:eastAsia="zh-CN"/>
              </w:rPr>
              <w:t>无线电通信局主任</w:t>
            </w:r>
          </w:p>
        </w:tc>
      </w:tr>
    </w:tbl>
    <w:p w:rsidR="0063445E" w:rsidRDefault="0063445E" w:rsidP="000374D1">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993"/>
        <w:gridCol w:w="7796"/>
      </w:tblGrid>
      <w:tr w:rsidR="0063445E" w:rsidTr="00A577A3">
        <w:trPr>
          <w:cantSplit/>
        </w:trPr>
        <w:tc>
          <w:tcPr>
            <w:tcW w:w="993" w:type="dxa"/>
          </w:tcPr>
          <w:p w:rsidR="0063445E" w:rsidRPr="000C6FAA" w:rsidRDefault="0063445E" w:rsidP="000374D1">
            <w:pPr>
              <w:tabs>
                <w:tab w:val="left" w:pos="4111"/>
              </w:tabs>
              <w:spacing w:before="10"/>
              <w:ind w:left="57"/>
              <w:rPr>
                <w:b/>
                <w:bCs/>
                <w:sz w:val="22"/>
                <w:lang w:eastAsia="zh-CN"/>
              </w:rPr>
            </w:pPr>
            <w:r w:rsidRPr="000C6FAA">
              <w:rPr>
                <w:rFonts w:hint="eastAsia"/>
                <w:b/>
                <w:bCs/>
                <w:sz w:val="22"/>
                <w:lang w:eastAsia="zh-CN"/>
              </w:rPr>
              <w:t>事由：</w:t>
            </w:r>
          </w:p>
        </w:tc>
        <w:tc>
          <w:tcPr>
            <w:tcW w:w="7796" w:type="dxa"/>
          </w:tcPr>
          <w:p w:rsidR="0063445E" w:rsidRDefault="00A6538E" w:rsidP="000374D1">
            <w:pPr>
              <w:tabs>
                <w:tab w:val="left" w:pos="4111"/>
              </w:tabs>
              <w:spacing w:before="0"/>
              <w:ind w:left="57" w:right="28"/>
              <w:rPr>
                <w:lang w:eastAsia="zh-CN"/>
              </w:rPr>
            </w:pPr>
            <w:r w:rsidRPr="00A6538E">
              <w:rPr>
                <w:b/>
                <w:lang w:eastAsia="zh-CN"/>
              </w:rPr>
              <w:t>ITU-T</w:t>
            </w:r>
            <w:r w:rsidR="005B7162" w:rsidRPr="008B1EB3">
              <w:rPr>
                <w:rFonts w:hint="eastAsia"/>
                <w:b/>
                <w:lang w:eastAsia="zh-CN"/>
              </w:rPr>
              <w:t>第</w:t>
            </w:r>
            <w:r w:rsidR="005B7162" w:rsidRPr="008B1EB3">
              <w:rPr>
                <w:rFonts w:hint="eastAsia"/>
                <w:b/>
                <w:lang w:eastAsia="zh-CN"/>
              </w:rPr>
              <w:t>17</w:t>
            </w:r>
            <w:r w:rsidR="005B7162" w:rsidRPr="008B1EB3">
              <w:rPr>
                <w:rFonts w:hint="eastAsia"/>
                <w:b/>
                <w:lang w:eastAsia="zh-CN"/>
              </w:rPr>
              <w:t>研究组</w:t>
            </w:r>
            <w:r w:rsidR="005B7162">
              <w:rPr>
                <w:rFonts w:hint="eastAsia"/>
                <w:b/>
                <w:lang w:eastAsia="zh-CN"/>
              </w:rPr>
              <w:t>会议</w:t>
            </w:r>
            <w:r w:rsidR="005B7162" w:rsidRPr="008B1EB3">
              <w:rPr>
                <w:rFonts w:hint="eastAsia"/>
                <w:b/>
                <w:lang w:eastAsia="zh-CN"/>
              </w:rPr>
              <w:t>按照世界电信标准化全会（</w:t>
            </w:r>
            <w:r w:rsidR="005B7162" w:rsidRPr="008B1EB3">
              <w:rPr>
                <w:rFonts w:hint="eastAsia"/>
                <w:b/>
                <w:lang w:eastAsia="zh-CN"/>
              </w:rPr>
              <w:t>2012</w:t>
            </w:r>
            <w:r w:rsidR="005B7162" w:rsidRPr="008B1EB3">
              <w:rPr>
                <w:rFonts w:hint="eastAsia"/>
                <w:b/>
                <w:lang w:eastAsia="zh-CN"/>
              </w:rPr>
              <w:t>年，迪拜</w:t>
            </w:r>
            <w:r w:rsidR="00704C40">
              <w:rPr>
                <w:rFonts w:hint="eastAsia"/>
                <w:b/>
                <w:lang w:eastAsia="zh-CN"/>
              </w:rPr>
              <w:t>，修订版</w:t>
            </w:r>
            <w:r w:rsidR="005B7162" w:rsidRPr="008B1EB3">
              <w:rPr>
                <w:rFonts w:hint="eastAsia"/>
                <w:b/>
                <w:lang w:eastAsia="zh-CN"/>
              </w:rPr>
              <w:t>）第</w:t>
            </w:r>
            <w:r w:rsidR="005B7162" w:rsidRPr="008B1EB3">
              <w:rPr>
                <w:rFonts w:hint="eastAsia"/>
                <w:b/>
                <w:lang w:eastAsia="zh-CN"/>
              </w:rPr>
              <w:t>1</w:t>
            </w:r>
            <w:r w:rsidR="005B7162" w:rsidRPr="008B1EB3">
              <w:rPr>
                <w:rFonts w:hint="eastAsia"/>
                <w:b/>
                <w:lang w:eastAsia="zh-CN"/>
              </w:rPr>
              <w:t>号决议第</w:t>
            </w:r>
            <w:r w:rsidR="005B7162" w:rsidRPr="008B1EB3">
              <w:rPr>
                <w:rFonts w:hint="eastAsia"/>
                <w:b/>
                <w:lang w:eastAsia="zh-CN"/>
              </w:rPr>
              <w:t>9</w:t>
            </w:r>
            <w:r w:rsidR="005B7162">
              <w:rPr>
                <w:rFonts w:hint="eastAsia"/>
                <w:b/>
                <w:lang w:eastAsia="zh-CN"/>
              </w:rPr>
              <w:t>节的规定</w:t>
            </w:r>
            <w:r w:rsidR="005B7162" w:rsidRPr="008B1EB3">
              <w:rPr>
                <w:rFonts w:hint="eastAsia"/>
                <w:b/>
                <w:lang w:eastAsia="zh-CN"/>
              </w:rPr>
              <w:t>批准</w:t>
            </w:r>
            <w:r w:rsidR="005B7162">
              <w:rPr>
                <w:b/>
                <w:bCs/>
                <w:lang w:eastAsia="zh-CN"/>
              </w:rPr>
              <w:t>ITU-</w:t>
            </w:r>
            <w:r w:rsidR="005B7162" w:rsidRPr="000305E1">
              <w:rPr>
                <w:b/>
                <w:bCs/>
                <w:lang w:eastAsia="zh-CN"/>
              </w:rPr>
              <w:t xml:space="preserve">T </w:t>
            </w:r>
            <w:r w:rsidR="005B7162" w:rsidRPr="00C304AC">
              <w:rPr>
                <w:b/>
                <w:bCs/>
                <w:lang w:eastAsia="zh-CN"/>
              </w:rPr>
              <w:t>X.</w:t>
            </w:r>
            <w:r w:rsidR="00704C40">
              <w:rPr>
                <w:b/>
                <w:lang w:eastAsia="zh-CN"/>
              </w:rPr>
              <w:t>1058 (</w:t>
            </w:r>
            <w:proofErr w:type="spellStart"/>
            <w:r w:rsidR="00704C40">
              <w:rPr>
                <w:b/>
                <w:lang w:eastAsia="zh-CN"/>
              </w:rPr>
              <w:t>X.gpim</w:t>
            </w:r>
            <w:proofErr w:type="spellEnd"/>
            <w:r w:rsidR="00704C40">
              <w:rPr>
                <w:b/>
                <w:lang w:eastAsia="zh-CN"/>
              </w:rPr>
              <w:t>)</w:t>
            </w:r>
            <w:r w:rsidR="005B7162">
              <w:rPr>
                <w:b/>
                <w:bCs/>
                <w:lang w:eastAsia="zh-CN"/>
              </w:rPr>
              <w:t>、</w:t>
            </w:r>
            <w:r w:rsidR="005B7162" w:rsidRPr="00C304AC">
              <w:rPr>
                <w:b/>
                <w:bCs/>
                <w:lang w:eastAsia="zh-CN"/>
              </w:rPr>
              <w:t>X.</w:t>
            </w:r>
            <w:r w:rsidR="00704C40">
              <w:rPr>
                <w:b/>
                <w:lang w:eastAsia="zh-CN"/>
              </w:rPr>
              <w:t>1080.0 (</w:t>
            </w:r>
            <w:proofErr w:type="spellStart"/>
            <w:r w:rsidR="00704C40">
              <w:rPr>
                <w:b/>
                <w:lang w:eastAsia="zh-CN"/>
              </w:rPr>
              <w:t>X.pbact</w:t>
            </w:r>
            <w:proofErr w:type="spellEnd"/>
            <w:r w:rsidR="00704C40">
              <w:rPr>
                <w:b/>
                <w:lang w:eastAsia="zh-CN"/>
              </w:rPr>
              <w:t>)</w:t>
            </w:r>
            <w:r w:rsidR="005B7162">
              <w:rPr>
                <w:b/>
                <w:bCs/>
                <w:lang w:eastAsia="zh-CN"/>
              </w:rPr>
              <w:t>、</w:t>
            </w:r>
            <w:r w:rsidR="005B7162" w:rsidRPr="00C304AC">
              <w:rPr>
                <w:b/>
                <w:bCs/>
                <w:lang w:eastAsia="zh-CN"/>
              </w:rPr>
              <w:t>X.</w:t>
            </w:r>
            <w:r w:rsidR="00704C40">
              <w:rPr>
                <w:b/>
                <w:lang w:eastAsia="zh-CN"/>
              </w:rPr>
              <w:t>1126 (X.msec-11)</w:t>
            </w:r>
            <w:r w:rsidR="005B7162">
              <w:rPr>
                <w:b/>
                <w:bCs/>
                <w:lang w:eastAsia="zh-CN"/>
              </w:rPr>
              <w:t>、</w:t>
            </w:r>
            <w:r w:rsidR="005B7162">
              <w:rPr>
                <w:b/>
                <w:bCs/>
                <w:lang w:eastAsia="zh-CN"/>
              </w:rPr>
              <w:t>X.</w:t>
            </w:r>
            <w:r w:rsidR="00704C40">
              <w:rPr>
                <w:b/>
              </w:rPr>
              <w:t>1212 (</w:t>
            </w:r>
            <w:proofErr w:type="spellStart"/>
            <w:r w:rsidR="00704C40">
              <w:rPr>
                <w:b/>
              </w:rPr>
              <w:t>X.cogent</w:t>
            </w:r>
            <w:proofErr w:type="spellEnd"/>
            <w:r w:rsidR="00704C40">
              <w:rPr>
                <w:b/>
              </w:rPr>
              <w:t>)</w:t>
            </w:r>
            <w:r w:rsidR="005B7162">
              <w:rPr>
                <w:b/>
                <w:bCs/>
                <w:lang w:eastAsia="zh-CN"/>
              </w:rPr>
              <w:t>、</w:t>
            </w:r>
            <w:r w:rsidR="005B7162" w:rsidRPr="00C304AC">
              <w:rPr>
                <w:b/>
                <w:bCs/>
                <w:lang w:eastAsia="zh-CN"/>
              </w:rPr>
              <w:t>X.</w:t>
            </w:r>
            <w:r w:rsidR="00704C40">
              <w:rPr>
                <w:b/>
              </w:rPr>
              <w:t>1362 (X.iotsec-1)</w:t>
            </w:r>
            <w:r w:rsidR="00704C40">
              <w:rPr>
                <w:rFonts w:hint="eastAsia"/>
                <w:b/>
                <w:lang w:eastAsia="zh-CN"/>
              </w:rPr>
              <w:t>、</w:t>
            </w:r>
            <w:r w:rsidR="00704C40">
              <w:rPr>
                <w:b/>
              </w:rPr>
              <w:t>X.1373 (X.itssec-1)</w:t>
            </w:r>
            <w:r w:rsidR="00704C40">
              <w:rPr>
                <w:rFonts w:hint="eastAsia"/>
                <w:b/>
                <w:lang w:eastAsia="zh-CN"/>
              </w:rPr>
              <w:t>和</w:t>
            </w:r>
            <w:r w:rsidR="00704C40">
              <w:rPr>
                <w:b/>
              </w:rPr>
              <w:t>X.1550 (</w:t>
            </w:r>
            <w:proofErr w:type="spellStart"/>
            <w:r w:rsidR="00704C40">
              <w:rPr>
                <w:b/>
              </w:rPr>
              <w:t>X.nessa</w:t>
            </w:r>
            <w:proofErr w:type="spellEnd"/>
            <w:r w:rsidR="00704C40">
              <w:rPr>
                <w:b/>
              </w:rPr>
              <w:t>)</w:t>
            </w:r>
            <w:r w:rsidR="005B7162" w:rsidRPr="008B1EB3">
              <w:rPr>
                <w:rFonts w:hint="eastAsia"/>
                <w:b/>
                <w:lang w:eastAsia="zh-CN"/>
              </w:rPr>
              <w:t>建议书草案</w:t>
            </w:r>
            <w:r w:rsidR="005B7162">
              <w:rPr>
                <w:rFonts w:hint="eastAsia"/>
                <w:b/>
                <w:bCs/>
                <w:lang w:eastAsia="zh-CN"/>
              </w:rPr>
              <w:t>，</w:t>
            </w:r>
            <w:r w:rsidR="00704C40">
              <w:rPr>
                <w:rFonts w:hint="eastAsia"/>
                <w:b/>
                <w:lang w:eastAsia="zh-CN"/>
              </w:rPr>
              <w:t>201</w:t>
            </w:r>
            <w:r w:rsidR="00704C40">
              <w:rPr>
                <w:b/>
                <w:lang w:eastAsia="zh-CN"/>
              </w:rPr>
              <w:t>7</w:t>
            </w:r>
            <w:r w:rsidR="005B7162" w:rsidRPr="008B1EB3">
              <w:rPr>
                <w:rFonts w:hint="eastAsia"/>
                <w:b/>
                <w:lang w:eastAsia="zh-CN"/>
              </w:rPr>
              <w:t>年</w:t>
            </w:r>
            <w:r w:rsidR="005B7162">
              <w:rPr>
                <w:rFonts w:hint="eastAsia"/>
                <w:b/>
                <w:lang w:eastAsia="zh-CN"/>
              </w:rPr>
              <w:t>3</w:t>
            </w:r>
            <w:r w:rsidR="005B7162" w:rsidRPr="008B1EB3">
              <w:rPr>
                <w:rFonts w:hint="eastAsia"/>
                <w:b/>
                <w:lang w:eastAsia="zh-CN"/>
              </w:rPr>
              <w:t>月</w:t>
            </w:r>
            <w:r w:rsidR="005B7162">
              <w:rPr>
                <w:rFonts w:hint="eastAsia"/>
                <w:b/>
                <w:lang w:eastAsia="zh-CN"/>
              </w:rPr>
              <w:t>2</w:t>
            </w:r>
            <w:r w:rsidR="00704C40">
              <w:rPr>
                <w:b/>
                <w:lang w:eastAsia="zh-CN"/>
              </w:rPr>
              <w:t>2-</w:t>
            </w:r>
            <w:r w:rsidR="005B7162">
              <w:rPr>
                <w:rFonts w:hint="eastAsia"/>
                <w:b/>
                <w:lang w:eastAsia="zh-CN"/>
              </w:rPr>
              <w:t>3</w:t>
            </w:r>
            <w:r w:rsidR="00704C40">
              <w:rPr>
                <w:b/>
                <w:lang w:eastAsia="zh-CN"/>
              </w:rPr>
              <w:t>0</w:t>
            </w:r>
            <w:r w:rsidR="005B7162" w:rsidRPr="008B1EB3">
              <w:rPr>
                <w:rFonts w:hint="eastAsia"/>
                <w:b/>
                <w:lang w:eastAsia="zh-CN"/>
              </w:rPr>
              <w:t>日，日内瓦</w:t>
            </w:r>
          </w:p>
        </w:tc>
      </w:tr>
    </w:tbl>
    <w:p w:rsidR="005B7162" w:rsidRPr="008B1EB3" w:rsidRDefault="005B7162" w:rsidP="000374D1">
      <w:pPr>
        <w:spacing w:before="600"/>
        <w:rPr>
          <w:szCs w:val="22"/>
          <w:lang w:eastAsia="zh-CN"/>
        </w:rPr>
      </w:pPr>
      <w:bookmarkStart w:id="2" w:name="StartTyping_E"/>
      <w:bookmarkEnd w:id="2"/>
      <w:r w:rsidRPr="008B1EB3">
        <w:rPr>
          <w:rFonts w:hint="eastAsia"/>
          <w:szCs w:val="22"/>
          <w:lang w:eastAsia="zh-CN"/>
        </w:rPr>
        <w:t>尊敬的先生</w:t>
      </w:r>
      <w:r w:rsidRPr="008B1EB3">
        <w:rPr>
          <w:rFonts w:hint="eastAsia"/>
          <w:szCs w:val="22"/>
          <w:lang w:eastAsia="zh-CN"/>
        </w:rPr>
        <w:t>/</w:t>
      </w:r>
      <w:r w:rsidRPr="008B1EB3">
        <w:rPr>
          <w:rFonts w:hint="eastAsia"/>
          <w:szCs w:val="22"/>
          <w:lang w:eastAsia="zh-CN"/>
        </w:rPr>
        <w:t>女士：</w:t>
      </w:r>
    </w:p>
    <w:p w:rsidR="005B7162" w:rsidRPr="008B1EB3" w:rsidRDefault="005B7162" w:rsidP="000374D1">
      <w:pPr>
        <w:rPr>
          <w:szCs w:val="22"/>
          <w:lang w:eastAsia="zh-CN"/>
        </w:rPr>
      </w:pPr>
      <w:r w:rsidRPr="008B1EB3">
        <w:rPr>
          <w:bCs/>
          <w:szCs w:val="22"/>
          <w:lang w:eastAsia="zh-CN"/>
        </w:rPr>
        <w:t>1</w:t>
      </w:r>
      <w:r w:rsidRPr="008B1EB3">
        <w:rPr>
          <w:szCs w:val="22"/>
          <w:lang w:eastAsia="zh-CN"/>
        </w:rPr>
        <w:tab/>
      </w:r>
      <w:r w:rsidRPr="00EC44DB">
        <w:rPr>
          <w:rFonts w:hint="eastAsia"/>
          <w:spacing w:val="-6"/>
          <w:szCs w:val="22"/>
          <w:lang w:eastAsia="zh-CN"/>
        </w:rPr>
        <w:t>应</w:t>
      </w:r>
      <w:r w:rsidR="00704C40">
        <w:rPr>
          <w:szCs w:val="22"/>
          <w:lang w:eastAsia="zh-CN"/>
        </w:rPr>
        <w:t>ITU-T</w:t>
      </w:r>
      <w:r w:rsidRPr="00EC44DB">
        <w:rPr>
          <w:rFonts w:hint="eastAsia"/>
          <w:spacing w:val="-6"/>
          <w:szCs w:val="22"/>
          <w:lang w:eastAsia="zh-CN"/>
        </w:rPr>
        <w:t>第</w:t>
      </w:r>
      <w:r w:rsidRPr="00EC44DB">
        <w:rPr>
          <w:rFonts w:hint="eastAsia"/>
          <w:spacing w:val="-6"/>
          <w:szCs w:val="22"/>
          <w:lang w:eastAsia="zh-CN"/>
        </w:rPr>
        <w:t>17</w:t>
      </w:r>
      <w:r w:rsidRPr="00EC44DB">
        <w:rPr>
          <w:rFonts w:hint="eastAsia"/>
          <w:spacing w:val="-6"/>
          <w:szCs w:val="22"/>
          <w:lang w:eastAsia="zh-CN"/>
        </w:rPr>
        <w:t>研究组（</w:t>
      </w:r>
      <w:r w:rsidRPr="00EC44DB">
        <w:rPr>
          <w:rFonts w:ascii="STKaiti" w:eastAsia="STKaiti" w:hAnsi="STKaiti" w:hint="eastAsia"/>
          <w:spacing w:val="-6"/>
          <w:szCs w:val="22"/>
          <w:lang w:eastAsia="zh-CN"/>
        </w:rPr>
        <w:t>安全</w:t>
      </w:r>
      <w:r w:rsidRPr="00EC44DB">
        <w:rPr>
          <w:rFonts w:hint="eastAsia"/>
          <w:spacing w:val="-6"/>
          <w:szCs w:val="22"/>
          <w:lang w:eastAsia="zh-CN"/>
        </w:rPr>
        <w:t>）主席的请求，我荣幸地告知您，该研究组将于</w:t>
      </w:r>
      <w:r w:rsidRPr="00EC44DB">
        <w:rPr>
          <w:rFonts w:hint="eastAsia"/>
          <w:spacing w:val="-6"/>
          <w:szCs w:val="22"/>
          <w:lang w:eastAsia="zh-CN"/>
        </w:rPr>
        <w:t>201</w:t>
      </w:r>
      <w:r w:rsidR="00704C40">
        <w:rPr>
          <w:rFonts w:hint="eastAsia"/>
          <w:spacing w:val="-6"/>
          <w:szCs w:val="22"/>
          <w:lang w:eastAsia="zh-CN"/>
        </w:rPr>
        <w:t>7</w:t>
      </w:r>
      <w:r w:rsidRPr="00EC44DB">
        <w:rPr>
          <w:rFonts w:hint="eastAsia"/>
          <w:spacing w:val="-6"/>
          <w:szCs w:val="22"/>
          <w:lang w:eastAsia="zh-CN"/>
        </w:rPr>
        <w:t>年</w:t>
      </w:r>
      <w:r w:rsidRPr="00EC44DB">
        <w:rPr>
          <w:rFonts w:hint="eastAsia"/>
          <w:spacing w:val="-6"/>
          <w:szCs w:val="22"/>
          <w:lang w:eastAsia="zh-CN"/>
        </w:rPr>
        <w:t>3</w:t>
      </w:r>
      <w:r w:rsidRPr="00EC44DB">
        <w:rPr>
          <w:rFonts w:hint="eastAsia"/>
          <w:spacing w:val="-6"/>
          <w:szCs w:val="22"/>
          <w:lang w:eastAsia="zh-CN"/>
        </w:rPr>
        <w:t>月</w:t>
      </w:r>
      <w:r w:rsidR="00704C40">
        <w:rPr>
          <w:rFonts w:hint="eastAsia"/>
          <w:spacing w:val="-6"/>
          <w:szCs w:val="22"/>
          <w:lang w:eastAsia="zh-CN"/>
        </w:rPr>
        <w:t>22</w:t>
      </w:r>
      <w:r w:rsidRPr="00EC44DB">
        <w:rPr>
          <w:rFonts w:hint="eastAsia"/>
          <w:spacing w:val="-6"/>
          <w:szCs w:val="22"/>
          <w:lang w:eastAsia="zh-CN"/>
        </w:rPr>
        <w:t>日</w:t>
      </w:r>
      <w:r w:rsidR="00704C40">
        <w:rPr>
          <w:rFonts w:hint="eastAsia"/>
          <w:spacing w:val="-6"/>
          <w:szCs w:val="22"/>
          <w:lang w:eastAsia="zh-CN"/>
        </w:rPr>
        <w:t>至</w:t>
      </w:r>
      <w:r w:rsidR="00704C40">
        <w:rPr>
          <w:rFonts w:hint="eastAsia"/>
          <w:spacing w:val="-6"/>
          <w:szCs w:val="22"/>
          <w:lang w:eastAsia="zh-CN"/>
        </w:rPr>
        <w:t>30</w:t>
      </w:r>
      <w:r w:rsidR="00704C40">
        <w:rPr>
          <w:rFonts w:hint="eastAsia"/>
          <w:spacing w:val="-6"/>
          <w:szCs w:val="22"/>
          <w:lang w:eastAsia="zh-CN"/>
        </w:rPr>
        <w:t>日</w:t>
      </w:r>
      <w:r w:rsidRPr="008B1EB3">
        <w:rPr>
          <w:rFonts w:hint="eastAsia"/>
          <w:szCs w:val="22"/>
          <w:lang w:eastAsia="zh-CN"/>
        </w:rPr>
        <w:t>召开会议，并将采用世界电信标准化全会（</w:t>
      </w:r>
      <w:r w:rsidRPr="008B1EB3">
        <w:rPr>
          <w:rFonts w:hint="eastAsia"/>
          <w:szCs w:val="22"/>
          <w:lang w:eastAsia="zh-CN"/>
        </w:rPr>
        <w:t>2012</w:t>
      </w:r>
      <w:r w:rsidRPr="008B1EB3">
        <w:rPr>
          <w:rFonts w:hint="eastAsia"/>
          <w:szCs w:val="22"/>
          <w:lang w:eastAsia="zh-CN"/>
        </w:rPr>
        <w:t>年，迪拜）第</w:t>
      </w:r>
      <w:r w:rsidRPr="008B1EB3">
        <w:rPr>
          <w:rFonts w:hint="eastAsia"/>
          <w:szCs w:val="22"/>
          <w:lang w:eastAsia="zh-CN"/>
        </w:rPr>
        <w:t>1</w:t>
      </w:r>
      <w:r w:rsidRPr="008B1EB3">
        <w:rPr>
          <w:rFonts w:hint="eastAsia"/>
          <w:szCs w:val="22"/>
          <w:lang w:eastAsia="zh-CN"/>
        </w:rPr>
        <w:t>号决议第</w:t>
      </w:r>
      <w:r w:rsidRPr="008B1EB3">
        <w:rPr>
          <w:rFonts w:hint="eastAsia"/>
          <w:szCs w:val="22"/>
          <w:lang w:eastAsia="zh-CN"/>
        </w:rPr>
        <w:t>9</w:t>
      </w:r>
      <w:r w:rsidRPr="008B1EB3">
        <w:rPr>
          <w:rFonts w:hint="eastAsia"/>
          <w:szCs w:val="22"/>
          <w:lang w:eastAsia="zh-CN"/>
        </w:rPr>
        <w:t>节规定的程序来批准上述建议书草案。</w:t>
      </w:r>
    </w:p>
    <w:p w:rsidR="005B7162" w:rsidRPr="008B1EB3" w:rsidRDefault="005B7162" w:rsidP="000374D1">
      <w:pPr>
        <w:rPr>
          <w:szCs w:val="22"/>
          <w:lang w:eastAsia="zh-CN"/>
        </w:rPr>
      </w:pPr>
      <w:r w:rsidRPr="008B1EB3">
        <w:rPr>
          <w:bCs/>
          <w:szCs w:val="22"/>
          <w:lang w:eastAsia="zh-CN"/>
        </w:rPr>
        <w:t>2</w:t>
      </w:r>
      <w:r w:rsidRPr="008B1EB3">
        <w:rPr>
          <w:szCs w:val="22"/>
          <w:lang w:eastAsia="zh-CN"/>
        </w:rPr>
        <w:tab/>
      </w:r>
      <w:r w:rsidRPr="008B1EB3">
        <w:rPr>
          <w:rFonts w:hint="eastAsia"/>
          <w:szCs w:val="22"/>
          <w:lang w:eastAsia="zh-CN"/>
        </w:rPr>
        <w:t>建议批准的</w:t>
      </w:r>
      <w:r w:rsidRPr="008B1EB3">
        <w:rPr>
          <w:rFonts w:hint="eastAsia"/>
          <w:szCs w:val="22"/>
          <w:lang w:eastAsia="zh-CN"/>
        </w:rPr>
        <w:t>ITU-T</w:t>
      </w:r>
      <w:r w:rsidRPr="008B1EB3">
        <w:rPr>
          <w:rFonts w:hint="eastAsia"/>
          <w:szCs w:val="22"/>
          <w:lang w:eastAsia="zh-CN"/>
        </w:rPr>
        <w:t>建议书草案的标题、摘要及其出处见</w:t>
      </w:r>
      <w:r w:rsidRPr="008B1EB3">
        <w:rPr>
          <w:rFonts w:hint="eastAsia"/>
          <w:b/>
          <w:bCs/>
          <w:szCs w:val="22"/>
          <w:lang w:eastAsia="zh-CN"/>
        </w:rPr>
        <w:t>附件</w:t>
      </w:r>
      <w:r w:rsidRPr="008B1EB3">
        <w:rPr>
          <w:rFonts w:hint="eastAsia"/>
          <w:b/>
          <w:bCs/>
          <w:szCs w:val="22"/>
          <w:lang w:eastAsia="zh-CN"/>
        </w:rPr>
        <w:t>1</w:t>
      </w:r>
      <w:r w:rsidRPr="008B1EB3">
        <w:rPr>
          <w:rFonts w:hint="eastAsia"/>
          <w:szCs w:val="22"/>
          <w:lang w:eastAsia="zh-CN"/>
        </w:rPr>
        <w:t>。</w:t>
      </w:r>
    </w:p>
    <w:p w:rsidR="005B7162" w:rsidRDefault="005B7162" w:rsidP="000374D1">
      <w:pPr>
        <w:rPr>
          <w:szCs w:val="22"/>
          <w:lang w:eastAsia="zh-CN"/>
        </w:rPr>
      </w:pPr>
      <w:r w:rsidRPr="008B1EB3">
        <w:rPr>
          <w:bCs/>
          <w:szCs w:val="22"/>
          <w:lang w:eastAsia="zh-CN"/>
        </w:rPr>
        <w:t>3</w:t>
      </w:r>
      <w:r w:rsidRPr="008B1EB3">
        <w:rPr>
          <w:szCs w:val="22"/>
          <w:lang w:eastAsia="zh-CN"/>
        </w:rPr>
        <w:tab/>
      </w:r>
      <w:r w:rsidRPr="008B1EB3">
        <w:rPr>
          <w:rFonts w:hint="eastAsia"/>
          <w:szCs w:val="22"/>
          <w:lang w:eastAsia="zh-CN"/>
        </w:rPr>
        <w:t>所有了解自己或他人持有的专利可能整体或部分地涉及建议批准的建议书草案内容的国际电联成员国、部门成员、部门准成员或学术机构，均需按照</w:t>
      </w:r>
      <w:r w:rsidRPr="008B1EB3">
        <w:rPr>
          <w:rFonts w:hint="eastAsia"/>
          <w:szCs w:val="22"/>
          <w:lang w:eastAsia="zh-CN"/>
        </w:rPr>
        <w:t>ITU-T/ITU-R/</w:t>
      </w:r>
      <w:r w:rsidRPr="008B1EB3">
        <w:rPr>
          <w:rFonts w:hint="eastAsia"/>
          <w:szCs w:val="22"/>
          <w:lang w:eastAsia="zh-CN"/>
        </w:rPr>
        <w:t>国际标准化组织（</w:t>
      </w:r>
      <w:r w:rsidRPr="008B1EB3">
        <w:rPr>
          <w:rFonts w:hint="eastAsia"/>
          <w:szCs w:val="22"/>
          <w:lang w:eastAsia="zh-CN"/>
        </w:rPr>
        <w:t>ISO</w:t>
      </w:r>
      <w:r w:rsidRPr="008B1EB3">
        <w:rPr>
          <w:rFonts w:hint="eastAsia"/>
          <w:szCs w:val="22"/>
          <w:lang w:eastAsia="zh-CN"/>
        </w:rPr>
        <w:t>）</w:t>
      </w:r>
      <w:r w:rsidRPr="008B1EB3">
        <w:rPr>
          <w:rFonts w:hint="eastAsia"/>
          <w:szCs w:val="22"/>
          <w:lang w:eastAsia="zh-CN"/>
        </w:rPr>
        <w:t>/</w:t>
      </w:r>
      <w:r w:rsidRPr="008B1EB3">
        <w:rPr>
          <w:rFonts w:hint="eastAsia"/>
          <w:szCs w:val="22"/>
          <w:lang w:eastAsia="zh-CN"/>
        </w:rPr>
        <w:t>国际电工委员会（</w:t>
      </w:r>
      <w:r w:rsidRPr="008B1EB3">
        <w:rPr>
          <w:rFonts w:hint="eastAsia"/>
          <w:szCs w:val="22"/>
          <w:lang w:eastAsia="zh-CN"/>
        </w:rPr>
        <w:t>IEC</w:t>
      </w:r>
      <w:r w:rsidRPr="008B1EB3">
        <w:rPr>
          <w:rFonts w:hint="eastAsia"/>
          <w:szCs w:val="22"/>
          <w:lang w:eastAsia="zh-CN"/>
        </w:rPr>
        <w:t>）的共同专利政策，向电信标准化局披露</w:t>
      </w:r>
      <w:r>
        <w:rPr>
          <w:rFonts w:hint="eastAsia"/>
          <w:szCs w:val="22"/>
          <w:lang w:eastAsia="zh-CN"/>
        </w:rPr>
        <w:t>此</w:t>
      </w:r>
      <w:r w:rsidRPr="008B1EB3">
        <w:rPr>
          <w:rFonts w:hint="eastAsia"/>
          <w:szCs w:val="22"/>
          <w:lang w:eastAsia="zh-CN"/>
        </w:rPr>
        <w:t>类信息。</w:t>
      </w:r>
    </w:p>
    <w:p w:rsidR="00EC44DB" w:rsidRPr="00EC44DB" w:rsidRDefault="00EC44DB" w:rsidP="000374D1">
      <w:pPr>
        <w:ind w:firstLineChars="200" w:firstLine="480"/>
        <w:rPr>
          <w:szCs w:val="22"/>
          <w:lang w:eastAsia="zh-CN"/>
        </w:rPr>
      </w:pPr>
      <w:proofErr w:type="spellStart"/>
      <w:r w:rsidRPr="008B1EB3">
        <w:rPr>
          <w:rFonts w:hint="eastAsia"/>
          <w:szCs w:val="22"/>
        </w:rPr>
        <w:t>可通过</w:t>
      </w:r>
      <w:proofErr w:type="spellEnd"/>
      <w:r w:rsidRPr="008B1EB3">
        <w:rPr>
          <w:rFonts w:hint="eastAsia"/>
          <w:szCs w:val="22"/>
        </w:rPr>
        <w:t>ITU-T</w:t>
      </w:r>
      <w:proofErr w:type="spellStart"/>
      <w:r w:rsidRPr="008B1EB3">
        <w:rPr>
          <w:rFonts w:hint="eastAsia"/>
          <w:szCs w:val="22"/>
        </w:rPr>
        <w:t>网站</w:t>
      </w:r>
      <w:proofErr w:type="spellEnd"/>
      <w:r w:rsidRPr="008B1EB3">
        <w:rPr>
          <w:rFonts w:hint="eastAsia"/>
          <w:szCs w:val="22"/>
        </w:rPr>
        <w:t>（</w:t>
      </w:r>
      <w:hyperlink r:id="rId11" w:history="1">
        <w:r w:rsidRPr="00A07350">
          <w:rPr>
            <w:rStyle w:val="Hyperlink"/>
            <w:szCs w:val="22"/>
          </w:rPr>
          <w:t>www.itu.int/ipr/</w:t>
        </w:r>
      </w:hyperlink>
      <w:r w:rsidRPr="00A07350">
        <w:rPr>
          <w:rFonts w:hint="eastAsia"/>
          <w:szCs w:val="22"/>
        </w:rPr>
        <w:t>）</w:t>
      </w:r>
      <w:proofErr w:type="spellStart"/>
      <w:r w:rsidRPr="00A07350">
        <w:rPr>
          <w:rFonts w:hint="eastAsia"/>
          <w:szCs w:val="22"/>
        </w:rPr>
        <w:t>在网上获取已公布的专利信息</w:t>
      </w:r>
      <w:proofErr w:type="spellEnd"/>
      <w:r w:rsidRPr="00A07350">
        <w:rPr>
          <w:rFonts w:hint="eastAsia"/>
          <w:szCs w:val="22"/>
          <w:lang w:eastAsia="zh-CN"/>
        </w:rPr>
        <w:t>。</w:t>
      </w:r>
    </w:p>
    <w:p w:rsidR="000374D1" w:rsidRDefault="000374D1">
      <w:pPr>
        <w:tabs>
          <w:tab w:val="clear" w:pos="794"/>
          <w:tab w:val="clear" w:pos="1191"/>
          <w:tab w:val="clear" w:pos="1588"/>
          <w:tab w:val="clear" w:pos="1985"/>
        </w:tabs>
        <w:overflowPunct/>
        <w:autoSpaceDE/>
        <w:autoSpaceDN/>
        <w:adjustRightInd/>
        <w:spacing w:before="0"/>
        <w:textAlignment w:val="auto"/>
        <w:rPr>
          <w:bCs/>
          <w:lang w:eastAsia="zh-CN"/>
        </w:rPr>
      </w:pPr>
      <w:r>
        <w:rPr>
          <w:bCs/>
          <w:lang w:eastAsia="zh-CN"/>
        </w:rPr>
        <w:br w:type="page"/>
      </w:r>
    </w:p>
    <w:p w:rsidR="005B7162" w:rsidRPr="008B1EB3" w:rsidRDefault="005B7162" w:rsidP="000374D1">
      <w:pPr>
        <w:ind w:right="-426"/>
        <w:rPr>
          <w:lang w:eastAsia="zh-CN"/>
        </w:rPr>
      </w:pPr>
      <w:r w:rsidRPr="008B1EB3">
        <w:rPr>
          <w:bCs/>
          <w:lang w:eastAsia="zh-CN"/>
        </w:rPr>
        <w:lastRenderedPageBreak/>
        <w:t>4</w:t>
      </w:r>
      <w:r w:rsidRPr="008B1EB3">
        <w:rPr>
          <w:lang w:eastAsia="zh-CN"/>
        </w:rPr>
        <w:tab/>
      </w:r>
      <w:r w:rsidRPr="008B1EB3">
        <w:rPr>
          <w:rFonts w:hint="eastAsia"/>
          <w:lang w:eastAsia="zh-CN"/>
        </w:rPr>
        <w:t>考虑到第</w:t>
      </w:r>
      <w:r w:rsidRPr="008B1EB3">
        <w:rPr>
          <w:rFonts w:hint="eastAsia"/>
          <w:lang w:eastAsia="zh-CN"/>
        </w:rPr>
        <w:t>1</w:t>
      </w:r>
      <w:r w:rsidRPr="008B1EB3">
        <w:rPr>
          <w:rFonts w:hint="eastAsia"/>
          <w:lang w:eastAsia="zh-CN"/>
        </w:rPr>
        <w:t>号决议第</w:t>
      </w:r>
      <w:r w:rsidRPr="008B1EB3">
        <w:rPr>
          <w:rFonts w:hint="eastAsia"/>
          <w:lang w:eastAsia="zh-CN"/>
        </w:rPr>
        <w:t>9</w:t>
      </w:r>
      <w:r w:rsidRPr="008B1EB3">
        <w:rPr>
          <w:rFonts w:hint="eastAsia"/>
          <w:lang w:eastAsia="zh-CN"/>
        </w:rPr>
        <w:t>节的规定，请您在</w:t>
      </w:r>
      <w:r w:rsidRPr="008B1EB3">
        <w:rPr>
          <w:rFonts w:hint="eastAsia"/>
          <w:b/>
          <w:bCs/>
          <w:lang w:eastAsia="zh-CN"/>
        </w:rPr>
        <w:t>201</w:t>
      </w:r>
      <w:r w:rsidR="00704C40">
        <w:rPr>
          <w:rFonts w:hint="eastAsia"/>
          <w:b/>
          <w:bCs/>
          <w:lang w:eastAsia="zh-CN"/>
        </w:rPr>
        <w:t>7</w:t>
      </w:r>
      <w:r w:rsidRPr="008B1EB3">
        <w:rPr>
          <w:rFonts w:hint="eastAsia"/>
          <w:b/>
          <w:bCs/>
          <w:lang w:eastAsia="zh-CN"/>
        </w:rPr>
        <w:t>年</w:t>
      </w:r>
      <w:r>
        <w:rPr>
          <w:rFonts w:hint="eastAsia"/>
          <w:b/>
          <w:bCs/>
          <w:lang w:eastAsia="zh-CN"/>
        </w:rPr>
        <w:t>3</w:t>
      </w:r>
      <w:r w:rsidRPr="008B1EB3">
        <w:rPr>
          <w:rFonts w:hint="eastAsia"/>
          <w:b/>
          <w:bCs/>
          <w:lang w:eastAsia="zh-CN"/>
        </w:rPr>
        <w:t>月</w:t>
      </w:r>
      <w:r w:rsidR="00704C40">
        <w:rPr>
          <w:rFonts w:hint="eastAsia"/>
          <w:b/>
          <w:bCs/>
          <w:lang w:eastAsia="zh-CN"/>
        </w:rPr>
        <w:t>13</w:t>
      </w:r>
      <w:r w:rsidRPr="008B1EB3">
        <w:rPr>
          <w:rFonts w:hint="eastAsia"/>
          <w:b/>
          <w:bCs/>
          <w:lang w:eastAsia="zh-CN"/>
        </w:rPr>
        <w:t>日</w:t>
      </w:r>
      <w:r w:rsidRPr="008B1EB3">
        <w:rPr>
          <w:rFonts w:hint="eastAsia"/>
          <w:lang w:eastAsia="zh-CN"/>
        </w:rPr>
        <w:t>协调世界时</w:t>
      </w:r>
      <w:r w:rsidRPr="008B1EB3">
        <w:rPr>
          <w:rFonts w:hint="eastAsia"/>
          <w:lang w:eastAsia="zh-CN"/>
        </w:rPr>
        <w:t>24</w:t>
      </w:r>
      <w:r w:rsidRPr="008B1EB3">
        <w:rPr>
          <w:rFonts w:hint="eastAsia"/>
          <w:lang w:eastAsia="zh-CN"/>
        </w:rPr>
        <w:t>时之前告知我，贵主管部门是否同意授权</w:t>
      </w:r>
      <w:r w:rsidR="00704C40">
        <w:rPr>
          <w:szCs w:val="22"/>
          <w:lang w:eastAsia="zh-CN"/>
        </w:rPr>
        <w:t>ITU-T</w:t>
      </w:r>
      <w:r w:rsidRPr="008B1EB3">
        <w:rPr>
          <w:rFonts w:hint="eastAsia"/>
          <w:lang w:eastAsia="zh-CN"/>
        </w:rPr>
        <w:t>第</w:t>
      </w:r>
      <w:r w:rsidRPr="008B1EB3">
        <w:rPr>
          <w:rFonts w:hint="eastAsia"/>
          <w:lang w:eastAsia="zh-CN"/>
        </w:rPr>
        <w:t>17</w:t>
      </w:r>
      <w:r w:rsidRPr="008B1EB3">
        <w:rPr>
          <w:rFonts w:hint="eastAsia"/>
          <w:lang w:eastAsia="zh-CN"/>
        </w:rPr>
        <w:t>研究组在该研究组会议上审议并批准上述建议书草案。</w:t>
      </w:r>
    </w:p>
    <w:p w:rsidR="005B7162" w:rsidRPr="008B1EB3" w:rsidRDefault="005B7162" w:rsidP="000374D1">
      <w:pPr>
        <w:ind w:firstLineChars="200" w:firstLine="480"/>
        <w:rPr>
          <w:lang w:eastAsia="zh-CN"/>
        </w:rPr>
      </w:pPr>
      <w:r w:rsidRPr="008B1EB3">
        <w:rPr>
          <w:rFonts w:hint="eastAsia"/>
          <w:lang w:eastAsia="zh-CN"/>
        </w:rPr>
        <w:t>如有成员国认为不应进入审议批准程序，应阐明其反对原因并提出可能的修改意见，以推动对建议书草案的进一步审议，以便批准。</w:t>
      </w:r>
    </w:p>
    <w:p w:rsidR="00EC44DB" w:rsidRDefault="005B7162" w:rsidP="000374D1">
      <w:pPr>
        <w:keepNext/>
        <w:keepLines/>
        <w:rPr>
          <w:lang w:eastAsia="zh-CN"/>
        </w:rPr>
      </w:pPr>
      <w:r w:rsidRPr="008B1EB3">
        <w:rPr>
          <w:bCs/>
          <w:lang w:eastAsia="zh-CN"/>
        </w:rPr>
        <w:t>5</w:t>
      </w:r>
      <w:r w:rsidRPr="008B1EB3">
        <w:rPr>
          <w:lang w:eastAsia="zh-CN"/>
        </w:rPr>
        <w:tab/>
      </w:r>
      <w:r w:rsidRPr="008B1EB3">
        <w:rPr>
          <w:rFonts w:hint="eastAsia"/>
          <w:lang w:eastAsia="zh-CN"/>
        </w:rPr>
        <w:t>如果</w:t>
      </w:r>
      <w:r w:rsidRPr="008B1EB3">
        <w:rPr>
          <w:rFonts w:hint="eastAsia"/>
          <w:lang w:eastAsia="zh-CN"/>
        </w:rPr>
        <w:t>70</w:t>
      </w:r>
      <w:r>
        <w:rPr>
          <w:lang w:val="en-US" w:eastAsia="zh-CN"/>
        </w:rPr>
        <w:t>%</w:t>
      </w:r>
      <w:r w:rsidRPr="008B1EB3">
        <w:rPr>
          <w:rFonts w:hint="eastAsia"/>
          <w:lang w:eastAsia="zh-CN"/>
        </w:rPr>
        <w:t>以上的成员国在回复中支持在该研究组会议上审议批准上述建议书草案，则将于</w:t>
      </w:r>
      <w:r w:rsidRPr="008B1EB3">
        <w:rPr>
          <w:rFonts w:hint="eastAsia"/>
          <w:b/>
          <w:bCs/>
          <w:lang w:eastAsia="zh-CN"/>
        </w:rPr>
        <w:t>201</w:t>
      </w:r>
      <w:r w:rsidR="008C5970">
        <w:rPr>
          <w:rFonts w:hint="eastAsia"/>
          <w:b/>
          <w:bCs/>
          <w:lang w:eastAsia="zh-CN"/>
        </w:rPr>
        <w:t>7</w:t>
      </w:r>
      <w:r w:rsidRPr="008B1EB3">
        <w:rPr>
          <w:rFonts w:hint="eastAsia"/>
          <w:b/>
          <w:bCs/>
          <w:lang w:eastAsia="zh-CN"/>
        </w:rPr>
        <w:t>年</w:t>
      </w:r>
      <w:r>
        <w:rPr>
          <w:rFonts w:hint="eastAsia"/>
          <w:b/>
          <w:bCs/>
          <w:lang w:eastAsia="zh-CN"/>
        </w:rPr>
        <w:t>3</w:t>
      </w:r>
      <w:r w:rsidRPr="008B1EB3">
        <w:rPr>
          <w:rFonts w:hint="eastAsia"/>
          <w:b/>
          <w:bCs/>
          <w:lang w:eastAsia="zh-CN"/>
        </w:rPr>
        <w:t>月</w:t>
      </w:r>
      <w:r w:rsidR="008C5970">
        <w:rPr>
          <w:rFonts w:hint="eastAsia"/>
          <w:b/>
          <w:bCs/>
          <w:lang w:eastAsia="zh-CN"/>
        </w:rPr>
        <w:t>30</w:t>
      </w:r>
      <w:r w:rsidRPr="008B1EB3">
        <w:rPr>
          <w:rFonts w:hint="eastAsia"/>
          <w:b/>
          <w:bCs/>
          <w:lang w:eastAsia="zh-CN"/>
        </w:rPr>
        <w:t>日</w:t>
      </w:r>
      <w:r w:rsidRPr="008B1EB3">
        <w:rPr>
          <w:rFonts w:hint="eastAsia"/>
          <w:lang w:eastAsia="zh-CN"/>
        </w:rPr>
        <w:t>召开一次全体会议，实施该批准程序</w:t>
      </w:r>
      <w:r>
        <w:rPr>
          <w:rFonts w:hint="eastAsia"/>
          <w:lang w:eastAsia="zh-CN"/>
        </w:rPr>
        <w:t>。</w:t>
      </w:r>
    </w:p>
    <w:p w:rsidR="005B7162" w:rsidRPr="008B1EB3" w:rsidRDefault="005B7162" w:rsidP="000374D1">
      <w:pPr>
        <w:ind w:firstLineChars="200" w:firstLine="480"/>
        <w:rPr>
          <w:lang w:eastAsia="zh-CN"/>
        </w:rPr>
      </w:pPr>
      <w:r w:rsidRPr="008B1EB3">
        <w:rPr>
          <w:rFonts w:hint="eastAsia"/>
          <w:lang w:eastAsia="zh-CN"/>
        </w:rPr>
        <w:t>为此，我邀请贵主管部门派出一名代表参加会议。</w:t>
      </w:r>
      <w:r w:rsidRPr="000374D1">
        <w:rPr>
          <w:rFonts w:hint="eastAsia"/>
          <w:b/>
          <w:bCs/>
          <w:lang w:eastAsia="zh-CN"/>
        </w:rPr>
        <w:t>请国际电联成员国的主管部门提供其代表团团长的姓名</w:t>
      </w:r>
      <w:r w:rsidRPr="008B1EB3">
        <w:rPr>
          <w:rFonts w:hint="eastAsia"/>
          <w:lang w:eastAsia="zh-CN"/>
        </w:rPr>
        <w:t>。如果贵主管部门希望由一家经认可的运营机构、一个科学或工业组织或处理电信问题的另一实体作为代表参加会议，则应按照国际电联《公约》第</w:t>
      </w:r>
      <w:r w:rsidRPr="008B1EB3">
        <w:rPr>
          <w:rFonts w:hint="eastAsia"/>
          <w:lang w:eastAsia="zh-CN"/>
        </w:rPr>
        <w:t>19</w:t>
      </w:r>
      <w:r w:rsidRPr="008B1EB3">
        <w:rPr>
          <w:rFonts w:hint="eastAsia"/>
          <w:lang w:eastAsia="zh-CN"/>
        </w:rPr>
        <w:t>条第</w:t>
      </w:r>
      <w:r w:rsidRPr="008B1EB3">
        <w:rPr>
          <w:rFonts w:hint="eastAsia"/>
          <w:lang w:eastAsia="zh-CN"/>
        </w:rPr>
        <w:t>239</w:t>
      </w:r>
      <w:r w:rsidRPr="008B1EB3">
        <w:rPr>
          <w:rFonts w:hint="eastAsia"/>
          <w:lang w:eastAsia="zh-CN"/>
        </w:rPr>
        <w:t>款的规定，将有关情况适时向主任通报。</w:t>
      </w:r>
    </w:p>
    <w:p w:rsidR="005B7162" w:rsidRPr="008B1EB3" w:rsidRDefault="005B7162" w:rsidP="000374D1">
      <w:pPr>
        <w:rPr>
          <w:lang w:eastAsia="zh-CN"/>
        </w:rPr>
      </w:pPr>
      <w:r w:rsidRPr="008B1EB3">
        <w:rPr>
          <w:bCs/>
          <w:lang w:eastAsia="zh-CN"/>
        </w:rPr>
        <w:t>6</w:t>
      </w:r>
      <w:r w:rsidRPr="008B1EB3">
        <w:rPr>
          <w:lang w:eastAsia="zh-CN"/>
        </w:rPr>
        <w:tab/>
      </w:r>
      <w:r w:rsidRPr="008B1EB3">
        <w:rPr>
          <w:rFonts w:hint="eastAsia"/>
          <w:lang w:eastAsia="zh-CN"/>
        </w:rPr>
        <w:t>有关</w:t>
      </w:r>
      <w:r w:rsidR="008C5970" w:rsidRPr="008B1EB3">
        <w:rPr>
          <w:rFonts w:hint="eastAsia"/>
          <w:szCs w:val="22"/>
          <w:lang w:eastAsia="zh-CN"/>
        </w:rPr>
        <w:t>ITU-T</w:t>
      </w:r>
      <w:r w:rsidRPr="008B1EB3">
        <w:rPr>
          <w:rFonts w:hint="eastAsia"/>
          <w:lang w:eastAsia="zh-CN"/>
        </w:rPr>
        <w:t>第</w:t>
      </w:r>
      <w:r w:rsidRPr="008B1EB3">
        <w:rPr>
          <w:rFonts w:hint="eastAsia"/>
          <w:lang w:eastAsia="zh-CN"/>
        </w:rPr>
        <w:t>17</w:t>
      </w:r>
      <w:r w:rsidRPr="008B1EB3">
        <w:rPr>
          <w:rFonts w:hint="eastAsia"/>
          <w:lang w:eastAsia="zh-CN"/>
        </w:rPr>
        <w:t>研究组会议的议程和所有相关信息将在第</w:t>
      </w:r>
      <w:r w:rsidR="008C5970">
        <w:rPr>
          <w:rFonts w:hint="eastAsia"/>
          <w:lang w:eastAsia="zh-CN"/>
        </w:rPr>
        <w:t>1</w:t>
      </w:r>
      <w:r w:rsidRPr="008B1EB3">
        <w:rPr>
          <w:rFonts w:hint="eastAsia"/>
          <w:lang w:eastAsia="zh-CN"/>
        </w:rPr>
        <w:t>/17</w:t>
      </w:r>
      <w:r w:rsidRPr="008B1EB3">
        <w:rPr>
          <w:rFonts w:hint="eastAsia"/>
          <w:lang w:eastAsia="zh-CN"/>
        </w:rPr>
        <w:t>号集体函中提供。</w:t>
      </w:r>
    </w:p>
    <w:p w:rsidR="005B7162" w:rsidRPr="008B1EB3" w:rsidRDefault="005B7162" w:rsidP="000374D1">
      <w:pPr>
        <w:rPr>
          <w:lang w:eastAsia="zh-CN"/>
        </w:rPr>
      </w:pPr>
      <w:r w:rsidRPr="008B1EB3">
        <w:rPr>
          <w:bCs/>
          <w:lang w:eastAsia="zh-CN"/>
        </w:rPr>
        <w:t>7</w:t>
      </w:r>
      <w:r w:rsidRPr="008B1EB3">
        <w:rPr>
          <w:lang w:eastAsia="zh-CN"/>
        </w:rPr>
        <w:tab/>
      </w:r>
      <w:r w:rsidRPr="008B1EB3">
        <w:rPr>
          <w:rFonts w:hint="eastAsia"/>
          <w:lang w:eastAsia="zh-CN"/>
        </w:rPr>
        <w:t>会后，电信标准化局主任将以通函的形式通报就这份建议书做出的决定。此信息还将在《国际电联操作公报》中公布。</w:t>
      </w:r>
    </w:p>
    <w:p w:rsidR="0063445E" w:rsidRDefault="0063445E" w:rsidP="000374D1">
      <w:pPr>
        <w:spacing w:before="480"/>
        <w:rPr>
          <w:lang w:val="en-US" w:eastAsia="zh-CN"/>
        </w:rPr>
      </w:pPr>
      <w:r>
        <w:rPr>
          <w:rFonts w:hint="eastAsia"/>
          <w:lang w:eastAsia="zh-CN"/>
        </w:rPr>
        <w:t>顺致敬意</w:t>
      </w:r>
      <w:r>
        <w:rPr>
          <w:lang w:val="en-US" w:eastAsia="zh-CN"/>
        </w:rPr>
        <w:t>!</w:t>
      </w:r>
    </w:p>
    <w:p w:rsidR="0091442D" w:rsidRPr="004663B4" w:rsidRDefault="0091442D" w:rsidP="0091442D">
      <w:pPr>
        <w:spacing w:before="0"/>
        <w:rPr>
          <w:lang w:val="en-US" w:eastAsia="zh-CN"/>
        </w:rPr>
      </w:pPr>
      <w:bookmarkStart w:id="3" w:name="_GoBack"/>
      <w:bookmarkEnd w:id="3"/>
    </w:p>
    <w:p w:rsidR="0063445E" w:rsidRDefault="00284869" w:rsidP="0091442D">
      <w:pPr>
        <w:spacing w:before="0"/>
        <w:rPr>
          <w:rFonts w:ascii="SimSun" w:hAnsi="SimSun"/>
          <w:lang w:eastAsia="zh-CN"/>
        </w:rPr>
      </w:pPr>
      <w:r>
        <w:rPr>
          <w:rFonts w:hint="eastAsia"/>
          <w:lang w:eastAsia="zh-CN"/>
        </w:rPr>
        <w:t>电信标准化局主任</w:t>
      </w:r>
      <w:r>
        <w:rPr>
          <w:lang w:eastAsia="zh-CN"/>
        </w:rPr>
        <w:br/>
      </w:r>
      <w:r w:rsidR="00174E9D">
        <w:rPr>
          <w:rFonts w:ascii="SimSun" w:hAnsi="SimSun" w:hint="eastAsia"/>
          <w:lang w:eastAsia="zh-CN"/>
        </w:rPr>
        <w:t>李在摄</w:t>
      </w:r>
    </w:p>
    <w:p w:rsidR="005B7162" w:rsidRPr="005B7162" w:rsidRDefault="005B7162" w:rsidP="000374D1">
      <w:pPr>
        <w:rPr>
          <w:lang w:eastAsia="zh-CN"/>
        </w:rPr>
      </w:pPr>
    </w:p>
    <w:p w:rsidR="00027EE3" w:rsidRDefault="00027EE3" w:rsidP="000374D1">
      <w:pPr>
        <w:spacing w:before="720"/>
        <w:rPr>
          <w:lang w:eastAsia="zh-CN"/>
        </w:rPr>
      </w:pPr>
    </w:p>
    <w:p w:rsidR="005B7162" w:rsidRDefault="0063445E" w:rsidP="000374D1">
      <w:pPr>
        <w:spacing w:before="720"/>
        <w:rPr>
          <w:b/>
          <w:bCs/>
          <w:lang w:eastAsia="zh-CN"/>
        </w:rPr>
      </w:pPr>
      <w:r w:rsidRPr="00D43D86">
        <w:rPr>
          <w:rFonts w:hint="eastAsia"/>
          <w:b/>
          <w:bCs/>
          <w:lang w:eastAsia="zh-CN"/>
        </w:rPr>
        <w:t>附件：</w:t>
      </w:r>
      <w:r w:rsidR="00EC44DB">
        <w:rPr>
          <w:rFonts w:hint="eastAsia"/>
          <w:b/>
          <w:bCs/>
          <w:lang w:eastAsia="zh-CN"/>
        </w:rPr>
        <w:t>1</w:t>
      </w:r>
      <w:r w:rsidR="009424FC">
        <w:rPr>
          <w:rFonts w:hint="eastAsia"/>
          <w:b/>
          <w:bCs/>
          <w:lang w:eastAsia="zh-CN"/>
        </w:rPr>
        <w:t>件</w:t>
      </w:r>
    </w:p>
    <w:p w:rsidR="005B7162" w:rsidRDefault="005B7162" w:rsidP="000374D1">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5B7162" w:rsidRPr="000C6FAA" w:rsidRDefault="005B7162" w:rsidP="000374D1">
      <w:pPr>
        <w:pStyle w:val="AnnexNo"/>
        <w:rPr>
          <w:rFonts w:ascii="Calibri" w:hAnsi="Calibri"/>
          <w:b/>
          <w:bCs/>
          <w:lang w:val="en-US" w:eastAsia="zh-CN"/>
        </w:rPr>
      </w:pPr>
      <w:r w:rsidRPr="000C6FAA">
        <w:rPr>
          <w:rFonts w:ascii="Calibri" w:hAnsi="Calibri"/>
          <w:b/>
          <w:bCs/>
          <w:lang w:val="en-US" w:eastAsia="zh-CN"/>
        </w:rPr>
        <w:lastRenderedPageBreak/>
        <w:t>附件</w:t>
      </w:r>
      <w:r w:rsidRPr="000C6FAA">
        <w:rPr>
          <w:rFonts w:ascii="Calibri" w:hAnsi="Calibri"/>
          <w:b/>
          <w:bCs/>
          <w:lang w:val="en-US" w:eastAsia="zh-CN"/>
        </w:rPr>
        <w:t>1</w:t>
      </w:r>
      <w:r w:rsidRPr="000C6FAA">
        <w:rPr>
          <w:rFonts w:ascii="Calibri" w:hAnsi="Calibri"/>
          <w:b/>
          <w:bCs/>
          <w:lang w:val="en-US" w:eastAsia="zh-CN"/>
        </w:rPr>
        <w:br/>
      </w:r>
      <w:r w:rsidRPr="000C6FAA">
        <w:rPr>
          <w:rFonts w:ascii="Calibri" w:hAnsi="Calibri"/>
          <w:b/>
          <w:bCs/>
          <w:lang w:val="en-US" w:eastAsia="zh-CN"/>
        </w:rPr>
        <w:t>（附于电信标准化局第</w:t>
      </w:r>
      <w:r w:rsidR="003A3A33" w:rsidRPr="000C6FAA">
        <w:rPr>
          <w:rFonts w:ascii="Calibri" w:hAnsi="Calibri" w:hint="eastAsia"/>
          <w:b/>
          <w:bCs/>
          <w:lang w:val="en-US" w:eastAsia="zh-CN"/>
        </w:rPr>
        <w:t>246</w:t>
      </w:r>
      <w:r w:rsidRPr="000C6FAA">
        <w:rPr>
          <w:rFonts w:ascii="Calibri" w:hAnsi="Calibri"/>
          <w:b/>
          <w:bCs/>
          <w:lang w:val="en-US" w:eastAsia="zh-CN"/>
        </w:rPr>
        <w:t>号通函）</w:t>
      </w:r>
    </w:p>
    <w:p w:rsidR="005B7162" w:rsidRPr="008B1EB3" w:rsidRDefault="005B7162" w:rsidP="000374D1">
      <w:pPr>
        <w:pStyle w:val="Annextitle"/>
        <w:rPr>
          <w:szCs w:val="24"/>
          <w:lang w:val="en-US" w:eastAsia="zh-CN"/>
        </w:rPr>
      </w:pPr>
      <w:r w:rsidRPr="008B1EB3">
        <w:rPr>
          <w:rFonts w:hint="eastAsia"/>
          <w:bCs/>
          <w:szCs w:val="24"/>
          <w:lang w:val="en-US" w:eastAsia="zh-CN"/>
        </w:rPr>
        <w:t>案文摘要和出处</w:t>
      </w:r>
    </w:p>
    <w:p w:rsidR="004B5D30" w:rsidRPr="000374D1" w:rsidRDefault="004B5D30" w:rsidP="00D504B9">
      <w:pPr>
        <w:pStyle w:val="Heading1"/>
        <w:rPr>
          <w:lang w:eastAsia="zh-CN"/>
        </w:rPr>
      </w:pPr>
      <w:r w:rsidRPr="000374D1">
        <w:rPr>
          <w:lang w:eastAsia="zh-CN"/>
        </w:rPr>
        <w:t>1</w:t>
      </w:r>
      <w:r w:rsidRPr="000374D1">
        <w:rPr>
          <w:lang w:eastAsia="zh-CN"/>
        </w:rPr>
        <w:tab/>
        <w:t xml:space="preserve">ITU-T X.1058 (ex </w:t>
      </w:r>
      <w:proofErr w:type="spellStart"/>
      <w:r w:rsidRPr="000374D1">
        <w:rPr>
          <w:lang w:eastAsia="zh-CN"/>
        </w:rPr>
        <w:t>X.gpim</w:t>
      </w:r>
      <w:proofErr w:type="spellEnd"/>
      <w:proofErr w:type="gramStart"/>
      <w:r w:rsidRPr="000374D1">
        <w:rPr>
          <w:lang w:eastAsia="zh-CN"/>
        </w:rPr>
        <w:t>)</w:t>
      </w:r>
      <w:r w:rsidRPr="000374D1">
        <w:rPr>
          <w:rFonts w:eastAsiaTheme="minorEastAsia" w:hint="eastAsia"/>
          <w:lang w:eastAsia="zh-CN"/>
        </w:rPr>
        <w:t>建议书草案</w:t>
      </w:r>
      <w:proofErr w:type="gramEnd"/>
      <w:r w:rsidRPr="000374D1">
        <w:rPr>
          <w:lang w:eastAsia="zh-CN"/>
        </w:rPr>
        <w:t xml:space="preserve"> (</w:t>
      </w:r>
      <w:hyperlink r:id="rId12" w:history="1">
        <w:r w:rsidR="00D504B9" w:rsidRPr="000C6FAA">
          <w:rPr>
            <w:rStyle w:val="Hyperlink"/>
            <w:lang w:val="en-US" w:eastAsia="zh-CN"/>
          </w:rPr>
          <w:t>R 69 Rev.1</w:t>
        </w:r>
      </w:hyperlink>
      <w:r w:rsidRPr="000374D1">
        <w:rPr>
          <w:lang w:eastAsia="zh-CN"/>
        </w:rPr>
        <w:t>)</w:t>
      </w:r>
    </w:p>
    <w:p w:rsidR="004B5D30" w:rsidRPr="000C6FAA" w:rsidRDefault="004B5D30" w:rsidP="000374D1">
      <w:pPr>
        <w:ind w:firstLineChars="200" w:firstLine="482"/>
        <w:rPr>
          <w:b/>
          <w:bCs/>
          <w:szCs w:val="24"/>
          <w:lang w:eastAsia="zh-CN"/>
        </w:rPr>
      </w:pPr>
      <w:r w:rsidRPr="000C6FAA">
        <w:rPr>
          <w:rFonts w:hint="eastAsia"/>
          <w:b/>
          <w:bCs/>
          <w:szCs w:val="24"/>
          <w:lang w:eastAsia="zh-CN"/>
        </w:rPr>
        <w:t>信息技术</w:t>
      </w:r>
      <w:r w:rsidRPr="000C6FAA">
        <w:rPr>
          <w:rFonts w:hint="eastAsia"/>
          <w:b/>
          <w:bCs/>
          <w:szCs w:val="24"/>
          <w:lang w:eastAsia="zh-CN"/>
        </w:rPr>
        <w:t xml:space="preserve"> </w:t>
      </w:r>
      <w:r w:rsidRPr="000C6FAA">
        <w:rPr>
          <w:rFonts w:hint="eastAsia"/>
          <w:b/>
          <w:bCs/>
          <w:szCs w:val="24"/>
          <w:lang w:eastAsia="zh-CN"/>
        </w:rPr>
        <w:t>–</w:t>
      </w:r>
      <w:r w:rsidRPr="000C6FAA">
        <w:rPr>
          <w:rFonts w:hint="eastAsia"/>
          <w:b/>
          <w:bCs/>
          <w:szCs w:val="24"/>
          <w:lang w:eastAsia="zh-CN"/>
        </w:rPr>
        <w:t xml:space="preserve"> </w:t>
      </w:r>
      <w:r w:rsidRPr="000C6FAA">
        <w:rPr>
          <w:rFonts w:hint="eastAsia"/>
          <w:b/>
          <w:bCs/>
          <w:szCs w:val="24"/>
          <w:lang w:eastAsia="zh-CN"/>
        </w:rPr>
        <w:t>安全技术</w:t>
      </w:r>
      <w:r w:rsidRPr="000C6FAA">
        <w:rPr>
          <w:rFonts w:hint="eastAsia"/>
          <w:b/>
          <w:bCs/>
          <w:szCs w:val="24"/>
          <w:lang w:eastAsia="zh-CN"/>
        </w:rPr>
        <w:t xml:space="preserve"> </w:t>
      </w:r>
      <w:r w:rsidRPr="000C6FAA">
        <w:rPr>
          <w:rFonts w:hint="eastAsia"/>
          <w:b/>
          <w:bCs/>
          <w:szCs w:val="24"/>
          <w:lang w:eastAsia="zh-CN"/>
        </w:rPr>
        <w:t>–</w:t>
      </w:r>
      <w:r w:rsidRPr="000C6FAA">
        <w:rPr>
          <w:rFonts w:hint="eastAsia"/>
          <w:b/>
          <w:bCs/>
          <w:szCs w:val="24"/>
          <w:lang w:eastAsia="zh-CN"/>
        </w:rPr>
        <w:t xml:space="preserve"> </w:t>
      </w:r>
      <w:r w:rsidRPr="000C6FAA">
        <w:rPr>
          <w:rFonts w:hint="eastAsia"/>
          <w:b/>
          <w:bCs/>
          <w:szCs w:val="24"/>
          <w:lang w:eastAsia="zh-CN"/>
        </w:rPr>
        <w:t>个人识别信息保护的行为准则</w:t>
      </w:r>
    </w:p>
    <w:p w:rsidR="004B5D30" w:rsidRPr="000374D1" w:rsidRDefault="004B5D30" w:rsidP="000374D1">
      <w:pPr>
        <w:pStyle w:val="Heading2"/>
        <w:rPr>
          <w:rFonts w:asciiTheme="minorEastAsia" w:eastAsiaTheme="minorEastAsia" w:hAnsiTheme="minorEastAsia"/>
          <w:szCs w:val="24"/>
          <w:lang w:eastAsia="zh-CN"/>
        </w:rPr>
      </w:pPr>
      <w:r w:rsidRPr="000374D1">
        <w:rPr>
          <w:rFonts w:asciiTheme="minorEastAsia" w:eastAsiaTheme="minorEastAsia" w:hAnsiTheme="minorEastAsia" w:cs="Microsoft YaHei" w:hint="eastAsia"/>
          <w:szCs w:val="24"/>
          <w:lang w:eastAsia="zh-CN"/>
        </w:rPr>
        <w:t>摘要</w:t>
      </w:r>
    </w:p>
    <w:p w:rsidR="004B5D30" w:rsidRPr="004B5D30" w:rsidRDefault="001D2CB4" w:rsidP="000374D1">
      <w:pPr>
        <w:ind w:firstLineChars="200" w:firstLine="480"/>
        <w:rPr>
          <w:szCs w:val="24"/>
          <w:lang w:eastAsia="zh-CN"/>
        </w:rPr>
      </w:pPr>
      <w:r w:rsidRPr="001D2CB4">
        <w:rPr>
          <w:rFonts w:hint="eastAsia"/>
          <w:szCs w:val="24"/>
          <w:lang w:eastAsia="zh-CN"/>
        </w:rPr>
        <w:t>处理个人可识别信息（</w:t>
      </w:r>
      <w:r w:rsidRPr="001D2CB4">
        <w:rPr>
          <w:rFonts w:hint="eastAsia"/>
          <w:szCs w:val="24"/>
          <w:lang w:eastAsia="zh-CN"/>
        </w:rPr>
        <w:t>PII</w:t>
      </w:r>
      <w:r w:rsidRPr="001D2CB4">
        <w:rPr>
          <w:rFonts w:hint="eastAsia"/>
          <w:szCs w:val="24"/>
          <w:lang w:eastAsia="zh-CN"/>
        </w:rPr>
        <w:t>）组织的数量在不断增加，经这些组织处理的</w:t>
      </w:r>
      <w:r w:rsidRPr="001D2CB4">
        <w:rPr>
          <w:rFonts w:hint="eastAsia"/>
          <w:szCs w:val="24"/>
          <w:lang w:eastAsia="zh-CN"/>
        </w:rPr>
        <w:t>PII</w:t>
      </w:r>
      <w:r w:rsidRPr="001D2CB4">
        <w:rPr>
          <w:rFonts w:hint="eastAsia"/>
          <w:szCs w:val="24"/>
          <w:lang w:eastAsia="zh-CN"/>
        </w:rPr>
        <w:t>数量也有增无减。同时，对于个人可识别信息保护和个人数据安全的社会期望也在不断提高。许多国家正致力于完善其法律，加大对愈发猖獗的资料外泄事件的打击力度。本建议书</w:t>
      </w:r>
      <w:r w:rsidRPr="001D2CB4">
        <w:rPr>
          <w:rFonts w:hint="eastAsia"/>
          <w:szCs w:val="24"/>
          <w:lang w:eastAsia="zh-CN"/>
        </w:rPr>
        <w:t>|</w:t>
      </w:r>
      <w:r w:rsidRPr="001D2CB4">
        <w:rPr>
          <w:rFonts w:hint="eastAsia"/>
          <w:szCs w:val="24"/>
          <w:lang w:eastAsia="zh-CN"/>
        </w:rPr>
        <w:t>国际标准制定了控制目标、控制手段，并为实施控制制定相应指南，以期满足在对个人可识别信息（</w:t>
      </w:r>
      <w:r w:rsidRPr="001D2CB4">
        <w:rPr>
          <w:rFonts w:hint="eastAsia"/>
          <w:szCs w:val="24"/>
          <w:lang w:eastAsia="zh-CN"/>
        </w:rPr>
        <w:t>PII</w:t>
      </w:r>
      <w:r w:rsidRPr="001D2CB4">
        <w:rPr>
          <w:rFonts w:hint="eastAsia"/>
          <w:szCs w:val="24"/>
          <w:lang w:eastAsia="zh-CN"/>
        </w:rPr>
        <w:t>）保护进行风险和影响评估时出现的各项要求。特别是，本建议书</w:t>
      </w:r>
      <w:r w:rsidRPr="001D2CB4">
        <w:rPr>
          <w:rFonts w:hint="eastAsia"/>
          <w:szCs w:val="24"/>
          <w:lang w:eastAsia="zh-CN"/>
        </w:rPr>
        <w:t>|</w:t>
      </w:r>
      <w:r w:rsidRPr="001D2CB4">
        <w:rPr>
          <w:rFonts w:hint="eastAsia"/>
          <w:szCs w:val="24"/>
          <w:lang w:eastAsia="zh-CN"/>
        </w:rPr>
        <w:t>国际标准基于</w:t>
      </w:r>
      <w:r w:rsidRPr="001D2CB4">
        <w:rPr>
          <w:rFonts w:hint="eastAsia"/>
          <w:szCs w:val="24"/>
          <w:lang w:eastAsia="zh-CN"/>
        </w:rPr>
        <w:t>ISO/IEC 27002</w:t>
      </w:r>
      <w:r w:rsidRPr="001D2CB4">
        <w:rPr>
          <w:rFonts w:hint="eastAsia"/>
          <w:szCs w:val="24"/>
          <w:lang w:eastAsia="zh-CN"/>
        </w:rPr>
        <w:t>，对有关指南进行规定，考虑到了处理</w:t>
      </w:r>
      <w:r w:rsidRPr="001D2CB4">
        <w:rPr>
          <w:rFonts w:hint="eastAsia"/>
          <w:szCs w:val="24"/>
          <w:lang w:eastAsia="zh-CN"/>
        </w:rPr>
        <w:t>PII</w:t>
      </w:r>
      <w:r w:rsidRPr="001D2CB4">
        <w:rPr>
          <w:rFonts w:hint="eastAsia"/>
          <w:szCs w:val="24"/>
          <w:lang w:eastAsia="zh-CN"/>
        </w:rPr>
        <w:t>的要求，可用于应对组织信息安全面临的各项风险环境。</w:t>
      </w:r>
    </w:p>
    <w:p w:rsidR="004B5D30" w:rsidRPr="000374D1" w:rsidRDefault="004B5D30" w:rsidP="00D504B9">
      <w:pPr>
        <w:pStyle w:val="Heading1"/>
        <w:rPr>
          <w:lang w:eastAsia="zh-CN"/>
        </w:rPr>
      </w:pPr>
      <w:r w:rsidRPr="000374D1">
        <w:rPr>
          <w:lang w:eastAsia="zh-CN"/>
        </w:rPr>
        <w:t>2</w:t>
      </w:r>
      <w:r w:rsidRPr="000374D1">
        <w:rPr>
          <w:lang w:eastAsia="zh-CN"/>
        </w:rPr>
        <w:tab/>
        <w:t xml:space="preserve">ITU-T X.1080.0 (ex </w:t>
      </w:r>
      <w:proofErr w:type="spellStart"/>
      <w:r w:rsidRPr="000374D1">
        <w:rPr>
          <w:lang w:eastAsia="zh-CN"/>
        </w:rPr>
        <w:t>X.pbact</w:t>
      </w:r>
      <w:proofErr w:type="spellEnd"/>
      <w:proofErr w:type="gramStart"/>
      <w:r w:rsidRPr="000374D1">
        <w:rPr>
          <w:lang w:eastAsia="zh-CN"/>
        </w:rPr>
        <w:t>)</w:t>
      </w:r>
      <w:r w:rsidRPr="000374D1">
        <w:rPr>
          <w:rFonts w:eastAsiaTheme="minorEastAsia" w:hint="eastAsia"/>
          <w:lang w:eastAsia="zh-CN"/>
        </w:rPr>
        <w:t>建议书草案</w:t>
      </w:r>
      <w:proofErr w:type="gramEnd"/>
      <w:r w:rsidRPr="000374D1">
        <w:rPr>
          <w:rFonts w:eastAsiaTheme="minorEastAsia" w:hint="eastAsia"/>
          <w:lang w:eastAsia="zh-CN"/>
        </w:rPr>
        <w:t xml:space="preserve"> </w:t>
      </w:r>
      <w:r w:rsidRPr="000374D1">
        <w:rPr>
          <w:lang w:eastAsia="zh-CN"/>
        </w:rPr>
        <w:t>(</w:t>
      </w:r>
      <w:hyperlink r:id="rId13" w:history="1">
        <w:r w:rsidR="00D504B9" w:rsidRPr="00765398">
          <w:rPr>
            <w:rStyle w:val="Hyperlink"/>
            <w:lang w:val="fr-CH" w:eastAsia="zh-CN"/>
          </w:rPr>
          <w:t>R 75</w:t>
        </w:r>
      </w:hyperlink>
      <w:r w:rsidRPr="000374D1">
        <w:rPr>
          <w:lang w:eastAsia="zh-CN"/>
        </w:rPr>
        <w:t>)</w:t>
      </w:r>
    </w:p>
    <w:p w:rsidR="004B5D30" w:rsidRPr="000C6FAA" w:rsidRDefault="00C90BF8" w:rsidP="000374D1">
      <w:pPr>
        <w:ind w:firstLineChars="200" w:firstLine="482"/>
        <w:rPr>
          <w:b/>
          <w:bCs/>
          <w:szCs w:val="24"/>
          <w:lang w:eastAsia="zh-CN"/>
        </w:rPr>
      </w:pPr>
      <w:r w:rsidRPr="000C6FAA">
        <w:rPr>
          <w:rFonts w:hint="eastAsia"/>
          <w:b/>
          <w:bCs/>
          <w:szCs w:val="24"/>
          <w:lang w:eastAsia="zh-CN"/>
        </w:rPr>
        <w:t>电子生物特征数据保护的</w:t>
      </w:r>
      <w:r w:rsidR="0001513C" w:rsidRPr="000C6FAA">
        <w:rPr>
          <w:rFonts w:hint="eastAsia"/>
          <w:b/>
          <w:bCs/>
          <w:szCs w:val="24"/>
          <w:lang w:eastAsia="zh-CN"/>
        </w:rPr>
        <w:t>访问</w:t>
      </w:r>
      <w:r w:rsidRPr="000C6FAA">
        <w:rPr>
          <w:rFonts w:hint="eastAsia"/>
          <w:b/>
          <w:bCs/>
          <w:szCs w:val="24"/>
          <w:lang w:eastAsia="zh-CN"/>
        </w:rPr>
        <w:t>控制</w:t>
      </w:r>
    </w:p>
    <w:p w:rsidR="004B5D30" w:rsidRPr="000374D1" w:rsidRDefault="004B5D30" w:rsidP="000374D1">
      <w:pPr>
        <w:pStyle w:val="Heading2"/>
        <w:rPr>
          <w:rFonts w:asciiTheme="minorEastAsia" w:eastAsiaTheme="minorEastAsia" w:hAnsiTheme="minorEastAsia"/>
          <w:szCs w:val="24"/>
          <w:lang w:eastAsia="zh-CN"/>
        </w:rPr>
      </w:pPr>
      <w:r w:rsidRPr="000374D1">
        <w:rPr>
          <w:rFonts w:asciiTheme="minorEastAsia" w:eastAsiaTheme="minorEastAsia" w:hAnsiTheme="minorEastAsia" w:cs="Microsoft YaHei" w:hint="eastAsia"/>
          <w:szCs w:val="24"/>
          <w:lang w:eastAsia="zh-CN"/>
        </w:rPr>
        <w:t>摘要</w:t>
      </w:r>
    </w:p>
    <w:p w:rsidR="00FF0CBE" w:rsidRPr="004B5D30" w:rsidRDefault="003B4336" w:rsidP="000374D1">
      <w:pPr>
        <w:ind w:firstLineChars="200" w:firstLine="480"/>
        <w:rPr>
          <w:szCs w:val="24"/>
          <w:lang w:eastAsia="zh-CN"/>
        </w:rPr>
      </w:pPr>
      <w:r w:rsidRPr="00B70F11">
        <w:rPr>
          <w:rFonts w:hint="eastAsia"/>
          <w:lang w:eastAsia="zh-CN"/>
        </w:rPr>
        <w:t>ITU-T X.1080.0</w:t>
      </w:r>
      <w:r w:rsidRPr="00B70F11">
        <w:rPr>
          <w:rFonts w:hint="eastAsia"/>
          <w:lang w:eastAsia="zh-CN"/>
        </w:rPr>
        <w:t>建议书，</w:t>
      </w:r>
      <w:r w:rsidRPr="00B70F11">
        <w:rPr>
          <w:rFonts w:ascii="STKaiti" w:eastAsia="STKaiti" w:hAnsi="STKaiti" w:hint="eastAsia"/>
          <w:szCs w:val="24"/>
          <w:lang w:val="en-US" w:eastAsia="zh-CN"/>
        </w:rPr>
        <w:t>电子生物特征数据保护的访问控制</w:t>
      </w:r>
      <w:r w:rsidRPr="00B70F11">
        <w:rPr>
          <w:rFonts w:hint="eastAsia"/>
          <w:lang w:eastAsia="zh-CN"/>
        </w:rPr>
        <w:t>，</w:t>
      </w:r>
      <w:r>
        <w:rPr>
          <w:rFonts w:hint="eastAsia"/>
          <w:lang w:eastAsia="zh-CN"/>
        </w:rPr>
        <w:t>是</w:t>
      </w:r>
      <w:r w:rsidRPr="00B70F11">
        <w:rPr>
          <w:rFonts w:hint="eastAsia"/>
          <w:lang w:eastAsia="zh-CN"/>
        </w:rPr>
        <w:t>一个关于如何保护电子生物特征信息免受未经授权访问的规范。它通过面向服务的观点来实现，仅提供某个特定目的所需的必要信息，例如，访问不仅建立在</w:t>
      </w:r>
      <w:r w:rsidRPr="00172934">
        <w:rPr>
          <w:rFonts w:ascii="STKaiti" w:eastAsia="STKaiti" w:hAnsi="STKaiti" w:hint="eastAsia"/>
          <w:szCs w:val="24"/>
          <w:lang w:val="en-US" w:eastAsia="zh-CN"/>
        </w:rPr>
        <w:t>有权知道</w:t>
      </w:r>
      <w:r w:rsidRPr="00B70F11">
        <w:rPr>
          <w:rFonts w:hint="eastAsia"/>
          <w:lang w:eastAsia="zh-CN"/>
        </w:rPr>
        <w:t>的基础上，而且建立在</w:t>
      </w:r>
      <w:r w:rsidRPr="00172934">
        <w:rPr>
          <w:rFonts w:ascii="STKaiti" w:eastAsia="STKaiti" w:hAnsi="STKaiti" w:hint="eastAsia"/>
          <w:szCs w:val="24"/>
          <w:lang w:val="en-US" w:eastAsia="zh-CN"/>
        </w:rPr>
        <w:t>按需知道</w:t>
      </w:r>
      <w:r w:rsidRPr="00B70F11">
        <w:rPr>
          <w:rFonts w:hint="eastAsia"/>
          <w:lang w:eastAsia="zh-CN"/>
        </w:rPr>
        <w:t>的基础上。本建议书的核心是一个属性规范，它包含在一个属性证书或</w:t>
      </w:r>
      <w:r>
        <w:rPr>
          <w:rFonts w:hint="eastAsia"/>
          <w:lang w:eastAsia="zh-CN"/>
        </w:rPr>
        <w:t>公开密钥</w:t>
      </w:r>
      <w:r w:rsidRPr="00B70F11">
        <w:rPr>
          <w:rFonts w:hint="eastAsia"/>
          <w:lang w:eastAsia="zh-CN"/>
        </w:rPr>
        <w:t>证书中，用于详细规定针对一种或多种服务类型某个特定的实体有哪些权限。安全性通过使用一个加密消息语法（</w:t>
      </w:r>
      <w:r w:rsidRPr="00B70F11">
        <w:rPr>
          <w:rFonts w:hint="eastAsia"/>
          <w:lang w:eastAsia="zh-CN"/>
        </w:rPr>
        <w:t>CMS</w:t>
      </w:r>
      <w:r w:rsidRPr="00B70F11">
        <w:rPr>
          <w:rFonts w:hint="eastAsia"/>
          <w:lang w:eastAsia="zh-CN"/>
        </w:rPr>
        <w:t>）概要文件来提供。</w:t>
      </w:r>
      <w:r w:rsidRPr="00B70F11">
        <w:rPr>
          <w:rFonts w:hint="eastAsia"/>
          <w:lang w:eastAsia="zh-CN"/>
        </w:rPr>
        <w:t>CMS</w:t>
      </w:r>
      <w:r w:rsidRPr="00B70F11">
        <w:rPr>
          <w:rFonts w:hint="eastAsia"/>
          <w:lang w:eastAsia="zh-CN"/>
        </w:rPr>
        <w:t>概要文件规定了认证、完整性，以及需要的话还有机密性（加密）。该概要文件旨在为电子生物特征通用规范提供安全支持。该概要文件假定并取决于公开密钥基础设施（</w:t>
      </w:r>
      <w:r w:rsidRPr="00B70F11">
        <w:rPr>
          <w:rFonts w:hint="eastAsia"/>
          <w:lang w:eastAsia="zh-CN"/>
        </w:rPr>
        <w:t>PKI</w:t>
      </w:r>
      <w:r w:rsidRPr="00B70F11">
        <w:rPr>
          <w:rFonts w:hint="eastAsia"/>
          <w:lang w:eastAsia="zh-CN"/>
        </w:rPr>
        <w:t>）的正确部署。</w:t>
      </w:r>
      <w:r w:rsidRPr="00B70F11">
        <w:rPr>
          <w:rFonts w:hint="eastAsia"/>
          <w:lang w:eastAsia="zh-CN"/>
        </w:rPr>
        <w:t>ITU-T X.1080.0</w:t>
      </w:r>
      <w:r w:rsidRPr="00B70F11">
        <w:rPr>
          <w:rFonts w:hint="eastAsia"/>
          <w:lang w:eastAsia="zh-CN"/>
        </w:rPr>
        <w:t>建议书也取决于权限管理基础设施（</w:t>
      </w:r>
      <w:r w:rsidRPr="00B70F11">
        <w:rPr>
          <w:rFonts w:hint="eastAsia"/>
          <w:lang w:eastAsia="zh-CN"/>
        </w:rPr>
        <w:t>PMI</w:t>
      </w:r>
      <w:r w:rsidRPr="00B70F11">
        <w:rPr>
          <w:rFonts w:hint="eastAsia"/>
          <w:lang w:eastAsia="zh-CN"/>
        </w:rPr>
        <w:t>）的部署。</w:t>
      </w:r>
    </w:p>
    <w:p w:rsidR="004B5D30" w:rsidRPr="000374D1" w:rsidRDefault="004B5D30" w:rsidP="00D504B9">
      <w:pPr>
        <w:pStyle w:val="Heading1"/>
        <w:rPr>
          <w:lang w:eastAsia="zh-CN"/>
        </w:rPr>
      </w:pPr>
      <w:r w:rsidRPr="000374D1">
        <w:rPr>
          <w:lang w:eastAsia="zh-CN"/>
        </w:rPr>
        <w:t>3</w:t>
      </w:r>
      <w:r w:rsidRPr="000374D1">
        <w:rPr>
          <w:lang w:eastAsia="zh-CN"/>
        </w:rPr>
        <w:tab/>
        <w:t>ITU-T X.1126 (ex X.msec-11</w:t>
      </w:r>
      <w:proofErr w:type="gramStart"/>
      <w:r w:rsidRPr="000374D1">
        <w:rPr>
          <w:lang w:eastAsia="zh-CN"/>
        </w:rPr>
        <w:t>)</w:t>
      </w:r>
      <w:r w:rsidRPr="000374D1">
        <w:rPr>
          <w:rFonts w:eastAsiaTheme="minorEastAsia" w:hint="eastAsia"/>
          <w:lang w:eastAsia="zh-CN"/>
        </w:rPr>
        <w:t>建议书草案</w:t>
      </w:r>
      <w:proofErr w:type="gramEnd"/>
      <w:r w:rsidRPr="000374D1">
        <w:rPr>
          <w:rFonts w:eastAsiaTheme="minorEastAsia" w:hint="eastAsia"/>
          <w:lang w:eastAsia="zh-CN"/>
        </w:rPr>
        <w:t xml:space="preserve"> </w:t>
      </w:r>
      <w:r w:rsidRPr="000374D1">
        <w:rPr>
          <w:lang w:eastAsia="zh-CN"/>
        </w:rPr>
        <w:t>(</w:t>
      </w:r>
      <w:hyperlink r:id="rId14" w:history="1">
        <w:r w:rsidR="00D504B9" w:rsidRPr="00765398">
          <w:rPr>
            <w:rStyle w:val="Hyperlink"/>
            <w:lang w:val="fr-CH" w:eastAsia="zh-CN"/>
          </w:rPr>
          <w:t>R 76</w:t>
        </w:r>
      </w:hyperlink>
      <w:r w:rsidRPr="000374D1">
        <w:rPr>
          <w:lang w:eastAsia="zh-CN"/>
        </w:rPr>
        <w:t>)</w:t>
      </w:r>
    </w:p>
    <w:p w:rsidR="00C90BF8" w:rsidRPr="000C6FAA" w:rsidRDefault="00C90BF8" w:rsidP="000374D1">
      <w:pPr>
        <w:ind w:firstLineChars="200" w:firstLine="482"/>
        <w:rPr>
          <w:b/>
          <w:bCs/>
          <w:lang w:eastAsia="zh-CN"/>
        </w:rPr>
      </w:pPr>
      <w:r w:rsidRPr="000C6FAA">
        <w:rPr>
          <w:rFonts w:hint="eastAsia"/>
          <w:b/>
          <w:bCs/>
          <w:lang w:eastAsia="zh-CN"/>
        </w:rPr>
        <w:t>减缓移动网络中受感染终端负面影响的导则</w:t>
      </w:r>
    </w:p>
    <w:p w:rsidR="004B5D30" w:rsidRPr="000374D1" w:rsidRDefault="004B5D30" w:rsidP="000374D1">
      <w:pPr>
        <w:pStyle w:val="Heading2"/>
        <w:rPr>
          <w:rFonts w:asciiTheme="minorEastAsia" w:eastAsiaTheme="minorEastAsia" w:hAnsiTheme="minorEastAsia"/>
          <w:szCs w:val="24"/>
          <w:lang w:eastAsia="zh-CN"/>
        </w:rPr>
      </w:pPr>
      <w:r w:rsidRPr="000374D1">
        <w:rPr>
          <w:rFonts w:asciiTheme="minorEastAsia" w:eastAsiaTheme="minorEastAsia" w:hAnsiTheme="minorEastAsia" w:cs="Microsoft YaHei" w:hint="eastAsia"/>
          <w:szCs w:val="24"/>
          <w:lang w:eastAsia="zh-CN"/>
        </w:rPr>
        <w:t>摘要</w:t>
      </w:r>
    </w:p>
    <w:p w:rsidR="004B5D30" w:rsidRPr="004B5D30" w:rsidRDefault="002414C9" w:rsidP="000374D1">
      <w:pPr>
        <w:ind w:firstLineChars="200" w:firstLine="480"/>
        <w:rPr>
          <w:szCs w:val="24"/>
          <w:lang w:eastAsia="zh-CN"/>
        </w:rPr>
      </w:pPr>
      <w:r w:rsidRPr="002414C9">
        <w:rPr>
          <w:rFonts w:hint="eastAsia"/>
          <w:szCs w:val="24"/>
          <w:lang w:eastAsia="zh-CN"/>
        </w:rPr>
        <w:t>ITU-T X.1126</w:t>
      </w:r>
      <w:r w:rsidRPr="002414C9">
        <w:rPr>
          <w:rFonts w:hint="eastAsia"/>
          <w:szCs w:val="24"/>
          <w:lang w:eastAsia="zh-CN"/>
        </w:rPr>
        <w:t>建议书为移动运营商提供了采用技术手段遏制受感染终端，以保护用户和移动运营商的导则。该建议书描述了移动环境中不健康生态系统所导致的恶意软件的特性和影响。基于网络侧的技术，本建议书侧重于减缓受感染终端所引发的恶劣影响。本建议书定义并组织了缓解措施及对应的技术。</w:t>
      </w:r>
    </w:p>
    <w:p w:rsidR="004B5D30" w:rsidRPr="000374D1" w:rsidRDefault="004B5D30" w:rsidP="00D504B9">
      <w:pPr>
        <w:pStyle w:val="Heading1"/>
        <w:rPr>
          <w:lang w:eastAsia="zh-CN"/>
        </w:rPr>
      </w:pPr>
      <w:r w:rsidRPr="000374D1">
        <w:rPr>
          <w:lang w:eastAsia="zh-CN"/>
        </w:rPr>
        <w:t>4</w:t>
      </w:r>
      <w:r w:rsidRPr="000374D1">
        <w:rPr>
          <w:lang w:eastAsia="zh-CN"/>
        </w:rPr>
        <w:tab/>
        <w:t xml:space="preserve">ITU-T X.1212 (ex </w:t>
      </w:r>
      <w:proofErr w:type="spellStart"/>
      <w:r w:rsidRPr="000374D1">
        <w:rPr>
          <w:lang w:eastAsia="zh-CN"/>
        </w:rPr>
        <w:t>X.cogent</w:t>
      </w:r>
      <w:proofErr w:type="spellEnd"/>
      <w:proofErr w:type="gramStart"/>
      <w:r w:rsidRPr="000374D1">
        <w:rPr>
          <w:lang w:eastAsia="zh-CN"/>
        </w:rPr>
        <w:t>)</w:t>
      </w:r>
      <w:r w:rsidRPr="000374D1">
        <w:rPr>
          <w:rFonts w:eastAsiaTheme="minorEastAsia" w:hint="eastAsia"/>
          <w:lang w:eastAsia="zh-CN"/>
        </w:rPr>
        <w:t>建议书草案</w:t>
      </w:r>
      <w:proofErr w:type="gramEnd"/>
      <w:r w:rsidRPr="000374D1">
        <w:rPr>
          <w:rFonts w:eastAsiaTheme="minorEastAsia" w:hint="eastAsia"/>
          <w:lang w:eastAsia="zh-CN"/>
        </w:rPr>
        <w:t xml:space="preserve"> </w:t>
      </w:r>
      <w:r w:rsidRPr="000374D1">
        <w:rPr>
          <w:lang w:eastAsia="zh-CN"/>
        </w:rPr>
        <w:t>(</w:t>
      </w:r>
      <w:hyperlink r:id="rId15" w:history="1">
        <w:r w:rsidR="00D504B9" w:rsidRPr="00765398">
          <w:rPr>
            <w:rStyle w:val="Hyperlink"/>
            <w:lang w:val="fr-CH" w:eastAsia="zh-CN"/>
          </w:rPr>
          <w:t>R 71</w:t>
        </w:r>
      </w:hyperlink>
      <w:r w:rsidRPr="000374D1">
        <w:rPr>
          <w:lang w:eastAsia="zh-CN"/>
        </w:rPr>
        <w:t>)</w:t>
      </w:r>
    </w:p>
    <w:p w:rsidR="004B5D30" w:rsidRPr="000C6FAA" w:rsidRDefault="00C90BF8" w:rsidP="000C6FAA">
      <w:pPr>
        <w:keepNext/>
        <w:ind w:firstLineChars="200" w:firstLine="482"/>
        <w:rPr>
          <w:b/>
          <w:bCs/>
          <w:szCs w:val="24"/>
          <w:lang w:eastAsia="zh-CN"/>
        </w:rPr>
      </w:pPr>
      <w:r w:rsidRPr="000C6FAA">
        <w:rPr>
          <w:rFonts w:hint="eastAsia"/>
          <w:b/>
          <w:bCs/>
          <w:szCs w:val="24"/>
          <w:lang w:eastAsia="zh-CN"/>
        </w:rPr>
        <w:t>改善最终用户对可信赖指标看法的设计考虑</w:t>
      </w:r>
    </w:p>
    <w:p w:rsidR="004B5D30" w:rsidRPr="000374D1" w:rsidRDefault="004B5D30" w:rsidP="000374D1">
      <w:pPr>
        <w:pStyle w:val="Heading2"/>
        <w:rPr>
          <w:rFonts w:asciiTheme="minorEastAsia" w:eastAsiaTheme="minorEastAsia" w:hAnsiTheme="minorEastAsia"/>
          <w:szCs w:val="24"/>
          <w:lang w:eastAsia="zh-CN"/>
        </w:rPr>
      </w:pPr>
      <w:r w:rsidRPr="000374D1">
        <w:rPr>
          <w:rFonts w:asciiTheme="minorEastAsia" w:eastAsiaTheme="minorEastAsia" w:hAnsiTheme="minorEastAsia" w:cs="Microsoft YaHei" w:hint="eastAsia"/>
          <w:szCs w:val="24"/>
          <w:lang w:eastAsia="zh-CN"/>
        </w:rPr>
        <w:t>摘要</w:t>
      </w:r>
    </w:p>
    <w:p w:rsidR="004B5D30" w:rsidRPr="004B5D30" w:rsidRDefault="002414C9" w:rsidP="000374D1">
      <w:pPr>
        <w:ind w:firstLineChars="200" w:firstLine="480"/>
        <w:rPr>
          <w:szCs w:val="24"/>
          <w:lang w:eastAsia="zh-CN"/>
        </w:rPr>
      </w:pPr>
      <w:r w:rsidRPr="002414C9">
        <w:rPr>
          <w:rFonts w:hint="eastAsia"/>
          <w:szCs w:val="24"/>
          <w:lang w:eastAsia="zh-CN"/>
        </w:rPr>
        <w:t>各类攻击采用来自可信服务提供商的复制内容，从而使最终用户误信其虚假的可信性。</w:t>
      </w:r>
      <w:r w:rsidRPr="002414C9">
        <w:rPr>
          <w:rFonts w:hint="eastAsia"/>
          <w:szCs w:val="24"/>
          <w:lang w:eastAsia="zh-CN"/>
        </w:rPr>
        <w:t>ITU-T X.1212</w:t>
      </w:r>
      <w:r w:rsidRPr="002414C9">
        <w:rPr>
          <w:rFonts w:hint="eastAsia"/>
          <w:szCs w:val="24"/>
          <w:lang w:eastAsia="zh-CN"/>
        </w:rPr>
        <w:t>建议书说明了增强最终用户对可信指示符的感知的设计考虑。附录介绍了测量最终用户对这些指示符的感知的代表性技术。</w:t>
      </w:r>
    </w:p>
    <w:p w:rsidR="004B5D30" w:rsidRPr="000374D1" w:rsidRDefault="004B5D30" w:rsidP="00D504B9">
      <w:pPr>
        <w:pStyle w:val="Heading1"/>
        <w:rPr>
          <w:lang w:eastAsia="zh-CN"/>
        </w:rPr>
      </w:pPr>
      <w:r w:rsidRPr="000374D1">
        <w:rPr>
          <w:lang w:eastAsia="zh-CN"/>
        </w:rPr>
        <w:t>5</w:t>
      </w:r>
      <w:r w:rsidRPr="000374D1">
        <w:rPr>
          <w:lang w:eastAsia="zh-CN"/>
        </w:rPr>
        <w:tab/>
        <w:t>ITU-T X.1362 (ex X.iotsec-1</w:t>
      </w:r>
      <w:proofErr w:type="gramStart"/>
      <w:r w:rsidRPr="000374D1">
        <w:rPr>
          <w:lang w:eastAsia="zh-CN"/>
        </w:rPr>
        <w:t>)</w:t>
      </w:r>
      <w:r w:rsidRPr="000374D1">
        <w:rPr>
          <w:rFonts w:eastAsiaTheme="minorEastAsia" w:hint="eastAsia"/>
          <w:lang w:eastAsia="zh-CN"/>
        </w:rPr>
        <w:t>建议书草案</w:t>
      </w:r>
      <w:proofErr w:type="gramEnd"/>
      <w:r w:rsidRPr="000374D1">
        <w:rPr>
          <w:rFonts w:eastAsiaTheme="minorEastAsia" w:hint="eastAsia"/>
          <w:lang w:eastAsia="zh-CN"/>
        </w:rPr>
        <w:t xml:space="preserve"> </w:t>
      </w:r>
      <w:r w:rsidRPr="000374D1">
        <w:rPr>
          <w:lang w:eastAsia="zh-CN"/>
        </w:rPr>
        <w:t>(</w:t>
      </w:r>
      <w:hyperlink r:id="rId16" w:history="1">
        <w:r w:rsidR="00D504B9" w:rsidRPr="00765398">
          <w:rPr>
            <w:rStyle w:val="Hyperlink"/>
            <w:lang w:val="fr-CH" w:eastAsia="zh-CN"/>
          </w:rPr>
          <w:t>R 77</w:t>
        </w:r>
      </w:hyperlink>
      <w:r w:rsidRPr="000374D1">
        <w:rPr>
          <w:lang w:eastAsia="zh-CN"/>
        </w:rPr>
        <w:t>)</w:t>
      </w:r>
    </w:p>
    <w:p w:rsidR="004B5D30" w:rsidRPr="000C6FAA" w:rsidRDefault="00C90BF8" w:rsidP="000374D1">
      <w:pPr>
        <w:ind w:firstLineChars="200" w:firstLine="482"/>
        <w:rPr>
          <w:b/>
          <w:bCs/>
          <w:szCs w:val="24"/>
          <w:lang w:eastAsia="zh-CN"/>
        </w:rPr>
      </w:pPr>
      <w:r w:rsidRPr="000C6FAA">
        <w:rPr>
          <w:rFonts w:hint="eastAsia"/>
          <w:b/>
          <w:bCs/>
          <w:szCs w:val="24"/>
          <w:lang w:eastAsia="zh-CN"/>
        </w:rPr>
        <w:t>物联网（</w:t>
      </w:r>
      <w:proofErr w:type="spellStart"/>
      <w:r w:rsidRPr="000C6FAA">
        <w:rPr>
          <w:rFonts w:hint="eastAsia"/>
          <w:b/>
          <w:bCs/>
          <w:szCs w:val="24"/>
          <w:lang w:eastAsia="zh-CN"/>
        </w:rPr>
        <w:t>IoT</w:t>
      </w:r>
      <w:proofErr w:type="spellEnd"/>
      <w:r w:rsidRPr="000C6FAA">
        <w:rPr>
          <w:rFonts w:hint="eastAsia"/>
          <w:b/>
          <w:bCs/>
          <w:szCs w:val="24"/>
          <w:lang w:eastAsia="zh-CN"/>
        </w:rPr>
        <w:t>）环境的简单加密程序</w:t>
      </w:r>
    </w:p>
    <w:p w:rsidR="004B5D30" w:rsidRPr="000374D1" w:rsidRDefault="004B5D30" w:rsidP="000374D1">
      <w:pPr>
        <w:pStyle w:val="Heading2"/>
        <w:rPr>
          <w:rFonts w:asciiTheme="minorEastAsia" w:eastAsiaTheme="minorEastAsia" w:hAnsiTheme="minorEastAsia"/>
          <w:szCs w:val="24"/>
          <w:lang w:eastAsia="zh-CN"/>
        </w:rPr>
      </w:pPr>
      <w:r w:rsidRPr="000374D1">
        <w:rPr>
          <w:rFonts w:asciiTheme="minorEastAsia" w:eastAsiaTheme="minorEastAsia" w:hAnsiTheme="minorEastAsia" w:cs="Microsoft YaHei" w:hint="eastAsia"/>
          <w:szCs w:val="24"/>
          <w:lang w:eastAsia="zh-CN"/>
        </w:rPr>
        <w:t>摘要</w:t>
      </w:r>
    </w:p>
    <w:p w:rsidR="004B5D30" w:rsidRPr="004B5D30" w:rsidRDefault="001D2CB4" w:rsidP="000374D1">
      <w:pPr>
        <w:ind w:firstLineChars="200" w:firstLine="480"/>
        <w:rPr>
          <w:szCs w:val="24"/>
          <w:lang w:eastAsia="zh-CN"/>
        </w:rPr>
      </w:pPr>
      <w:r w:rsidRPr="001D2CB4">
        <w:rPr>
          <w:rFonts w:hint="eastAsia"/>
          <w:szCs w:val="24"/>
          <w:lang w:eastAsia="zh-CN"/>
        </w:rPr>
        <w:t>人们认为，物联网（</w:t>
      </w:r>
      <w:proofErr w:type="spellStart"/>
      <w:r w:rsidRPr="001D2CB4">
        <w:rPr>
          <w:rFonts w:hint="eastAsia"/>
          <w:szCs w:val="24"/>
          <w:lang w:eastAsia="zh-CN"/>
        </w:rPr>
        <w:t>IoT</w:t>
      </w:r>
      <w:proofErr w:type="spellEnd"/>
      <w:r w:rsidRPr="001D2CB4">
        <w:rPr>
          <w:rFonts w:hint="eastAsia"/>
          <w:szCs w:val="24"/>
          <w:lang w:eastAsia="zh-CN"/>
        </w:rPr>
        <w:t>）是未来最重要的标准化领域之一。从</w:t>
      </w:r>
      <w:r w:rsidRPr="001D2CB4">
        <w:rPr>
          <w:rFonts w:hint="eastAsia"/>
          <w:szCs w:val="24"/>
          <w:lang w:eastAsia="zh-CN"/>
        </w:rPr>
        <w:t>ITU-T</w:t>
      </w:r>
      <w:r w:rsidRPr="001D2CB4">
        <w:rPr>
          <w:rFonts w:hint="eastAsia"/>
          <w:szCs w:val="24"/>
          <w:lang w:eastAsia="zh-CN"/>
        </w:rPr>
        <w:t>的角度而言，</w:t>
      </w:r>
      <w:proofErr w:type="spellStart"/>
      <w:r w:rsidRPr="001D2CB4">
        <w:rPr>
          <w:rFonts w:hint="eastAsia"/>
          <w:szCs w:val="24"/>
          <w:lang w:eastAsia="zh-CN"/>
        </w:rPr>
        <w:t>IoT</w:t>
      </w:r>
      <w:proofErr w:type="spellEnd"/>
      <w:r w:rsidRPr="001D2CB4">
        <w:rPr>
          <w:rFonts w:hint="eastAsia"/>
          <w:szCs w:val="24"/>
          <w:lang w:eastAsia="zh-CN"/>
        </w:rPr>
        <w:t>被定义为信息社会的全球性基础设施，通过（物理和虚拟）物体的互连促成先进业务。在某些</w:t>
      </w:r>
      <w:proofErr w:type="spellStart"/>
      <w:r w:rsidRPr="001D2CB4">
        <w:rPr>
          <w:rFonts w:hint="eastAsia"/>
          <w:szCs w:val="24"/>
          <w:lang w:eastAsia="zh-CN"/>
        </w:rPr>
        <w:t>IoT</w:t>
      </w:r>
      <w:proofErr w:type="spellEnd"/>
      <w:r w:rsidRPr="001D2CB4">
        <w:rPr>
          <w:rFonts w:hint="eastAsia"/>
          <w:szCs w:val="24"/>
          <w:lang w:eastAsia="zh-CN"/>
        </w:rPr>
        <w:t>环境中，特别是</w:t>
      </w:r>
      <w:proofErr w:type="spellStart"/>
      <w:r w:rsidRPr="001D2CB4">
        <w:rPr>
          <w:rFonts w:hint="eastAsia"/>
          <w:szCs w:val="24"/>
          <w:lang w:eastAsia="zh-CN"/>
        </w:rPr>
        <w:t>IoT</w:t>
      </w:r>
      <w:proofErr w:type="spellEnd"/>
      <w:r w:rsidRPr="001D2CB4">
        <w:rPr>
          <w:rFonts w:hint="eastAsia"/>
          <w:szCs w:val="24"/>
          <w:lang w:eastAsia="zh-CN"/>
        </w:rPr>
        <w:t>设备方面，存在在一定时间段内对任务进行实时处理的需求。为确保数据保密性和完整性，最基本的对策之一即是采用数据加密</w:t>
      </w:r>
      <w:r w:rsidRPr="001D2CB4">
        <w:rPr>
          <w:rFonts w:hint="eastAsia"/>
          <w:szCs w:val="24"/>
          <w:lang w:eastAsia="zh-CN"/>
        </w:rPr>
        <w:t>/</w:t>
      </w:r>
      <w:r w:rsidRPr="001D2CB4">
        <w:rPr>
          <w:rFonts w:hint="eastAsia"/>
          <w:szCs w:val="24"/>
          <w:lang w:eastAsia="zh-CN"/>
        </w:rPr>
        <w:t>认证算法。数据加密</w:t>
      </w:r>
      <w:r w:rsidRPr="001D2CB4">
        <w:rPr>
          <w:rFonts w:hint="eastAsia"/>
          <w:szCs w:val="24"/>
          <w:lang w:eastAsia="zh-CN"/>
        </w:rPr>
        <w:t>/</w:t>
      </w:r>
      <w:r w:rsidRPr="001D2CB4">
        <w:rPr>
          <w:rFonts w:hint="eastAsia"/>
          <w:szCs w:val="24"/>
          <w:lang w:eastAsia="zh-CN"/>
        </w:rPr>
        <w:t>认证算法的标准应用存在的问题是无法满足上述要求。</w:t>
      </w:r>
      <w:r w:rsidRPr="001D2CB4">
        <w:rPr>
          <w:rFonts w:hint="eastAsia"/>
          <w:szCs w:val="24"/>
          <w:lang w:eastAsia="zh-CN"/>
        </w:rPr>
        <w:t>ITU-T X.1362</w:t>
      </w:r>
      <w:r w:rsidRPr="001D2CB4">
        <w:rPr>
          <w:rFonts w:hint="eastAsia"/>
          <w:szCs w:val="24"/>
          <w:lang w:eastAsia="zh-CN"/>
        </w:rPr>
        <w:t>建议书规定物联网（</w:t>
      </w:r>
      <w:proofErr w:type="spellStart"/>
      <w:r w:rsidRPr="001D2CB4">
        <w:rPr>
          <w:rFonts w:hint="eastAsia"/>
          <w:szCs w:val="24"/>
          <w:lang w:eastAsia="zh-CN"/>
        </w:rPr>
        <w:t>IoT</w:t>
      </w:r>
      <w:proofErr w:type="spellEnd"/>
      <w:r w:rsidRPr="001D2CB4">
        <w:rPr>
          <w:rFonts w:hint="eastAsia"/>
          <w:szCs w:val="24"/>
          <w:lang w:eastAsia="zh-CN"/>
        </w:rPr>
        <w:t>）设备的、带有相关掩膜数据的加密（</w:t>
      </w:r>
      <w:r w:rsidRPr="001D2CB4">
        <w:rPr>
          <w:rFonts w:hint="eastAsia"/>
          <w:szCs w:val="24"/>
          <w:lang w:eastAsia="zh-CN"/>
        </w:rPr>
        <w:t>EAMD</w:t>
      </w:r>
      <w:r w:rsidRPr="001D2CB4">
        <w:rPr>
          <w:rFonts w:hint="eastAsia"/>
          <w:szCs w:val="24"/>
          <w:lang w:eastAsia="zh-CN"/>
        </w:rPr>
        <w:t>）。本建议书具体阐明</w:t>
      </w:r>
      <w:r w:rsidRPr="001D2CB4">
        <w:rPr>
          <w:rFonts w:hint="eastAsia"/>
          <w:szCs w:val="24"/>
          <w:lang w:eastAsia="zh-CN"/>
        </w:rPr>
        <w:t>EAMD</w:t>
      </w:r>
      <w:r w:rsidRPr="001D2CB4">
        <w:rPr>
          <w:rFonts w:hint="eastAsia"/>
          <w:szCs w:val="24"/>
          <w:lang w:eastAsia="zh-CN"/>
        </w:rPr>
        <w:t>以及该加密方法如何为使用它的流量提供一系列安全业务。</w:t>
      </w:r>
    </w:p>
    <w:p w:rsidR="004B5D30" w:rsidRPr="000374D1" w:rsidRDefault="004B5D30" w:rsidP="00D504B9">
      <w:pPr>
        <w:pStyle w:val="Heading1"/>
        <w:rPr>
          <w:lang w:eastAsia="zh-CN"/>
        </w:rPr>
      </w:pPr>
      <w:r w:rsidRPr="000374D1">
        <w:rPr>
          <w:lang w:eastAsia="zh-CN"/>
        </w:rPr>
        <w:t>6</w:t>
      </w:r>
      <w:r w:rsidRPr="000374D1">
        <w:rPr>
          <w:lang w:eastAsia="zh-CN"/>
        </w:rPr>
        <w:tab/>
        <w:t>ITU-T X.1373 (ex X.itssec-1</w:t>
      </w:r>
      <w:proofErr w:type="gramStart"/>
      <w:r w:rsidRPr="000374D1">
        <w:rPr>
          <w:lang w:eastAsia="zh-CN"/>
        </w:rPr>
        <w:t>)</w:t>
      </w:r>
      <w:r w:rsidRPr="000374D1">
        <w:rPr>
          <w:rFonts w:eastAsiaTheme="minorEastAsia" w:hint="eastAsia"/>
          <w:lang w:eastAsia="zh-CN"/>
        </w:rPr>
        <w:t>建议书草案</w:t>
      </w:r>
      <w:proofErr w:type="gramEnd"/>
      <w:r w:rsidRPr="000374D1">
        <w:rPr>
          <w:rFonts w:eastAsiaTheme="minorEastAsia" w:hint="eastAsia"/>
          <w:lang w:eastAsia="zh-CN"/>
        </w:rPr>
        <w:t xml:space="preserve"> </w:t>
      </w:r>
      <w:r w:rsidRPr="000374D1">
        <w:rPr>
          <w:lang w:eastAsia="zh-CN"/>
        </w:rPr>
        <w:t>(</w:t>
      </w:r>
      <w:hyperlink r:id="rId17" w:history="1">
        <w:r w:rsidR="00D504B9" w:rsidRPr="00765398">
          <w:rPr>
            <w:rStyle w:val="Hyperlink"/>
            <w:lang w:val="fr-CH" w:eastAsia="zh-CN"/>
          </w:rPr>
          <w:t>R 78 Rev.2</w:t>
        </w:r>
      </w:hyperlink>
      <w:r w:rsidRPr="000374D1">
        <w:rPr>
          <w:lang w:eastAsia="zh-CN"/>
        </w:rPr>
        <w:t>)</w:t>
      </w:r>
    </w:p>
    <w:p w:rsidR="004B5D30" w:rsidRPr="000C6FAA" w:rsidRDefault="00C90BF8" w:rsidP="000374D1">
      <w:pPr>
        <w:ind w:firstLineChars="200" w:firstLine="482"/>
        <w:rPr>
          <w:b/>
          <w:bCs/>
          <w:szCs w:val="24"/>
          <w:lang w:eastAsia="zh-CN"/>
        </w:rPr>
      </w:pPr>
      <w:r w:rsidRPr="000C6FAA">
        <w:rPr>
          <w:rFonts w:hint="eastAsia"/>
          <w:b/>
          <w:bCs/>
          <w:szCs w:val="24"/>
          <w:lang w:eastAsia="zh-CN"/>
        </w:rPr>
        <w:t>智能交通系统通信设备的安全软件更新功能</w:t>
      </w:r>
    </w:p>
    <w:p w:rsidR="004B5D30" w:rsidRPr="000374D1" w:rsidRDefault="004B5D30" w:rsidP="000374D1">
      <w:pPr>
        <w:pStyle w:val="Heading2"/>
        <w:rPr>
          <w:rFonts w:asciiTheme="minorEastAsia" w:eastAsiaTheme="minorEastAsia" w:hAnsiTheme="minorEastAsia"/>
          <w:szCs w:val="24"/>
          <w:lang w:eastAsia="zh-CN"/>
        </w:rPr>
      </w:pPr>
      <w:r w:rsidRPr="000374D1">
        <w:rPr>
          <w:rFonts w:asciiTheme="minorEastAsia" w:eastAsiaTheme="minorEastAsia" w:hAnsiTheme="minorEastAsia" w:cs="Microsoft YaHei" w:hint="eastAsia"/>
          <w:szCs w:val="24"/>
          <w:lang w:eastAsia="zh-CN"/>
        </w:rPr>
        <w:t>摘要</w:t>
      </w:r>
    </w:p>
    <w:p w:rsidR="003B4336" w:rsidRPr="004B5D30" w:rsidRDefault="003B4336" w:rsidP="00E32232">
      <w:pPr>
        <w:ind w:firstLineChars="200" w:firstLine="480"/>
        <w:rPr>
          <w:szCs w:val="24"/>
          <w:lang w:eastAsia="zh-CN"/>
        </w:rPr>
      </w:pPr>
      <w:bookmarkStart w:id="4" w:name="lt_pId031"/>
      <w:r>
        <w:rPr>
          <w:rFonts w:asciiTheme="minorEastAsia" w:hAnsiTheme="minorEastAsia" w:hint="eastAsia"/>
          <w:bCs/>
          <w:szCs w:val="24"/>
          <w:lang w:eastAsia="zh-CN"/>
        </w:rPr>
        <w:t>随着</w:t>
      </w:r>
      <w:r>
        <w:rPr>
          <w:bCs/>
          <w:szCs w:val="24"/>
          <w:lang w:eastAsia="ja-JP"/>
        </w:rPr>
        <w:t>智能交通</w:t>
      </w:r>
      <w:r>
        <w:rPr>
          <w:rFonts w:asciiTheme="minorEastAsia" w:hAnsiTheme="minorEastAsia" w:hint="eastAsia"/>
          <w:bCs/>
          <w:szCs w:val="24"/>
          <w:lang w:eastAsia="zh-CN"/>
        </w:rPr>
        <w:t>系统</w:t>
      </w:r>
      <w:r w:rsidR="00E32232">
        <w:rPr>
          <w:rFonts w:asciiTheme="minorEastAsia" w:hAnsiTheme="minorEastAsia" w:hint="eastAsia"/>
          <w:bCs/>
          <w:szCs w:val="24"/>
          <w:lang w:eastAsia="zh-CN"/>
        </w:rPr>
        <w:t>（</w:t>
      </w:r>
      <w:r w:rsidRPr="00E127FF">
        <w:rPr>
          <w:bCs/>
          <w:szCs w:val="24"/>
          <w:lang w:eastAsia="ja-JP"/>
        </w:rPr>
        <w:t>ITS</w:t>
      </w:r>
      <w:r w:rsidR="00E32232">
        <w:rPr>
          <w:rFonts w:hint="eastAsia"/>
          <w:bCs/>
          <w:szCs w:val="24"/>
          <w:lang w:eastAsia="zh-CN"/>
        </w:rPr>
        <w:t>）</w:t>
      </w:r>
      <w:r>
        <w:rPr>
          <w:bCs/>
          <w:szCs w:val="24"/>
          <w:lang w:eastAsia="ja-JP"/>
        </w:rPr>
        <w:t>技术的改善</w:t>
      </w:r>
      <w:r>
        <w:rPr>
          <w:rFonts w:asciiTheme="minorEastAsia" w:hAnsiTheme="minorEastAsia" w:hint="eastAsia"/>
          <w:bCs/>
          <w:szCs w:val="24"/>
          <w:lang w:eastAsia="zh-CN"/>
        </w:rPr>
        <w:t>，车辆对其他实体（如其他交通工具）、车辆对车辆</w:t>
      </w:r>
      <w:r w:rsidRPr="00E127FF">
        <w:rPr>
          <w:bCs/>
          <w:szCs w:val="24"/>
          <w:lang w:eastAsia="ja-JP"/>
        </w:rPr>
        <w:t>(V2V)</w:t>
      </w:r>
      <w:r>
        <w:rPr>
          <w:rFonts w:asciiTheme="minorEastAsia" w:hAnsiTheme="minorEastAsia" w:hint="eastAsia"/>
          <w:bCs/>
          <w:szCs w:val="24"/>
          <w:lang w:eastAsia="zh-CN"/>
        </w:rPr>
        <w:t>以及车辆对基础设施</w:t>
      </w:r>
      <w:r w:rsidR="00E32232">
        <w:rPr>
          <w:rFonts w:hint="eastAsia"/>
          <w:bCs/>
          <w:szCs w:val="24"/>
          <w:lang w:eastAsia="zh-CN"/>
        </w:rPr>
        <w:t>（</w:t>
      </w:r>
      <w:r w:rsidRPr="00E127FF">
        <w:rPr>
          <w:bCs/>
          <w:szCs w:val="24"/>
          <w:lang w:eastAsia="ja-JP"/>
        </w:rPr>
        <w:t>V2I</w:t>
      </w:r>
      <w:r w:rsidR="00E32232">
        <w:rPr>
          <w:rFonts w:hint="eastAsia"/>
          <w:bCs/>
          <w:szCs w:val="24"/>
          <w:lang w:eastAsia="zh-CN"/>
        </w:rPr>
        <w:t>）</w:t>
      </w:r>
      <w:r>
        <w:rPr>
          <w:bCs/>
          <w:szCs w:val="24"/>
          <w:lang w:eastAsia="ja-JP"/>
        </w:rPr>
        <w:t>的通信已经很普遍</w:t>
      </w:r>
      <w:r>
        <w:rPr>
          <w:rFonts w:asciiTheme="minorEastAsia" w:hAnsiTheme="minorEastAsia" w:hint="eastAsia"/>
          <w:bCs/>
          <w:szCs w:val="24"/>
          <w:lang w:eastAsia="zh-CN"/>
        </w:rPr>
        <w:t>。</w:t>
      </w:r>
      <w:bookmarkStart w:id="5" w:name="lt_pId032"/>
      <w:bookmarkEnd w:id="4"/>
      <w:r w:rsidRPr="003967C0">
        <w:rPr>
          <w:rFonts w:asciiTheme="minorEastAsia" w:hAnsiTheme="minorEastAsia" w:hint="eastAsia"/>
          <w:bCs/>
          <w:szCs w:val="24"/>
          <w:lang w:eastAsia="zh-CN"/>
        </w:rPr>
        <w:t>由于诸如电子控制单元（</w:t>
      </w:r>
      <w:r w:rsidRPr="009806B1">
        <w:rPr>
          <w:bCs/>
          <w:szCs w:val="24"/>
          <w:lang w:eastAsia="zh-CN"/>
        </w:rPr>
        <w:t>ECU</w:t>
      </w:r>
      <w:r w:rsidRPr="009806B1">
        <w:rPr>
          <w:rFonts w:hAnsiTheme="minorEastAsia"/>
          <w:bCs/>
          <w:szCs w:val="24"/>
          <w:lang w:eastAsia="zh-CN"/>
        </w:rPr>
        <w:t>）</w:t>
      </w:r>
      <w:r w:rsidRPr="003967C0">
        <w:rPr>
          <w:rFonts w:asciiTheme="minorEastAsia" w:hAnsiTheme="minorEastAsia" w:hint="eastAsia"/>
          <w:bCs/>
          <w:szCs w:val="24"/>
          <w:lang w:eastAsia="zh-CN"/>
        </w:rPr>
        <w:t>，电动收费系统</w:t>
      </w:r>
      <w:r w:rsidRPr="009806B1">
        <w:rPr>
          <w:rFonts w:hAnsiTheme="minorEastAsia"/>
          <w:bCs/>
          <w:szCs w:val="24"/>
          <w:lang w:eastAsia="zh-CN"/>
        </w:rPr>
        <w:t>（</w:t>
      </w:r>
      <w:r w:rsidRPr="009806B1">
        <w:rPr>
          <w:bCs/>
          <w:szCs w:val="24"/>
          <w:lang w:eastAsia="zh-CN"/>
        </w:rPr>
        <w:t>ETC</w:t>
      </w:r>
      <w:r w:rsidRPr="009806B1">
        <w:rPr>
          <w:rFonts w:hAnsiTheme="minorEastAsia"/>
          <w:bCs/>
          <w:szCs w:val="24"/>
          <w:lang w:eastAsia="zh-CN"/>
        </w:rPr>
        <w:t>）</w:t>
      </w:r>
      <w:r w:rsidRPr="003967C0">
        <w:rPr>
          <w:rFonts w:asciiTheme="minorEastAsia" w:hAnsiTheme="minorEastAsia" w:hint="eastAsia"/>
          <w:bCs/>
          <w:szCs w:val="24"/>
          <w:lang w:eastAsia="zh-CN"/>
        </w:rPr>
        <w:t>，系统和汽车导航系统等车辆内的电气设备变得越来越复杂</w:t>
      </w:r>
      <w:bookmarkStart w:id="6" w:name="lt_pId033"/>
      <w:bookmarkEnd w:id="5"/>
      <w:r>
        <w:rPr>
          <w:rFonts w:asciiTheme="minorEastAsia" w:hAnsiTheme="minorEastAsia" w:hint="eastAsia"/>
          <w:bCs/>
          <w:szCs w:val="24"/>
          <w:lang w:eastAsia="zh-CN"/>
        </w:rPr>
        <w:t>，为了错误修复、性能和安全改善以避免重大事故，这些电气设备内的软件模块需要适当更新。</w:t>
      </w:r>
      <w:bookmarkStart w:id="7" w:name="lt_pId034"/>
      <w:bookmarkEnd w:id="6"/>
      <w:r>
        <w:rPr>
          <w:bCs/>
          <w:szCs w:val="24"/>
          <w:lang w:eastAsia="ja-JP"/>
        </w:rPr>
        <w:t>为了实现上述要求</w:t>
      </w:r>
      <w:r>
        <w:rPr>
          <w:rFonts w:asciiTheme="minorEastAsia" w:hAnsiTheme="minorEastAsia" w:hint="eastAsia"/>
          <w:bCs/>
          <w:szCs w:val="24"/>
          <w:lang w:eastAsia="zh-CN"/>
        </w:rPr>
        <w:t>，</w:t>
      </w:r>
      <w:r w:rsidRPr="00E127FF">
        <w:rPr>
          <w:szCs w:val="24"/>
          <w:lang w:eastAsia="ja-JP"/>
        </w:rPr>
        <w:t>ITU-T X.1373</w:t>
      </w:r>
      <w:r>
        <w:rPr>
          <w:szCs w:val="24"/>
          <w:lang w:eastAsia="ja-JP"/>
        </w:rPr>
        <w:t>建议书在软件更新服务器和有适当安全控制的车辆之间提供了安全软件更新程序</w:t>
      </w:r>
      <w:bookmarkStart w:id="8" w:name="lt_pId035"/>
      <w:bookmarkEnd w:id="7"/>
      <w:r>
        <w:rPr>
          <w:rFonts w:asciiTheme="minorEastAsia" w:hAnsiTheme="minorEastAsia" w:hint="eastAsia"/>
          <w:szCs w:val="24"/>
          <w:lang w:eastAsia="zh-CN"/>
        </w:rPr>
        <w:t>。</w:t>
      </w:r>
      <w:r>
        <w:rPr>
          <w:szCs w:val="24"/>
          <w:lang w:eastAsia="zh-CN"/>
        </w:rPr>
        <w:t>本建议书可以被车辆</w:t>
      </w:r>
      <w:r>
        <w:rPr>
          <w:rFonts w:asciiTheme="minorEastAsia" w:hAnsiTheme="minorEastAsia" w:hint="eastAsia"/>
          <w:szCs w:val="24"/>
          <w:lang w:eastAsia="zh-CN"/>
        </w:rPr>
        <w:t>制造</w:t>
      </w:r>
      <w:r>
        <w:rPr>
          <w:szCs w:val="24"/>
          <w:lang w:eastAsia="zh-CN"/>
        </w:rPr>
        <w:t>商和</w:t>
      </w:r>
      <w:r>
        <w:rPr>
          <w:rFonts w:hint="eastAsia"/>
          <w:szCs w:val="24"/>
          <w:lang w:eastAsia="zh-CN"/>
        </w:rPr>
        <w:t>ITS</w:t>
      </w:r>
      <w:r>
        <w:rPr>
          <w:rFonts w:hint="eastAsia"/>
          <w:szCs w:val="24"/>
          <w:lang w:eastAsia="zh-CN"/>
        </w:rPr>
        <w:t>相关的产业实际应用，作为一套最佳实践的标准化功能。</w:t>
      </w:r>
      <w:bookmarkEnd w:id="8"/>
    </w:p>
    <w:p w:rsidR="004B5D30" w:rsidRPr="000374D1" w:rsidRDefault="004B5D30" w:rsidP="00D504B9">
      <w:pPr>
        <w:pStyle w:val="Heading1"/>
        <w:rPr>
          <w:lang w:eastAsia="zh-CN"/>
        </w:rPr>
      </w:pPr>
      <w:r w:rsidRPr="000374D1">
        <w:rPr>
          <w:lang w:eastAsia="zh-CN"/>
        </w:rPr>
        <w:t>7</w:t>
      </w:r>
      <w:r w:rsidRPr="000374D1">
        <w:rPr>
          <w:lang w:eastAsia="zh-CN"/>
        </w:rPr>
        <w:tab/>
        <w:t xml:space="preserve">ITU-T X.1550 (ex </w:t>
      </w:r>
      <w:proofErr w:type="spellStart"/>
      <w:r w:rsidRPr="000374D1">
        <w:rPr>
          <w:lang w:eastAsia="zh-CN"/>
        </w:rPr>
        <w:t>X.nessa</w:t>
      </w:r>
      <w:proofErr w:type="spellEnd"/>
      <w:proofErr w:type="gramStart"/>
      <w:r w:rsidRPr="000374D1">
        <w:rPr>
          <w:lang w:eastAsia="zh-CN"/>
        </w:rPr>
        <w:t>)</w:t>
      </w:r>
      <w:r w:rsidRPr="000374D1">
        <w:rPr>
          <w:rFonts w:eastAsiaTheme="minorEastAsia" w:hint="eastAsia"/>
          <w:lang w:eastAsia="zh-CN"/>
        </w:rPr>
        <w:t>建议书草案</w:t>
      </w:r>
      <w:proofErr w:type="gramEnd"/>
      <w:r w:rsidRPr="000374D1">
        <w:rPr>
          <w:rFonts w:eastAsiaTheme="minorEastAsia" w:hint="eastAsia"/>
          <w:lang w:eastAsia="zh-CN"/>
        </w:rPr>
        <w:t xml:space="preserve"> </w:t>
      </w:r>
      <w:r w:rsidRPr="000374D1">
        <w:rPr>
          <w:lang w:eastAsia="zh-CN"/>
        </w:rPr>
        <w:t>(</w:t>
      </w:r>
      <w:hyperlink r:id="rId18" w:history="1">
        <w:r w:rsidR="00D504B9" w:rsidRPr="000C6FAA">
          <w:rPr>
            <w:rStyle w:val="Hyperlink"/>
            <w:lang w:eastAsia="zh-CN"/>
          </w:rPr>
          <w:t>R 72</w:t>
        </w:r>
      </w:hyperlink>
      <w:r w:rsidRPr="000374D1">
        <w:rPr>
          <w:lang w:eastAsia="zh-CN"/>
        </w:rPr>
        <w:t>)</w:t>
      </w:r>
    </w:p>
    <w:p w:rsidR="004B5D30" w:rsidRPr="000C6FAA" w:rsidRDefault="00C90BF8" w:rsidP="000374D1">
      <w:pPr>
        <w:ind w:firstLineChars="200" w:firstLine="482"/>
        <w:rPr>
          <w:b/>
          <w:bCs/>
          <w:lang w:eastAsia="zh-CN"/>
        </w:rPr>
      </w:pPr>
      <w:r w:rsidRPr="000C6FAA">
        <w:rPr>
          <w:rFonts w:hint="eastAsia"/>
          <w:b/>
          <w:bCs/>
          <w:lang w:eastAsia="zh-CN"/>
        </w:rPr>
        <w:t>事件交换网络的接入控制模式</w:t>
      </w:r>
    </w:p>
    <w:p w:rsidR="004B5D30" w:rsidRPr="000374D1" w:rsidRDefault="004B5D30" w:rsidP="000374D1">
      <w:pPr>
        <w:pStyle w:val="Heading2"/>
        <w:rPr>
          <w:rFonts w:asciiTheme="minorEastAsia" w:eastAsiaTheme="minorEastAsia" w:hAnsiTheme="minorEastAsia"/>
          <w:szCs w:val="24"/>
          <w:lang w:eastAsia="zh-CN"/>
        </w:rPr>
      </w:pPr>
      <w:r w:rsidRPr="000374D1">
        <w:rPr>
          <w:rFonts w:asciiTheme="minorEastAsia" w:eastAsiaTheme="minorEastAsia" w:hAnsiTheme="minorEastAsia" w:cs="Microsoft YaHei" w:hint="eastAsia"/>
          <w:szCs w:val="24"/>
          <w:lang w:eastAsia="zh-CN"/>
        </w:rPr>
        <w:t>摘要</w:t>
      </w:r>
    </w:p>
    <w:p w:rsidR="004B5D30" w:rsidRPr="004B5D30" w:rsidRDefault="00C26F3C" w:rsidP="000374D1">
      <w:pPr>
        <w:ind w:firstLineChars="200" w:firstLine="480"/>
        <w:rPr>
          <w:szCs w:val="24"/>
          <w:lang w:eastAsia="zh-CN"/>
        </w:rPr>
      </w:pPr>
      <w:r w:rsidRPr="00C26F3C">
        <w:rPr>
          <w:rFonts w:hint="eastAsia"/>
          <w:szCs w:val="24"/>
          <w:lang w:eastAsia="zh-CN"/>
        </w:rPr>
        <w:t>ITU-T X.1550</w:t>
      </w:r>
      <w:r w:rsidRPr="00C26F3C">
        <w:rPr>
          <w:rFonts w:hint="eastAsia"/>
          <w:szCs w:val="24"/>
          <w:lang w:eastAsia="zh-CN"/>
        </w:rPr>
        <w:t>建议书介绍了实施事件交换网访问控制策略的现有方法。本建议书阐述了各种十分成熟的访问控制模型，分享了事件交换网性能评估的模型和标准。本文考虑到将基于标准的方案，用于在不同网络安全信息内部和在不同的信息环境下推进落实不同的访问控制模型。</w:t>
      </w:r>
    </w:p>
    <w:p w:rsidR="005B7162" w:rsidRDefault="005B7162" w:rsidP="000374D1">
      <w:pPr>
        <w:ind w:firstLineChars="200" w:firstLine="480"/>
        <w:rPr>
          <w:lang w:eastAsia="zh-CN"/>
        </w:rPr>
      </w:pPr>
    </w:p>
    <w:p w:rsidR="005B7162" w:rsidRPr="009438B7" w:rsidRDefault="005B7162" w:rsidP="000374D1">
      <w:pPr>
        <w:rPr>
          <w:strike/>
          <w:lang w:eastAsia="zh-CN"/>
        </w:rPr>
      </w:pPr>
    </w:p>
    <w:p w:rsidR="0063445E" w:rsidRPr="000D6324" w:rsidRDefault="005B7162" w:rsidP="000374D1">
      <w:pPr>
        <w:jc w:val="center"/>
      </w:pPr>
      <w:r>
        <w:t>______________</w:t>
      </w:r>
    </w:p>
    <w:sectPr w:rsidR="0063445E" w:rsidRPr="000D6324">
      <w:headerReference w:type="default" r:id="rId19"/>
      <w:footerReference w:type="default" r:id="rId20"/>
      <w:footerReference w:type="first" r:id="rId21"/>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E58" w:rsidRDefault="00B70E58">
      <w:r>
        <w:separator/>
      </w:r>
    </w:p>
  </w:endnote>
  <w:endnote w:type="continuationSeparator" w:id="0">
    <w:p w:rsidR="00B70E58" w:rsidRDefault="00B7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0C6FAA" w:rsidRDefault="000C6FAA" w:rsidP="000C6FAA">
    <w:pPr>
      <w:tabs>
        <w:tab w:val="clear" w:pos="794"/>
        <w:tab w:val="clear" w:pos="1191"/>
        <w:tab w:val="clear" w:pos="1588"/>
        <w:tab w:val="clear" w:pos="1985"/>
        <w:tab w:val="left" w:pos="5954"/>
        <w:tab w:val="right" w:pos="9639"/>
      </w:tabs>
      <w:spacing w:before="0"/>
      <w:rPr>
        <w:rFonts w:ascii="Calibri" w:eastAsia="Times New Roman" w:hAnsi="Calibri"/>
        <w:caps/>
        <w:noProof/>
        <w:sz w:val="16"/>
        <w:lang w:val="fr-CH"/>
      </w:rPr>
    </w:pPr>
    <w:r w:rsidRPr="000C6FAA">
      <w:rPr>
        <w:rFonts w:ascii="Calibri" w:eastAsia="Times New Roman" w:hAnsi="Calibri"/>
        <w:caps/>
        <w:noProof/>
        <w:sz w:val="16"/>
        <w:lang w:val="fr-CH"/>
      </w:rPr>
      <w:t>ITU-T\BUREAU\CIRC\246</w:t>
    </w:r>
    <w:r>
      <w:rPr>
        <w:rFonts w:ascii="Calibri" w:eastAsia="Times New Roman" w:hAnsi="Calibri"/>
        <w:caps/>
        <w:noProof/>
        <w:sz w:val="16"/>
        <w:lang w:val="fr-CH"/>
      </w:rPr>
      <w:t>C</w:t>
    </w:r>
    <w:r w:rsidRPr="000C6FAA">
      <w:rPr>
        <w:rFonts w:ascii="Calibri" w:eastAsia="Times New Roman" w:hAnsi="Calibri"/>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D1" w:rsidRPr="000374D1" w:rsidRDefault="000374D1" w:rsidP="000374D1">
    <w:pPr>
      <w:pStyle w:val="FirstFooter"/>
      <w:ind w:left="-397" w:right="-397"/>
      <w:jc w:val="center"/>
      <w:rPr>
        <w:rFonts w:asciiTheme="minorHAnsi" w:hAnsiTheme="minorHAnsi"/>
        <w:sz w:val="18"/>
        <w:szCs w:val="18"/>
      </w:rPr>
    </w:pPr>
    <w:r w:rsidRPr="000374D1">
      <w:rPr>
        <w:rFonts w:asciiTheme="minorHAnsi" w:hAnsiTheme="minorHAnsi"/>
        <w:sz w:val="18"/>
        <w:szCs w:val="18"/>
      </w:rPr>
      <w:t xml:space="preserve">International </w:t>
    </w:r>
    <w:proofErr w:type="spellStart"/>
    <w:r w:rsidRPr="000374D1">
      <w:rPr>
        <w:rFonts w:asciiTheme="minorHAnsi" w:hAnsiTheme="minorHAnsi"/>
        <w:sz w:val="18"/>
        <w:szCs w:val="18"/>
      </w:rPr>
      <w:t>Telecommunication</w:t>
    </w:r>
    <w:proofErr w:type="spellEnd"/>
    <w:r w:rsidRPr="000374D1">
      <w:rPr>
        <w:rFonts w:asciiTheme="minorHAnsi" w:hAnsiTheme="minorHAnsi"/>
        <w:sz w:val="18"/>
        <w:szCs w:val="18"/>
      </w:rPr>
      <w:t xml:space="preserve"> Union • Place des Nations • CH-1211 Geneva 20 • Switzerland</w:t>
    </w:r>
    <w:r w:rsidRPr="000374D1">
      <w:rPr>
        <w:rFonts w:asciiTheme="minorHAnsi" w:hAnsiTheme="minorHAnsi"/>
        <w:sz w:val="18"/>
        <w:szCs w:val="18"/>
      </w:rPr>
      <w:br/>
      <w:t xml:space="preserve">Tel: +41 22 730 5111 • Fax: +41 22 733 7256 • E-mail: </w:t>
    </w:r>
    <w:hyperlink r:id="rId1" w:history="1">
      <w:r w:rsidRPr="000374D1">
        <w:rPr>
          <w:rStyle w:val="Hyperlink"/>
          <w:rFonts w:asciiTheme="minorHAnsi" w:hAnsiTheme="minorHAnsi"/>
          <w:sz w:val="18"/>
          <w:szCs w:val="18"/>
        </w:rPr>
        <w:t>itumail@itu.int</w:t>
      </w:r>
    </w:hyperlink>
    <w:r w:rsidRPr="000374D1">
      <w:rPr>
        <w:rFonts w:asciiTheme="minorHAnsi" w:hAnsiTheme="minorHAnsi"/>
        <w:sz w:val="18"/>
        <w:szCs w:val="18"/>
      </w:rPr>
      <w:t xml:space="preserve"> • </w:t>
    </w:r>
    <w:hyperlink r:id="rId2" w:history="1">
      <w:r w:rsidRPr="000374D1">
        <w:rPr>
          <w:rStyle w:val="Hyperlink"/>
          <w:rFonts w:asciiTheme="minorHAnsi" w:hAnsiTheme="minorHAnsi"/>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E58" w:rsidRDefault="00B70E58">
      <w:r>
        <w:separator/>
      </w:r>
    </w:p>
  </w:footnote>
  <w:footnote w:type="continuationSeparator" w:id="0">
    <w:p w:rsidR="00B70E58" w:rsidRDefault="00B70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D1" w:rsidRPr="000374D1" w:rsidRDefault="000374D1" w:rsidP="000374D1">
    <w:pPr>
      <w:pStyle w:val="Header"/>
      <w:rPr>
        <w:sz w:val="18"/>
        <w:szCs w:val="18"/>
      </w:rPr>
    </w:pPr>
    <w:r w:rsidRPr="000374D1">
      <w:rPr>
        <w:sz w:val="18"/>
        <w:szCs w:val="18"/>
      </w:rPr>
      <w:t xml:space="preserve">- </w:t>
    </w:r>
    <w:r w:rsidRPr="000374D1">
      <w:rPr>
        <w:sz w:val="18"/>
        <w:szCs w:val="18"/>
      </w:rPr>
      <w:fldChar w:fldCharType="begin"/>
    </w:r>
    <w:r w:rsidRPr="000374D1">
      <w:rPr>
        <w:sz w:val="18"/>
        <w:szCs w:val="18"/>
      </w:rPr>
      <w:instrText xml:space="preserve"> PAGE   \* MERGEFORMAT </w:instrText>
    </w:r>
    <w:r w:rsidRPr="000374D1">
      <w:rPr>
        <w:sz w:val="18"/>
        <w:szCs w:val="18"/>
      </w:rPr>
      <w:fldChar w:fldCharType="separate"/>
    </w:r>
    <w:r w:rsidR="0091442D">
      <w:rPr>
        <w:noProof/>
        <w:sz w:val="18"/>
        <w:szCs w:val="18"/>
      </w:rPr>
      <w:t>4</w:t>
    </w:r>
    <w:r w:rsidRPr="000374D1">
      <w:rPr>
        <w:noProof/>
        <w:sz w:val="18"/>
        <w:szCs w:val="18"/>
      </w:rPr>
      <w:fldChar w:fldCharType="end"/>
    </w:r>
    <w:r w:rsidRPr="000374D1">
      <w:rPr>
        <w:noProof/>
        <w:sz w:val="18"/>
        <w:szCs w:val="18"/>
      </w:rPr>
      <w:t xml:space="preserve"> -</w:t>
    </w:r>
  </w:p>
  <w:p w:rsidR="00841612" w:rsidRDefault="00841612" w:rsidP="00590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1D"/>
    <w:rsid w:val="0001229C"/>
    <w:rsid w:val="0001513C"/>
    <w:rsid w:val="00027EE3"/>
    <w:rsid w:val="000374D1"/>
    <w:rsid w:val="00081BA5"/>
    <w:rsid w:val="00090E72"/>
    <w:rsid w:val="00094C0B"/>
    <w:rsid w:val="000A2484"/>
    <w:rsid w:val="000C6FAA"/>
    <w:rsid w:val="000D6324"/>
    <w:rsid w:val="00117471"/>
    <w:rsid w:val="00160A43"/>
    <w:rsid w:val="00174E9D"/>
    <w:rsid w:val="001D2CB4"/>
    <w:rsid w:val="001D6E70"/>
    <w:rsid w:val="00234A9B"/>
    <w:rsid w:val="002414C9"/>
    <w:rsid w:val="00282732"/>
    <w:rsid w:val="00284869"/>
    <w:rsid w:val="002E05E3"/>
    <w:rsid w:val="00303A2A"/>
    <w:rsid w:val="003064AD"/>
    <w:rsid w:val="00334A24"/>
    <w:rsid w:val="0035674D"/>
    <w:rsid w:val="003A3A33"/>
    <w:rsid w:val="003B4336"/>
    <w:rsid w:val="003F1CCA"/>
    <w:rsid w:val="00457CC5"/>
    <w:rsid w:val="00464015"/>
    <w:rsid w:val="00486359"/>
    <w:rsid w:val="004B5D30"/>
    <w:rsid w:val="00537563"/>
    <w:rsid w:val="00590119"/>
    <w:rsid w:val="005B7162"/>
    <w:rsid w:val="005C26FD"/>
    <w:rsid w:val="005D7A4D"/>
    <w:rsid w:val="005E20EE"/>
    <w:rsid w:val="00627AE8"/>
    <w:rsid w:val="00632373"/>
    <w:rsid w:val="0063445E"/>
    <w:rsid w:val="00684773"/>
    <w:rsid w:val="006B463C"/>
    <w:rsid w:val="006D22B1"/>
    <w:rsid w:val="006D42C6"/>
    <w:rsid w:val="00704C40"/>
    <w:rsid w:val="007568DA"/>
    <w:rsid w:val="00841612"/>
    <w:rsid w:val="0084436D"/>
    <w:rsid w:val="008B2BDA"/>
    <w:rsid w:val="008C5970"/>
    <w:rsid w:val="009128F1"/>
    <w:rsid w:val="0091442D"/>
    <w:rsid w:val="009424FC"/>
    <w:rsid w:val="00956D38"/>
    <w:rsid w:val="009727EA"/>
    <w:rsid w:val="00974486"/>
    <w:rsid w:val="009C2FF6"/>
    <w:rsid w:val="00A1090D"/>
    <w:rsid w:val="00A16AB0"/>
    <w:rsid w:val="00A20039"/>
    <w:rsid w:val="00A55D76"/>
    <w:rsid w:val="00A577A3"/>
    <w:rsid w:val="00A6538E"/>
    <w:rsid w:val="00A85345"/>
    <w:rsid w:val="00B01F79"/>
    <w:rsid w:val="00B56B75"/>
    <w:rsid w:val="00B673BB"/>
    <w:rsid w:val="00B70E58"/>
    <w:rsid w:val="00BB5392"/>
    <w:rsid w:val="00BC7AEE"/>
    <w:rsid w:val="00BD77CF"/>
    <w:rsid w:val="00BE339D"/>
    <w:rsid w:val="00C03E87"/>
    <w:rsid w:val="00C26F3C"/>
    <w:rsid w:val="00C6016A"/>
    <w:rsid w:val="00C7008A"/>
    <w:rsid w:val="00C70EDA"/>
    <w:rsid w:val="00C73E75"/>
    <w:rsid w:val="00C90BF8"/>
    <w:rsid w:val="00C91313"/>
    <w:rsid w:val="00C916ED"/>
    <w:rsid w:val="00CA3478"/>
    <w:rsid w:val="00CC4AE6"/>
    <w:rsid w:val="00CF355E"/>
    <w:rsid w:val="00D16F47"/>
    <w:rsid w:val="00D34F86"/>
    <w:rsid w:val="00D504B9"/>
    <w:rsid w:val="00D70069"/>
    <w:rsid w:val="00E32232"/>
    <w:rsid w:val="00E35907"/>
    <w:rsid w:val="00E41E39"/>
    <w:rsid w:val="00E47AFF"/>
    <w:rsid w:val="00EC44DB"/>
    <w:rsid w:val="00F07A3C"/>
    <w:rsid w:val="00F346AB"/>
    <w:rsid w:val="00F9383A"/>
    <w:rsid w:val="00FE1D1D"/>
    <w:rsid w:val="00FF0C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2DAE2DD-AF3F-406D-B112-D46DE0F6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4B5D30"/>
    <w:pPr>
      <w:keepNext/>
      <w:keepLines/>
      <w:spacing w:before="280"/>
      <w:ind w:left="1134" w:hanging="1134"/>
      <w:outlineLvl w:val="0"/>
    </w:pPr>
    <w:rPr>
      <w:rFonts w:ascii="Calibri" w:eastAsia="Times New Roman" w:hAnsi="Calibri"/>
      <w:b/>
      <w:sz w:val="28"/>
    </w:rPr>
  </w:style>
  <w:style w:type="paragraph" w:styleId="Heading2">
    <w:name w:val="heading 2"/>
    <w:basedOn w:val="Heading1"/>
    <w:next w:val="Normal"/>
    <w:link w:val="Heading2Char"/>
    <w:qFormat/>
    <w:rsid w:val="004B5D30"/>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5B716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customStyle="1" w:styleId="AppendixRef">
    <w:name w:val="Appendix_Ref"/>
    <w:basedOn w:val="Normal"/>
    <w:next w:val="Normal"/>
    <w:rsid w:val="005B7162"/>
    <w:pPr>
      <w:keepNext/>
      <w:keepLines/>
      <w:jc w:val="center"/>
    </w:pPr>
    <w:rPr>
      <w:rFonts w:ascii="Times New Roman" w:eastAsiaTheme="minorEastAsia" w:hAnsi="Times New Roman"/>
    </w:rPr>
  </w:style>
  <w:style w:type="paragraph" w:customStyle="1" w:styleId="AnnexNo">
    <w:name w:val="Annex_No"/>
    <w:basedOn w:val="Normal"/>
    <w:next w:val="Normal"/>
    <w:rsid w:val="00EC44DB"/>
    <w:pPr>
      <w:keepNext/>
      <w:keepLines/>
      <w:tabs>
        <w:tab w:val="clear" w:pos="794"/>
        <w:tab w:val="clear" w:pos="1191"/>
        <w:tab w:val="clear" w:pos="1588"/>
        <w:tab w:val="clear" w:pos="1985"/>
        <w:tab w:val="left" w:pos="1134"/>
        <w:tab w:val="left" w:pos="1871"/>
        <w:tab w:val="left" w:pos="2268"/>
      </w:tabs>
      <w:spacing w:before="480" w:after="80"/>
      <w:jc w:val="center"/>
    </w:pPr>
    <w:rPr>
      <w:rFonts w:ascii="Times New Roman" w:hAnsi="Times New Roman"/>
      <w:caps/>
      <w:sz w:val="28"/>
    </w:rPr>
  </w:style>
  <w:style w:type="paragraph" w:customStyle="1" w:styleId="Annextitle">
    <w:name w:val="Annex_title"/>
    <w:basedOn w:val="Normal"/>
    <w:next w:val="Normal"/>
    <w:rsid w:val="00EC44D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styleId="ListParagraph">
    <w:name w:val="List Paragraph"/>
    <w:basedOn w:val="Normal"/>
    <w:uiPriority w:val="34"/>
    <w:qFormat/>
    <w:rsid w:val="003A3A33"/>
    <w:pPr>
      <w:ind w:left="720"/>
      <w:contextualSpacing/>
    </w:pPr>
  </w:style>
  <w:style w:type="character" w:customStyle="1" w:styleId="Heading1Char">
    <w:name w:val="Heading 1 Char"/>
    <w:basedOn w:val="DefaultParagraphFont"/>
    <w:link w:val="Heading1"/>
    <w:rsid w:val="004B5D30"/>
    <w:rPr>
      <w:rFonts w:ascii="Calibri" w:eastAsia="Times New Roman" w:hAnsi="Calibri"/>
      <w:b/>
      <w:sz w:val="28"/>
      <w:lang w:val="en-GB" w:eastAsia="en-US"/>
    </w:rPr>
  </w:style>
  <w:style w:type="character" w:customStyle="1" w:styleId="Heading2Char">
    <w:name w:val="Heading 2 Char"/>
    <w:basedOn w:val="DefaultParagraphFont"/>
    <w:link w:val="Heading2"/>
    <w:rsid w:val="004B5D30"/>
    <w:rPr>
      <w:rFonts w:ascii="Calibri" w:eastAsia="Times New Roman" w:hAnsi="Calibri"/>
      <w:b/>
      <w:sz w:val="24"/>
      <w:lang w:val="en-GB" w:eastAsia="en-US"/>
    </w:rPr>
  </w:style>
  <w:style w:type="character" w:customStyle="1" w:styleId="HeaderChar">
    <w:name w:val="Header Char"/>
    <w:link w:val="Header"/>
    <w:rsid w:val="000374D1"/>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60/Pages/default.aspx" TargetMode="External"/><Relationship Id="rId13" Type="http://schemas.openxmlformats.org/officeDocument/2006/relationships/hyperlink" Target="http://www.itu.int/md/T13-SG17-R-0075" TargetMode="External"/><Relationship Id="rId18" Type="http://schemas.openxmlformats.org/officeDocument/2006/relationships/hyperlink" Target="http://www.itu.int/md/T13-SG17-R-0072"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itu.int/md/T13-SG17-R-0069" TargetMode="External"/><Relationship Id="rId17" Type="http://schemas.openxmlformats.org/officeDocument/2006/relationships/hyperlink" Target="http://www.itu.int/md/T13-SG17-R-0078" TargetMode="External"/><Relationship Id="rId2" Type="http://schemas.openxmlformats.org/officeDocument/2006/relationships/settings" Target="settings.xml"/><Relationship Id="rId16" Type="http://schemas.openxmlformats.org/officeDocument/2006/relationships/hyperlink" Target="http://www.itu.int/md/T13-SG17-R-00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itu.int/" TargetMode="External"/><Relationship Id="rId11" Type="http://schemas.openxmlformats.org/officeDocument/2006/relationships/hyperlink" Target="http://www.itu.int/ipr/" TargetMode="External"/><Relationship Id="rId5" Type="http://schemas.openxmlformats.org/officeDocument/2006/relationships/endnotes" Target="endnotes.xml"/><Relationship Id="rId15" Type="http://schemas.openxmlformats.org/officeDocument/2006/relationships/hyperlink" Target="http://www.itu.int/md/T13-SG17-R-0071" TargetMode="External"/><Relationship Id="rId23" Type="http://schemas.openxmlformats.org/officeDocument/2006/relationships/theme" Target="theme/theme1.xml"/><Relationship Id="rId10" Type="http://schemas.openxmlformats.org/officeDocument/2006/relationships/hyperlink" Target="mailto:tsbsg17@itu.int"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www.itu.int/md/T13-SG17-R-0076"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3</TotalTime>
  <Pages>4</Pages>
  <Words>2515</Words>
  <Characters>1225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3733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 Sanp</dc:creator>
  <cp:keywords/>
  <dc:description>174V2C.docx  For: _x000d_Document date: _x000d_Saved by ITU51006837 at 15:32:31 on 11/11/15</dc:description>
  <cp:lastModifiedBy>Millet, Lia</cp:lastModifiedBy>
  <cp:revision>3</cp:revision>
  <cp:lastPrinted>2016-12-14T15:45:00Z</cp:lastPrinted>
  <dcterms:created xsi:type="dcterms:W3CDTF">2016-12-13T17:12:00Z</dcterms:created>
  <dcterms:modified xsi:type="dcterms:W3CDTF">2016-12-14T15:45:00Z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174V2C.docx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