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08"/>
        <w:bidiVisual/>
        <w:tblW w:w="5000" w:type="pct"/>
        <w:tblLook w:val="0000" w:firstRow="0" w:lastRow="0" w:firstColumn="0" w:lastColumn="0" w:noHBand="0" w:noVBand="0"/>
      </w:tblPr>
      <w:tblGrid>
        <w:gridCol w:w="1356"/>
        <w:gridCol w:w="6163"/>
        <w:gridCol w:w="2120"/>
      </w:tblGrid>
      <w:tr w:rsidR="005044D3" w:rsidRPr="007C5DC6" w:rsidTr="00A47DEC">
        <w:trPr>
          <w:cantSplit/>
          <w:trHeight w:val="1418"/>
        </w:trPr>
        <w:tc>
          <w:tcPr>
            <w:tcW w:w="641" w:type="pct"/>
          </w:tcPr>
          <w:p w:rsidR="005044D3" w:rsidRPr="007C5DC6" w:rsidRDefault="009D4787" w:rsidP="005044D3">
            <w:pPr>
              <w:rPr>
                <w:b/>
                <w:bCs/>
                <w:rtl/>
                <w:lang w:bidi="ar-EG"/>
              </w:rPr>
            </w:pPr>
            <w:r w:rsidRPr="009F68B7">
              <w:rPr>
                <w:noProof/>
                <w:lang w:val="en-GB"/>
              </w:rPr>
              <w:drawing>
                <wp:inline distT="0" distB="0" distL="0" distR="0" wp14:anchorId="06E82A9F" wp14:editId="13B7CD97">
                  <wp:extent cx="717550" cy="831850"/>
                  <wp:effectExtent l="0" t="0" r="6350" b="6350"/>
                  <wp:docPr id="2" name="Picture 2"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831850"/>
                          </a:xfrm>
                          <a:prstGeom prst="rect">
                            <a:avLst/>
                          </a:prstGeom>
                          <a:noFill/>
                          <a:ln>
                            <a:noFill/>
                          </a:ln>
                        </pic:spPr>
                      </pic:pic>
                    </a:graphicData>
                  </a:graphic>
                </wp:inline>
              </w:drawing>
            </w:r>
          </w:p>
        </w:tc>
        <w:tc>
          <w:tcPr>
            <w:tcW w:w="3228" w:type="pct"/>
          </w:tcPr>
          <w:p w:rsidR="005044D3" w:rsidRPr="007C5DC6" w:rsidRDefault="005044D3" w:rsidP="005044D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7C5DC6">
              <w:rPr>
                <w:rFonts w:eastAsia="Times New Roman" w:hint="cs"/>
                <w:b/>
                <w:bCs/>
                <w:w w:val="120"/>
                <w:sz w:val="44"/>
                <w:szCs w:val="44"/>
                <w:rtl/>
                <w:lang w:eastAsia="en-US"/>
              </w:rPr>
              <w:t>الاتحـاد الدولـي للاتصـالات</w:t>
            </w:r>
          </w:p>
          <w:p w:rsidR="005044D3" w:rsidRPr="007C5DC6" w:rsidRDefault="005044D3" w:rsidP="005044D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7C5DC6">
              <w:rPr>
                <w:rFonts w:eastAsia="Times New Roman" w:hint="cs"/>
                <w:b/>
                <w:bCs/>
                <w:sz w:val="26"/>
                <w:szCs w:val="36"/>
                <w:rtl/>
                <w:lang w:eastAsia="en-US"/>
              </w:rPr>
              <w:t>مكتب تقييس الاتصالات</w:t>
            </w:r>
          </w:p>
        </w:tc>
        <w:tc>
          <w:tcPr>
            <w:tcW w:w="1131" w:type="pct"/>
          </w:tcPr>
          <w:p w:rsidR="005044D3" w:rsidRPr="007C5DC6" w:rsidRDefault="009D4787" w:rsidP="005044D3">
            <w:pPr>
              <w:jc w:val="right"/>
              <w:rPr>
                <w:b/>
                <w:bCs/>
                <w:rtl/>
              </w:rPr>
            </w:pPr>
            <w:r w:rsidRPr="009F68B7">
              <w:rPr>
                <w:noProof/>
                <w:lang w:val="en-GB"/>
              </w:rPr>
              <w:drawing>
                <wp:inline distT="0" distB="0" distL="0" distR="0" wp14:anchorId="31A4816D" wp14:editId="0F061103">
                  <wp:extent cx="876300" cy="762000"/>
                  <wp:effectExtent l="0" t="0" r="0" b="0"/>
                  <wp:docPr id="4" name="Picture 4" descr="ITUT60_blu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T60_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762000"/>
                          </a:xfrm>
                          <a:prstGeom prst="rect">
                            <a:avLst/>
                          </a:prstGeom>
                          <a:noFill/>
                          <a:ln>
                            <a:noFill/>
                          </a:ln>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521E65" w:rsidRPr="00521E65" w:rsidTr="00876394">
        <w:trPr>
          <w:cantSplit/>
          <w:trHeight w:val="340"/>
        </w:trPr>
        <w:tc>
          <w:tcPr>
            <w:tcW w:w="796" w:type="pct"/>
          </w:tcPr>
          <w:p w:rsidR="00521E65" w:rsidRPr="00755E99" w:rsidRDefault="00521E65" w:rsidP="00643E02">
            <w:pPr>
              <w:spacing w:before="60" w:after="60" w:line="300" w:lineRule="exact"/>
              <w:jc w:val="left"/>
              <w:rPr>
                <w:b/>
                <w:bCs/>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521E65" w:rsidRDefault="00521E65" w:rsidP="000E2F8F">
            <w:pPr>
              <w:spacing w:before="60" w:after="60" w:line="300" w:lineRule="exact"/>
              <w:jc w:val="left"/>
              <w:rPr>
                <w:rtl/>
                <w:lang w:bidi="ar-SY"/>
              </w:rPr>
            </w:pPr>
            <w:r w:rsidRPr="00521E65">
              <w:rPr>
                <w:rFonts w:hint="cs"/>
                <w:rtl/>
              </w:rPr>
              <w:t xml:space="preserve">جنيف، </w:t>
            </w:r>
            <w:r w:rsidR="000E2F8F">
              <w:t>28</w:t>
            </w:r>
            <w:r w:rsidR="00C71E0F">
              <w:rPr>
                <w:rFonts w:hint="cs"/>
                <w:rtl/>
                <w:lang w:bidi="ar-SY"/>
              </w:rPr>
              <w:t xml:space="preserve"> </w:t>
            </w:r>
            <w:r w:rsidR="000E2F8F">
              <w:rPr>
                <w:rFonts w:hint="cs"/>
                <w:rtl/>
                <w:lang w:bidi="ar-SY"/>
              </w:rPr>
              <w:t>نوفمبر</w:t>
            </w:r>
            <w:r w:rsidR="00C71E0F">
              <w:rPr>
                <w:rFonts w:hint="cs"/>
                <w:rtl/>
                <w:lang w:bidi="ar-SY"/>
              </w:rPr>
              <w:t xml:space="preserve"> </w:t>
            </w:r>
            <w:r w:rsidR="00C71E0F">
              <w:rPr>
                <w:lang w:bidi="ar-SY"/>
              </w:rPr>
              <w:t>2015</w:t>
            </w:r>
          </w:p>
          <w:p w:rsidR="00521E65" w:rsidRPr="00521E65" w:rsidRDefault="00521E65" w:rsidP="00643E02">
            <w:pPr>
              <w:spacing w:before="60" w:after="60" w:line="300" w:lineRule="exact"/>
              <w:jc w:val="left"/>
              <w:rPr>
                <w:lang w:bidi="ar-SY"/>
              </w:rPr>
            </w:pPr>
          </w:p>
        </w:tc>
      </w:tr>
      <w:tr w:rsidR="00521E65" w:rsidRPr="00521E65" w:rsidTr="00876394">
        <w:trPr>
          <w:cantSplit/>
          <w:trHeight w:val="340"/>
        </w:trPr>
        <w:tc>
          <w:tcPr>
            <w:tcW w:w="796" w:type="pct"/>
          </w:tcPr>
          <w:p w:rsidR="00521E65" w:rsidRPr="00755E99" w:rsidRDefault="00521E65" w:rsidP="00643E02">
            <w:pPr>
              <w:spacing w:before="60" w:after="60" w:line="300" w:lineRule="exact"/>
              <w:jc w:val="left"/>
              <w:rPr>
                <w:b/>
                <w:bCs/>
                <w:lang w:bidi="ar-SY"/>
              </w:rPr>
            </w:pPr>
            <w:r w:rsidRPr="00755E99">
              <w:rPr>
                <w:rFonts w:hint="cs"/>
                <w:b/>
                <w:bCs/>
                <w:rtl/>
              </w:rPr>
              <w:t>المرجع:</w:t>
            </w:r>
          </w:p>
        </w:tc>
        <w:tc>
          <w:tcPr>
            <w:tcW w:w="1734" w:type="pct"/>
          </w:tcPr>
          <w:p w:rsidR="00521E65" w:rsidRPr="00521E65" w:rsidRDefault="00521E65" w:rsidP="00BB08B6">
            <w:pPr>
              <w:spacing w:before="60" w:after="60" w:line="300" w:lineRule="exact"/>
              <w:jc w:val="left"/>
              <w:rPr>
                <w:bCs/>
                <w:lang w:bidi="ar-SY"/>
              </w:rPr>
            </w:pPr>
            <w:r w:rsidRPr="00521E65">
              <w:rPr>
                <w:b/>
                <w:lang w:bidi="ar-SY"/>
              </w:rPr>
              <w:t>TSB Circular</w:t>
            </w:r>
            <w:r w:rsidR="000324A9">
              <w:rPr>
                <w:b/>
                <w:lang w:bidi="ar-SY"/>
              </w:rPr>
              <w:t> </w:t>
            </w:r>
            <w:r w:rsidR="00BB08B6">
              <w:rPr>
                <w:b/>
                <w:lang w:bidi="ar-SY"/>
              </w:rPr>
              <w:t>246</w:t>
            </w:r>
            <w:r w:rsidRPr="00521E65">
              <w:rPr>
                <w:b/>
                <w:lang w:bidi="ar-SY"/>
              </w:rPr>
              <w:br/>
            </w:r>
            <w:r w:rsidR="00BB08B6">
              <w:rPr>
                <w:bCs/>
                <w:lang w:bidi="ar-SY"/>
              </w:rPr>
              <w:t>SG</w:t>
            </w:r>
            <w:r w:rsidR="00AE6B96">
              <w:rPr>
                <w:bCs/>
                <w:lang w:bidi="ar-SY"/>
              </w:rPr>
              <w:t> </w:t>
            </w:r>
            <w:r w:rsidR="00C71E0F">
              <w:rPr>
                <w:bCs/>
                <w:lang w:bidi="ar-SY"/>
              </w:rPr>
              <w:t>17</w:t>
            </w:r>
            <w:r w:rsidRPr="00521E65">
              <w:rPr>
                <w:bCs/>
                <w:lang w:bidi="ar-SY"/>
              </w:rPr>
              <w:t>/</w:t>
            </w:r>
            <w:r w:rsidR="00C71E0F">
              <w:rPr>
                <w:bCs/>
                <w:lang w:bidi="ar-SY"/>
              </w:rPr>
              <w:t>MEU</w:t>
            </w:r>
          </w:p>
        </w:tc>
        <w:tc>
          <w:tcPr>
            <w:tcW w:w="2470" w:type="pct"/>
            <w:vMerge w:val="restart"/>
          </w:tcPr>
          <w:p w:rsidR="00521E65" w:rsidRPr="00521E65" w:rsidRDefault="00521E65" w:rsidP="000B3345">
            <w:pPr>
              <w:tabs>
                <w:tab w:val="clear" w:pos="1361"/>
                <w:tab w:val="clear" w:pos="1928"/>
                <w:tab w:val="clear" w:pos="2495"/>
                <w:tab w:val="left" w:pos="367"/>
              </w:tabs>
              <w:spacing w:before="60" w:after="60" w:line="300" w:lineRule="exact"/>
              <w:ind w:left="794" w:hanging="794"/>
              <w:jc w:val="left"/>
              <w:rPr>
                <w:lang w:bidi="ar-SY"/>
              </w:rPr>
            </w:pPr>
            <w:r w:rsidRPr="00521E65">
              <w:rPr>
                <w:rFonts w:hint="cs"/>
                <w:rtl/>
              </w:rPr>
              <w:t>-</w:t>
            </w:r>
            <w:r w:rsidRPr="00521E65">
              <w:rPr>
                <w:rtl/>
              </w:rPr>
              <w:tab/>
            </w:r>
            <w:r w:rsidRPr="00521E65">
              <w:rPr>
                <w:rFonts w:hint="cs"/>
                <w:rtl/>
              </w:rPr>
              <w:t xml:space="preserve">إلى إدارات الدول الأعضاء في </w:t>
            </w:r>
            <w:r w:rsidR="000B3345">
              <w:rPr>
                <w:rFonts w:hint="cs"/>
                <w:rtl/>
              </w:rPr>
              <w:t>الاتحاد</w:t>
            </w:r>
          </w:p>
        </w:tc>
      </w:tr>
      <w:tr w:rsidR="00521E65" w:rsidRPr="00521E65" w:rsidTr="00876394">
        <w:trPr>
          <w:cantSplit/>
          <w:trHeight w:val="340"/>
        </w:trPr>
        <w:tc>
          <w:tcPr>
            <w:tcW w:w="796" w:type="pct"/>
          </w:tcPr>
          <w:p w:rsidR="00521E65" w:rsidRPr="00755E99" w:rsidRDefault="00521E65" w:rsidP="00643E02">
            <w:pPr>
              <w:spacing w:before="60" w:after="60" w:line="300" w:lineRule="exact"/>
              <w:jc w:val="left"/>
              <w:rPr>
                <w:b/>
                <w:bCs/>
                <w:rtl/>
                <w:lang w:bidi="ar-SY"/>
              </w:rPr>
            </w:pPr>
            <w:r w:rsidRPr="00755E99">
              <w:rPr>
                <w:rFonts w:hint="cs"/>
                <w:b/>
                <w:bCs/>
                <w:rtl/>
                <w:lang w:bidi="ar-SY"/>
              </w:rPr>
              <w:t>الهاتف</w:t>
            </w:r>
            <w:r w:rsidRPr="00755E99">
              <w:rPr>
                <w:rFonts w:hint="cs"/>
                <w:b/>
                <w:bCs/>
                <w:rtl/>
              </w:rPr>
              <w:t>:</w:t>
            </w:r>
          </w:p>
        </w:tc>
        <w:tc>
          <w:tcPr>
            <w:tcW w:w="1734" w:type="pct"/>
          </w:tcPr>
          <w:p w:rsidR="00521E65" w:rsidRPr="00521E65" w:rsidRDefault="00521E65" w:rsidP="00C71E0F">
            <w:pPr>
              <w:spacing w:before="60" w:after="60" w:line="300" w:lineRule="exact"/>
              <w:jc w:val="left"/>
              <w:rPr>
                <w:b/>
                <w:lang w:bidi="ar-SY"/>
              </w:rPr>
            </w:pPr>
            <w:r w:rsidRPr="00521E65">
              <w:rPr>
                <w:lang w:bidi="ar-SY"/>
              </w:rPr>
              <w:t>+41 22 730 </w:t>
            </w:r>
            <w:r w:rsidR="00C71E0F">
              <w:rPr>
                <w:lang w:bidi="ar-SY"/>
              </w:rPr>
              <w:t>5866</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876394">
        <w:trPr>
          <w:cantSplit/>
          <w:trHeight w:val="340"/>
        </w:trPr>
        <w:tc>
          <w:tcPr>
            <w:tcW w:w="796" w:type="pct"/>
          </w:tcPr>
          <w:p w:rsidR="00521E65" w:rsidRPr="00755E99" w:rsidRDefault="00521E65" w:rsidP="00643E02">
            <w:pPr>
              <w:spacing w:before="60" w:after="60" w:line="300" w:lineRule="exact"/>
              <w:jc w:val="left"/>
              <w:rPr>
                <w:b/>
                <w:bCs/>
                <w:rtl/>
              </w:rPr>
            </w:pPr>
            <w:r w:rsidRPr="00755E99">
              <w:rPr>
                <w:rFonts w:hint="cs"/>
                <w:b/>
                <w:bCs/>
                <w:rtl/>
              </w:rPr>
              <w:t>الفاكس:</w:t>
            </w:r>
          </w:p>
        </w:tc>
        <w:tc>
          <w:tcPr>
            <w:tcW w:w="1734" w:type="pct"/>
          </w:tcPr>
          <w:p w:rsidR="00521E65" w:rsidRPr="00521E65" w:rsidRDefault="00521E65" w:rsidP="00643E02">
            <w:pPr>
              <w:spacing w:before="60" w:after="60" w:line="300" w:lineRule="exact"/>
              <w:jc w:val="left"/>
              <w:rPr>
                <w:b/>
                <w:lang w:bidi="ar-SY"/>
              </w:rPr>
            </w:pPr>
            <w:r w:rsidRPr="00521E65">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876394">
        <w:trPr>
          <w:cantSplit/>
        </w:trPr>
        <w:tc>
          <w:tcPr>
            <w:tcW w:w="796" w:type="pct"/>
          </w:tcPr>
          <w:p w:rsidR="00521E65" w:rsidRPr="00755E99" w:rsidRDefault="00521E65" w:rsidP="00643E02">
            <w:pPr>
              <w:spacing w:before="60" w:after="60" w:line="300" w:lineRule="exact"/>
              <w:jc w:val="left"/>
              <w:rPr>
                <w:b/>
                <w:bCs/>
                <w:lang w:bidi="ar-SY"/>
              </w:rPr>
            </w:pPr>
            <w:r w:rsidRPr="00755E99">
              <w:rPr>
                <w:rFonts w:hint="cs"/>
                <w:b/>
                <w:bCs/>
                <w:rtl/>
              </w:rPr>
              <w:t>البريد الإلكتروني:</w:t>
            </w:r>
          </w:p>
        </w:tc>
        <w:tc>
          <w:tcPr>
            <w:tcW w:w="1734" w:type="pct"/>
          </w:tcPr>
          <w:p w:rsidR="00521E65" w:rsidRPr="00521E65" w:rsidRDefault="00F509DE" w:rsidP="00C71E0F">
            <w:pPr>
              <w:spacing w:before="60" w:after="60" w:line="300" w:lineRule="exact"/>
              <w:jc w:val="left"/>
              <w:rPr>
                <w:lang w:bidi="ar-SY"/>
              </w:rPr>
            </w:pPr>
            <w:hyperlink r:id="rId12" w:history="1">
              <w:r w:rsidR="00C71E0F" w:rsidRPr="00F14A8B">
                <w:rPr>
                  <w:rStyle w:val="Hyperlink"/>
                  <w:lang w:bidi="ar-SY"/>
                </w:rPr>
                <w:t>tsbsg17@itu.int</w:t>
              </w:r>
            </w:hyperlink>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521E65" w:rsidRPr="00521E65" w:rsidRDefault="00521E65" w:rsidP="000B3345">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Pr="00521E65">
              <w:rPr>
                <w:rFonts w:hint="cs"/>
                <w:rtl/>
              </w:rPr>
              <w:t>أعضاء قطاع تقييس الاتصالات</w:t>
            </w:r>
            <w:r w:rsidR="00AE6B96">
              <w:rPr>
                <w:rFonts w:hint="cs"/>
                <w:rtl/>
                <w:lang w:bidi="ar-EG"/>
              </w:rPr>
              <w:t xml:space="preserve"> في </w:t>
            </w:r>
            <w:r w:rsidR="000B3345">
              <w:rPr>
                <w:rFonts w:hint="cs"/>
                <w:rtl/>
                <w:lang w:bidi="ar-EG"/>
              </w:rPr>
              <w:t>الاتحاد</w:t>
            </w:r>
            <w:r w:rsidRPr="00521E65">
              <w:rPr>
                <w:rFonts w:hint="cs"/>
                <w:rtl/>
              </w:rPr>
              <w:t>؛</w:t>
            </w:r>
          </w:p>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Pr="00521E65">
              <w:rPr>
                <w:rFonts w:hint="cs"/>
                <w:rtl/>
              </w:rPr>
              <w:t>ال‍منتسبين إلى قطاع تقييس الاتصالات؛</w:t>
            </w:r>
          </w:p>
          <w:p w:rsidR="00521E65" w:rsidRPr="00521E65" w:rsidRDefault="00521E65" w:rsidP="000B3345">
            <w:pPr>
              <w:tabs>
                <w:tab w:val="clear" w:pos="1361"/>
                <w:tab w:val="clear" w:pos="1928"/>
                <w:tab w:val="clear" w:pos="2495"/>
                <w:tab w:val="left" w:pos="367"/>
              </w:tabs>
              <w:spacing w:before="60" w:after="60" w:line="300" w:lineRule="exact"/>
              <w:ind w:left="794" w:hanging="794"/>
              <w:jc w:val="left"/>
              <w:rPr>
                <w:rtl/>
                <w:lang w:bidi="ar-EG"/>
              </w:rPr>
            </w:pPr>
            <w:r w:rsidRPr="00521E65">
              <w:rPr>
                <w:rFonts w:hint="cs"/>
                <w:rtl/>
              </w:rPr>
              <w:t>-</w:t>
            </w:r>
            <w:r w:rsidRPr="00521E65">
              <w:rPr>
                <w:rtl/>
                <w:lang w:bidi="ar-EG"/>
              </w:rPr>
              <w:tab/>
            </w:r>
            <w:r w:rsidRPr="00521E65">
              <w:rPr>
                <w:rFonts w:hint="cs"/>
                <w:rtl/>
                <w:lang w:bidi="ar-EG"/>
              </w:rPr>
              <w:t xml:space="preserve">الهيئات </w:t>
            </w:r>
            <w:r w:rsidR="000B3345">
              <w:rPr>
                <w:rFonts w:hint="cs"/>
                <w:rtl/>
                <w:lang w:bidi="ar-EG"/>
              </w:rPr>
              <w:t>الأكاديمية المنضمة</w:t>
            </w:r>
            <w:r w:rsidRPr="00521E65">
              <w:rPr>
                <w:rFonts w:hint="cs"/>
                <w:rtl/>
                <w:lang w:bidi="ar-EG"/>
              </w:rPr>
              <w:t xml:space="preserve"> إلى </w:t>
            </w:r>
            <w:r w:rsidR="000B3345">
              <w:rPr>
                <w:rFonts w:hint="cs"/>
                <w:rtl/>
                <w:lang w:bidi="ar-EG"/>
              </w:rPr>
              <w:t>الاتحاد</w:t>
            </w:r>
            <w:r w:rsidRPr="00521E65">
              <w:rPr>
                <w:rFonts w:hint="cs"/>
                <w:rtl/>
                <w:lang w:bidi="ar-EG"/>
              </w:rPr>
              <w:t>؛</w:t>
            </w:r>
          </w:p>
          <w:p w:rsidR="00521E65" w:rsidRPr="000B3345" w:rsidRDefault="00521E65" w:rsidP="000B3345">
            <w:pPr>
              <w:tabs>
                <w:tab w:val="clear" w:pos="1361"/>
                <w:tab w:val="clear" w:pos="1928"/>
                <w:tab w:val="clear" w:pos="2495"/>
                <w:tab w:val="left" w:pos="367"/>
              </w:tabs>
              <w:spacing w:before="60" w:after="60" w:line="300" w:lineRule="exact"/>
              <w:ind w:left="794" w:hanging="794"/>
              <w:jc w:val="left"/>
              <w:rPr>
                <w:spacing w:val="-2"/>
                <w:rtl/>
                <w:lang w:bidi="ar-EG"/>
              </w:rPr>
            </w:pPr>
            <w:r w:rsidRPr="000B3345">
              <w:rPr>
                <w:rFonts w:hint="cs"/>
                <w:spacing w:val="-2"/>
                <w:rtl/>
              </w:rPr>
              <w:t>-</w:t>
            </w:r>
            <w:r w:rsidRPr="000B3345">
              <w:rPr>
                <w:spacing w:val="-2"/>
                <w:rtl/>
              </w:rPr>
              <w:tab/>
            </w:r>
            <w:r w:rsidRPr="000B3345">
              <w:rPr>
                <w:rFonts w:hint="cs"/>
                <w:spacing w:val="-2"/>
                <w:rtl/>
              </w:rPr>
              <w:t xml:space="preserve">رئيس </w:t>
            </w:r>
            <w:r w:rsidR="000B3345" w:rsidRPr="000B3345">
              <w:rPr>
                <w:rFonts w:hint="cs"/>
                <w:spacing w:val="-2"/>
                <w:rtl/>
              </w:rPr>
              <w:t>لجنة</w:t>
            </w:r>
            <w:r w:rsidRPr="000B3345">
              <w:rPr>
                <w:rFonts w:hint="cs"/>
                <w:spacing w:val="-2"/>
                <w:rtl/>
              </w:rPr>
              <w:t xml:space="preserve"> الدراسات </w:t>
            </w:r>
            <w:r w:rsidR="00C71E0F" w:rsidRPr="000B3345">
              <w:rPr>
                <w:spacing w:val="-2"/>
                <w:lang w:bidi="ar-SY"/>
              </w:rPr>
              <w:t>17</w:t>
            </w:r>
            <w:r w:rsidRPr="000B3345">
              <w:rPr>
                <w:rFonts w:hint="cs"/>
                <w:spacing w:val="-2"/>
                <w:rtl/>
                <w:lang w:bidi="ar-EG"/>
              </w:rPr>
              <w:t xml:space="preserve"> </w:t>
            </w:r>
            <w:r w:rsidR="000B3345" w:rsidRPr="000B3345">
              <w:rPr>
                <w:rFonts w:hint="cs"/>
                <w:spacing w:val="-2"/>
                <w:rtl/>
                <w:lang w:bidi="ar-EG"/>
              </w:rPr>
              <w:t xml:space="preserve">لقطاع تقييس الاتصالات </w:t>
            </w:r>
            <w:r w:rsidRPr="000B3345">
              <w:rPr>
                <w:rFonts w:hint="cs"/>
                <w:spacing w:val="-2"/>
                <w:rtl/>
                <w:lang w:bidi="ar-EG"/>
              </w:rPr>
              <w:t>ونوابه؛</w:t>
            </w:r>
          </w:p>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t>مدير مكتب تنمية الاتصالات</w:t>
            </w:r>
            <w:r w:rsidRPr="00521E65">
              <w:rPr>
                <w:rFonts w:hint="cs"/>
                <w:rtl/>
              </w:rPr>
              <w:t>؛</w:t>
            </w:r>
          </w:p>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t>مدير مكتب الاتصالات الراديوية</w:t>
            </w:r>
          </w:p>
        </w:tc>
      </w:tr>
      <w:tr w:rsidR="00521E65" w:rsidRPr="00521E65" w:rsidTr="00876394">
        <w:trPr>
          <w:cantSplit/>
        </w:trPr>
        <w:tc>
          <w:tcPr>
            <w:tcW w:w="796" w:type="pct"/>
          </w:tcPr>
          <w:p w:rsidR="00521E65" w:rsidRPr="00755E99" w:rsidRDefault="00521E65" w:rsidP="00876394">
            <w:pPr>
              <w:spacing w:before="0" w:line="300" w:lineRule="exact"/>
              <w:jc w:val="left"/>
              <w:rPr>
                <w:b/>
                <w:bCs/>
                <w:rtl/>
                <w:lang w:bidi="ar-SY"/>
              </w:rPr>
            </w:pPr>
          </w:p>
        </w:tc>
        <w:tc>
          <w:tcPr>
            <w:tcW w:w="1734" w:type="pct"/>
          </w:tcPr>
          <w:p w:rsidR="00521E65" w:rsidRPr="00521E65" w:rsidRDefault="00521E65" w:rsidP="00876394">
            <w:pPr>
              <w:spacing w:before="0" w:line="300" w:lineRule="exact"/>
              <w:jc w:val="left"/>
              <w:rPr>
                <w:lang w:bidi="ar-SY"/>
              </w:rPr>
            </w:pPr>
          </w:p>
        </w:tc>
        <w:tc>
          <w:tcPr>
            <w:tcW w:w="2470" w:type="pct"/>
          </w:tcPr>
          <w:p w:rsidR="00521E65" w:rsidRPr="00521E65" w:rsidRDefault="00521E65" w:rsidP="00876394">
            <w:pPr>
              <w:spacing w:before="0" w:line="300" w:lineRule="exact"/>
              <w:jc w:val="left"/>
              <w:rPr>
                <w:b/>
                <w:bCs/>
                <w:rtl/>
                <w:lang w:bidi="ar-EG"/>
              </w:rPr>
            </w:pPr>
          </w:p>
        </w:tc>
      </w:tr>
      <w:tr w:rsidR="00521E65" w:rsidRPr="00521E65" w:rsidTr="00876394">
        <w:trPr>
          <w:cantSplit/>
        </w:trPr>
        <w:tc>
          <w:tcPr>
            <w:tcW w:w="796" w:type="pct"/>
          </w:tcPr>
          <w:p w:rsidR="00521E65" w:rsidRPr="00755E99" w:rsidRDefault="00521E65" w:rsidP="0028063F">
            <w:pPr>
              <w:spacing w:before="60" w:after="60"/>
              <w:jc w:val="left"/>
              <w:rPr>
                <w:b/>
                <w:bCs/>
                <w:rtl/>
                <w:lang w:bidi="ar-SY"/>
              </w:rPr>
            </w:pPr>
            <w:r w:rsidRPr="00755E99">
              <w:rPr>
                <w:rFonts w:hint="cs"/>
                <w:b/>
                <w:bCs/>
                <w:rtl/>
              </w:rPr>
              <w:t>الموضوع:</w:t>
            </w:r>
          </w:p>
        </w:tc>
        <w:tc>
          <w:tcPr>
            <w:tcW w:w="4204" w:type="pct"/>
            <w:gridSpan w:val="2"/>
          </w:tcPr>
          <w:p w:rsidR="00521E65" w:rsidRPr="002D1758" w:rsidRDefault="00FF23E0" w:rsidP="002D1758">
            <w:pPr>
              <w:spacing w:before="60" w:after="60"/>
              <w:ind w:left="57" w:right="57"/>
              <w:rPr>
                <w:b/>
                <w:bCs/>
                <w:rtl/>
                <w:lang w:bidi="ar-EG"/>
              </w:rPr>
            </w:pPr>
            <w:r w:rsidRPr="002D1758">
              <w:rPr>
                <w:rFonts w:hint="cs"/>
                <w:b/>
                <w:bCs/>
                <w:rtl/>
              </w:rPr>
              <w:t xml:space="preserve">اجتماع </w:t>
            </w:r>
            <w:r w:rsidR="00D244F8" w:rsidRPr="002D1758">
              <w:rPr>
                <w:rFonts w:hint="cs"/>
                <w:b/>
                <w:bCs/>
                <w:rtl/>
              </w:rPr>
              <w:t>لجنة</w:t>
            </w:r>
            <w:r w:rsidRPr="002D1758">
              <w:rPr>
                <w:rFonts w:hint="cs"/>
                <w:b/>
                <w:bCs/>
                <w:rtl/>
              </w:rPr>
              <w:t xml:space="preserve"> الدراسات</w:t>
            </w:r>
            <w:r w:rsidRPr="002D1758">
              <w:rPr>
                <w:rFonts w:hint="cs"/>
                <w:b/>
                <w:bCs/>
                <w:rtl/>
                <w:lang w:bidi="ar-EG"/>
              </w:rPr>
              <w:t xml:space="preserve"> </w:t>
            </w:r>
            <w:r w:rsidRPr="002D1758">
              <w:rPr>
                <w:b/>
                <w:bCs/>
                <w:lang w:bidi="ar-EG"/>
              </w:rPr>
              <w:t>17</w:t>
            </w:r>
            <w:r w:rsidRPr="002D1758">
              <w:rPr>
                <w:rFonts w:hint="cs"/>
                <w:b/>
                <w:bCs/>
                <w:rtl/>
                <w:lang w:bidi="ar-EG"/>
              </w:rPr>
              <w:t xml:space="preserve"> </w:t>
            </w:r>
            <w:r w:rsidR="000B3345" w:rsidRPr="002D1758">
              <w:rPr>
                <w:rFonts w:hint="cs"/>
                <w:b/>
                <w:bCs/>
                <w:rtl/>
                <w:lang w:bidi="ar-EG"/>
              </w:rPr>
              <w:t xml:space="preserve">لقطاع تقييس الاتصالات، </w:t>
            </w:r>
            <w:r w:rsidR="000B3345" w:rsidRPr="002D1758">
              <w:rPr>
                <w:b/>
                <w:bCs/>
                <w:lang w:bidi="ar-EG"/>
              </w:rPr>
              <w:t>30-22</w:t>
            </w:r>
            <w:r w:rsidR="000B3345" w:rsidRPr="002D1758">
              <w:rPr>
                <w:rFonts w:hint="cs"/>
                <w:b/>
                <w:bCs/>
                <w:rtl/>
                <w:lang w:bidi="ar-EG"/>
              </w:rPr>
              <w:t xml:space="preserve"> مارس </w:t>
            </w:r>
            <w:r w:rsidR="000B3345" w:rsidRPr="002D1758">
              <w:rPr>
                <w:b/>
                <w:bCs/>
                <w:lang w:bidi="ar-EG"/>
              </w:rPr>
              <w:t>2017</w:t>
            </w:r>
            <w:r w:rsidR="000B3345" w:rsidRPr="002D1758">
              <w:rPr>
                <w:rFonts w:hint="cs"/>
                <w:b/>
                <w:bCs/>
                <w:rtl/>
                <w:lang w:bidi="ar-EG"/>
              </w:rPr>
              <w:t xml:space="preserve">، جنيف، </w:t>
            </w:r>
            <w:r w:rsidRPr="002D1758">
              <w:rPr>
                <w:rFonts w:hint="cs"/>
                <w:b/>
                <w:bCs/>
                <w:rtl/>
                <w:lang w:bidi="ar-EG"/>
              </w:rPr>
              <w:t xml:space="preserve">بهدف ال‍موافقة على </w:t>
            </w:r>
            <w:r w:rsidR="008C1F9E" w:rsidRPr="002D1758">
              <w:rPr>
                <w:rFonts w:hint="cs"/>
                <w:b/>
                <w:bCs/>
                <w:rtl/>
                <w:lang w:bidi="ar-EG"/>
              </w:rPr>
              <w:t>مشاريع</w:t>
            </w:r>
            <w:r w:rsidRPr="002D1758">
              <w:rPr>
                <w:rFonts w:hint="cs"/>
                <w:b/>
                <w:bCs/>
                <w:rtl/>
                <w:lang w:bidi="ar-EG"/>
              </w:rPr>
              <w:t xml:space="preserve"> التوصيات </w:t>
            </w:r>
            <w:r w:rsidRPr="002D1758">
              <w:rPr>
                <w:b/>
                <w:bCs/>
                <w:lang w:bidi="ar-EG"/>
              </w:rPr>
              <w:t>ITU</w:t>
            </w:r>
            <w:r w:rsidR="00E47DF2" w:rsidRPr="002D1758">
              <w:rPr>
                <w:b/>
                <w:bCs/>
                <w:lang w:bidi="ar-EG"/>
              </w:rPr>
              <w:noBreakHyphen/>
            </w:r>
            <w:r w:rsidRPr="002D1758">
              <w:rPr>
                <w:b/>
                <w:bCs/>
                <w:lang w:bidi="ar-EG"/>
              </w:rPr>
              <w:t>T X.</w:t>
            </w:r>
            <w:r w:rsidR="000910C5" w:rsidRPr="002D1758">
              <w:rPr>
                <w:b/>
                <w:bCs/>
                <w:lang w:bidi="ar-EG"/>
              </w:rPr>
              <w:t>1</w:t>
            </w:r>
            <w:r w:rsidR="00BB08B6" w:rsidRPr="002D1758">
              <w:rPr>
                <w:b/>
                <w:bCs/>
                <w:lang w:bidi="ar-EG"/>
              </w:rPr>
              <w:t>058</w:t>
            </w:r>
            <w:r w:rsidRPr="002D1758">
              <w:rPr>
                <w:rFonts w:hint="cs"/>
                <w:b/>
                <w:bCs/>
                <w:rtl/>
                <w:lang w:bidi="ar-EG"/>
              </w:rPr>
              <w:t xml:space="preserve"> </w:t>
            </w:r>
            <w:r w:rsidR="009E126A" w:rsidRPr="002D1758">
              <w:rPr>
                <w:rFonts w:hint="cs"/>
                <w:b/>
                <w:bCs/>
                <w:rtl/>
                <w:lang w:bidi="ar-EG"/>
              </w:rPr>
              <w:t>(</w:t>
            </w:r>
            <w:proofErr w:type="spellStart"/>
            <w:r w:rsidR="009D051B">
              <w:rPr>
                <w:b/>
                <w:bCs/>
                <w:lang w:bidi="ar-EG"/>
              </w:rPr>
              <w:t>X.</w:t>
            </w:r>
            <w:r w:rsidR="009E126A" w:rsidRPr="002D1758">
              <w:rPr>
                <w:b/>
                <w:bCs/>
                <w:lang w:bidi="ar-EG"/>
              </w:rPr>
              <w:t>gpim</w:t>
            </w:r>
            <w:proofErr w:type="spellEnd"/>
            <w:r w:rsidR="009E126A" w:rsidRPr="002D1758">
              <w:rPr>
                <w:rFonts w:hint="cs"/>
                <w:b/>
                <w:bCs/>
                <w:rtl/>
                <w:lang w:bidi="ar-EG"/>
              </w:rPr>
              <w:t xml:space="preserve">، سابقاً) </w:t>
            </w:r>
            <w:r w:rsidRPr="002D1758">
              <w:rPr>
                <w:rFonts w:hint="cs"/>
                <w:b/>
                <w:bCs/>
                <w:rtl/>
                <w:lang w:bidi="ar-EG"/>
              </w:rPr>
              <w:t>و</w:t>
            </w:r>
            <w:r w:rsidR="00E47DF2" w:rsidRPr="002D1758">
              <w:rPr>
                <w:b/>
                <w:bCs/>
                <w:lang w:bidi="ar-EG"/>
              </w:rPr>
              <w:t>ITU</w:t>
            </w:r>
            <w:r w:rsidR="00E47DF2" w:rsidRPr="002D1758">
              <w:rPr>
                <w:b/>
                <w:bCs/>
                <w:lang w:bidi="ar-EG"/>
              </w:rPr>
              <w:noBreakHyphen/>
              <w:t>T </w:t>
            </w:r>
            <w:r w:rsidRPr="002D1758">
              <w:rPr>
                <w:b/>
                <w:bCs/>
                <w:lang w:bidi="ar-EG"/>
              </w:rPr>
              <w:t>X.</w:t>
            </w:r>
            <w:r w:rsidR="000910C5" w:rsidRPr="002D1758">
              <w:rPr>
                <w:b/>
                <w:bCs/>
                <w:lang w:bidi="ar-EG"/>
              </w:rPr>
              <w:t>1</w:t>
            </w:r>
            <w:r w:rsidR="0041417B" w:rsidRPr="002D1758">
              <w:rPr>
                <w:b/>
                <w:bCs/>
                <w:lang w:bidi="ar-EG"/>
              </w:rPr>
              <w:t>080.0</w:t>
            </w:r>
            <w:r w:rsidRPr="002D1758">
              <w:rPr>
                <w:rFonts w:hint="cs"/>
                <w:b/>
                <w:bCs/>
                <w:rtl/>
                <w:lang w:bidi="ar-EG"/>
              </w:rPr>
              <w:t xml:space="preserve"> </w:t>
            </w:r>
            <w:r w:rsidR="009E126A" w:rsidRPr="002D1758">
              <w:rPr>
                <w:rFonts w:hint="cs"/>
                <w:b/>
                <w:bCs/>
                <w:rtl/>
                <w:lang w:bidi="ar-EG"/>
              </w:rPr>
              <w:t>(</w:t>
            </w:r>
            <w:proofErr w:type="spellStart"/>
            <w:r w:rsidR="009D051B">
              <w:rPr>
                <w:b/>
                <w:bCs/>
                <w:lang w:bidi="ar-EG"/>
              </w:rPr>
              <w:t>X.</w:t>
            </w:r>
            <w:r w:rsidR="009E126A" w:rsidRPr="002D1758">
              <w:rPr>
                <w:b/>
                <w:bCs/>
                <w:lang w:bidi="ar-EG"/>
              </w:rPr>
              <w:t>pbact</w:t>
            </w:r>
            <w:proofErr w:type="spellEnd"/>
            <w:r w:rsidR="009E126A" w:rsidRPr="002D1758">
              <w:rPr>
                <w:rFonts w:hint="cs"/>
                <w:b/>
                <w:bCs/>
                <w:rtl/>
                <w:lang w:bidi="ar-EG"/>
              </w:rPr>
              <w:t>، سابقاً)</w:t>
            </w:r>
            <w:r w:rsidR="002D1758" w:rsidRPr="002D1758">
              <w:rPr>
                <w:b/>
                <w:bCs/>
                <w:rtl/>
                <w:lang w:bidi="ar-EG"/>
              </w:rPr>
              <w:br/>
            </w:r>
            <w:r w:rsidR="000910C5" w:rsidRPr="002D1758">
              <w:rPr>
                <w:rFonts w:hint="cs"/>
                <w:b/>
                <w:bCs/>
                <w:spacing w:val="-6"/>
                <w:rtl/>
                <w:lang w:bidi="ar-EG"/>
              </w:rPr>
              <w:t>و</w:t>
            </w:r>
            <w:r w:rsidR="00E47DF2" w:rsidRPr="002D1758">
              <w:rPr>
                <w:b/>
                <w:bCs/>
                <w:spacing w:val="-6"/>
                <w:lang w:bidi="ar-EG"/>
              </w:rPr>
              <w:t>ITU</w:t>
            </w:r>
            <w:r w:rsidR="00E47DF2" w:rsidRPr="002D1758">
              <w:rPr>
                <w:b/>
                <w:bCs/>
                <w:spacing w:val="-6"/>
                <w:lang w:bidi="ar-EG"/>
              </w:rPr>
              <w:noBreakHyphen/>
              <w:t>T </w:t>
            </w:r>
            <w:r w:rsidR="000910C5" w:rsidRPr="002D1758">
              <w:rPr>
                <w:b/>
                <w:bCs/>
                <w:spacing w:val="-6"/>
                <w:lang w:bidi="ar-EG"/>
              </w:rPr>
              <w:t>X.1</w:t>
            </w:r>
            <w:r w:rsidR="0041417B" w:rsidRPr="002D1758">
              <w:rPr>
                <w:b/>
                <w:bCs/>
                <w:spacing w:val="-6"/>
                <w:lang w:bidi="ar-EG"/>
              </w:rPr>
              <w:t>126</w:t>
            </w:r>
            <w:r w:rsidR="000910C5" w:rsidRPr="002D1758">
              <w:rPr>
                <w:rFonts w:hint="cs"/>
                <w:b/>
                <w:bCs/>
                <w:spacing w:val="-6"/>
                <w:rtl/>
                <w:lang w:bidi="ar-EG"/>
              </w:rPr>
              <w:t xml:space="preserve"> </w:t>
            </w:r>
            <w:r w:rsidR="009E126A" w:rsidRPr="002D1758">
              <w:rPr>
                <w:rFonts w:hint="cs"/>
                <w:b/>
                <w:bCs/>
                <w:spacing w:val="-6"/>
                <w:rtl/>
                <w:lang w:bidi="ar-EG"/>
              </w:rPr>
              <w:t>(</w:t>
            </w:r>
            <w:r w:rsidR="009D051B">
              <w:rPr>
                <w:b/>
                <w:bCs/>
                <w:spacing w:val="-6"/>
                <w:lang w:bidi="ar-EG"/>
              </w:rPr>
              <w:t>X.</w:t>
            </w:r>
            <w:r w:rsidR="009E126A" w:rsidRPr="002D1758">
              <w:rPr>
                <w:b/>
                <w:bCs/>
                <w:spacing w:val="-6"/>
                <w:lang w:bidi="ar-EG"/>
              </w:rPr>
              <w:t>msec</w:t>
            </w:r>
            <w:r w:rsidR="009E126A" w:rsidRPr="002D1758">
              <w:rPr>
                <w:b/>
                <w:bCs/>
                <w:spacing w:val="-6"/>
                <w:lang w:bidi="ar-EG"/>
              </w:rPr>
              <w:noBreakHyphen/>
              <w:t>11</w:t>
            </w:r>
            <w:r w:rsidR="009E126A" w:rsidRPr="002D1758">
              <w:rPr>
                <w:rFonts w:hint="cs"/>
                <w:b/>
                <w:bCs/>
                <w:spacing w:val="-6"/>
                <w:rtl/>
                <w:lang w:bidi="ar-EG"/>
              </w:rPr>
              <w:t xml:space="preserve">، سابقاً) </w:t>
            </w:r>
            <w:r w:rsidR="0041417B" w:rsidRPr="002D1758">
              <w:rPr>
                <w:rFonts w:hint="cs"/>
                <w:b/>
                <w:bCs/>
                <w:spacing w:val="-6"/>
                <w:rtl/>
                <w:lang w:bidi="ar-EG"/>
              </w:rPr>
              <w:t>و</w:t>
            </w:r>
            <w:r w:rsidR="00E47DF2" w:rsidRPr="002D1758">
              <w:rPr>
                <w:b/>
                <w:bCs/>
                <w:spacing w:val="-6"/>
                <w:lang w:bidi="ar-EG"/>
              </w:rPr>
              <w:t>ITU</w:t>
            </w:r>
            <w:r w:rsidR="00E47DF2" w:rsidRPr="002D1758">
              <w:rPr>
                <w:b/>
                <w:bCs/>
                <w:spacing w:val="-6"/>
                <w:lang w:bidi="ar-EG"/>
              </w:rPr>
              <w:noBreakHyphen/>
              <w:t>T </w:t>
            </w:r>
            <w:r w:rsidR="0041417B" w:rsidRPr="002D1758">
              <w:rPr>
                <w:b/>
                <w:bCs/>
                <w:spacing w:val="-6"/>
                <w:lang w:bidi="ar-EG"/>
              </w:rPr>
              <w:t>X.1212</w:t>
            </w:r>
            <w:r w:rsidR="0041417B" w:rsidRPr="002D1758">
              <w:rPr>
                <w:rFonts w:hint="cs"/>
                <w:b/>
                <w:bCs/>
                <w:spacing w:val="-6"/>
                <w:rtl/>
                <w:lang w:bidi="ar-EG"/>
              </w:rPr>
              <w:t xml:space="preserve"> </w:t>
            </w:r>
            <w:r w:rsidR="009E126A" w:rsidRPr="002D1758">
              <w:rPr>
                <w:rFonts w:hint="cs"/>
                <w:b/>
                <w:bCs/>
                <w:spacing w:val="-6"/>
                <w:rtl/>
                <w:lang w:bidi="ar-EG"/>
              </w:rPr>
              <w:t>(</w:t>
            </w:r>
            <w:proofErr w:type="spellStart"/>
            <w:r w:rsidR="009D051B">
              <w:rPr>
                <w:b/>
                <w:bCs/>
                <w:spacing w:val="-6"/>
                <w:lang w:bidi="ar-EG"/>
              </w:rPr>
              <w:t>X.</w:t>
            </w:r>
            <w:r w:rsidR="009E126A" w:rsidRPr="002D1758">
              <w:rPr>
                <w:b/>
                <w:bCs/>
                <w:spacing w:val="-6"/>
                <w:lang w:bidi="ar-EG"/>
              </w:rPr>
              <w:t>cogent</w:t>
            </w:r>
            <w:proofErr w:type="spellEnd"/>
            <w:r w:rsidR="009E126A" w:rsidRPr="002D1758">
              <w:rPr>
                <w:rFonts w:hint="cs"/>
                <w:b/>
                <w:bCs/>
                <w:spacing w:val="-6"/>
                <w:rtl/>
                <w:lang w:bidi="ar-EG"/>
              </w:rPr>
              <w:t xml:space="preserve">، سابقاً) </w:t>
            </w:r>
            <w:r w:rsidR="0041417B" w:rsidRPr="002D1758">
              <w:rPr>
                <w:rFonts w:hint="cs"/>
                <w:b/>
                <w:bCs/>
                <w:spacing w:val="-6"/>
                <w:rtl/>
                <w:lang w:bidi="ar-EG"/>
              </w:rPr>
              <w:t>و</w:t>
            </w:r>
            <w:r w:rsidR="00E47DF2" w:rsidRPr="002D1758">
              <w:rPr>
                <w:b/>
                <w:bCs/>
                <w:spacing w:val="-6"/>
                <w:lang w:bidi="ar-EG"/>
              </w:rPr>
              <w:t>ITU</w:t>
            </w:r>
            <w:r w:rsidR="00E47DF2" w:rsidRPr="002D1758">
              <w:rPr>
                <w:b/>
                <w:bCs/>
                <w:spacing w:val="-6"/>
                <w:lang w:bidi="ar-EG"/>
              </w:rPr>
              <w:noBreakHyphen/>
              <w:t>T </w:t>
            </w:r>
            <w:r w:rsidR="0041417B" w:rsidRPr="002D1758">
              <w:rPr>
                <w:b/>
                <w:bCs/>
                <w:spacing w:val="-6"/>
                <w:lang w:bidi="ar-EG"/>
              </w:rPr>
              <w:t>X.1362</w:t>
            </w:r>
            <w:r w:rsidR="0041417B" w:rsidRPr="002D1758">
              <w:rPr>
                <w:rFonts w:hint="cs"/>
                <w:b/>
                <w:bCs/>
                <w:spacing w:val="-6"/>
                <w:rtl/>
                <w:lang w:bidi="ar-EG"/>
              </w:rPr>
              <w:t xml:space="preserve"> </w:t>
            </w:r>
            <w:r w:rsidR="009E126A" w:rsidRPr="002D1758">
              <w:rPr>
                <w:rFonts w:hint="cs"/>
                <w:b/>
                <w:bCs/>
                <w:spacing w:val="-6"/>
                <w:rtl/>
                <w:lang w:bidi="ar-EG"/>
              </w:rPr>
              <w:t>(</w:t>
            </w:r>
            <w:r w:rsidR="009D051B">
              <w:rPr>
                <w:b/>
                <w:bCs/>
                <w:spacing w:val="-6"/>
                <w:lang w:bidi="ar-EG"/>
              </w:rPr>
              <w:t>X.</w:t>
            </w:r>
            <w:r w:rsidR="009E126A" w:rsidRPr="002D1758">
              <w:rPr>
                <w:b/>
                <w:bCs/>
                <w:spacing w:val="-6"/>
                <w:lang w:bidi="ar-EG"/>
              </w:rPr>
              <w:t>iotsec</w:t>
            </w:r>
            <w:r w:rsidR="009E126A" w:rsidRPr="002D1758">
              <w:rPr>
                <w:b/>
                <w:bCs/>
                <w:spacing w:val="-6"/>
                <w:lang w:bidi="ar-EG"/>
              </w:rPr>
              <w:noBreakHyphen/>
              <w:t>1</w:t>
            </w:r>
            <w:r w:rsidR="009E126A" w:rsidRPr="002D1758">
              <w:rPr>
                <w:rFonts w:hint="cs"/>
                <w:b/>
                <w:bCs/>
                <w:spacing w:val="-6"/>
                <w:rtl/>
                <w:lang w:bidi="ar-EG"/>
              </w:rPr>
              <w:t>، سابقاً)</w:t>
            </w:r>
            <w:r w:rsidR="009E126A" w:rsidRPr="002D1758">
              <w:rPr>
                <w:rFonts w:hint="cs"/>
                <w:b/>
                <w:bCs/>
                <w:rtl/>
                <w:lang w:bidi="ar-EG"/>
              </w:rPr>
              <w:t xml:space="preserve"> </w:t>
            </w:r>
            <w:r w:rsidR="0041417B" w:rsidRPr="002D1758">
              <w:rPr>
                <w:rFonts w:hint="cs"/>
                <w:b/>
                <w:bCs/>
                <w:rtl/>
                <w:lang w:bidi="ar-EG"/>
              </w:rPr>
              <w:t>و</w:t>
            </w:r>
            <w:r w:rsidR="00E47DF2" w:rsidRPr="002D1758">
              <w:rPr>
                <w:b/>
                <w:bCs/>
                <w:lang w:bidi="ar-EG"/>
              </w:rPr>
              <w:t>ITU</w:t>
            </w:r>
            <w:r w:rsidR="00E47DF2" w:rsidRPr="002D1758">
              <w:rPr>
                <w:b/>
                <w:bCs/>
                <w:lang w:bidi="ar-EG"/>
              </w:rPr>
              <w:noBreakHyphen/>
              <w:t>T </w:t>
            </w:r>
            <w:r w:rsidR="0041417B" w:rsidRPr="002D1758">
              <w:rPr>
                <w:b/>
                <w:bCs/>
                <w:lang w:bidi="ar-EG"/>
              </w:rPr>
              <w:t>X.1373</w:t>
            </w:r>
            <w:r w:rsidR="0041417B" w:rsidRPr="002D1758">
              <w:rPr>
                <w:rFonts w:hint="cs"/>
                <w:b/>
                <w:bCs/>
                <w:rtl/>
                <w:lang w:bidi="ar-EG"/>
              </w:rPr>
              <w:t xml:space="preserve"> </w:t>
            </w:r>
            <w:r w:rsidR="009E126A" w:rsidRPr="002D1758">
              <w:rPr>
                <w:rFonts w:hint="cs"/>
                <w:b/>
                <w:bCs/>
                <w:rtl/>
                <w:lang w:bidi="ar-EG"/>
              </w:rPr>
              <w:t>(</w:t>
            </w:r>
            <w:r w:rsidR="009D051B">
              <w:rPr>
                <w:b/>
                <w:bCs/>
                <w:lang w:bidi="ar-EG"/>
              </w:rPr>
              <w:t>X.</w:t>
            </w:r>
            <w:r w:rsidR="009E126A" w:rsidRPr="002D1758">
              <w:rPr>
                <w:b/>
                <w:bCs/>
                <w:lang w:bidi="ar-EG"/>
              </w:rPr>
              <w:t>itssec</w:t>
            </w:r>
            <w:r w:rsidR="009E126A" w:rsidRPr="002D1758">
              <w:rPr>
                <w:b/>
                <w:bCs/>
                <w:lang w:bidi="ar-EG"/>
              </w:rPr>
              <w:noBreakHyphen/>
              <w:t>1</w:t>
            </w:r>
            <w:r w:rsidR="009E126A" w:rsidRPr="002D1758">
              <w:rPr>
                <w:rFonts w:hint="cs"/>
                <w:b/>
                <w:bCs/>
                <w:rtl/>
                <w:lang w:bidi="ar-EG"/>
              </w:rPr>
              <w:t xml:space="preserve">، سابقاً) </w:t>
            </w:r>
            <w:r w:rsidR="0041417B" w:rsidRPr="002D1758">
              <w:rPr>
                <w:rFonts w:hint="cs"/>
                <w:b/>
                <w:bCs/>
                <w:rtl/>
                <w:lang w:bidi="ar-EG"/>
              </w:rPr>
              <w:t>و</w:t>
            </w:r>
            <w:r w:rsidR="00E47DF2" w:rsidRPr="002D1758">
              <w:rPr>
                <w:b/>
                <w:bCs/>
                <w:lang w:bidi="ar-EG"/>
              </w:rPr>
              <w:t>ITU</w:t>
            </w:r>
            <w:r w:rsidR="00E47DF2" w:rsidRPr="002D1758">
              <w:rPr>
                <w:b/>
                <w:bCs/>
                <w:lang w:bidi="ar-EG"/>
              </w:rPr>
              <w:noBreakHyphen/>
              <w:t>T </w:t>
            </w:r>
            <w:r w:rsidR="0041417B" w:rsidRPr="002D1758">
              <w:rPr>
                <w:b/>
                <w:bCs/>
                <w:lang w:bidi="ar-EG"/>
              </w:rPr>
              <w:t>X.1550</w:t>
            </w:r>
            <w:r w:rsidR="009E126A" w:rsidRPr="002D1758">
              <w:rPr>
                <w:rFonts w:hint="cs"/>
                <w:b/>
                <w:bCs/>
                <w:rtl/>
                <w:lang w:bidi="ar-EG"/>
              </w:rPr>
              <w:t xml:space="preserve"> (</w:t>
            </w:r>
            <w:proofErr w:type="spellStart"/>
            <w:r w:rsidR="009D051B">
              <w:rPr>
                <w:b/>
                <w:bCs/>
                <w:lang w:bidi="ar-EG"/>
              </w:rPr>
              <w:t>X.</w:t>
            </w:r>
            <w:r w:rsidR="009E126A" w:rsidRPr="002D1758">
              <w:rPr>
                <w:b/>
                <w:bCs/>
                <w:lang w:bidi="ar-EG"/>
              </w:rPr>
              <w:t>nessa</w:t>
            </w:r>
            <w:proofErr w:type="spellEnd"/>
            <w:r w:rsidR="009E126A" w:rsidRPr="002D1758">
              <w:rPr>
                <w:rFonts w:hint="cs"/>
                <w:b/>
                <w:bCs/>
                <w:rtl/>
                <w:lang w:bidi="ar-EG"/>
              </w:rPr>
              <w:t>، سابقاً)</w:t>
            </w:r>
            <w:r w:rsidRPr="002D1758">
              <w:rPr>
                <w:rFonts w:hint="cs"/>
                <w:b/>
                <w:bCs/>
                <w:rtl/>
                <w:lang w:bidi="ar-EG"/>
              </w:rPr>
              <w:t>، عملاً بأحكام القسم</w:t>
            </w:r>
            <w:r w:rsidRPr="002D1758">
              <w:rPr>
                <w:rFonts w:hint="eastAsia"/>
                <w:b/>
                <w:bCs/>
                <w:rtl/>
                <w:lang w:bidi="ar-EG"/>
              </w:rPr>
              <w:t> </w:t>
            </w:r>
            <w:r w:rsidRPr="002D1758">
              <w:rPr>
                <w:b/>
                <w:bCs/>
                <w:lang w:bidi="ar-EG"/>
              </w:rPr>
              <w:t>9</w:t>
            </w:r>
            <w:r w:rsidRPr="002D1758">
              <w:rPr>
                <w:rFonts w:hint="cs"/>
                <w:b/>
                <w:bCs/>
                <w:rtl/>
                <w:lang w:bidi="ar-EG"/>
              </w:rPr>
              <w:t xml:space="preserve"> من القرار</w:t>
            </w:r>
            <w:r w:rsidRPr="002D1758">
              <w:rPr>
                <w:rFonts w:hint="eastAsia"/>
                <w:b/>
                <w:bCs/>
                <w:rtl/>
                <w:lang w:bidi="ar-EG"/>
              </w:rPr>
              <w:t> </w:t>
            </w:r>
            <w:r w:rsidRPr="002D1758">
              <w:rPr>
                <w:b/>
                <w:bCs/>
                <w:lang w:bidi="ar-EG"/>
              </w:rPr>
              <w:t>1</w:t>
            </w:r>
            <w:r w:rsidRPr="002D1758">
              <w:rPr>
                <w:rFonts w:hint="cs"/>
                <w:b/>
                <w:bCs/>
                <w:rtl/>
                <w:lang w:bidi="ar-EG"/>
              </w:rPr>
              <w:t xml:space="preserve"> </w:t>
            </w:r>
            <w:r w:rsidR="00AF2FA0" w:rsidRPr="002D1758">
              <w:rPr>
                <w:rFonts w:hint="cs"/>
                <w:b/>
                <w:bCs/>
                <w:rtl/>
                <w:lang w:bidi="ar-EG"/>
              </w:rPr>
              <w:t xml:space="preserve">(المراجَع في دبي، </w:t>
            </w:r>
            <w:r w:rsidR="00AF2FA0" w:rsidRPr="002D1758">
              <w:rPr>
                <w:b/>
                <w:bCs/>
                <w:lang w:bidi="ar-EG"/>
              </w:rPr>
              <w:t>2012</w:t>
            </w:r>
            <w:r w:rsidR="00AF2FA0" w:rsidRPr="002D1758">
              <w:rPr>
                <w:rFonts w:hint="cs"/>
                <w:b/>
                <w:bCs/>
                <w:rtl/>
                <w:lang w:bidi="ar-EG"/>
              </w:rPr>
              <w:t xml:space="preserve">) </w:t>
            </w:r>
            <w:r w:rsidRPr="002D1758">
              <w:rPr>
                <w:rFonts w:hint="cs"/>
                <w:b/>
                <w:bCs/>
                <w:rtl/>
                <w:lang w:bidi="ar-EG"/>
              </w:rPr>
              <w:t>الصادر عن الجمعية العالمية لتقييس</w:t>
            </w:r>
            <w:r w:rsidR="00E47DF2" w:rsidRPr="002D1758">
              <w:rPr>
                <w:rFonts w:hint="eastAsia"/>
                <w:b/>
                <w:bCs/>
                <w:rtl/>
                <w:lang w:bidi="ar-EG"/>
              </w:rPr>
              <w:t> </w:t>
            </w:r>
            <w:r w:rsidRPr="002D1758">
              <w:rPr>
                <w:rFonts w:hint="cs"/>
                <w:b/>
                <w:bCs/>
                <w:rtl/>
                <w:lang w:bidi="ar-EG"/>
              </w:rPr>
              <w:t>الاتصالات</w:t>
            </w:r>
          </w:p>
        </w:tc>
      </w:tr>
    </w:tbl>
    <w:p w:rsidR="00521E65" w:rsidRPr="00521E65" w:rsidRDefault="00521E65" w:rsidP="00876394">
      <w:pPr>
        <w:pStyle w:val="Normalaftertitle"/>
        <w:spacing w:before="600"/>
        <w:rPr>
          <w:rtl/>
        </w:rPr>
      </w:pPr>
      <w:r w:rsidRPr="00521E65">
        <w:rPr>
          <w:rFonts w:hint="cs"/>
          <w:rtl/>
        </w:rPr>
        <w:t>حضرات السادة والسيدات،</w:t>
      </w:r>
    </w:p>
    <w:p w:rsidR="00521E65" w:rsidRPr="00521E65" w:rsidRDefault="002476E5" w:rsidP="00521E65">
      <w:pPr>
        <w:rPr>
          <w:rtl/>
        </w:rPr>
      </w:pPr>
      <w:r>
        <w:rPr>
          <w:rFonts w:hint="cs"/>
          <w:rtl/>
        </w:rPr>
        <w:t>تحية</w:t>
      </w:r>
      <w:r w:rsidR="00521E65" w:rsidRPr="00521E65">
        <w:rPr>
          <w:rFonts w:hint="cs"/>
          <w:rtl/>
        </w:rPr>
        <w:t xml:space="preserve"> طيبة وبعد،</w:t>
      </w:r>
    </w:p>
    <w:p w:rsidR="00FF23E0" w:rsidRPr="00FF23E0" w:rsidRDefault="00FF23E0" w:rsidP="00B03712">
      <w:pPr>
        <w:rPr>
          <w:rtl/>
          <w:lang w:bidi="ar-EG"/>
        </w:rPr>
      </w:pPr>
      <w:r w:rsidRPr="00FF23E0">
        <w:rPr>
          <w:lang w:bidi="ar-EG"/>
        </w:rPr>
        <w:t>1</w:t>
      </w:r>
      <w:r w:rsidRPr="00FF23E0">
        <w:rPr>
          <w:lang w:bidi="ar-EG"/>
        </w:rPr>
        <w:tab/>
      </w:r>
      <w:r w:rsidRPr="00FF23E0">
        <w:rPr>
          <w:rFonts w:hint="cs"/>
          <w:rtl/>
        </w:rPr>
        <w:t xml:space="preserve">بناءً على طلب رئيس </w:t>
      </w:r>
      <w:r w:rsidR="002476E5">
        <w:rPr>
          <w:rFonts w:hint="cs"/>
          <w:rtl/>
        </w:rPr>
        <w:t>لجنة</w:t>
      </w:r>
      <w:r w:rsidRPr="00FF23E0">
        <w:rPr>
          <w:rFonts w:hint="cs"/>
          <w:rtl/>
        </w:rPr>
        <w:t xml:space="preserve"> الدراسات</w:t>
      </w:r>
      <w:r w:rsidRPr="00FF23E0">
        <w:rPr>
          <w:rFonts w:hint="eastAsia"/>
          <w:b/>
          <w:bCs/>
          <w:rtl/>
          <w:lang w:bidi="ar-EG"/>
        </w:rPr>
        <w:t> </w:t>
      </w:r>
      <w:r w:rsidRPr="00FF23E0">
        <w:rPr>
          <w:lang w:bidi="ar-EG"/>
        </w:rPr>
        <w:t>17</w:t>
      </w:r>
      <w:r w:rsidR="00445497">
        <w:rPr>
          <w:rFonts w:hint="cs"/>
          <w:rtl/>
          <w:lang w:bidi="ar-EG"/>
        </w:rPr>
        <w:t xml:space="preserve"> لقطاع تقييس الاتصالات</w:t>
      </w:r>
      <w:r w:rsidR="00276AF5">
        <w:rPr>
          <w:rFonts w:hint="cs"/>
          <w:rtl/>
          <w:lang w:bidi="ar-EG"/>
        </w:rPr>
        <w:t>:</w:t>
      </w:r>
      <w:r w:rsidRPr="00FF23E0">
        <w:rPr>
          <w:rFonts w:hint="cs"/>
          <w:rtl/>
          <w:lang w:bidi="ar-EG"/>
        </w:rPr>
        <w:t xml:space="preserve"> </w:t>
      </w:r>
      <w:r w:rsidRPr="00FF23E0">
        <w:rPr>
          <w:rFonts w:hint="cs"/>
          <w:i/>
          <w:iCs/>
          <w:rtl/>
        </w:rPr>
        <w:t>الأمن</w:t>
      </w:r>
      <w:r w:rsidRPr="00FF23E0">
        <w:rPr>
          <w:rFonts w:hint="cs"/>
          <w:rtl/>
          <w:lang w:bidi="ar-EG"/>
        </w:rPr>
        <w:t xml:space="preserve">، </w:t>
      </w:r>
      <w:r w:rsidR="00445497">
        <w:rPr>
          <w:rFonts w:hint="cs"/>
          <w:rtl/>
          <w:lang w:bidi="ar-EG"/>
        </w:rPr>
        <w:t xml:space="preserve">يشرفني </w:t>
      </w:r>
      <w:r w:rsidRPr="00FF23E0">
        <w:rPr>
          <w:rFonts w:hint="cs"/>
          <w:rtl/>
          <w:lang w:bidi="ar-EG"/>
        </w:rPr>
        <w:t xml:space="preserve">أن </w:t>
      </w:r>
      <w:r w:rsidR="002D7B0A">
        <w:rPr>
          <w:rFonts w:hint="cs"/>
          <w:rtl/>
          <w:lang w:bidi="ar-EG"/>
        </w:rPr>
        <w:t>أعلمكم</w:t>
      </w:r>
      <w:r w:rsidRPr="00FF23E0">
        <w:rPr>
          <w:rFonts w:hint="cs"/>
          <w:rtl/>
          <w:lang w:bidi="ar-EG"/>
        </w:rPr>
        <w:t xml:space="preserve"> أن </w:t>
      </w:r>
      <w:r w:rsidR="00D83D03">
        <w:rPr>
          <w:rFonts w:hint="cs"/>
          <w:rtl/>
          <w:lang w:bidi="ar-EG"/>
        </w:rPr>
        <w:t>لجنة</w:t>
      </w:r>
      <w:r w:rsidRPr="00FF23E0">
        <w:rPr>
          <w:rFonts w:hint="cs"/>
          <w:rtl/>
          <w:lang w:bidi="ar-EG"/>
        </w:rPr>
        <w:t xml:space="preserve"> الدراسات هذه، التي ستجتمع من</w:t>
      </w:r>
      <w:r w:rsidRPr="00FF23E0">
        <w:rPr>
          <w:rFonts w:hint="eastAsia"/>
          <w:b/>
          <w:bCs/>
          <w:rtl/>
          <w:lang w:bidi="ar-EG"/>
        </w:rPr>
        <w:t> </w:t>
      </w:r>
      <w:r w:rsidR="00276AF5">
        <w:rPr>
          <w:lang w:bidi="ar-EG"/>
        </w:rPr>
        <w:t>22</w:t>
      </w:r>
      <w:r w:rsidRPr="00FF23E0">
        <w:rPr>
          <w:rFonts w:hint="cs"/>
          <w:rtl/>
          <w:lang w:bidi="ar-EG"/>
        </w:rPr>
        <w:t xml:space="preserve"> إلى</w:t>
      </w:r>
      <w:r w:rsidRPr="00FF23E0">
        <w:rPr>
          <w:rFonts w:hint="eastAsia"/>
          <w:b/>
          <w:bCs/>
          <w:rtl/>
          <w:lang w:bidi="ar-EG"/>
        </w:rPr>
        <w:t> </w:t>
      </w:r>
      <w:r w:rsidR="00276AF5">
        <w:rPr>
          <w:lang w:bidi="ar-EG"/>
        </w:rPr>
        <w:t>30</w:t>
      </w:r>
      <w:r w:rsidRPr="00FF23E0">
        <w:rPr>
          <w:rFonts w:hint="cs"/>
          <w:rtl/>
          <w:lang w:bidi="ar-EG"/>
        </w:rPr>
        <w:t xml:space="preserve"> </w:t>
      </w:r>
      <w:r w:rsidR="00F068E6">
        <w:rPr>
          <w:rFonts w:hint="cs"/>
          <w:rtl/>
          <w:lang w:bidi="ar-EG"/>
        </w:rPr>
        <w:t>مارس</w:t>
      </w:r>
      <w:r w:rsidRPr="00FF23E0">
        <w:rPr>
          <w:rFonts w:hint="eastAsia"/>
          <w:b/>
          <w:bCs/>
          <w:rtl/>
          <w:lang w:bidi="ar-EG"/>
        </w:rPr>
        <w:t> </w:t>
      </w:r>
      <w:r w:rsidR="00F068E6">
        <w:rPr>
          <w:lang w:bidi="ar-EG"/>
        </w:rPr>
        <w:t>201</w:t>
      </w:r>
      <w:r w:rsidR="00276AF5">
        <w:rPr>
          <w:lang w:bidi="ar-EG"/>
        </w:rPr>
        <w:t>7</w:t>
      </w:r>
      <w:r w:rsidRPr="00FF23E0">
        <w:rPr>
          <w:rFonts w:hint="cs"/>
          <w:rtl/>
          <w:lang w:bidi="ar-EG"/>
        </w:rPr>
        <w:t xml:space="preserve">، تنوي تطبيق الإجراء </w:t>
      </w:r>
      <w:r w:rsidR="00E97035">
        <w:rPr>
          <w:rFonts w:hint="cs"/>
          <w:rtl/>
          <w:lang w:bidi="ar-EG"/>
        </w:rPr>
        <w:t>الموصوف</w:t>
      </w:r>
      <w:r w:rsidRPr="00FF23E0">
        <w:rPr>
          <w:rFonts w:hint="cs"/>
          <w:rtl/>
          <w:lang w:bidi="ar-EG"/>
        </w:rPr>
        <w:t xml:space="preserve"> في القسم</w:t>
      </w:r>
      <w:r w:rsidRPr="00FF23E0">
        <w:rPr>
          <w:rFonts w:hint="eastAsia"/>
          <w:b/>
          <w:bCs/>
          <w:rtl/>
          <w:lang w:bidi="ar-EG"/>
        </w:rPr>
        <w:t> </w:t>
      </w:r>
      <w:r w:rsidRPr="00FF23E0">
        <w:rPr>
          <w:lang w:bidi="ar-EG"/>
        </w:rPr>
        <w:t>9</w:t>
      </w:r>
      <w:r w:rsidRPr="00FF23E0">
        <w:rPr>
          <w:rFonts w:hint="cs"/>
          <w:rtl/>
          <w:lang w:bidi="ar-EG"/>
        </w:rPr>
        <w:t xml:space="preserve"> من القرار</w:t>
      </w:r>
      <w:r w:rsidRPr="00FF23E0">
        <w:rPr>
          <w:rFonts w:hint="eastAsia"/>
          <w:b/>
          <w:bCs/>
          <w:rtl/>
          <w:lang w:bidi="ar-EG"/>
        </w:rPr>
        <w:t> </w:t>
      </w:r>
      <w:r w:rsidRPr="00FF23E0">
        <w:rPr>
          <w:lang w:bidi="ar-EG"/>
        </w:rPr>
        <w:t>1</w:t>
      </w:r>
      <w:r w:rsidRPr="00FF23E0">
        <w:rPr>
          <w:rFonts w:hint="cs"/>
          <w:rtl/>
          <w:lang w:bidi="ar-EG"/>
        </w:rPr>
        <w:t xml:space="preserve"> الصادر عن </w:t>
      </w:r>
      <w:r w:rsidR="00B53C47">
        <w:rPr>
          <w:rFonts w:hint="cs"/>
          <w:rtl/>
          <w:lang w:bidi="ar-EG"/>
        </w:rPr>
        <w:t>الجمعية</w:t>
      </w:r>
      <w:r w:rsidRPr="00FF23E0">
        <w:rPr>
          <w:rFonts w:hint="cs"/>
          <w:rtl/>
          <w:lang w:bidi="ar-EG"/>
        </w:rPr>
        <w:t xml:space="preserve"> </w:t>
      </w:r>
      <w:r w:rsidR="0035560B">
        <w:rPr>
          <w:rFonts w:hint="cs"/>
          <w:rtl/>
          <w:lang w:bidi="ar-EG"/>
        </w:rPr>
        <w:t>العالمية</w:t>
      </w:r>
      <w:r w:rsidRPr="00FF23E0">
        <w:rPr>
          <w:rFonts w:hint="cs"/>
          <w:rtl/>
          <w:lang w:bidi="ar-EG"/>
        </w:rPr>
        <w:t xml:space="preserve"> لتقييس الاتصالات (دبي،</w:t>
      </w:r>
      <w:r w:rsidRPr="00FF23E0">
        <w:rPr>
          <w:rFonts w:hint="eastAsia"/>
          <w:b/>
          <w:bCs/>
          <w:rtl/>
          <w:lang w:bidi="ar-EG"/>
        </w:rPr>
        <w:t> </w:t>
      </w:r>
      <w:r w:rsidRPr="00FF23E0">
        <w:rPr>
          <w:lang w:bidi="ar-EG"/>
        </w:rPr>
        <w:t>2012</w:t>
      </w:r>
      <w:r w:rsidRPr="00FF23E0">
        <w:rPr>
          <w:rFonts w:hint="cs"/>
          <w:rtl/>
          <w:lang w:bidi="ar-EG"/>
        </w:rPr>
        <w:t xml:space="preserve">) وذلك من أجل </w:t>
      </w:r>
      <w:r w:rsidR="00AC629C">
        <w:rPr>
          <w:rFonts w:hint="cs"/>
          <w:rtl/>
          <w:lang w:bidi="ar-EG"/>
        </w:rPr>
        <w:t>الموافقة</w:t>
      </w:r>
      <w:r w:rsidRPr="00FF23E0">
        <w:rPr>
          <w:rFonts w:hint="cs"/>
          <w:rtl/>
          <w:lang w:bidi="ar-EG"/>
        </w:rPr>
        <w:t xml:space="preserve"> على </w:t>
      </w:r>
      <w:r w:rsidR="00F5153B" w:rsidRPr="00674BCC">
        <w:rPr>
          <w:rFonts w:hint="cs"/>
          <w:rtl/>
          <w:lang w:bidi="ar-EG"/>
        </w:rPr>
        <w:t>مشاريع</w:t>
      </w:r>
      <w:r w:rsidRPr="00674BCC">
        <w:rPr>
          <w:rFonts w:hint="cs"/>
          <w:rtl/>
          <w:lang w:bidi="ar-EG"/>
        </w:rPr>
        <w:t xml:space="preserve"> التوصيات</w:t>
      </w:r>
      <w:r w:rsidRPr="00FF23E0">
        <w:rPr>
          <w:rFonts w:hint="cs"/>
          <w:rtl/>
          <w:lang w:bidi="ar-EG"/>
        </w:rPr>
        <w:t xml:space="preserve"> </w:t>
      </w:r>
      <w:r w:rsidR="00B03712">
        <w:rPr>
          <w:rFonts w:hint="cs"/>
          <w:rtl/>
          <w:lang w:bidi="ar-EG"/>
        </w:rPr>
        <w:t>المذكورة</w:t>
      </w:r>
      <w:r w:rsidRPr="00FF23E0">
        <w:rPr>
          <w:rFonts w:hint="eastAsia"/>
          <w:rtl/>
          <w:lang w:bidi="ar-EG"/>
        </w:rPr>
        <w:t> </w:t>
      </w:r>
      <w:r w:rsidRPr="00FF23E0">
        <w:rPr>
          <w:rFonts w:hint="cs"/>
          <w:rtl/>
          <w:lang w:bidi="ar-EG"/>
        </w:rPr>
        <w:t>أعلاه.</w:t>
      </w:r>
    </w:p>
    <w:p w:rsidR="00FF23E0" w:rsidRPr="00FF23E0" w:rsidRDefault="00FF23E0" w:rsidP="009459BF">
      <w:pPr>
        <w:rPr>
          <w:rtl/>
        </w:rPr>
      </w:pPr>
      <w:r w:rsidRPr="00FF23E0">
        <w:rPr>
          <w:lang w:bidi="ar-EG"/>
        </w:rPr>
        <w:t>2</w:t>
      </w:r>
      <w:r w:rsidRPr="00FF23E0">
        <w:rPr>
          <w:rFonts w:hint="cs"/>
          <w:rtl/>
          <w:lang w:bidi="ar-EG"/>
        </w:rPr>
        <w:tab/>
        <w:t xml:space="preserve">ويشتمل </w:t>
      </w:r>
      <w:r w:rsidRPr="00FF23E0">
        <w:rPr>
          <w:rFonts w:hint="cs"/>
          <w:b/>
          <w:bCs/>
          <w:rtl/>
          <w:lang w:bidi="ar-EG"/>
        </w:rPr>
        <w:t>ال‍ملحق</w:t>
      </w:r>
      <w:r w:rsidRPr="00FF23E0">
        <w:rPr>
          <w:rFonts w:hint="eastAsia"/>
          <w:b/>
          <w:bCs/>
          <w:rtl/>
          <w:lang w:bidi="ar-EG"/>
        </w:rPr>
        <w:t> </w:t>
      </w:r>
      <w:r w:rsidRPr="00FF23E0">
        <w:rPr>
          <w:b/>
          <w:bCs/>
          <w:lang w:bidi="ar-EG"/>
        </w:rPr>
        <w:t>1</w:t>
      </w:r>
      <w:r w:rsidRPr="00FF23E0">
        <w:rPr>
          <w:rFonts w:hint="cs"/>
          <w:rtl/>
          <w:lang w:bidi="ar-EG"/>
        </w:rPr>
        <w:t xml:space="preserve"> بهذه الرسالة </w:t>
      </w:r>
      <w:r w:rsidRPr="00FF23E0">
        <w:rPr>
          <w:rtl/>
        </w:rPr>
        <w:t xml:space="preserve">على </w:t>
      </w:r>
      <w:r w:rsidR="009459BF">
        <w:rPr>
          <w:rFonts w:hint="cs"/>
          <w:rtl/>
        </w:rPr>
        <w:t>ملخصات</w:t>
      </w:r>
      <w:r w:rsidR="004D77B9">
        <w:rPr>
          <w:rFonts w:hint="cs"/>
          <w:rtl/>
        </w:rPr>
        <w:t xml:space="preserve"> </w:t>
      </w:r>
      <w:r w:rsidR="00674BCC">
        <w:rPr>
          <w:rFonts w:hint="cs"/>
          <w:rtl/>
        </w:rPr>
        <w:t>مشاريع توصيات قطاع</w:t>
      </w:r>
      <w:r w:rsidRPr="00FF23E0">
        <w:rPr>
          <w:rtl/>
        </w:rPr>
        <w:t xml:space="preserve"> تقييس الاتصالات </w:t>
      </w:r>
      <w:r w:rsidR="00D65699">
        <w:rPr>
          <w:rFonts w:hint="cs"/>
          <w:rtl/>
        </w:rPr>
        <w:t>المقترح الموافقة</w:t>
      </w:r>
      <w:r w:rsidRPr="00FF23E0">
        <w:rPr>
          <w:rtl/>
        </w:rPr>
        <w:t xml:space="preserve"> عليها، وعلى عناوينها والوثائق التي ترد فيها.</w:t>
      </w:r>
    </w:p>
    <w:p w:rsidR="00FF23E0" w:rsidRPr="00FF23E0" w:rsidRDefault="00FF23E0" w:rsidP="00610D1B">
      <w:pPr>
        <w:rPr>
          <w:lang w:bidi="ar-EG"/>
        </w:rPr>
      </w:pPr>
      <w:r w:rsidRPr="00FF23E0">
        <w:rPr>
          <w:lang w:bidi="ar-EG"/>
        </w:rPr>
        <w:t>3</w:t>
      </w:r>
      <w:r w:rsidRPr="00FF23E0">
        <w:rPr>
          <w:rFonts w:hint="cs"/>
          <w:rtl/>
          <w:lang w:bidi="ar-EG"/>
        </w:rPr>
        <w:tab/>
        <w:t xml:space="preserve">يرجى من أي دولة عضو في </w:t>
      </w:r>
      <w:r w:rsidR="00701D32">
        <w:rPr>
          <w:rFonts w:hint="cs"/>
          <w:rtl/>
          <w:lang w:bidi="ar-EG"/>
        </w:rPr>
        <w:t>الاتحاد</w:t>
      </w:r>
      <w:r w:rsidRPr="00FF23E0">
        <w:rPr>
          <w:rFonts w:hint="cs"/>
          <w:rtl/>
          <w:lang w:bidi="ar-EG"/>
        </w:rPr>
        <w:t xml:space="preserve"> أو عضو في القطاع أو منتسب إليه أو هيئة </w:t>
      </w:r>
      <w:r w:rsidR="00701D32">
        <w:rPr>
          <w:rFonts w:hint="cs"/>
          <w:rtl/>
          <w:lang w:bidi="ar-EG"/>
        </w:rPr>
        <w:t>أكاديمية</w:t>
      </w:r>
      <w:r w:rsidRPr="00FF23E0">
        <w:rPr>
          <w:rFonts w:hint="cs"/>
          <w:rtl/>
          <w:lang w:bidi="ar-EG"/>
        </w:rPr>
        <w:t>، تعلم بوجود براءة اختراع في</w:t>
      </w:r>
      <w:r w:rsidRPr="00FF23E0">
        <w:rPr>
          <w:rFonts w:hint="eastAsia"/>
          <w:rtl/>
          <w:lang w:bidi="ar-EG"/>
        </w:rPr>
        <w:t> </w:t>
      </w:r>
      <w:r w:rsidRPr="00FF23E0">
        <w:rPr>
          <w:rFonts w:hint="cs"/>
          <w:rtl/>
          <w:lang w:bidi="ar-EG"/>
        </w:rPr>
        <w:t>حيازتها أو</w:t>
      </w:r>
      <w:r w:rsidRPr="00FF23E0">
        <w:rPr>
          <w:rFonts w:hint="eastAsia"/>
          <w:rtl/>
          <w:lang w:bidi="ar-EG"/>
        </w:rPr>
        <w:t> </w:t>
      </w:r>
      <w:r w:rsidRPr="00FF23E0">
        <w:rPr>
          <w:rFonts w:hint="cs"/>
          <w:rtl/>
          <w:lang w:bidi="ar-EG"/>
        </w:rPr>
        <w:t>في</w:t>
      </w:r>
      <w:r w:rsidRPr="00FF23E0">
        <w:rPr>
          <w:rFonts w:hint="eastAsia"/>
          <w:rtl/>
          <w:lang w:bidi="ar-EG"/>
        </w:rPr>
        <w:t> </w:t>
      </w:r>
      <w:r w:rsidRPr="00FF23E0">
        <w:rPr>
          <w:rFonts w:hint="cs"/>
          <w:rtl/>
          <w:lang w:bidi="ar-EG"/>
        </w:rPr>
        <w:t xml:space="preserve">حيازة الغير من شأنها أن تشمل كلياً أو جزئياً عناصر من </w:t>
      </w:r>
      <w:r w:rsidR="00DB4A65">
        <w:rPr>
          <w:rFonts w:hint="cs"/>
          <w:rtl/>
          <w:lang w:bidi="ar-EG"/>
        </w:rPr>
        <w:t>مشاريع</w:t>
      </w:r>
      <w:r w:rsidRPr="00FF23E0">
        <w:rPr>
          <w:rFonts w:hint="cs"/>
          <w:rtl/>
          <w:lang w:bidi="ar-EG"/>
        </w:rPr>
        <w:t xml:space="preserve"> </w:t>
      </w:r>
      <w:r w:rsidR="00E666E1">
        <w:rPr>
          <w:rFonts w:hint="cs"/>
          <w:rtl/>
          <w:lang w:bidi="ar-EG"/>
        </w:rPr>
        <w:t>التوصيات</w:t>
      </w:r>
      <w:r w:rsidRPr="00FF23E0">
        <w:rPr>
          <w:rFonts w:hint="cs"/>
          <w:rtl/>
          <w:lang w:bidi="ar-EG"/>
        </w:rPr>
        <w:t xml:space="preserve"> </w:t>
      </w:r>
      <w:r w:rsidR="00610D1B">
        <w:rPr>
          <w:rFonts w:hint="cs"/>
          <w:rtl/>
          <w:lang w:bidi="ar-EG"/>
        </w:rPr>
        <w:t>المقترح</w:t>
      </w:r>
      <w:r w:rsidRPr="00FF23E0">
        <w:rPr>
          <w:rFonts w:hint="cs"/>
          <w:rtl/>
          <w:lang w:bidi="ar-EG"/>
        </w:rPr>
        <w:t xml:space="preserve"> </w:t>
      </w:r>
      <w:r w:rsidR="00701D32">
        <w:rPr>
          <w:rFonts w:hint="cs"/>
          <w:rtl/>
          <w:lang w:bidi="ar-EG"/>
        </w:rPr>
        <w:t>الموافقة</w:t>
      </w:r>
      <w:r w:rsidRPr="00FF23E0">
        <w:rPr>
          <w:rFonts w:hint="cs"/>
          <w:rtl/>
          <w:lang w:bidi="ar-EG"/>
        </w:rPr>
        <w:t xml:space="preserve"> عليها أن </w:t>
      </w:r>
      <w:r w:rsidR="00DF6FA8">
        <w:rPr>
          <w:rFonts w:hint="cs"/>
          <w:rtl/>
          <w:lang w:bidi="ar-EG"/>
        </w:rPr>
        <w:t>تخطر</w:t>
      </w:r>
      <w:r w:rsidRPr="00FF23E0">
        <w:rPr>
          <w:rFonts w:hint="cs"/>
          <w:rtl/>
          <w:lang w:bidi="ar-EG"/>
        </w:rPr>
        <w:t xml:space="preserve"> مكتب تقييس الاتصالات</w:t>
      </w:r>
      <w:r w:rsidR="0019715D">
        <w:rPr>
          <w:rFonts w:hint="cs"/>
          <w:rtl/>
          <w:lang w:bidi="ar-EG"/>
        </w:rPr>
        <w:t xml:space="preserve"> بهذه المعلومات</w:t>
      </w:r>
      <w:r w:rsidRPr="00FF23E0">
        <w:rPr>
          <w:rFonts w:hint="cs"/>
          <w:rtl/>
          <w:lang w:bidi="ar-EG"/>
        </w:rPr>
        <w:t xml:space="preserve">، عملاً بالسياسة ال‍مشتركة للبراءات </w:t>
      </w:r>
      <w:r w:rsidR="00610D1B">
        <w:rPr>
          <w:rFonts w:hint="cs"/>
          <w:rtl/>
          <w:lang w:bidi="ar-EG"/>
        </w:rPr>
        <w:t>المعتمدة</w:t>
      </w:r>
      <w:r w:rsidRPr="00FF23E0">
        <w:rPr>
          <w:rFonts w:hint="cs"/>
          <w:rtl/>
          <w:lang w:bidi="ar-EG"/>
        </w:rPr>
        <w:t xml:space="preserve"> لدى قطاع تقييس الاتصالات/قطاع الاتصالات الراديوية/</w:t>
      </w:r>
      <w:r w:rsidR="00701D32">
        <w:rPr>
          <w:rFonts w:hint="cs"/>
          <w:rtl/>
          <w:lang w:bidi="ar-EG"/>
        </w:rPr>
        <w:t>المنظمة</w:t>
      </w:r>
      <w:r w:rsidRPr="00FF23E0">
        <w:rPr>
          <w:rFonts w:hint="cs"/>
          <w:rtl/>
          <w:lang w:bidi="ar-EG"/>
        </w:rPr>
        <w:t xml:space="preserve"> الدولية </w:t>
      </w:r>
      <w:r w:rsidR="00701D32">
        <w:rPr>
          <w:rFonts w:hint="cs"/>
          <w:rtl/>
          <w:lang w:bidi="ar-EG"/>
        </w:rPr>
        <w:t>للتوحيد</w:t>
      </w:r>
      <w:r w:rsidRPr="00FF23E0">
        <w:rPr>
          <w:rFonts w:hint="cs"/>
          <w:rtl/>
          <w:lang w:bidi="ar-EG"/>
        </w:rPr>
        <w:t xml:space="preserve"> القياسي/</w:t>
      </w:r>
      <w:r w:rsidR="00701D32">
        <w:rPr>
          <w:rFonts w:hint="cs"/>
          <w:rtl/>
          <w:lang w:bidi="ar-EG"/>
        </w:rPr>
        <w:t>اللجنة</w:t>
      </w:r>
      <w:r w:rsidRPr="00FF23E0">
        <w:rPr>
          <w:rFonts w:hint="cs"/>
          <w:rtl/>
          <w:lang w:bidi="ar-EG"/>
        </w:rPr>
        <w:t xml:space="preserve"> الكهرتقنية الدولية </w:t>
      </w:r>
      <w:r w:rsidRPr="00FF23E0">
        <w:rPr>
          <w:lang w:bidi="ar-EG"/>
        </w:rPr>
        <w:t>(ITU</w:t>
      </w:r>
      <w:r w:rsidRPr="00FF23E0">
        <w:rPr>
          <w:lang w:bidi="ar-EG"/>
        </w:rPr>
        <w:noBreakHyphen/>
        <w:t>T/ITU</w:t>
      </w:r>
      <w:r w:rsidRPr="00FF23E0">
        <w:rPr>
          <w:lang w:bidi="ar-EG"/>
        </w:rPr>
        <w:noBreakHyphen/>
        <w:t>R/ISO/IEC)</w:t>
      </w:r>
      <w:r w:rsidRPr="00FF23E0">
        <w:rPr>
          <w:rFonts w:hint="cs"/>
          <w:rtl/>
          <w:lang w:bidi="ar-EG"/>
        </w:rPr>
        <w:t>.</w:t>
      </w:r>
    </w:p>
    <w:p w:rsidR="00FF23E0" w:rsidRPr="00FF23E0" w:rsidRDefault="00701D32" w:rsidP="00C415BC">
      <w:pPr>
        <w:rPr>
          <w:rtl/>
          <w:lang w:bidi="ar-EG"/>
        </w:rPr>
      </w:pPr>
      <w:r>
        <w:rPr>
          <w:rFonts w:hint="cs"/>
          <w:rtl/>
          <w:lang w:bidi="ar-EG"/>
        </w:rPr>
        <w:t>ويمكن</w:t>
      </w:r>
      <w:r w:rsidR="00FF23E0" w:rsidRPr="00FF23E0">
        <w:rPr>
          <w:rFonts w:hint="cs"/>
          <w:rtl/>
          <w:lang w:bidi="ar-EG"/>
        </w:rPr>
        <w:t xml:space="preserve"> الاطلاع على معلومات براءات الاختراع </w:t>
      </w:r>
      <w:r w:rsidR="0011020C">
        <w:rPr>
          <w:rFonts w:hint="cs"/>
          <w:rtl/>
          <w:lang w:bidi="ar-EG"/>
        </w:rPr>
        <w:t>المتاحة</w:t>
      </w:r>
      <w:r w:rsidR="00FF23E0" w:rsidRPr="00FF23E0">
        <w:rPr>
          <w:rFonts w:hint="cs"/>
          <w:rtl/>
          <w:lang w:bidi="ar-EG"/>
        </w:rPr>
        <w:t xml:space="preserve"> في </w:t>
      </w:r>
      <w:r w:rsidR="0011020C">
        <w:rPr>
          <w:rFonts w:hint="cs"/>
          <w:rtl/>
          <w:lang w:bidi="ar-EG"/>
        </w:rPr>
        <w:t>الموقع</w:t>
      </w:r>
      <w:r w:rsidR="00FF23E0" w:rsidRPr="00FF23E0">
        <w:rPr>
          <w:rFonts w:hint="cs"/>
          <w:rtl/>
          <w:lang w:bidi="ar-EG"/>
        </w:rPr>
        <w:t xml:space="preserve"> الإلكتروني </w:t>
      </w:r>
      <w:r w:rsidR="00C415BC">
        <w:rPr>
          <w:rFonts w:hint="cs"/>
          <w:rtl/>
          <w:lang w:bidi="ar-EG"/>
        </w:rPr>
        <w:t>للقطاع</w:t>
      </w:r>
      <w:r w:rsidR="00FF23E0" w:rsidRPr="00FF23E0">
        <w:rPr>
          <w:rFonts w:hint="cs"/>
          <w:rtl/>
          <w:lang w:bidi="ar-EG"/>
        </w:rPr>
        <w:t xml:space="preserve"> </w:t>
      </w:r>
      <w:r w:rsidR="00FF23E0" w:rsidRPr="00FF23E0">
        <w:rPr>
          <w:lang w:bidi="ar-EG"/>
        </w:rPr>
        <w:t>(</w:t>
      </w:r>
      <w:hyperlink r:id="rId13" w:history="1">
        <w:r w:rsidR="00FF23E0" w:rsidRPr="00FF23E0">
          <w:rPr>
            <w:rStyle w:val="Hyperlink"/>
            <w:lang w:bidi="ar-EG"/>
          </w:rPr>
          <w:t>www.itu.int/ipr/</w:t>
        </w:r>
      </w:hyperlink>
      <w:r w:rsidR="00FF23E0" w:rsidRPr="00FF23E0">
        <w:rPr>
          <w:lang w:bidi="ar-EG"/>
        </w:rPr>
        <w:t>)</w:t>
      </w:r>
      <w:r w:rsidR="00FF23E0" w:rsidRPr="00FF23E0">
        <w:rPr>
          <w:rFonts w:hint="cs"/>
          <w:rtl/>
          <w:lang w:bidi="ar-EG"/>
        </w:rPr>
        <w:t>.</w:t>
      </w:r>
    </w:p>
    <w:p w:rsidR="00FF23E0" w:rsidRPr="00FF23E0" w:rsidRDefault="00FF23E0" w:rsidP="003A1CFA">
      <w:pPr>
        <w:rPr>
          <w:rtl/>
          <w:lang w:bidi="ar-EG"/>
        </w:rPr>
      </w:pPr>
      <w:r w:rsidRPr="00FF23E0">
        <w:rPr>
          <w:lang w:bidi="ar-EG"/>
        </w:rPr>
        <w:lastRenderedPageBreak/>
        <w:t>4</w:t>
      </w:r>
      <w:r w:rsidRPr="00FF23E0">
        <w:rPr>
          <w:rFonts w:hint="cs"/>
          <w:rtl/>
          <w:lang w:bidi="ar-EG"/>
        </w:rPr>
        <w:tab/>
        <w:t>وتبعاً لأحكام القسم</w:t>
      </w:r>
      <w:r w:rsidRPr="00FF23E0">
        <w:rPr>
          <w:rFonts w:hint="eastAsia"/>
          <w:rtl/>
          <w:lang w:bidi="ar-EG"/>
        </w:rPr>
        <w:t> </w:t>
      </w:r>
      <w:r w:rsidRPr="00FF23E0">
        <w:rPr>
          <w:lang w:bidi="ar-EG"/>
        </w:rPr>
        <w:t>9</w:t>
      </w:r>
      <w:r w:rsidRPr="00FF23E0">
        <w:rPr>
          <w:rFonts w:hint="cs"/>
          <w:rtl/>
          <w:lang w:bidi="ar-EG"/>
        </w:rPr>
        <w:t xml:space="preserve"> من القرار</w:t>
      </w:r>
      <w:r w:rsidRPr="00FF23E0">
        <w:rPr>
          <w:rFonts w:hint="eastAsia"/>
          <w:rtl/>
          <w:lang w:bidi="ar-EG"/>
        </w:rPr>
        <w:t> </w:t>
      </w:r>
      <w:r w:rsidRPr="00FF23E0">
        <w:rPr>
          <w:lang w:bidi="ar-EG"/>
        </w:rPr>
        <w:t>1</w:t>
      </w:r>
      <w:r w:rsidRPr="00FF23E0">
        <w:rPr>
          <w:rFonts w:hint="cs"/>
          <w:rtl/>
          <w:lang w:bidi="ar-EG"/>
        </w:rPr>
        <w:t xml:space="preserve">، سأكون </w:t>
      </w:r>
      <w:r w:rsidR="003A1CFA">
        <w:rPr>
          <w:rFonts w:hint="cs"/>
          <w:rtl/>
          <w:lang w:bidi="ar-EG"/>
        </w:rPr>
        <w:t>ممتناً</w:t>
      </w:r>
      <w:r w:rsidRPr="00FF23E0">
        <w:rPr>
          <w:rFonts w:hint="cs"/>
          <w:rtl/>
          <w:lang w:bidi="ar-EG"/>
        </w:rPr>
        <w:t xml:space="preserve"> لو تفضلتم بإعلامي في موعد أقصاه منتصف الليل بالتوقيت </w:t>
      </w:r>
      <w:r w:rsidR="003A1CFA">
        <w:rPr>
          <w:rFonts w:hint="cs"/>
          <w:rtl/>
          <w:lang w:bidi="ar-EG"/>
        </w:rPr>
        <w:t>العالمي</w:t>
      </w:r>
      <w:r w:rsidRPr="00FF23E0">
        <w:rPr>
          <w:rFonts w:hint="cs"/>
          <w:rtl/>
          <w:lang w:bidi="ar-EG"/>
        </w:rPr>
        <w:t xml:space="preserve"> </w:t>
      </w:r>
      <w:r w:rsidR="003A1CFA">
        <w:rPr>
          <w:rFonts w:hint="cs"/>
          <w:rtl/>
          <w:lang w:bidi="ar-EG"/>
        </w:rPr>
        <w:t>المنسَّق</w:t>
      </w:r>
      <w:r w:rsidRPr="00FF23E0">
        <w:rPr>
          <w:rFonts w:hint="cs"/>
          <w:rtl/>
          <w:lang w:bidi="ar-EG"/>
        </w:rPr>
        <w:t xml:space="preserve"> </w:t>
      </w:r>
      <w:r w:rsidRPr="00FF23E0">
        <w:rPr>
          <w:rFonts w:hint="cs"/>
          <w:b/>
          <w:bCs/>
          <w:rtl/>
          <w:lang w:bidi="ar-EG"/>
        </w:rPr>
        <w:t>في يوم</w:t>
      </w:r>
      <w:r w:rsidRPr="00FF23E0">
        <w:rPr>
          <w:rFonts w:hint="eastAsia"/>
          <w:rtl/>
          <w:lang w:bidi="ar-EG"/>
        </w:rPr>
        <w:t> </w:t>
      </w:r>
      <w:r w:rsidR="006C625B">
        <w:rPr>
          <w:b/>
          <w:bCs/>
          <w:lang w:bidi="ar-EG"/>
        </w:rPr>
        <w:t>13</w:t>
      </w:r>
      <w:r w:rsidRPr="00FF23E0">
        <w:rPr>
          <w:rFonts w:hint="cs"/>
          <w:b/>
          <w:bCs/>
          <w:rtl/>
          <w:lang w:bidi="ar-EG"/>
        </w:rPr>
        <w:t xml:space="preserve"> </w:t>
      </w:r>
      <w:r w:rsidR="0081670D">
        <w:rPr>
          <w:rFonts w:hint="cs"/>
          <w:b/>
          <w:bCs/>
          <w:rtl/>
          <w:lang w:bidi="ar-EG"/>
        </w:rPr>
        <w:t>مارس</w:t>
      </w:r>
      <w:r w:rsidRPr="00FF23E0">
        <w:rPr>
          <w:rFonts w:hint="eastAsia"/>
          <w:rtl/>
          <w:lang w:bidi="ar-EG"/>
        </w:rPr>
        <w:t> </w:t>
      </w:r>
      <w:r w:rsidR="0081670D">
        <w:rPr>
          <w:b/>
          <w:bCs/>
          <w:lang w:bidi="ar-EG"/>
        </w:rPr>
        <w:t>201</w:t>
      </w:r>
      <w:r w:rsidR="006C625B">
        <w:rPr>
          <w:b/>
          <w:bCs/>
          <w:lang w:bidi="ar-EG"/>
        </w:rPr>
        <w:t>7</w:t>
      </w:r>
      <w:r w:rsidRPr="00FF23E0">
        <w:rPr>
          <w:rFonts w:hint="cs"/>
          <w:i/>
          <w:iCs/>
          <w:rtl/>
          <w:lang w:bidi="ar-EG"/>
        </w:rPr>
        <w:t xml:space="preserve"> </w:t>
      </w:r>
      <w:r w:rsidRPr="00FF23E0">
        <w:rPr>
          <w:rFonts w:hint="cs"/>
          <w:rtl/>
          <w:lang w:bidi="ar-EG"/>
        </w:rPr>
        <w:t xml:space="preserve">ما إذا كانت إدارتكم تفوِّض السلطة إلى </w:t>
      </w:r>
      <w:r w:rsidR="003A1CFA">
        <w:rPr>
          <w:rFonts w:hint="cs"/>
          <w:rtl/>
          <w:lang w:bidi="ar-EG"/>
        </w:rPr>
        <w:t>لجنة</w:t>
      </w:r>
      <w:r w:rsidRPr="00FF23E0">
        <w:rPr>
          <w:rFonts w:hint="cs"/>
          <w:rtl/>
          <w:lang w:bidi="ar-EG"/>
        </w:rPr>
        <w:t xml:space="preserve"> الدراسات</w:t>
      </w:r>
      <w:r w:rsidRPr="00FF23E0">
        <w:rPr>
          <w:rFonts w:hint="eastAsia"/>
          <w:rtl/>
          <w:lang w:bidi="ar-EG"/>
        </w:rPr>
        <w:t> </w:t>
      </w:r>
      <w:r w:rsidRPr="00FF23E0">
        <w:rPr>
          <w:lang w:bidi="ar-EG"/>
        </w:rPr>
        <w:t>17</w:t>
      </w:r>
      <w:r w:rsidRPr="00FF23E0">
        <w:rPr>
          <w:rFonts w:hint="cs"/>
          <w:rtl/>
          <w:lang w:bidi="ar-EG"/>
        </w:rPr>
        <w:t xml:space="preserve"> </w:t>
      </w:r>
      <w:r w:rsidR="0045128C">
        <w:rPr>
          <w:rFonts w:hint="cs"/>
          <w:rtl/>
          <w:lang w:bidi="ar-EG"/>
        </w:rPr>
        <w:t>لقطاع تقييس الاتصالات للنظر في</w:t>
      </w:r>
      <w:r w:rsidR="0045128C">
        <w:rPr>
          <w:rFonts w:hint="eastAsia"/>
          <w:rtl/>
          <w:lang w:bidi="ar-EG"/>
        </w:rPr>
        <w:t> </w:t>
      </w:r>
      <w:r w:rsidRPr="0045128C">
        <w:rPr>
          <w:rFonts w:hint="cs"/>
          <w:rtl/>
          <w:lang w:bidi="ar-EG"/>
        </w:rPr>
        <w:t xml:space="preserve">مشاريع التوصيات </w:t>
      </w:r>
      <w:r w:rsidR="0045128C">
        <w:rPr>
          <w:rFonts w:hint="cs"/>
          <w:rtl/>
          <w:lang w:bidi="ar-EG"/>
        </w:rPr>
        <w:t>هذه</w:t>
      </w:r>
      <w:r w:rsidR="0081670D">
        <w:rPr>
          <w:rFonts w:hint="cs"/>
          <w:rtl/>
        </w:rPr>
        <w:t xml:space="preserve"> </w:t>
      </w:r>
      <w:r w:rsidRPr="00FF23E0">
        <w:rPr>
          <w:rFonts w:hint="cs"/>
          <w:rtl/>
          <w:lang w:bidi="ar-EG"/>
        </w:rPr>
        <w:t xml:space="preserve">بغرض </w:t>
      </w:r>
      <w:r w:rsidR="003A1CFA">
        <w:rPr>
          <w:rFonts w:hint="cs"/>
          <w:rtl/>
          <w:lang w:bidi="ar-EG"/>
        </w:rPr>
        <w:t>الموافقة</w:t>
      </w:r>
      <w:r w:rsidRPr="00FF23E0">
        <w:rPr>
          <w:rFonts w:hint="cs"/>
          <w:rtl/>
          <w:lang w:bidi="ar-EG"/>
        </w:rPr>
        <w:t xml:space="preserve"> عليها في اجتماع </w:t>
      </w:r>
      <w:r w:rsidR="003A1CFA">
        <w:rPr>
          <w:rFonts w:hint="cs"/>
          <w:rtl/>
          <w:lang w:bidi="ar-EG"/>
        </w:rPr>
        <w:t>لجنة</w:t>
      </w:r>
      <w:r w:rsidRPr="00FF23E0">
        <w:rPr>
          <w:rFonts w:hint="eastAsia"/>
          <w:rtl/>
          <w:lang w:bidi="ar-EG"/>
        </w:rPr>
        <w:t> </w:t>
      </w:r>
      <w:r w:rsidRPr="00FF23E0">
        <w:rPr>
          <w:rFonts w:hint="cs"/>
          <w:rtl/>
          <w:lang w:bidi="ar-EG"/>
        </w:rPr>
        <w:t>الدراسات.</w:t>
      </w:r>
    </w:p>
    <w:p w:rsidR="00FF23E0" w:rsidRPr="00FF23E0" w:rsidRDefault="00FF23E0" w:rsidP="003A1CFA">
      <w:pPr>
        <w:rPr>
          <w:rtl/>
          <w:lang w:bidi="ar-EG"/>
        </w:rPr>
      </w:pPr>
      <w:r w:rsidRPr="00FF23E0">
        <w:rPr>
          <w:rFonts w:hint="cs"/>
          <w:rtl/>
          <w:lang w:bidi="ar-EG"/>
        </w:rPr>
        <w:t xml:space="preserve">وإذا رأت أي دولة عضو أن عملية النظر في </w:t>
      </w:r>
      <w:r w:rsidRPr="008D6B06">
        <w:rPr>
          <w:rFonts w:hint="cs"/>
          <w:rtl/>
          <w:lang w:bidi="ar-EG"/>
        </w:rPr>
        <w:t xml:space="preserve">مشاريع التوصيات </w:t>
      </w:r>
      <w:r w:rsidRPr="00FF23E0">
        <w:rPr>
          <w:rFonts w:hint="cs"/>
          <w:rtl/>
          <w:lang w:bidi="ar-EG"/>
        </w:rPr>
        <w:t xml:space="preserve">بغرض </w:t>
      </w:r>
      <w:r w:rsidR="003A1CFA">
        <w:rPr>
          <w:rFonts w:hint="cs"/>
          <w:rtl/>
          <w:lang w:bidi="ar-EG"/>
        </w:rPr>
        <w:t>الموافقة</w:t>
      </w:r>
      <w:r w:rsidRPr="00FF23E0">
        <w:rPr>
          <w:rFonts w:hint="cs"/>
          <w:rtl/>
          <w:lang w:bidi="ar-EG"/>
        </w:rPr>
        <w:t xml:space="preserve"> عليها ينبغي ألا تستمر، فعليها أن تبيّن أسباب ذلك الاعتراض وأن تشير إلى</w:t>
      </w:r>
      <w:r w:rsidRPr="00FF23E0">
        <w:rPr>
          <w:rFonts w:hint="eastAsia"/>
          <w:lang w:bidi="ar-EG"/>
        </w:rPr>
        <w:t> </w:t>
      </w:r>
      <w:r w:rsidRPr="00FF23E0">
        <w:rPr>
          <w:rFonts w:hint="cs"/>
          <w:rtl/>
          <w:lang w:bidi="ar-EG"/>
        </w:rPr>
        <w:t xml:space="preserve">التغييرات </w:t>
      </w:r>
      <w:r w:rsidR="003A1CFA">
        <w:rPr>
          <w:rFonts w:hint="cs"/>
          <w:rtl/>
          <w:lang w:bidi="ar-EG"/>
        </w:rPr>
        <w:t>الممكنة</w:t>
      </w:r>
      <w:r w:rsidRPr="00FF23E0">
        <w:rPr>
          <w:rFonts w:hint="cs"/>
          <w:rtl/>
          <w:lang w:bidi="ar-EG"/>
        </w:rPr>
        <w:t xml:space="preserve"> التي من شأنها تيسير مواصلة النظر في مشاريع التوصيات </w:t>
      </w:r>
      <w:r w:rsidR="003A1CFA">
        <w:rPr>
          <w:rFonts w:hint="cs"/>
          <w:rtl/>
          <w:lang w:bidi="ar-EG"/>
        </w:rPr>
        <w:t>الجديدة</w:t>
      </w:r>
      <w:r w:rsidRPr="00FF23E0">
        <w:rPr>
          <w:rFonts w:hint="cs"/>
          <w:rtl/>
          <w:lang w:bidi="ar-EG"/>
        </w:rPr>
        <w:t xml:space="preserve"> وال‍موافقة</w:t>
      </w:r>
      <w:r w:rsidRPr="00FF23E0">
        <w:rPr>
          <w:rFonts w:hint="eastAsia"/>
          <w:rtl/>
          <w:lang w:bidi="ar-EG"/>
        </w:rPr>
        <w:t> </w:t>
      </w:r>
      <w:r w:rsidRPr="00FF23E0">
        <w:rPr>
          <w:rFonts w:hint="cs"/>
          <w:rtl/>
          <w:lang w:bidi="ar-EG"/>
        </w:rPr>
        <w:t>عليها.</w:t>
      </w:r>
    </w:p>
    <w:p w:rsidR="00FF23E0" w:rsidRPr="00FF23E0" w:rsidRDefault="00FF23E0" w:rsidP="003A1CFA">
      <w:pPr>
        <w:rPr>
          <w:rtl/>
          <w:lang w:bidi="ar-EG"/>
        </w:rPr>
      </w:pPr>
      <w:r w:rsidRPr="00FF23E0">
        <w:rPr>
          <w:lang w:bidi="ar-EG"/>
        </w:rPr>
        <w:t>5</w:t>
      </w:r>
      <w:r w:rsidRPr="00FF23E0">
        <w:rPr>
          <w:rFonts w:hint="cs"/>
          <w:rtl/>
          <w:lang w:bidi="ar-EG"/>
        </w:rPr>
        <w:tab/>
        <w:t>فإذا كان</w:t>
      </w:r>
      <w:r w:rsidRPr="00FF23E0">
        <w:rPr>
          <w:rFonts w:hint="eastAsia"/>
          <w:rtl/>
          <w:lang w:bidi="ar-EG"/>
        </w:rPr>
        <w:t> </w:t>
      </w:r>
      <w:r w:rsidRPr="00FF23E0">
        <w:rPr>
          <w:lang w:bidi="ar-EG"/>
        </w:rPr>
        <w:t>70</w:t>
      </w:r>
      <w:r w:rsidRPr="00FF23E0">
        <w:rPr>
          <w:rFonts w:hint="cs"/>
          <w:rtl/>
          <w:lang w:bidi="ar-EG"/>
        </w:rPr>
        <w:t xml:space="preserve"> في </w:t>
      </w:r>
      <w:r w:rsidR="003A1CFA">
        <w:rPr>
          <w:rFonts w:hint="cs"/>
          <w:rtl/>
          <w:lang w:bidi="ar-EG"/>
        </w:rPr>
        <w:t>المائة</w:t>
      </w:r>
      <w:r w:rsidRPr="00FF23E0">
        <w:rPr>
          <w:rFonts w:hint="cs"/>
          <w:rtl/>
          <w:lang w:bidi="ar-EG"/>
        </w:rPr>
        <w:t xml:space="preserve"> أو أكثر من الردود الواردة من الدول الأعضاء تؤيد النظر في </w:t>
      </w:r>
      <w:r w:rsidRPr="004C50F8">
        <w:rPr>
          <w:rFonts w:hint="cs"/>
          <w:rtl/>
          <w:lang w:bidi="ar-EG"/>
        </w:rPr>
        <w:t xml:space="preserve">مشاريع التوصيات </w:t>
      </w:r>
      <w:r w:rsidRPr="00FF23E0">
        <w:rPr>
          <w:rFonts w:hint="cs"/>
          <w:rtl/>
          <w:lang w:bidi="ar-EG"/>
        </w:rPr>
        <w:t xml:space="preserve">بغرض </w:t>
      </w:r>
      <w:r w:rsidR="003A1CFA">
        <w:rPr>
          <w:rFonts w:hint="cs"/>
          <w:rtl/>
          <w:lang w:bidi="ar-EG"/>
        </w:rPr>
        <w:t>الموافقة</w:t>
      </w:r>
      <w:r w:rsidRPr="00FF23E0">
        <w:rPr>
          <w:rFonts w:hint="cs"/>
          <w:rtl/>
          <w:lang w:bidi="ar-EG"/>
        </w:rPr>
        <w:t xml:space="preserve"> عليها في اجتماع </w:t>
      </w:r>
      <w:r w:rsidR="003A1CFA">
        <w:rPr>
          <w:rFonts w:hint="cs"/>
          <w:rtl/>
          <w:lang w:bidi="ar-EG"/>
        </w:rPr>
        <w:t>لجنة</w:t>
      </w:r>
      <w:r w:rsidRPr="00FF23E0">
        <w:rPr>
          <w:rFonts w:hint="cs"/>
          <w:rtl/>
          <w:lang w:bidi="ar-EG"/>
        </w:rPr>
        <w:t xml:space="preserve"> الدراسات، عندئذٍ سوف تكرَّس جلسة عامة </w:t>
      </w:r>
      <w:r w:rsidRPr="00FF23E0">
        <w:rPr>
          <w:rFonts w:hint="cs"/>
          <w:b/>
          <w:bCs/>
          <w:rtl/>
          <w:lang w:bidi="ar-EG"/>
        </w:rPr>
        <w:t>في</w:t>
      </w:r>
      <w:r w:rsidRPr="00FF23E0">
        <w:rPr>
          <w:rFonts w:hint="eastAsia"/>
          <w:rtl/>
          <w:lang w:bidi="ar-EG"/>
        </w:rPr>
        <w:t> </w:t>
      </w:r>
      <w:r w:rsidR="006C625B">
        <w:rPr>
          <w:b/>
          <w:bCs/>
          <w:lang w:bidi="ar-EG"/>
        </w:rPr>
        <w:t>30</w:t>
      </w:r>
      <w:r w:rsidRPr="00FF23E0">
        <w:rPr>
          <w:rFonts w:hint="eastAsia"/>
          <w:b/>
          <w:bCs/>
          <w:rtl/>
          <w:lang w:bidi="ar-EG"/>
        </w:rPr>
        <w:t> </w:t>
      </w:r>
      <w:r w:rsidR="0081670D">
        <w:rPr>
          <w:rFonts w:hint="cs"/>
          <w:b/>
          <w:bCs/>
          <w:rtl/>
          <w:lang w:bidi="ar-EG"/>
        </w:rPr>
        <w:t>مارس</w:t>
      </w:r>
      <w:r w:rsidRPr="00FF23E0">
        <w:rPr>
          <w:rFonts w:hint="eastAsia"/>
          <w:rtl/>
          <w:lang w:bidi="ar-EG"/>
        </w:rPr>
        <w:t> </w:t>
      </w:r>
      <w:r w:rsidR="0081670D">
        <w:rPr>
          <w:b/>
          <w:bCs/>
          <w:lang w:bidi="ar-EG"/>
        </w:rPr>
        <w:t>201</w:t>
      </w:r>
      <w:r w:rsidR="006C625B">
        <w:rPr>
          <w:b/>
          <w:bCs/>
          <w:lang w:bidi="ar-EG"/>
        </w:rPr>
        <w:t>7</w:t>
      </w:r>
      <w:r w:rsidRPr="00FF23E0">
        <w:rPr>
          <w:rFonts w:hint="cs"/>
          <w:rtl/>
          <w:lang w:bidi="ar-EG"/>
        </w:rPr>
        <w:t xml:space="preserve"> لتطبيق إجراء</w:t>
      </w:r>
      <w:r w:rsidRPr="00FF23E0">
        <w:rPr>
          <w:rFonts w:hint="eastAsia"/>
          <w:rtl/>
          <w:lang w:bidi="ar-EG"/>
        </w:rPr>
        <w:t> </w:t>
      </w:r>
      <w:r w:rsidR="003A1CFA">
        <w:rPr>
          <w:rFonts w:hint="cs"/>
          <w:rtl/>
          <w:lang w:bidi="ar-EG"/>
        </w:rPr>
        <w:t>الموافقة</w:t>
      </w:r>
      <w:r w:rsidRPr="00FF23E0">
        <w:rPr>
          <w:rFonts w:hint="cs"/>
          <w:rtl/>
          <w:lang w:bidi="ar-EG"/>
        </w:rPr>
        <w:t>.</w:t>
      </w:r>
    </w:p>
    <w:p w:rsidR="00FF23E0" w:rsidRPr="00FF23E0" w:rsidRDefault="00FF23E0" w:rsidP="00E43070">
      <w:pPr>
        <w:rPr>
          <w:rtl/>
          <w:lang w:bidi="ar-EG"/>
        </w:rPr>
      </w:pPr>
      <w:r w:rsidRPr="00FF23E0">
        <w:rPr>
          <w:rFonts w:hint="cs"/>
          <w:rtl/>
          <w:lang w:bidi="ar-EG"/>
        </w:rPr>
        <w:t xml:space="preserve">ولذلك فإنني أدعو إدارتكم إلى إرسال م‍مثل إلى الاجتماع. </w:t>
      </w:r>
      <w:r w:rsidRPr="00FF23E0">
        <w:rPr>
          <w:rFonts w:hint="cs"/>
          <w:b/>
          <w:bCs/>
          <w:rtl/>
          <w:lang w:bidi="ar-EG"/>
        </w:rPr>
        <w:t xml:space="preserve">ويرجى من إدارات الدول الأعضاء في </w:t>
      </w:r>
      <w:r w:rsidR="003A1CFA">
        <w:rPr>
          <w:rFonts w:hint="cs"/>
          <w:b/>
          <w:bCs/>
          <w:rtl/>
          <w:lang w:bidi="ar-EG"/>
        </w:rPr>
        <w:t>الاتحاد</w:t>
      </w:r>
      <w:r w:rsidRPr="00FF23E0">
        <w:rPr>
          <w:rFonts w:hint="cs"/>
          <w:rtl/>
          <w:lang w:bidi="ar-EG"/>
        </w:rPr>
        <w:t xml:space="preserve"> </w:t>
      </w:r>
      <w:r w:rsidRPr="008F3901">
        <w:rPr>
          <w:rFonts w:hint="cs"/>
          <w:b/>
          <w:bCs/>
          <w:rtl/>
          <w:lang w:bidi="ar-EG"/>
        </w:rPr>
        <w:t>بيان اسم رئيس وفدها. وإذا كانت إدارتكم ترغب في أن ي‍مثلها في الاجتماع وكالة تشغيل معتمدة</w:t>
      </w:r>
      <w:r w:rsidRPr="00FF23E0">
        <w:rPr>
          <w:rFonts w:hint="cs"/>
          <w:rtl/>
          <w:lang w:bidi="ar-EG"/>
        </w:rPr>
        <w:t xml:space="preserve"> أو منظمة علمية أو صناعية أو أي كيان آخر يتعامل في مسائل الاتصالات عندئذ يتعين إبلاغ </w:t>
      </w:r>
      <w:r w:rsidR="00E43070">
        <w:rPr>
          <w:rFonts w:hint="cs"/>
          <w:rtl/>
          <w:lang w:bidi="ar-EG"/>
        </w:rPr>
        <w:t>المدير</w:t>
      </w:r>
      <w:r w:rsidRPr="00FF23E0">
        <w:rPr>
          <w:rFonts w:hint="cs"/>
          <w:rtl/>
          <w:lang w:bidi="ar-EG"/>
        </w:rPr>
        <w:t xml:space="preserve"> بذلك طبقاً لأحكام الرقم</w:t>
      </w:r>
      <w:r w:rsidRPr="00FF23E0">
        <w:rPr>
          <w:rFonts w:hint="eastAsia"/>
          <w:rtl/>
          <w:lang w:bidi="ar-EG"/>
        </w:rPr>
        <w:t> </w:t>
      </w:r>
      <w:r w:rsidRPr="00FF23E0">
        <w:rPr>
          <w:lang w:bidi="ar-EG"/>
        </w:rPr>
        <w:t>239</w:t>
      </w:r>
      <w:r w:rsidRPr="00FF23E0">
        <w:rPr>
          <w:rFonts w:hint="cs"/>
          <w:rtl/>
          <w:lang w:bidi="ar-EG"/>
        </w:rPr>
        <w:t xml:space="preserve"> من </w:t>
      </w:r>
      <w:r w:rsidR="00E43070">
        <w:rPr>
          <w:rFonts w:hint="cs"/>
          <w:rtl/>
          <w:lang w:bidi="ar-EG"/>
        </w:rPr>
        <w:t>المادة</w:t>
      </w:r>
      <w:r w:rsidRPr="00FF23E0">
        <w:rPr>
          <w:rFonts w:hint="eastAsia"/>
          <w:rtl/>
          <w:lang w:bidi="ar-EG"/>
        </w:rPr>
        <w:t> </w:t>
      </w:r>
      <w:r w:rsidRPr="00FF23E0">
        <w:rPr>
          <w:lang w:bidi="ar-EG"/>
        </w:rPr>
        <w:t>19</w:t>
      </w:r>
      <w:r w:rsidRPr="00FF23E0">
        <w:rPr>
          <w:rFonts w:hint="cs"/>
          <w:rtl/>
          <w:lang w:bidi="ar-EG"/>
        </w:rPr>
        <w:t xml:space="preserve"> من</w:t>
      </w:r>
      <w:r w:rsidRPr="00FF23E0">
        <w:rPr>
          <w:rFonts w:hint="eastAsia"/>
          <w:lang w:bidi="ar-EG"/>
        </w:rPr>
        <w:t> </w:t>
      </w:r>
      <w:r w:rsidRPr="00FF23E0">
        <w:rPr>
          <w:rFonts w:hint="cs"/>
          <w:rtl/>
          <w:lang w:bidi="ar-EG"/>
        </w:rPr>
        <w:t>اتفاقية</w:t>
      </w:r>
      <w:r w:rsidRPr="00FF23E0">
        <w:rPr>
          <w:rFonts w:hint="eastAsia"/>
          <w:rtl/>
          <w:lang w:bidi="ar-EG"/>
        </w:rPr>
        <w:t> </w:t>
      </w:r>
      <w:r w:rsidR="003A1CFA">
        <w:rPr>
          <w:rFonts w:hint="cs"/>
          <w:rtl/>
          <w:lang w:bidi="ar-EG"/>
        </w:rPr>
        <w:t>الاتحاد</w:t>
      </w:r>
      <w:r w:rsidRPr="00FF23E0">
        <w:rPr>
          <w:rFonts w:hint="cs"/>
          <w:rtl/>
          <w:lang w:bidi="ar-EG"/>
        </w:rPr>
        <w:t>.</w:t>
      </w:r>
    </w:p>
    <w:p w:rsidR="00FF23E0" w:rsidRPr="00FF23E0" w:rsidRDefault="00FF23E0" w:rsidP="00564F09">
      <w:pPr>
        <w:rPr>
          <w:rtl/>
          <w:lang w:bidi="ar-EG"/>
        </w:rPr>
      </w:pPr>
      <w:r w:rsidRPr="00CD0380">
        <w:rPr>
          <w:lang w:bidi="ar-EG"/>
        </w:rPr>
        <w:t>6</w:t>
      </w:r>
      <w:r w:rsidRPr="00CD0380">
        <w:rPr>
          <w:rFonts w:hint="cs"/>
          <w:rtl/>
          <w:lang w:bidi="ar-EG"/>
        </w:rPr>
        <w:tab/>
        <w:t xml:space="preserve">وي‍مكن الاطلاع على جدول </w:t>
      </w:r>
      <w:r w:rsidR="00564F09">
        <w:rPr>
          <w:rFonts w:hint="cs"/>
          <w:rtl/>
          <w:lang w:bidi="ar-EG"/>
        </w:rPr>
        <w:t>الأعمال</w:t>
      </w:r>
      <w:r w:rsidRPr="00CD0380">
        <w:rPr>
          <w:rFonts w:hint="cs"/>
          <w:rtl/>
          <w:lang w:bidi="ar-EG"/>
        </w:rPr>
        <w:t xml:space="preserve"> وج‍ميع </w:t>
      </w:r>
      <w:r w:rsidR="003A1CFA">
        <w:rPr>
          <w:rFonts w:hint="cs"/>
          <w:rtl/>
          <w:lang w:bidi="ar-EG"/>
        </w:rPr>
        <w:t>المعلومات</w:t>
      </w:r>
      <w:r w:rsidRPr="00CD0380">
        <w:rPr>
          <w:rFonts w:hint="cs"/>
          <w:rtl/>
          <w:lang w:bidi="ar-EG"/>
        </w:rPr>
        <w:t xml:space="preserve"> ذات الصلة فيما يتعلق باجتماع </w:t>
      </w:r>
      <w:r w:rsidR="00E43070">
        <w:rPr>
          <w:rFonts w:hint="cs"/>
          <w:rtl/>
          <w:lang w:bidi="ar-EG"/>
        </w:rPr>
        <w:t>لجنة</w:t>
      </w:r>
      <w:r w:rsidRPr="00CD0380">
        <w:rPr>
          <w:rFonts w:hint="cs"/>
          <w:rtl/>
          <w:lang w:bidi="ar-EG"/>
        </w:rPr>
        <w:t xml:space="preserve"> الدراسات</w:t>
      </w:r>
      <w:r w:rsidRPr="00CD0380">
        <w:rPr>
          <w:rFonts w:hint="eastAsia"/>
          <w:rtl/>
          <w:lang w:bidi="ar-EG"/>
        </w:rPr>
        <w:t> </w:t>
      </w:r>
      <w:r w:rsidRPr="00CD0380">
        <w:rPr>
          <w:lang w:bidi="ar-EG"/>
        </w:rPr>
        <w:t>17</w:t>
      </w:r>
      <w:r w:rsidRPr="00CD0380">
        <w:rPr>
          <w:rFonts w:hint="cs"/>
          <w:rtl/>
          <w:lang w:bidi="ar-EG"/>
        </w:rPr>
        <w:t xml:space="preserve"> </w:t>
      </w:r>
      <w:r w:rsidR="00CD0380" w:rsidRPr="00CD0380">
        <w:rPr>
          <w:rFonts w:hint="cs"/>
          <w:rtl/>
          <w:lang w:bidi="ar-EG"/>
        </w:rPr>
        <w:t xml:space="preserve">لقطاع تقييس الاتصالات </w:t>
      </w:r>
      <w:r w:rsidRPr="00CD0380">
        <w:rPr>
          <w:rFonts w:hint="cs"/>
          <w:rtl/>
          <w:lang w:bidi="ar-EG"/>
        </w:rPr>
        <w:t>في</w:t>
      </w:r>
      <w:r w:rsidR="006F23D5" w:rsidRPr="00CD0380">
        <w:rPr>
          <w:rFonts w:hint="eastAsia"/>
          <w:rtl/>
          <w:lang w:bidi="ar-EG"/>
        </w:rPr>
        <w:t> </w:t>
      </w:r>
      <w:r w:rsidRPr="00CD0380">
        <w:rPr>
          <w:rFonts w:hint="cs"/>
          <w:rtl/>
          <w:lang w:bidi="ar-EG"/>
        </w:rPr>
        <w:t xml:space="preserve">الرسالة </w:t>
      </w:r>
      <w:r w:rsidR="003A1CFA">
        <w:rPr>
          <w:rFonts w:hint="cs"/>
          <w:rtl/>
          <w:lang w:bidi="ar-EG"/>
        </w:rPr>
        <w:t>الجماعية</w:t>
      </w:r>
      <w:r w:rsidRPr="00CD0380">
        <w:rPr>
          <w:rFonts w:hint="eastAsia"/>
          <w:rtl/>
          <w:lang w:bidi="ar-EG"/>
        </w:rPr>
        <w:t> </w:t>
      </w:r>
      <w:r w:rsidR="008F3901" w:rsidRPr="00CD0380">
        <w:rPr>
          <w:lang w:bidi="ar-EG"/>
        </w:rPr>
        <w:t>1</w:t>
      </w:r>
      <w:r w:rsidRPr="00CD0380">
        <w:rPr>
          <w:lang w:bidi="ar-EG"/>
        </w:rPr>
        <w:t>/17</w:t>
      </w:r>
      <w:r w:rsidRPr="00CD0380">
        <w:rPr>
          <w:rFonts w:hint="cs"/>
          <w:rtl/>
          <w:lang w:bidi="ar-EG"/>
        </w:rPr>
        <w:t>.</w:t>
      </w:r>
    </w:p>
    <w:p w:rsidR="00521E65" w:rsidRPr="00521E65" w:rsidRDefault="00FF23E0" w:rsidP="00E43070">
      <w:pPr>
        <w:rPr>
          <w:rtl/>
          <w:lang w:bidi="ar-EG"/>
        </w:rPr>
      </w:pPr>
      <w:r w:rsidRPr="00FF23E0">
        <w:rPr>
          <w:lang w:bidi="ar-EG"/>
        </w:rPr>
        <w:t>7</w:t>
      </w:r>
      <w:r w:rsidRPr="00FF23E0">
        <w:rPr>
          <w:rFonts w:hint="cs"/>
          <w:rtl/>
          <w:lang w:bidi="ar-EG"/>
        </w:rPr>
        <w:tab/>
        <w:t xml:space="preserve">وفي أعقاب </w:t>
      </w:r>
      <w:r w:rsidR="003A1CFA">
        <w:rPr>
          <w:rFonts w:hint="cs"/>
          <w:rtl/>
          <w:lang w:bidi="ar-EG"/>
        </w:rPr>
        <w:t>الاجتماع</w:t>
      </w:r>
      <w:r w:rsidRPr="00FF23E0">
        <w:rPr>
          <w:rFonts w:hint="cs"/>
          <w:rtl/>
          <w:lang w:bidi="ar-EG"/>
        </w:rPr>
        <w:t xml:space="preserve"> سوف يعلن مدير مكتب تقييس الاتصالات، في </w:t>
      </w:r>
      <w:r w:rsidR="00C23F7C">
        <w:rPr>
          <w:rFonts w:hint="cs"/>
          <w:rtl/>
          <w:lang w:bidi="ar-EG"/>
        </w:rPr>
        <w:t>رسالة</w:t>
      </w:r>
      <w:r w:rsidRPr="00FF23E0">
        <w:rPr>
          <w:rFonts w:hint="cs"/>
          <w:rtl/>
          <w:lang w:bidi="ar-EG"/>
        </w:rPr>
        <w:t xml:space="preserve"> </w:t>
      </w:r>
      <w:r w:rsidR="00E43070">
        <w:rPr>
          <w:rFonts w:hint="cs"/>
          <w:rtl/>
          <w:lang w:bidi="ar-EG"/>
        </w:rPr>
        <w:t>معممة</w:t>
      </w:r>
      <w:r w:rsidRPr="00FF23E0">
        <w:rPr>
          <w:rFonts w:hint="cs"/>
          <w:rtl/>
          <w:lang w:bidi="ar-EG"/>
        </w:rPr>
        <w:t xml:space="preserve">، عن القرار </w:t>
      </w:r>
      <w:r w:rsidR="003A1CFA">
        <w:rPr>
          <w:rFonts w:hint="cs"/>
          <w:rtl/>
          <w:lang w:bidi="ar-EG"/>
        </w:rPr>
        <w:t>المتخذ</w:t>
      </w:r>
      <w:r w:rsidRPr="00FF23E0">
        <w:rPr>
          <w:rFonts w:hint="cs"/>
          <w:rtl/>
          <w:lang w:bidi="ar-EG"/>
        </w:rPr>
        <w:t xml:space="preserve"> بشأن هذه التوصيات. وسوف تُنشر هذه </w:t>
      </w:r>
      <w:r w:rsidR="00E43070">
        <w:rPr>
          <w:rFonts w:hint="cs"/>
          <w:rtl/>
          <w:lang w:bidi="ar-EG"/>
        </w:rPr>
        <w:t>المعلومات</w:t>
      </w:r>
      <w:r w:rsidRPr="00FF23E0">
        <w:rPr>
          <w:rFonts w:hint="cs"/>
          <w:rtl/>
          <w:lang w:bidi="ar-EG"/>
        </w:rPr>
        <w:t xml:space="preserve"> أيضاً في النشرة التشغيلية</w:t>
      </w:r>
      <w:r w:rsidRPr="00FF23E0">
        <w:rPr>
          <w:rFonts w:hint="eastAsia"/>
          <w:rtl/>
          <w:lang w:bidi="ar-EG"/>
        </w:rPr>
        <w:t> </w:t>
      </w:r>
      <w:r w:rsidR="003A1CFA">
        <w:rPr>
          <w:rFonts w:hint="cs"/>
          <w:rtl/>
          <w:lang w:bidi="ar-EG"/>
        </w:rPr>
        <w:t>للاتحاد</w:t>
      </w:r>
      <w:r w:rsidRPr="00FF23E0">
        <w:rPr>
          <w:rFonts w:hint="cs"/>
          <w:rtl/>
          <w:lang w:bidi="ar-EG"/>
        </w:rPr>
        <w:t>.</w:t>
      </w:r>
    </w:p>
    <w:p w:rsidR="00706D7A" w:rsidRDefault="00521E65" w:rsidP="00521E65">
      <w:pPr>
        <w:spacing w:before="240"/>
        <w:rPr>
          <w:lang w:bidi="ar-EG"/>
        </w:rPr>
      </w:pPr>
      <w:r w:rsidRPr="00521E65">
        <w:rPr>
          <w:rFonts w:hint="cs"/>
          <w:rtl/>
          <w:lang w:bidi="ar-EG"/>
        </w:rPr>
        <w:t>وتفضلوا بقبول فائق التقدير والاحترام.</w:t>
      </w:r>
    </w:p>
    <w:p w:rsidR="00F509DE" w:rsidRDefault="00F509DE" w:rsidP="00F509DE">
      <w:pPr>
        <w:rPr>
          <w:rtl/>
          <w:lang w:bidi="ar-EG"/>
        </w:rPr>
      </w:pPr>
      <w:bookmarkStart w:id="0" w:name="_GoBack"/>
      <w:bookmarkEnd w:id="0"/>
    </w:p>
    <w:p w:rsidR="00521E65" w:rsidRDefault="00521E65" w:rsidP="00F509DE">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521E65" w:rsidRPr="009F2073" w:rsidRDefault="00521E65" w:rsidP="00521E65">
      <w:pPr>
        <w:spacing w:before="1440"/>
        <w:jc w:val="left"/>
        <w:rPr>
          <w:rtl/>
          <w:lang w:bidi="ar-EG"/>
        </w:rPr>
      </w:pPr>
      <w:r w:rsidRPr="00521E65">
        <w:rPr>
          <w:rFonts w:hint="cs"/>
          <w:b/>
          <w:bCs/>
          <w:rtl/>
          <w:lang w:bidi="ar-SY"/>
        </w:rPr>
        <w:t>الملحقات:</w:t>
      </w:r>
      <w:r w:rsidRPr="009F2073">
        <w:rPr>
          <w:rFonts w:hint="cs"/>
          <w:rtl/>
          <w:lang w:bidi="ar-SY"/>
        </w:rPr>
        <w:t xml:space="preserve"> </w:t>
      </w:r>
      <w:r w:rsidR="00FF23E0" w:rsidRPr="009F2073">
        <w:rPr>
          <w:lang w:bidi="ar-SY"/>
        </w:rPr>
        <w:t>1</w:t>
      </w:r>
    </w:p>
    <w:p w:rsidR="00521E65" w:rsidRDefault="00521E65" w:rsidP="002537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60" w:line="259" w:lineRule="auto"/>
        <w:jc w:val="left"/>
        <w:rPr>
          <w:rtl/>
          <w:lang w:bidi="ar-EG"/>
        </w:rPr>
      </w:pPr>
      <w:r>
        <w:rPr>
          <w:rtl/>
          <w:lang w:bidi="ar-SY"/>
        </w:rPr>
        <w:br w:type="page"/>
      </w:r>
    </w:p>
    <w:p w:rsidR="00FF23E0" w:rsidRPr="00755E99" w:rsidRDefault="003D4152" w:rsidP="003D4152">
      <w:pPr>
        <w:pStyle w:val="AnnexNo"/>
        <w:rPr>
          <w:b/>
          <w:bCs/>
          <w:sz w:val="20"/>
          <w:szCs w:val="30"/>
          <w:rtl/>
          <w:lang w:bidi="ar-EG"/>
        </w:rPr>
      </w:pPr>
      <w:r w:rsidRPr="00755E99">
        <w:rPr>
          <w:rFonts w:hint="cs"/>
          <w:b/>
          <w:bCs/>
          <w:rtl/>
        </w:rPr>
        <w:lastRenderedPageBreak/>
        <w:t>الملحق</w:t>
      </w:r>
      <w:r w:rsidR="00FF23E0" w:rsidRPr="00755E99">
        <w:rPr>
          <w:rFonts w:hint="cs"/>
          <w:b/>
          <w:bCs/>
          <w:rtl/>
        </w:rPr>
        <w:t xml:space="preserve"> </w:t>
      </w:r>
      <w:r w:rsidR="00FF23E0" w:rsidRPr="00755E99">
        <w:rPr>
          <w:b/>
          <w:bCs/>
          <w:lang w:val="en-GB" w:bidi="ar-SA"/>
        </w:rPr>
        <w:t>1</w:t>
      </w:r>
      <w:r w:rsidR="00FF23E0" w:rsidRPr="00755E99">
        <w:rPr>
          <w:b/>
          <w:bCs/>
          <w:rtl/>
        </w:rPr>
        <w:br/>
      </w:r>
      <w:r w:rsidRPr="00755E99">
        <w:rPr>
          <w:rFonts w:hint="cs"/>
          <w:b/>
          <w:bCs/>
          <w:sz w:val="20"/>
          <w:szCs w:val="30"/>
          <w:rtl/>
        </w:rPr>
        <w:t>(بالرسالة المعممة </w:t>
      </w:r>
      <w:r w:rsidRPr="00755E99">
        <w:rPr>
          <w:b/>
          <w:bCs/>
          <w:sz w:val="20"/>
          <w:szCs w:val="30"/>
        </w:rPr>
        <w:t>246</w:t>
      </w:r>
      <w:r w:rsidRPr="00755E99">
        <w:rPr>
          <w:rFonts w:hint="cs"/>
          <w:b/>
          <w:bCs/>
          <w:sz w:val="20"/>
          <w:szCs w:val="30"/>
          <w:rtl/>
          <w:lang w:bidi="ar-EG"/>
        </w:rPr>
        <w:t xml:space="preserve"> لمكتب تقييس الاتصالات)</w:t>
      </w:r>
    </w:p>
    <w:p w:rsidR="00FF23E0" w:rsidRPr="00FF23E0" w:rsidRDefault="003D4152" w:rsidP="009F2073">
      <w:pPr>
        <w:pStyle w:val="Annextitle"/>
        <w:rPr>
          <w:rtl/>
          <w:lang w:bidi="ar-EG"/>
        </w:rPr>
      </w:pPr>
      <w:r>
        <w:rPr>
          <w:rFonts w:hint="cs"/>
          <w:rtl/>
          <w:lang w:bidi="ar-EG"/>
        </w:rPr>
        <w:t>ملخص النصوص والوثائق التي ترد فيها</w:t>
      </w:r>
    </w:p>
    <w:p w:rsidR="00DA3BF6" w:rsidRDefault="00DA3BF6" w:rsidP="00C365F8">
      <w:pPr>
        <w:pStyle w:val="Heading1"/>
        <w:rPr>
          <w:rtl/>
          <w:lang w:val="fr-CH"/>
        </w:rPr>
      </w:pPr>
      <w:r>
        <w:t>1</w:t>
      </w:r>
      <w:r>
        <w:tab/>
      </w:r>
      <w:r>
        <w:rPr>
          <w:rFonts w:hint="cs"/>
          <w:rtl/>
        </w:rPr>
        <w:t>مشروع التوصية</w:t>
      </w:r>
      <w:r w:rsidR="00FF23E0" w:rsidRPr="00FF23E0">
        <w:rPr>
          <w:rFonts w:hint="cs"/>
          <w:rtl/>
        </w:rPr>
        <w:t xml:space="preserve"> </w:t>
      </w:r>
      <w:r>
        <w:rPr>
          <w:lang w:val="fr-CH"/>
        </w:rPr>
        <w:t>ITU-T</w:t>
      </w:r>
      <w:r w:rsidR="00C365F8">
        <w:rPr>
          <w:lang w:val="fr-CH"/>
        </w:rPr>
        <w:t> </w:t>
      </w:r>
      <w:r>
        <w:rPr>
          <w:lang w:val="fr-CH"/>
        </w:rPr>
        <w:t>X.1058</w:t>
      </w:r>
      <w:r w:rsidR="009D051B">
        <w:rPr>
          <w:rFonts w:hint="cs"/>
          <w:rtl/>
          <w:lang w:val="fr-CH"/>
        </w:rPr>
        <w:t xml:space="preserve"> (</w:t>
      </w:r>
      <w:proofErr w:type="spellStart"/>
      <w:r w:rsidR="009D051B">
        <w:t>X.gpim</w:t>
      </w:r>
      <w:proofErr w:type="spellEnd"/>
      <w:r w:rsidR="009D051B">
        <w:rPr>
          <w:rFonts w:hint="cs"/>
          <w:rtl/>
          <w:lang w:bidi="ar-EG"/>
        </w:rPr>
        <w:t>، سابقاً)</w:t>
      </w:r>
      <w:r w:rsidR="007661F8">
        <w:rPr>
          <w:rFonts w:hint="cs"/>
          <w:rtl/>
          <w:lang w:val="fr-CH"/>
        </w:rPr>
        <w:t xml:space="preserve"> </w:t>
      </w:r>
      <w:r w:rsidR="007661F8" w:rsidRPr="008F06F9">
        <w:rPr>
          <w:lang w:val="fr-CH"/>
        </w:rPr>
        <w:t>(</w:t>
      </w:r>
      <w:hyperlink r:id="rId14" w:history="1">
        <w:r w:rsidR="007661F8" w:rsidRPr="008F06F9">
          <w:rPr>
            <w:rStyle w:val="Hyperlink"/>
            <w:lang w:val="fr-CH"/>
          </w:rPr>
          <w:t>R 69 Rev.1</w:t>
        </w:r>
      </w:hyperlink>
      <w:r w:rsidR="007661F8" w:rsidRPr="008F06F9">
        <w:rPr>
          <w:lang w:val="fr-CH"/>
        </w:rPr>
        <w:t>)</w:t>
      </w:r>
    </w:p>
    <w:p w:rsidR="00B71CAF" w:rsidRPr="00755E99" w:rsidRDefault="00922D59" w:rsidP="00247756">
      <w:pPr>
        <w:rPr>
          <w:b/>
          <w:bCs/>
          <w:lang w:val="fr-CH"/>
        </w:rPr>
      </w:pPr>
      <w:r w:rsidRPr="00755E99">
        <w:rPr>
          <w:rFonts w:hint="cs"/>
          <w:b/>
          <w:bCs/>
          <w:rtl/>
          <w:lang w:bidi="ar-EG"/>
        </w:rPr>
        <w:t xml:space="preserve">تكنولوجيا المعلومات - </w:t>
      </w:r>
      <w:r w:rsidRPr="00755E99">
        <w:rPr>
          <w:b/>
          <w:bCs/>
          <w:rtl/>
        </w:rPr>
        <w:t>التقنيات الأمنية - مدونة القواعد</w:t>
      </w:r>
      <w:r w:rsidR="00247756" w:rsidRPr="00755E99">
        <w:rPr>
          <w:rFonts w:hint="cs"/>
          <w:b/>
          <w:bCs/>
          <w:rtl/>
        </w:rPr>
        <w:t xml:space="preserve"> </w:t>
      </w:r>
      <w:r w:rsidRPr="00755E99">
        <w:rPr>
          <w:b/>
          <w:bCs/>
          <w:rtl/>
        </w:rPr>
        <w:t>لحماية المعلومات المحد</w:t>
      </w:r>
      <w:r w:rsidRPr="00755E99">
        <w:rPr>
          <w:rFonts w:hint="cs"/>
          <w:b/>
          <w:bCs/>
          <w:rtl/>
        </w:rPr>
        <w:t>ِّ</w:t>
      </w:r>
      <w:r w:rsidRPr="00755E99">
        <w:rPr>
          <w:b/>
          <w:bCs/>
          <w:rtl/>
        </w:rPr>
        <w:t>دة لهوي</w:t>
      </w:r>
      <w:r w:rsidRPr="00755E99">
        <w:rPr>
          <w:rFonts w:hint="cs"/>
          <w:b/>
          <w:bCs/>
          <w:rtl/>
        </w:rPr>
        <w:t>ّ</w:t>
      </w:r>
      <w:r w:rsidRPr="00755E99">
        <w:rPr>
          <w:b/>
          <w:bCs/>
          <w:rtl/>
        </w:rPr>
        <w:t>ة الشخص</w:t>
      </w:r>
    </w:p>
    <w:p w:rsidR="00FF23E0" w:rsidRPr="00FF23E0" w:rsidRDefault="00FF23E0" w:rsidP="00DA3BF6">
      <w:pPr>
        <w:pStyle w:val="Headingb"/>
        <w:rPr>
          <w:rtl/>
        </w:rPr>
      </w:pPr>
      <w:r w:rsidRPr="00FF23E0">
        <w:rPr>
          <w:rFonts w:hint="cs"/>
          <w:rtl/>
        </w:rPr>
        <w:t>ملخص</w:t>
      </w:r>
    </w:p>
    <w:p w:rsidR="00FF23E0" w:rsidRPr="00BD51B9" w:rsidRDefault="00922D59" w:rsidP="00BD51B9">
      <w:pPr>
        <w:rPr>
          <w:spacing w:val="-6"/>
          <w:rtl/>
        </w:rPr>
      </w:pPr>
      <w:r w:rsidRPr="00BD51B9">
        <w:rPr>
          <w:rFonts w:hint="cs"/>
          <w:spacing w:val="-6"/>
          <w:rtl/>
          <w:lang w:bidi="ar-EG"/>
        </w:rPr>
        <w:t xml:space="preserve">يتزايد عدد المنظمات التي تعالج المعلومات المحدِّدة لهوية الشخص </w:t>
      </w:r>
      <w:r w:rsidRPr="00BD51B9">
        <w:rPr>
          <w:spacing w:val="-6"/>
          <w:lang w:bidi="ar-EG"/>
        </w:rPr>
        <w:t>(PII)</w:t>
      </w:r>
      <w:r w:rsidRPr="00BD51B9">
        <w:rPr>
          <w:rFonts w:hint="cs"/>
          <w:spacing w:val="-6"/>
          <w:rtl/>
          <w:lang w:bidi="ar-EG"/>
        </w:rPr>
        <w:t xml:space="preserve">، وكذلك كمية المعلومات </w:t>
      </w:r>
      <w:r w:rsidRPr="00BD51B9">
        <w:rPr>
          <w:spacing w:val="-6"/>
          <w:lang w:bidi="ar-EG"/>
        </w:rPr>
        <w:t>PII</w:t>
      </w:r>
      <w:r w:rsidRPr="00BD51B9">
        <w:rPr>
          <w:rFonts w:hint="cs"/>
          <w:spacing w:val="-6"/>
          <w:rtl/>
          <w:lang w:bidi="ar-EG"/>
        </w:rPr>
        <w:t xml:space="preserve"> التي تتعامل معها هذه المنظمات. وتتزايد في الوقت نفسه التوقّعات الاجتماعية بشأن حماية المعلومات المحددّة لهوية الشخص وأمن البيانات المتعلقة بالأفراد. ويقوم عدد من البلدان بتعزيز قوانينه من أجل معالجة العدد المتزايد من الانتهاكات لبيانات ذات قيمة عالية.</w:t>
      </w:r>
      <w:r w:rsidR="00E60164" w:rsidRPr="00BD51B9">
        <w:rPr>
          <w:rFonts w:hint="cs"/>
          <w:spacing w:val="-6"/>
          <w:rtl/>
          <w:lang w:bidi="ar-EG"/>
        </w:rPr>
        <w:t xml:space="preserve"> </w:t>
      </w:r>
      <w:r w:rsidR="00375227" w:rsidRPr="00BD51B9">
        <w:rPr>
          <w:rFonts w:hint="cs"/>
          <w:spacing w:val="-6"/>
          <w:rtl/>
          <w:lang w:bidi="ar-EG"/>
        </w:rPr>
        <w:t>و</w:t>
      </w:r>
      <w:r w:rsidRPr="00BD51B9">
        <w:rPr>
          <w:rFonts w:hint="cs"/>
          <w:spacing w:val="-6"/>
          <w:rtl/>
          <w:lang w:bidi="ar-EG"/>
        </w:rPr>
        <w:t>تحدد هذه التوصية</w:t>
      </w:r>
      <w:r w:rsidR="00831930" w:rsidRPr="00BD51B9">
        <w:rPr>
          <w:rFonts w:hint="eastAsia"/>
          <w:spacing w:val="-6"/>
          <w:rtl/>
        </w:rPr>
        <w:t> </w:t>
      </w:r>
      <w:r w:rsidRPr="00BD51B9">
        <w:rPr>
          <w:spacing w:val="-6"/>
          <w:rtl/>
        </w:rPr>
        <w:t>|</w:t>
      </w:r>
      <w:r w:rsidR="00831930" w:rsidRPr="00BD51B9">
        <w:rPr>
          <w:rFonts w:hint="eastAsia"/>
          <w:spacing w:val="-6"/>
          <w:rtl/>
        </w:rPr>
        <w:t> </w:t>
      </w:r>
      <w:r w:rsidRPr="00BD51B9">
        <w:rPr>
          <w:spacing w:val="-6"/>
          <w:rtl/>
        </w:rPr>
        <w:t>هذا</w:t>
      </w:r>
      <w:r w:rsidRPr="00BD51B9">
        <w:rPr>
          <w:rFonts w:hint="cs"/>
          <w:spacing w:val="-6"/>
          <w:rtl/>
        </w:rPr>
        <w:t xml:space="preserve"> </w:t>
      </w:r>
      <w:r w:rsidRPr="00BD51B9">
        <w:rPr>
          <w:spacing w:val="-6"/>
          <w:rtl/>
        </w:rPr>
        <w:t>المعيار الدولي</w:t>
      </w:r>
      <w:r w:rsidRPr="00BD51B9">
        <w:rPr>
          <w:rFonts w:hint="cs"/>
          <w:spacing w:val="-6"/>
          <w:rtl/>
        </w:rPr>
        <w:t xml:space="preserve"> أهداف التحكم، والضوابط والمبادئ التوجيهية لتنفيذ الضوابط، لتلبية المتطلبات التي يحددها تقييم المخاطر المتصلة بحماية المعلومات المحددة لهوية الشخص وأثر هذه المخاطر. </w:t>
      </w:r>
      <w:r w:rsidR="002A4881" w:rsidRPr="00BD51B9">
        <w:rPr>
          <w:rFonts w:hint="cs"/>
          <w:spacing w:val="-6"/>
          <w:rtl/>
        </w:rPr>
        <w:t>وتوصِّف</w:t>
      </w:r>
      <w:r w:rsidRPr="00BD51B9">
        <w:rPr>
          <w:rFonts w:hint="cs"/>
          <w:spacing w:val="-6"/>
          <w:rtl/>
        </w:rPr>
        <w:t xml:space="preserve"> </w:t>
      </w:r>
      <w:r w:rsidRPr="00BD51B9">
        <w:rPr>
          <w:rFonts w:hint="cs"/>
          <w:spacing w:val="-6"/>
          <w:rtl/>
          <w:lang w:bidi="ar-EG"/>
        </w:rPr>
        <w:t>هذه التوصية</w:t>
      </w:r>
      <w:r w:rsidR="00A93DCB" w:rsidRPr="00BD51B9">
        <w:rPr>
          <w:rFonts w:hint="eastAsia"/>
          <w:spacing w:val="-6"/>
          <w:rtl/>
        </w:rPr>
        <w:t> </w:t>
      </w:r>
      <w:r w:rsidRPr="00BD51B9">
        <w:rPr>
          <w:spacing w:val="-6"/>
          <w:rtl/>
        </w:rPr>
        <w:t>|</w:t>
      </w:r>
      <w:r w:rsidR="00A93DCB" w:rsidRPr="00BD51B9">
        <w:rPr>
          <w:rFonts w:hint="eastAsia"/>
          <w:spacing w:val="-6"/>
          <w:rtl/>
        </w:rPr>
        <w:t> </w:t>
      </w:r>
      <w:r w:rsidRPr="00BD51B9">
        <w:rPr>
          <w:spacing w:val="-6"/>
          <w:rtl/>
        </w:rPr>
        <w:t>هذا</w:t>
      </w:r>
      <w:r w:rsidRPr="00BD51B9">
        <w:rPr>
          <w:rFonts w:hint="cs"/>
          <w:spacing w:val="-6"/>
          <w:rtl/>
        </w:rPr>
        <w:t xml:space="preserve"> </w:t>
      </w:r>
      <w:r w:rsidRPr="00BD51B9">
        <w:rPr>
          <w:spacing w:val="-6"/>
          <w:rtl/>
        </w:rPr>
        <w:t>المعيار الدولي</w:t>
      </w:r>
      <w:r w:rsidRPr="00BD51B9">
        <w:rPr>
          <w:rFonts w:hint="cs"/>
          <w:spacing w:val="-6"/>
          <w:rtl/>
        </w:rPr>
        <w:t xml:space="preserve"> بوجه خاص المبادئ التوجيهية القائمة على المعيار</w:t>
      </w:r>
      <w:r w:rsidR="00BD51B9">
        <w:rPr>
          <w:rFonts w:hint="eastAsia"/>
          <w:spacing w:val="-6"/>
          <w:rtl/>
        </w:rPr>
        <w:t> </w:t>
      </w:r>
      <w:r w:rsidRPr="00BD51B9">
        <w:rPr>
          <w:spacing w:val="-6"/>
          <w:lang w:bidi="ar-EG"/>
        </w:rPr>
        <w:t>ISO/IEC</w:t>
      </w:r>
      <w:r w:rsidR="00D15687" w:rsidRPr="00BD51B9">
        <w:rPr>
          <w:spacing w:val="-6"/>
          <w:lang w:bidi="ar-EG"/>
        </w:rPr>
        <w:t> </w:t>
      </w:r>
      <w:r w:rsidRPr="00BD51B9">
        <w:rPr>
          <w:spacing w:val="-6"/>
          <w:lang w:bidi="ar-EG"/>
        </w:rPr>
        <w:t>27002</w:t>
      </w:r>
      <w:r w:rsidRPr="00BD51B9">
        <w:rPr>
          <w:spacing w:val="-6"/>
          <w:rtl/>
        </w:rPr>
        <w:t>، مع</w:t>
      </w:r>
      <w:r w:rsidRPr="00BD51B9">
        <w:rPr>
          <w:rFonts w:hint="cs"/>
          <w:spacing w:val="-6"/>
          <w:rtl/>
        </w:rPr>
        <w:t xml:space="preserve"> مراعاة متطلبات معالجة المعلومات المحددة لهوية الشخص التي يمكن تطبيقها ضمن سياق بيئة (بيئات) </w:t>
      </w:r>
      <w:r w:rsidRPr="00BD51B9">
        <w:rPr>
          <w:spacing w:val="-6"/>
          <w:rtl/>
        </w:rPr>
        <w:t>المخاطر الأمنية لمعلومات المنظمة</w:t>
      </w:r>
      <w:r w:rsidRPr="00BD51B9">
        <w:rPr>
          <w:rFonts w:hint="cs"/>
          <w:spacing w:val="-6"/>
          <w:rtl/>
        </w:rPr>
        <w:t>.</w:t>
      </w:r>
    </w:p>
    <w:p w:rsidR="00DA3BF6" w:rsidRDefault="00DA3BF6" w:rsidP="00C365F8">
      <w:pPr>
        <w:pStyle w:val="Heading1"/>
        <w:rPr>
          <w:rtl/>
          <w:lang w:bidi="ar-EG"/>
        </w:rPr>
      </w:pPr>
      <w:r>
        <w:t>2</w:t>
      </w:r>
      <w:r>
        <w:tab/>
      </w:r>
      <w:r w:rsidR="00FF23E0" w:rsidRPr="00FF23E0">
        <w:rPr>
          <w:rFonts w:hint="cs"/>
          <w:rtl/>
        </w:rPr>
        <w:t xml:space="preserve">مشروع التوصية </w:t>
      </w:r>
      <w:r w:rsidRPr="00EB0319">
        <w:t>ITU-T</w:t>
      </w:r>
      <w:r w:rsidR="00C365F8">
        <w:t> </w:t>
      </w:r>
      <w:r w:rsidRPr="00EB0319">
        <w:t>X.1080.0</w:t>
      </w:r>
      <w:r w:rsidR="009D051B">
        <w:rPr>
          <w:rFonts w:hint="cs"/>
          <w:rtl/>
          <w:lang w:bidi="ar-EG"/>
        </w:rPr>
        <w:t xml:space="preserve"> (</w:t>
      </w:r>
      <w:proofErr w:type="spellStart"/>
      <w:r w:rsidR="007605F6">
        <w:rPr>
          <w:lang w:bidi="ar-EG"/>
        </w:rPr>
        <w:t>X.pbact</w:t>
      </w:r>
      <w:proofErr w:type="spellEnd"/>
      <w:r w:rsidR="007605F6">
        <w:rPr>
          <w:rFonts w:hint="cs"/>
          <w:rtl/>
          <w:lang w:bidi="ar-EG"/>
        </w:rPr>
        <w:t>، سابقاً)</w:t>
      </w:r>
      <w:r w:rsidR="00375227">
        <w:rPr>
          <w:rFonts w:hint="cs"/>
          <w:rtl/>
          <w:lang w:bidi="ar-EG"/>
        </w:rPr>
        <w:t xml:space="preserve"> </w:t>
      </w:r>
      <w:r w:rsidR="00375227" w:rsidRPr="00765398">
        <w:rPr>
          <w:lang w:val="fr-CH"/>
        </w:rPr>
        <w:t>(</w:t>
      </w:r>
      <w:hyperlink r:id="rId15" w:history="1">
        <w:r w:rsidR="00375227" w:rsidRPr="00765398">
          <w:rPr>
            <w:rStyle w:val="Hyperlink"/>
            <w:lang w:val="fr-CH"/>
          </w:rPr>
          <w:t>R 75</w:t>
        </w:r>
      </w:hyperlink>
      <w:r w:rsidR="00375227" w:rsidRPr="00765398">
        <w:rPr>
          <w:lang w:val="fr-CH"/>
        </w:rPr>
        <w:t>)</w:t>
      </w:r>
    </w:p>
    <w:p w:rsidR="00B71CAF" w:rsidRPr="00755E99" w:rsidRDefault="007F0F4C" w:rsidP="00B71CAF">
      <w:pPr>
        <w:rPr>
          <w:b/>
          <w:bCs/>
        </w:rPr>
      </w:pPr>
      <w:r w:rsidRPr="00755E99">
        <w:rPr>
          <w:rFonts w:hint="cs"/>
          <w:b/>
          <w:bCs/>
          <w:rtl/>
        </w:rPr>
        <w:t>التحكم في النفاذ لحماية بيانات القياس الحيوي عن بُعد</w:t>
      </w:r>
    </w:p>
    <w:p w:rsidR="00FF23E0" w:rsidRPr="00FF23E0" w:rsidRDefault="00FF23E0" w:rsidP="00DA3BF6">
      <w:pPr>
        <w:pStyle w:val="Headingb"/>
        <w:rPr>
          <w:rtl/>
          <w:lang w:bidi="ar-EG"/>
        </w:rPr>
      </w:pPr>
      <w:r w:rsidRPr="00FF23E0">
        <w:rPr>
          <w:rFonts w:hint="cs"/>
          <w:rtl/>
        </w:rPr>
        <w:t>ملخص</w:t>
      </w:r>
    </w:p>
    <w:p w:rsidR="005C4900" w:rsidRDefault="00664E3C" w:rsidP="000C2546">
      <w:pPr>
        <w:rPr>
          <w:rtl/>
          <w:lang w:bidi="ar-EG"/>
        </w:rPr>
      </w:pPr>
      <w:r>
        <w:rPr>
          <w:rFonts w:hint="cs"/>
          <w:rtl/>
        </w:rPr>
        <w:t xml:space="preserve">إن </w:t>
      </w:r>
      <w:r w:rsidRPr="00387E7D">
        <w:rPr>
          <w:rFonts w:hint="cs"/>
          <w:rtl/>
        </w:rPr>
        <w:t>التوصية</w:t>
      </w:r>
      <w:r>
        <w:rPr>
          <w:rFonts w:hint="eastAsia"/>
          <w:rtl/>
        </w:rPr>
        <w:t> </w:t>
      </w:r>
      <w:r w:rsidR="00C365F8">
        <w:t>ITU-T </w:t>
      </w:r>
      <w:r w:rsidRPr="00387E7D">
        <w:t>X.1080.0</w:t>
      </w:r>
      <w:r w:rsidRPr="00387E7D">
        <w:rPr>
          <w:rFonts w:hint="cs"/>
          <w:rtl/>
        </w:rPr>
        <w:t xml:space="preserve">، </w:t>
      </w:r>
      <w:r w:rsidR="007D4D46">
        <w:rPr>
          <w:rFonts w:hint="cs"/>
          <w:rtl/>
        </w:rPr>
        <w:t>بشأن</w:t>
      </w:r>
      <w:r w:rsidRPr="00387E7D">
        <w:rPr>
          <w:rFonts w:hint="cs"/>
          <w:rtl/>
        </w:rPr>
        <w:t xml:space="preserve"> </w:t>
      </w:r>
      <w:r w:rsidRPr="00C45F8C">
        <w:rPr>
          <w:rFonts w:hint="cs"/>
          <w:color w:val="000000"/>
          <w:rtl/>
        </w:rPr>
        <w:t>التحكم في النفاذ لحماية بيانات القياس الحيوي عن بُعد</w:t>
      </w:r>
      <w:r>
        <w:rPr>
          <w:rFonts w:hint="cs"/>
          <w:color w:val="000000"/>
          <w:rtl/>
        </w:rPr>
        <w:t>،</w:t>
      </w:r>
      <w:r w:rsidRPr="00387E7D">
        <w:rPr>
          <w:rFonts w:hint="cs"/>
          <w:color w:val="000000"/>
          <w:rtl/>
        </w:rPr>
        <w:t xml:space="preserve"> </w:t>
      </w:r>
      <w:r w:rsidRPr="00387E7D">
        <w:rPr>
          <w:rFonts w:hint="cs"/>
          <w:rtl/>
        </w:rPr>
        <w:t>توصِّف</w:t>
      </w:r>
      <w:r w:rsidRPr="00387E7D">
        <w:rPr>
          <w:rFonts w:hint="cs"/>
          <w:rtl/>
          <w:lang w:bidi="ar"/>
        </w:rPr>
        <w:t xml:space="preserve"> </w:t>
      </w:r>
      <w:r w:rsidRPr="00961B0C">
        <w:rPr>
          <w:rFonts w:hint="cs"/>
          <w:rtl/>
          <w:lang w:bidi="ar"/>
        </w:rPr>
        <w:t xml:space="preserve">كيفية حماية معلومات </w:t>
      </w:r>
      <w:r>
        <w:rPr>
          <w:rFonts w:hint="cs"/>
          <w:rtl/>
        </w:rPr>
        <w:t xml:space="preserve">القياس الحيوي عن بُعد </w:t>
      </w:r>
      <w:r>
        <w:rPr>
          <w:rFonts w:hint="cs"/>
          <w:rtl/>
          <w:lang w:bidi="ar"/>
        </w:rPr>
        <w:t>من</w:t>
      </w:r>
      <w:r w:rsidRPr="00961B0C">
        <w:rPr>
          <w:rFonts w:hint="cs"/>
          <w:rtl/>
          <w:lang w:bidi="ar"/>
        </w:rPr>
        <w:t xml:space="preserve"> ال</w:t>
      </w:r>
      <w:r>
        <w:rPr>
          <w:rFonts w:hint="cs"/>
          <w:rtl/>
          <w:lang w:bidi="ar"/>
        </w:rPr>
        <w:t>نفاذ</w:t>
      </w:r>
      <w:r w:rsidRPr="00961B0C">
        <w:rPr>
          <w:rFonts w:hint="cs"/>
          <w:rtl/>
          <w:lang w:bidi="ar"/>
        </w:rPr>
        <w:t xml:space="preserve"> غير المصرح به.</w:t>
      </w:r>
      <w:r w:rsidRPr="00387E7D">
        <w:rPr>
          <w:rFonts w:hint="cs"/>
          <w:rtl/>
          <w:lang w:bidi="ar"/>
        </w:rPr>
        <w:t xml:space="preserve"> </w:t>
      </w:r>
      <w:r>
        <w:rPr>
          <w:rFonts w:hint="cs"/>
          <w:rtl/>
          <w:lang w:bidi="ar"/>
        </w:rPr>
        <w:t>وهي</w:t>
      </w:r>
      <w:r w:rsidRPr="00961B0C">
        <w:rPr>
          <w:rFonts w:hint="cs"/>
          <w:rtl/>
          <w:lang w:bidi="ar"/>
        </w:rPr>
        <w:t xml:space="preserve"> </w:t>
      </w:r>
      <w:r w:rsidR="007D4D46">
        <w:rPr>
          <w:rFonts w:hint="cs"/>
          <w:rtl/>
          <w:lang w:bidi="ar"/>
        </w:rPr>
        <w:t>تحقق</w:t>
      </w:r>
      <w:r w:rsidRPr="00961B0C">
        <w:rPr>
          <w:rFonts w:hint="cs"/>
          <w:rtl/>
          <w:lang w:bidi="ar"/>
        </w:rPr>
        <w:t xml:space="preserve"> ذلك </w:t>
      </w:r>
      <w:r w:rsidR="007D4D46">
        <w:rPr>
          <w:rFonts w:hint="cs"/>
          <w:rtl/>
          <w:lang w:bidi="ar"/>
        </w:rPr>
        <w:t>من خلال</w:t>
      </w:r>
      <w:r w:rsidRPr="00961B0C">
        <w:rPr>
          <w:rFonts w:hint="cs"/>
          <w:rtl/>
          <w:lang w:bidi="ar"/>
        </w:rPr>
        <w:t xml:space="preserve"> </w:t>
      </w:r>
      <w:r>
        <w:rPr>
          <w:rFonts w:hint="cs"/>
          <w:rtl/>
          <w:lang w:bidi="ar"/>
        </w:rPr>
        <w:t>منظور</w:t>
      </w:r>
      <w:r w:rsidRPr="00961B0C">
        <w:rPr>
          <w:rFonts w:hint="cs"/>
          <w:rtl/>
          <w:lang w:bidi="ar"/>
        </w:rPr>
        <w:t xml:space="preserve"> </w:t>
      </w:r>
      <w:r>
        <w:rPr>
          <w:rFonts w:hint="cs"/>
          <w:rtl/>
          <w:lang w:bidi="ar"/>
        </w:rPr>
        <w:t>خدمي</w:t>
      </w:r>
      <w:r w:rsidRPr="00961B0C">
        <w:rPr>
          <w:rFonts w:hint="cs"/>
          <w:rtl/>
          <w:lang w:bidi="ar"/>
        </w:rPr>
        <w:t xml:space="preserve">، حيث </w:t>
      </w:r>
      <w:r w:rsidR="004F2BC4">
        <w:rPr>
          <w:rFonts w:hint="cs"/>
          <w:rtl/>
          <w:lang w:bidi="ar"/>
        </w:rPr>
        <w:t>لا</w:t>
      </w:r>
      <w:r w:rsidR="004F2BC4">
        <w:rPr>
          <w:rFonts w:hint="eastAsia"/>
          <w:rtl/>
          <w:lang w:bidi="ar"/>
        </w:rPr>
        <w:t> </w:t>
      </w:r>
      <w:r>
        <w:rPr>
          <w:rFonts w:hint="cs"/>
          <w:rtl/>
          <w:lang w:bidi="ar"/>
        </w:rPr>
        <w:t>تقدَّم إلا</w:t>
      </w:r>
      <w:r w:rsidRPr="00961B0C">
        <w:rPr>
          <w:rFonts w:hint="cs"/>
          <w:rtl/>
          <w:lang w:bidi="ar"/>
        </w:rPr>
        <w:t xml:space="preserve"> المعلومات اللازمة لغرض معين، أي </w:t>
      </w:r>
      <w:r>
        <w:rPr>
          <w:rFonts w:hint="cs"/>
          <w:rtl/>
          <w:lang w:bidi="ar"/>
        </w:rPr>
        <w:t>لا</w:t>
      </w:r>
      <w:r>
        <w:rPr>
          <w:rFonts w:hint="eastAsia"/>
          <w:rtl/>
          <w:lang w:bidi="ar"/>
        </w:rPr>
        <w:t> </w:t>
      </w:r>
      <w:r>
        <w:rPr>
          <w:rFonts w:hint="cs"/>
          <w:rtl/>
          <w:lang w:bidi="ar"/>
        </w:rPr>
        <w:t>يتاح الاطلاع</w:t>
      </w:r>
      <w:r w:rsidRPr="00961B0C">
        <w:rPr>
          <w:rFonts w:hint="cs"/>
          <w:rtl/>
          <w:lang w:bidi="ar"/>
        </w:rPr>
        <w:t xml:space="preserve"> على أساس </w:t>
      </w:r>
      <w:r w:rsidRPr="00F621AF">
        <w:rPr>
          <w:rFonts w:hint="cs"/>
          <w:rtl/>
          <w:lang w:bidi="ar"/>
        </w:rPr>
        <w:t>حق المعرفة</w:t>
      </w:r>
      <w:r>
        <w:rPr>
          <w:rFonts w:hint="cs"/>
          <w:rtl/>
          <w:lang w:bidi="ar"/>
        </w:rPr>
        <w:t xml:space="preserve"> فحسب</w:t>
      </w:r>
      <w:r w:rsidRPr="00961B0C">
        <w:rPr>
          <w:rFonts w:hint="cs"/>
          <w:rtl/>
          <w:lang w:bidi="ar"/>
        </w:rPr>
        <w:t xml:space="preserve">، </w:t>
      </w:r>
      <w:r>
        <w:rPr>
          <w:rFonts w:hint="cs"/>
          <w:rtl/>
          <w:lang w:bidi="ar"/>
        </w:rPr>
        <w:t>بل</w:t>
      </w:r>
      <w:r w:rsidRPr="00961B0C">
        <w:rPr>
          <w:rFonts w:hint="cs"/>
          <w:rtl/>
          <w:lang w:bidi="ar"/>
        </w:rPr>
        <w:t xml:space="preserve"> أيضا</w:t>
      </w:r>
      <w:r>
        <w:rPr>
          <w:rFonts w:hint="cs"/>
          <w:rtl/>
          <w:lang w:bidi="ar"/>
        </w:rPr>
        <w:t>ً</w:t>
      </w:r>
      <w:r w:rsidRPr="00961B0C">
        <w:rPr>
          <w:rFonts w:hint="cs"/>
          <w:rtl/>
          <w:lang w:bidi="ar"/>
        </w:rPr>
        <w:t xml:space="preserve"> على أساس </w:t>
      </w:r>
      <w:r w:rsidRPr="00F621AF">
        <w:rPr>
          <w:rFonts w:hint="cs"/>
          <w:rtl/>
          <w:lang w:bidi="ar"/>
        </w:rPr>
        <w:t>الحاجة إلى المعرفة</w:t>
      </w:r>
      <w:r w:rsidRPr="00961B0C">
        <w:rPr>
          <w:rFonts w:hint="cs"/>
          <w:rtl/>
          <w:lang w:bidi="ar"/>
        </w:rPr>
        <w:t>.</w:t>
      </w:r>
      <w:r w:rsidR="00F621AF">
        <w:rPr>
          <w:rFonts w:hint="cs"/>
          <w:rtl/>
          <w:lang w:val="en-GB"/>
        </w:rPr>
        <w:t xml:space="preserve"> </w:t>
      </w:r>
      <w:r>
        <w:rPr>
          <w:rFonts w:hint="cs"/>
          <w:rtl/>
          <w:lang w:val="en-GB"/>
        </w:rPr>
        <w:t xml:space="preserve">ويرد في </w:t>
      </w:r>
      <w:r w:rsidR="00693FFE">
        <w:rPr>
          <w:rFonts w:hint="cs"/>
          <w:rtl/>
          <w:lang w:val="en-GB"/>
        </w:rPr>
        <w:t>صميم</w:t>
      </w:r>
      <w:r>
        <w:rPr>
          <w:rFonts w:hint="cs"/>
          <w:rtl/>
          <w:lang w:val="en-GB"/>
        </w:rPr>
        <w:t xml:space="preserve"> هذه التوصية توصيف نعت مدرج في شهادة نعت </w:t>
      </w:r>
      <w:r w:rsidRPr="00961B0C">
        <w:rPr>
          <w:rFonts w:hint="cs"/>
          <w:rtl/>
          <w:lang w:bidi="ar"/>
        </w:rPr>
        <w:t xml:space="preserve">أو شهادة المفتاح </w:t>
      </w:r>
      <w:r w:rsidR="00DC0F40">
        <w:rPr>
          <w:rFonts w:hint="cs"/>
          <w:rtl/>
          <w:lang w:bidi="ar"/>
        </w:rPr>
        <w:t>العمومي</w:t>
      </w:r>
      <w:r w:rsidRPr="00961B0C">
        <w:rPr>
          <w:rFonts w:hint="cs"/>
          <w:rtl/>
          <w:lang w:bidi="ar"/>
        </w:rPr>
        <w:t xml:space="preserve"> التي </w:t>
      </w:r>
      <w:r>
        <w:rPr>
          <w:rFonts w:hint="cs"/>
          <w:rtl/>
          <w:lang w:bidi="ar"/>
        </w:rPr>
        <w:t>توصِّف</w:t>
      </w:r>
      <w:r w:rsidRPr="00961B0C">
        <w:rPr>
          <w:rFonts w:hint="cs"/>
          <w:rtl/>
          <w:lang w:bidi="ar"/>
        </w:rPr>
        <w:t xml:space="preserve"> </w:t>
      </w:r>
      <w:r>
        <w:rPr>
          <w:rFonts w:hint="cs"/>
          <w:rtl/>
          <w:lang w:bidi="ar"/>
        </w:rPr>
        <w:t>بالتفصيل</w:t>
      </w:r>
      <w:r w:rsidRPr="00961B0C">
        <w:rPr>
          <w:rFonts w:hint="cs"/>
          <w:rtl/>
          <w:lang w:bidi="ar"/>
        </w:rPr>
        <w:t xml:space="preserve"> ا</w:t>
      </w:r>
      <w:r>
        <w:rPr>
          <w:rFonts w:hint="cs"/>
          <w:rtl/>
          <w:lang w:bidi="ar"/>
        </w:rPr>
        <w:t>لا</w:t>
      </w:r>
      <w:r w:rsidRPr="00961B0C">
        <w:rPr>
          <w:rFonts w:hint="cs"/>
          <w:rtl/>
          <w:lang w:bidi="ar"/>
        </w:rPr>
        <w:t xml:space="preserve">متيازات </w:t>
      </w:r>
      <w:r>
        <w:rPr>
          <w:rFonts w:hint="cs"/>
          <w:rtl/>
          <w:lang w:bidi="ar"/>
        </w:rPr>
        <w:t>التي يملكها</w:t>
      </w:r>
      <w:r w:rsidRPr="00961B0C">
        <w:rPr>
          <w:rFonts w:hint="cs"/>
          <w:rtl/>
          <w:lang w:bidi="ar"/>
        </w:rPr>
        <w:t xml:space="preserve"> كيان معين</w:t>
      </w:r>
      <w:r w:rsidR="00693FFE">
        <w:rPr>
          <w:rFonts w:hint="cs"/>
          <w:rtl/>
          <w:lang w:bidi="ar"/>
        </w:rPr>
        <w:t xml:space="preserve"> من أجل</w:t>
      </w:r>
      <w:r w:rsidRPr="00961B0C">
        <w:rPr>
          <w:rFonts w:hint="cs"/>
          <w:rtl/>
          <w:lang w:bidi="ar"/>
        </w:rPr>
        <w:t xml:space="preserve"> واحد أو أكثر من </w:t>
      </w:r>
      <w:r>
        <w:rPr>
          <w:rFonts w:hint="cs"/>
          <w:rtl/>
          <w:lang w:bidi="ar"/>
        </w:rPr>
        <w:t>أنماط</w:t>
      </w:r>
      <w:r w:rsidRPr="00961B0C">
        <w:rPr>
          <w:rFonts w:hint="cs"/>
          <w:rtl/>
          <w:lang w:bidi="ar"/>
        </w:rPr>
        <w:t xml:space="preserve"> الخدمة.</w:t>
      </w:r>
      <w:r w:rsidR="00ED25B4">
        <w:rPr>
          <w:rFonts w:hint="cs"/>
          <w:rtl/>
          <w:lang w:bidi="ar"/>
        </w:rPr>
        <w:t xml:space="preserve"> </w:t>
      </w:r>
      <w:r>
        <w:rPr>
          <w:rFonts w:hint="cs"/>
          <w:rtl/>
          <w:lang w:bidi="ar"/>
        </w:rPr>
        <w:t>ويوفَّر</w:t>
      </w:r>
      <w:r w:rsidRPr="00961B0C">
        <w:rPr>
          <w:rFonts w:hint="cs"/>
          <w:rtl/>
          <w:lang w:bidi="ar"/>
        </w:rPr>
        <w:t xml:space="preserve"> الأمن باستخدام ملف تعريف</w:t>
      </w:r>
      <w:r>
        <w:rPr>
          <w:rFonts w:hint="cs"/>
          <w:rtl/>
          <w:lang w:bidi="ar"/>
        </w:rPr>
        <w:t xml:space="preserve"> قواعد تركيب الرسالة التجفيرية</w:t>
      </w:r>
      <w:r>
        <w:rPr>
          <w:rFonts w:hint="eastAsia"/>
          <w:rtl/>
          <w:lang w:bidi="ar"/>
        </w:rPr>
        <w:t> </w:t>
      </w:r>
      <w:r w:rsidRPr="00387E7D">
        <w:rPr>
          <w:lang w:val="en-GB"/>
        </w:rPr>
        <w:t>(CMS)</w:t>
      </w:r>
      <w:r>
        <w:rPr>
          <w:rFonts w:hint="cs"/>
          <w:rtl/>
          <w:lang w:val="en-GB"/>
        </w:rPr>
        <w:t xml:space="preserve">. </w:t>
      </w:r>
      <w:r w:rsidR="00CF1024">
        <w:rPr>
          <w:rFonts w:hint="cs"/>
          <w:rtl/>
          <w:lang w:bidi="ar"/>
        </w:rPr>
        <w:t>ويوفِّر</w:t>
      </w:r>
      <w:r w:rsidRPr="00961B0C">
        <w:rPr>
          <w:rFonts w:hint="cs"/>
          <w:rtl/>
          <w:lang w:bidi="ar"/>
        </w:rPr>
        <w:t xml:space="preserve"> ملف تعريف</w:t>
      </w:r>
      <w:r>
        <w:rPr>
          <w:rFonts w:hint="eastAsia"/>
          <w:rtl/>
          <w:lang w:bidi="ar"/>
        </w:rPr>
        <w:t> </w:t>
      </w:r>
      <w:r w:rsidRPr="00961B0C">
        <w:rPr>
          <w:rFonts w:hint="cs"/>
        </w:rPr>
        <w:t>CMS</w:t>
      </w:r>
      <w:r w:rsidRPr="00961B0C">
        <w:rPr>
          <w:rFonts w:hint="cs"/>
          <w:rtl/>
          <w:lang w:bidi="ar"/>
        </w:rPr>
        <w:t xml:space="preserve"> </w:t>
      </w:r>
      <w:r>
        <w:rPr>
          <w:rFonts w:hint="cs"/>
          <w:rtl/>
          <w:lang w:bidi="ar"/>
        </w:rPr>
        <w:t>الاستيقان</w:t>
      </w:r>
      <w:r w:rsidRPr="00961B0C">
        <w:rPr>
          <w:rFonts w:hint="cs"/>
          <w:rtl/>
          <w:lang w:bidi="ar"/>
        </w:rPr>
        <w:t xml:space="preserve"> و</w:t>
      </w:r>
      <w:r>
        <w:rPr>
          <w:rFonts w:hint="cs"/>
          <w:rtl/>
          <w:lang w:bidi="ar"/>
        </w:rPr>
        <w:t>ال</w:t>
      </w:r>
      <w:r w:rsidRPr="00961B0C">
        <w:rPr>
          <w:rFonts w:hint="cs"/>
          <w:rtl/>
          <w:lang w:bidi="ar"/>
        </w:rPr>
        <w:t xml:space="preserve">سلامة، </w:t>
      </w:r>
      <w:r w:rsidR="006F3AE1">
        <w:rPr>
          <w:rFonts w:hint="cs"/>
          <w:rtl/>
          <w:lang w:bidi="ar"/>
        </w:rPr>
        <w:t>كما</w:t>
      </w:r>
      <w:r w:rsidR="007B0E27">
        <w:rPr>
          <w:rFonts w:hint="eastAsia"/>
          <w:rtl/>
          <w:lang w:bidi="ar"/>
        </w:rPr>
        <w:t> </w:t>
      </w:r>
      <w:r w:rsidR="00B15320">
        <w:rPr>
          <w:rFonts w:hint="cs"/>
          <w:rtl/>
          <w:lang w:bidi="ar"/>
        </w:rPr>
        <w:t>يوفِّر</w:t>
      </w:r>
      <w:r w:rsidR="006F3AE1">
        <w:rPr>
          <w:rFonts w:hint="cs"/>
          <w:rtl/>
          <w:lang w:bidi="ar"/>
        </w:rPr>
        <w:t xml:space="preserve"> السرية</w:t>
      </w:r>
      <w:r>
        <w:rPr>
          <w:rFonts w:hint="eastAsia"/>
          <w:rtl/>
          <w:lang w:bidi="ar"/>
        </w:rPr>
        <w:t> </w:t>
      </w:r>
      <w:r>
        <w:rPr>
          <w:rFonts w:hint="cs"/>
          <w:rtl/>
          <w:lang w:bidi="ar"/>
        </w:rPr>
        <w:t>(التج</w:t>
      </w:r>
      <w:r w:rsidRPr="00961B0C">
        <w:rPr>
          <w:rFonts w:hint="cs"/>
          <w:rtl/>
          <w:lang w:bidi="ar"/>
        </w:rPr>
        <w:t>فير)</w:t>
      </w:r>
      <w:r w:rsidR="006F3AE1">
        <w:rPr>
          <w:rFonts w:hint="cs"/>
          <w:rtl/>
          <w:lang w:bidi="ar"/>
        </w:rPr>
        <w:t xml:space="preserve"> عند الاقتضاء</w:t>
      </w:r>
      <w:r w:rsidRPr="00961B0C">
        <w:rPr>
          <w:rFonts w:hint="cs"/>
          <w:rtl/>
          <w:lang w:bidi="ar"/>
        </w:rPr>
        <w:t>.</w:t>
      </w:r>
      <w:r w:rsidR="00D829C8" w:rsidRPr="00961B0C">
        <w:rPr>
          <w:rFonts w:hint="cs"/>
          <w:rtl/>
          <w:lang w:bidi="ar"/>
        </w:rPr>
        <w:t xml:space="preserve"> </w:t>
      </w:r>
      <w:r w:rsidRPr="00961B0C">
        <w:rPr>
          <w:rFonts w:hint="cs"/>
          <w:rtl/>
          <w:lang w:bidi="ar"/>
        </w:rPr>
        <w:t xml:space="preserve">ويهدف ملف </w:t>
      </w:r>
      <w:r>
        <w:rPr>
          <w:rFonts w:hint="cs"/>
          <w:rtl/>
          <w:lang w:bidi="ar"/>
        </w:rPr>
        <w:t>ال</w:t>
      </w:r>
      <w:r w:rsidRPr="00961B0C">
        <w:rPr>
          <w:rFonts w:hint="cs"/>
          <w:rtl/>
          <w:lang w:bidi="ar"/>
        </w:rPr>
        <w:t>تعريف</w:t>
      </w:r>
      <w:r w:rsidRPr="00895637">
        <w:rPr>
          <w:rFonts w:hint="cs"/>
          <w:rtl/>
          <w:lang w:bidi="ar"/>
        </w:rPr>
        <w:t xml:space="preserve"> </w:t>
      </w:r>
      <w:r w:rsidRPr="00961B0C">
        <w:rPr>
          <w:rFonts w:hint="cs"/>
          <w:rtl/>
          <w:lang w:bidi="ar"/>
        </w:rPr>
        <w:t>هذا</w:t>
      </w:r>
      <w:r>
        <w:rPr>
          <w:rFonts w:hint="cs"/>
          <w:rtl/>
          <w:lang w:bidi="ar"/>
        </w:rPr>
        <w:t xml:space="preserve"> إلى</w:t>
      </w:r>
      <w:r w:rsidRPr="00961B0C">
        <w:rPr>
          <w:rFonts w:hint="cs"/>
          <w:rtl/>
          <w:lang w:bidi="ar"/>
        </w:rPr>
        <w:t xml:space="preserve"> </w:t>
      </w:r>
      <w:r>
        <w:rPr>
          <w:rFonts w:hint="cs"/>
          <w:rtl/>
          <w:lang w:bidi="ar"/>
        </w:rPr>
        <w:t>تقديم</w:t>
      </w:r>
      <w:r w:rsidRPr="00961B0C">
        <w:rPr>
          <w:rFonts w:hint="cs"/>
          <w:rtl/>
          <w:lang w:bidi="ar"/>
        </w:rPr>
        <w:t xml:space="preserve"> الدعم الأمني </w:t>
      </w:r>
      <w:r w:rsidRPr="00961B0C">
        <w:rPr>
          <w:rFonts w:ascii="Traditional Arabic" w:hAnsi="Traditional Arabic" w:hint="cs"/>
          <w:rtl/>
          <w:lang w:bidi="ar"/>
        </w:rPr>
        <w:t>لمواصفات</w:t>
      </w:r>
      <w:r w:rsidRPr="00961B0C">
        <w:rPr>
          <w:rFonts w:hint="cs"/>
          <w:rtl/>
          <w:lang w:bidi="ar"/>
        </w:rPr>
        <w:t xml:space="preserve"> </w:t>
      </w:r>
      <w:r>
        <w:rPr>
          <w:rFonts w:hint="cs"/>
          <w:rtl/>
        </w:rPr>
        <w:t xml:space="preserve">بيانات القياس الحيوي عن بُعد </w:t>
      </w:r>
      <w:r w:rsidRPr="00961B0C">
        <w:rPr>
          <w:rFonts w:hint="cs"/>
          <w:rtl/>
          <w:lang w:bidi="ar"/>
        </w:rPr>
        <w:t>بشكل عام.</w:t>
      </w:r>
      <w:r>
        <w:rPr>
          <w:rFonts w:hint="cs"/>
          <w:rtl/>
          <w:lang w:bidi="ar"/>
        </w:rPr>
        <w:t xml:space="preserve"> و</w:t>
      </w:r>
      <w:r w:rsidRPr="00961B0C">
        <w:rPr>
          <w:rFonts w:hint="cs"/>
          <w:rtl/>
          <w:lang w:bidi="ar"/>
        </w:rPr>
        <w:t>يفترض</w:t>
      </w:r>
      <w:r w:rsidRPr="00895637">
        <w:rPr>
          <w:rFonts w:hint="cs"/>
          <w:rtl/>
          <w:lang w:bidi="ar"/>
        </w:rPr>
        <w:t xml:space="preserve"> </w:t>
      </w:r>
      <w:r w:rsidRPr="00961B0C">
        <w:rPr>
          <w:rFonts w:hint="cs"/>
          <w:rtl/>
          <w:lang w:bidi="ar"/>
        </w:rPr>
        <w:t xml:space="preserve">ملف </w:t>
      </w:r>
      <w:r>
        <w:rPr>
          <w:rFonts w:hint="cs"/>
          <w:rtl/>
          <w:lang w:bidi="ar"/>
        </w:rPr>
        <w:t>ال</w:t>
      </w:r>
      <w:r w:rsidRPr="00961B0C">
        <w:rPr>
          <w:rFonts w:hint="cs"/>
          <w:rtl/>
          <w:lang w:bidi="ar"/>
        </w:rPr>
        <w:t>تعريف</w:t>
      </w:r>
      <w:r w:rsidRPr="00895637">
        <w:rPr>
          <w:rFonts w:hint="cs"/>
          <w:rtl/>
          <w:lang w:bidi="ar"/>
        </w:rPr>
        <w:t xml:space="preserve"> </w:t>
      </w:r>
      <w:r w:rsidR="007B0E27">
        <w:rPr>
          <w:rFonts w:hint="cs"/>
          <w:rtl/>
          <w:lang w:bidi="ar"/>
        </w:rPr>
        <w:t>الاستخدام</w:t>
      </w:r>
      <w:r w:rsidRPr="00961B0C">
        <w:rPr>
          <w:rFonts w:hint="cs"/>
          <w:rtl/>
          <w:lang w:bidi="ar"/>
        </w:rPr>
        <w:t xml:space="preserve"> الصحيح </w:t>
      </w:r>
      <w:r>
        <w:rPr>
          <w:rFonts w:hint="cs"/>
          <w:rtl/>
          <w:lang w:bidi="ar"/>
        </w:rPr>
        <w:t>لل</w:t>
      </w:r>
      <w:r w:rsidRPr="00961B0C">
        <w:rPr>
          <w:rFonts w:hint="cs"/>
          <w:rtl/>
          <w:lang w:bidi="ar"/>
        </w:rPr>
        <w:t xml:space="preserve">بنية </w:t>
      </w:r>
      <w:r>
        <w:rPr>
          <w:rFonts w:hint="cs"/>
          <w:rtl/>
          <w:lang w:bidi="ar"/>
        </w:rPr>
        <w:t>ال</w:t>
      </w:r>
      <w:r w:rsidRPr="00961B0C">
        <w:rPr>
          <w:rFonts w:hint="cs"/>
          <w:rtl/>
          <w:lang w:bidi="ar"/>
        </w:rPr>
        <w:t>تحتية</w:t>
      </w:r>
      <w:r>
        <w:rPr>
          <w:rFonts w:hint="cs"/>
          <w:rtl/>
          <w:lang w:bidi="ar"/>
        </w:rPr>
        <w:t xml:space="preserve"> للمفتاح العمومي</w:t>
      </w:r>
      <w:r>
        <w:rPr>
          <w:rFonts w:hint="eastAsia"/>
          <w:rtl/>
          <w:lang w:bidi="ar"/>
        </w:rPr>
        <w:t> </w:t>
      </w:r>
      <w:r>
        <w:rPr>
          <w:lang w:bidi="ar"/>
        </w:rPr>
        <w:t>(PKI</w:t>
      </w:r>
      <w:r>
        <w:rPr>
          <w:lang w:bidi="ar-EG"/>
        </w:rPr>
        <w:t>)</w:t>
      </w:r>
      <w:r>
        <w:rPr>
          <w:rFonts w:hint="cs"/>
          <w:rtl/>
          <w:lang w:bidi="ar"/>
        </w:rPr>
        <w:t>،</w:t>
      </w:r>
      <w:r w:rsidRPr="00895637">
        <w:rPr>
          <w:rFonts w:hint="cs"/>
          <w:rtl/>
          <w:lang w:bidi="ar"/>
        </w:rPr>
        <w:t xml:space="preserve"> </w:t>
      </w:r>
      <w:r w:rsidRPr="00961B0C">
        <w:rPr>
          <w:rFonts w:hint="cs"/>
          <w:rtl/>
          <w:lang w:bidi="ar"/>
        </w:rPr>
        <w:t>ويعتمد على</w:t>
      </w:r>
      <w:r w:rsidR="0077223F">
        <w:rPr>
          <w:rFonts w:hint="cs"/>
          <w:rtl/>
          <w:lang w:bidi="ar"/>
        </w:rPr>
        <w:t xml:space="preserve"> ذلك. </w:t>
      </w:r>
      <w:r>
        <w:rPr>
          <w:rFonts w:hint="cs"/>
          <w:rtl/>
          <w:lang w:bidi="ar"/>
        </w:rPr>
        <w:t>و</w:t>
      </w:r>
      <w:r w:rsidRPr="00961B0C">
        <w:rPr>
          <w:rFonts w:hint="cs"/>
          <w:rtl/>
          <w:lang w:bidi="ar"/>
        </w:rPr>
        <w:t>تعتمد</w:t>
      </w:r>
      <w:r w:rsidRPr="00895637">
        <w:rPr>
          <w:rFonts w:hint="cs"/>
          <w:rtl/>
          <w:lang w:bidi="ar"/>
        </w:rPr>
        <w:t xml:space="preserve"> </w:t>
      </w:r>
      <w:r w:rsidRPr="00961B0C">
        <w:rPr>
          <w:rFonts w:hint="cs"/>
          <w:rtl/>
          <w:lang w:bidi="ar"/>
        </w:rPr>
        <w:t xml:space="preserve">التوصية </w:t>
      </w:r>
      <w:r w:rsidRPr="00961B0C">
        <w:rPr>
          <w:rFonts w:hint="cs"/>
        </w:rPr>
        <w:t>ITU-T</w:t>
      </w:r>
      <w:r w:rsidR="000C2546">
        <w:rPr>
          <w:rFonts w:hint="eastAsia"/>
        </w:rPr>
        <w:t> </w:t>
      </w:r>
      <w:r w:rsidRPr="00961B0C">
        <w:rPr>
          <w:rFonts w:hint="cs"/>
        </w:rPr>
        <w:t>X.1080.0</w:t>
      </w:r>
      <w:r w:rsidRPr="00961B0C">
        <w:rPr>
          <w:rFonts w:hint="cs"/>
          <w:rtl/>
          <w:lang w:bidi="ar"/>
        </w:rPr>
        <w:t xml:space="preserve"> أيضا</w:t>
      </w:r>
      <w:r>
        <w:rPr>
          <w:rFonts w:hint="cs"/>
          <w:rtl/>
          <w:lang w:bidi="ar"/>
        </w:rPr>
        <w:t>ً</w:t>
      </w:r>
      <w:r w:rsidRPr="00961B0C">
        <w:rPr>
          <w:rFonts w:hint="cs"/>
          <w:rtl/>
          <w:lang w:bidi="ar"/>
        </w:rPr>
        <w:t xml:space="preserve"> على </w:t>
      </w:r>
      <w:r w:rsidR="005F0235">
        <w:rPr>
          <w:rFonts w:hint="cs"/>
          <w:rtl/>
          <w:lang w:bidi="ar"/>
        </w:rPr>
        <w:t>استخدام</w:t>
      </w:r>
      <w:r w:rsidRPr="00961B0C">
        <w:rPr>
          <w:rFonts w:hint="cs"/>
          <w:rtl/>
          <w:lang w:bidi="ar"/>
        </w:rPr>
        <w:t xml:space="preserve"> البنية التحتية لإدارة الامتياز</w:t>
      </w:r>
      <w:r w:rsidR="005F0235">
        <w:rPr>
          <w:rFonts w:hint="cs"/>
          <w:rtl/>
          <w:lang w:bidi="ar"/>
        </w:rPr>
        <w:t>ات</w:t>
      </w:r>
      <w:r>
        <w:rPr>
          <w:rFonts w:hint="eastAsia"/>
          <w:rtl/>
          <w:lang w:bidi="ar"/>
        </w:rPr>
        <w:t> </w:t>
      </w:r>
      <w:r>
        <w:rPr>
          <w:lang w:bidi="ar"/>
        </w:rPr>
        <w:t>(PMI)</w:t>
      </w:r>
      <w:r>
        <w:rPr>
          <w:rFonts w:hint="cs"/>
          <w:rtl/>
          <w:lang w:bidi="ar"/>
        </w:rPr>
        <w:t>.</w:t>
      </w:r>
    </w:p>
    <w:p w:rsidR="00B157CD" w:rsidRDefault="0070277B" w:rsidP="00BC2B52">
      <w:pPr>
        <w:pStyle w:val="Heading1"/>
        <w:widowControl w:val="0"/>
        <w:rPr>
          <w:rtl/>
          <w:lang w:val="fr-CH"/>
        </w:rPr>
      </w:pPr>
      <w:r>
        <w:t>3</w:t>
      </w:r>
      <w:r>
        <w:tab/>
      </w:r>
      <w:r w:rsidR="00FF23E0" w:rsidRPr="00FF23E0">
        <w:rPr>
          <w:rFonts w:hint="cs"/>
          <w:rtl/>
        </w:rPr>
        <w:t xml:space="preserve">مشروع التوصية </w:t>
      </w:r>
      <w:r w:rsidR="008A4F63">
        <w:rPr>
          <w:lang w:val="fr-CH"/>
        </w:rPr>
        <w:t>ITU-T</w:t>
      </w:r>
      <w:r w:rsidR="00BC2B52">
        <w:rPr>
          <w:lang w:val="fr-CH"/>
        </w:rPr>
        <w:t> </w:t>
      </w:r>
      <w:r w:rsidR="008A4F63">
        <w:rPr>
          <w:lang w:val="fr-CH"/>
        </w:rPr>
        <w:t>X.1126</w:t>
      </w:r>
      <w:r w:rsidR="00FD5DD7">
        <w:rPr>
          <w:rFonts w:hint="cs"/>
          <w:rtl/>
          <w:lang w:val="fr-CH"/>
        </w:rPr>
        <w:t xml:space="preserve"> (</w:t>
      </w:r>
      <w:r w:rsidR="00FD5DD7">
        <w:t>X.msec-11</w:t>
      </w:r>
      <w:r w:rsidR="00FD5DD7">
        <w:rPr>
          <w:rFonts w:hint="cs"/>
          <w:rtl/>
          <w:lang w:bidi="ar-EG"/>
        </w:rPr>
        <w:t>، سابقاً)</w:t>
      </w:r>
      <w:r w:rsidR="00A54BBC">
        <w:rPr>
          <w:rFonts w:hint="cs"/>
          <w:rtl/>
          <w:lang w:val="fr-CH"/>
        </w:rPr>
        <w:t xml:space="preserve"> </w:t>
      </w:r>
      <w:r w:rsidR="00A54BBC" w:rsidRPr="00765398">
        <w:rPr>
          <w:lang w:val="fr-CH"/>
        </w:rPr>
        <w:t>(</w:t>
      </w:r>
      <w:hyperlink r:id="rId16" w:history="1">
        <w:r w:rsidR="00A54BBC" w:rsidRPr="00765398">
          <w:rPr>
            <w:rStyle w:val="Hyperlink"/>
            <w:lang w:val="fr-CH"/>
          </w:rPr>
          <w:t>R 76</w:t>
        </w:r>
      </w:hyperlink>
      <w:r w:rsidR="00A54BBC" w:rsidRPr="00765398">
        <w:rPr>
          <w:lang w:val="fr-CH"/>
        </w:rPr>
        <w:t>)</w:t>
      </w:r>
    </w:p>
    <w:p w:rsidR="008A4F63" w:rsidRPr="00755E99" w:rsidRDefault="008A4F63" w:rsidP="006B79CC">
      <w:pPr>
        <w:keepNext/>
        <w:keepLines/>
        <w:rPr>
          <w:b/>
          <w:bCs/>
          <w:rtl/>
          <w:lang w:val="fr-CH"/>
        </w:rPr>
      </w:pPr>
      <w:r w:rsidRPr="00755E99">
        <w:rPr>
          <w:b/>
          <w:bCs/>
          <w:rtl/>
          <w:lang w:val="fr-CH"/>
        </w:rPr>
        <w:t>مبادئ توجيهية للتخفيف من الآثار السلبية للمطاريف المتضررة</w:t>
      </w:r>
      <w:r w:rsidRPr="00755E99">
        <w:rPr>
          <w:rFonts w:hint="cs"/>
          <w:b/>
          <w:bCs/>
          <w:rtl/>
          <w:lang w:val="fr-CH"/>
        </w:rPr>
        <w:t xml:space="preserve"> </w:t>
      </w:r>
      <w:r w:rsidRPr="00755E99">
        <w:rPr>
          <w:b/>
          <w:bCs/>
          <w:rtl/>
          <w:lang w:val="fr-CH"/>
        </w:rPr>
        <w:t>في الشبكات المتنقلة</w:t>
      </w:r>
    </w:p>
    <w:p w:rsidR="00FF23E0" w:rsidRPr="00FF23E0" w:rsidRDefault="00FF23E0" w:rsidP="00B157CD">
      <w:pPr>
        <w:pStyle w:val="Headingb"/>
        <w:rPr>
          <w:rtl/>
          <w:lang w:bidi="ar-EG"/>
        </w:rPr>
      </w:pPr>
      <w:r w:rsidRPr="00FF23E0">
        <w:rPr>
          <w:rFonts w:hint="cs"/>
          <w:rtl/>
        </w:rPr>
        <w:t>ملخص</w:t>
      </w:r>
    </w:p>
    <w:p w:rsidR="00521E65" w:rsidRDefault="008A4F63" w:rsidP="00BC2B52">
      <w:pPr>
        <w:rPr>
          <w:rtl/>
          <w:lang w:bidi="ar-EG"/>
        </w:rPr>
      </w:pPr>
      <w:r w:rsidRPr="008A4F63">
        <w:rPr>
          <w:rFonts w:hint="cs"/>
          <w:rtl/>
          <w:lang w:bidi="ar-SY"/>
        </w:rPr>
        <w:t xml:space="preserve">توفر التوصية </w:t>
      </w:r>
      <w:r w:rsidRPr="008A4F63">
        <w:rPr>
          <w:lang w:val="en-GB" w:bidi="ar-EG"/>
        </w:rPr>
        <w:t>ITU-T</w:t>
      </w:r>
      <w:r w:rsidR="00BC2B52">
        <w:rPr>
          <w:lang w:val="en-GB" w:bidi="ar-EG"/>
        </w:rPr>
        <w:t> </w:t>
      </w:r>
      <w:r w:rsidRPr="008A4F63">
        <w:rPr>
          <w:lang w:val="en-GB" w:bidi="ar-EG"/>
        </w:rPr>
        <w:t>X.1126</w:t>
      </w:r>
      <w:r w:rsidRPr="008A4F63">
        <w:rPr>
          <w:rFonts w:hint="cs"/>
          <w:rtl/>
          <w:lang w:bidi="ar-SY"/>
        </w:rPr>
        <w:t xml:space="preserve"> مبادئ توجيهية لمشغلي الاتصالات المتنقلة من أجل كبح المطاريف المتضررة باستخدام تكنولوجيات في</w:t>
      </w:r>
      <w:r w:rsidRPr="008A4F63">
        <w:rPr>
          <w:rFonts w:hint="eastAsia"/>
          <w:rtl/>
          <w:lang w:bidi="ar-SY"/>
        </w:rPr>
        <w:t> </w:t>
      </w:r>
      <w:r w:rsidRPr="008A4F63">
        <w:rPr>
          <w:rFonts w:hint="cs"/>
          <w:rtl/>
          <w:lang w:bidi="ar-SY"/>
        </w:rPr>
        <w:t xml:space="preserve">شبكة الاتصالات المتنقلة لحماية المشتركين ومشغلي الاتصالات المتنقلة على حد سواء. وتصف هذه التوصية خصائص </w:t>
      </w:r>
      <w:r w:rsidR="00D36843">
        <w:rPr>
          <w:rFonts w:hint="cs"/>
          <w:rtl/>
          <w:lang w:bidi="ar-SY"/>
        </w:rPr>
        <w:t>وتأثيرات</w:t>
      </w:r>
      <w:r w:rsidRPr="008A4F63">
        <w:rPr>
          <w:rFonts w:hint="cs"/>
          <w:rtl/>
          <w:lang w:bidi="ar-SY"/>
        </w:rPr>
        <w:t xml:space="preserve"> البرمجيات الضارة الناجمة عن الأنظمة الإيكولوجية غير الصحية في بيئة الاتصالات المتنقلة. واستناداً إلى تكنولوجيات الجانب الشبكي، فإن هذه التوصية تركز على التخفيف من </w:t>
      </w:r>
      <w:r w:rsidR="00D36843">
        <w:rPr>
          <w:rFonts w:hint="cs"/>
          <w:rtl/>
          <w:lang w:bidi="ar-SY"/>
        </w:rPr>
        <w:t>التأثيرات</w:t>
      </w:r>
      <w:r w:rsidRPr="008A4F63">
        <w:rPr>
          <w:rFonts w:hint="cs"/>
          <w:rtl/>
          <w:lang w:bidi="ar-SY"/>
        </w:rPr>
        <w:t xml:space="preserve"> المؤذية الناجمة عن المطاريف المتضررة. وتحدد التوصية وتنظم تدابير التخفيف والتكنولوجيات المناظرة.</w:t>
      </w:r>
    </w:p>
    <w:p w:rsidR="008C197D" w:rsidRDefault="008A4F63" w:rsidP="005F5387">
      <w:pPr>
        <w:pStyle w:val="Heading1"/>
        <w:rPr>
          <w:lang w:val="fr-CH"/>
        </w:rPr>
      </w:pPr>
      <w:r>
        <w:t>4</w:t>
      </w:r>
      <w:r>
        <w:tab/>
      </w:r>
      <w:r w:rsidR="008C197D" w:rsidRPr="00FF23E0">
        <w:rPr>
          <w:rFonts w:hint="cs"/>
          <w:rtl/>
        </w:rPr>
        <w:t xml:space="preserve">مشروع </w:t>
      </w:r>
      <w:r w:rsidR="008C197D">
        <w:rPr>
          <w:rFonts w:hint="cs"/>
          <w:rtl/>
        </w:rPr>
        <w:t>التوصية</w:t>
      </w:r>
      <w:r w:rsidR="008C197D" w:rsidRPr="00FF23E0">
        <w:rPr>
          <w:rFonts w:hint="cs"/>
          <w:rtl/>
        </w:rPr>
        <w:t xml:space="preserve"> </w:t>
      </w:r>
      <w:r w:rsidRPr="008A4F63">
        <w:rPr>
          <w:lang w:val="fr-CH"/>
        </w:rPr>
        <w:t>ITU-T</w:t>
      </w:r>
      <w:r w:rsidR="005F5387">
        <w:rPr>
          <w:lang w:val="fr-CH"/>
        </w:rPr>
        <w:t> </w:t>
      </w:r>
      <w:r w:rsidRPr="008A4F63">
        <w:rPr>
          <w:lang w:val="fr-CH"/>
        </w:rPr>
        <w:t>X.1212</w:t>
      </w:r>
      <w:r w:rsidR="00FD5DD7">
        <w:rPr>
          <w:rFonts w:hint="cs"/>
          <w:rtl/>
          <w:lang w:val="fr-CH"/>
        </w:rPr>
        <w:t xml:space="preserve"> (</w:t>
      </w:r>
      <w:proofErr w:type="spellStart"/>
      <w:r w:rsidR="00FD5DD7">
        <w:t>X.cogent</w:t>
      </w:r>
      <w:proofErr w:type="spellEnd"/>
      <w:r w:rsidR="00FD5DD7">
        <w:rPr>
          <w:rFonts w:hint="cs"/>
          <w:rtl/>
          <w:lang w:bidi="ar-EG"/>
        </w:rPr>
        <w:t>، سابقاً)</w:t>
      </w:r>
      <w:r w:rsidR="00A57B5B">
        <w:rPr>
          <w:rFonts w:hint="cs"/>
          <w:rtl/>
          <w:lang w:val="fr-CH"/>
        </w:rPr>
        <w:t xml:space="preserve"> </w:t>
      </w:r>
      <w:r w:rsidR="00A57B5B" w:rsidRPr="00765398">
        <w:rPr>
          <w:lang w:val="fr-CH"/>
        </w:rPr>
        <w:t>(</w:t>
      </w:r>
      <w:hyperlink r:id="rId17" w:history="1">
        <w:r w:rsidR="00A57B5B" w:rsidRPr="00765398">
          <w:rPr>
            <w:rStyle w:val="Hyperlink"/>
            <w:lang w:val="fr-CH"/>
          </w:rPr>
          <w:t>R 71</w:t>
        </w:r>
      </w:hyperlink>
      <w:r w:rsidR="00A57B5B" w:rsidRPr="00765398">
        <w:rPr>
          <w:lang w:val="fr-CH"/>
        </w:rPr>
        <w:t>)</w:t>
      </w:r>
    </w:p>
    <w:p w:rsidR="008A4F63" w:rsidRPr="00755E99" w:rsidRDefault="008A4F63" w:rsidP="008A4F63">
      <w:pPr>
        <w:rPr>
          <w:b/>
          <w:bCs/>
          <w:rtl/>
        </w:rPr>
      </w:pPr>
      <w:r w:rsidRPr="00755E99">
        <w:rPr>
          <w:b/>
          <w:bCs/>
          <w:rtl/>
          <w:lang w:val="fr-CH"/>
        </w:rPr>
        <w:t>اعتبارات التصميم لتحسين تصوُّر المستعملين النهائيين لمؤشرات استحقاق الثقة</w:t>
      </w:r>
    </w:p>
    <w:p w:rsidR="008C197D" w:rsidRPr="00FF23E0" w:rsidRDefault="008C197D" w:rsidP="008C197D">
      <w:pPr>
        <w:pStyle w:val="Headingb"/>
        <w:rPr>
          <w:rtl/>
          <w:lang w:bidi="ar-EG"/>
        </w:rPr>
      </w:pPr>
      <w:r w:rsidRPr="00FF23E0">
        <w:rPr>
          <w:rFonts w:hint="cs"/>
          <w:rtl/>
        </w:rPr>
        <w:t>ملخص</w:t>
      </w:r>
    </w:p>
    <w:p w:rsidR="008C197D" w:rsidRPr="00265A6D" w:rsidRDefault="008A4F63" w:rsidP="005F5387">
      <w:pPr>
        <w:rPr>
          <w:rtl/>
          <w:lang w:bidi="ar-EG"/>
        </w:rPr>
      </w:pPr>
      <w:r w:rsidRPr="008A4F63">
        <w:rPr>
          <w:rFonts w:hint="cs"/>
          <w:rtl/>
          <w:lang w:bidi="ar-JO"/>
        </w:rPr>
        <w:t>تُستخدم في شتى أنواع الهجمات نسخ لمحتوى متأتٍ من موفِّري خدمات يستحقون الثقة، ما يخدع المستعملين النهائيين بجعلهم يعتقدون أنه يستحق الثقة على الرغم من</w:t>
      </w:r>
      <w:r w:rsidRPr="008A4F63">
        <w:rPr>
          <w:rFonts w:hint="cs"/>
          <w:rtl/>
          <w:lang w:bidi="ar-EG"/>
        </w:rPr>
        <w:t xml:space="preserve"> أنه لا</w:t>
      </w:r>
      <w:r w:rsidR="00B62E6C">
        <w:rPr>
          <w:rFonts w:hint="eastAsia"/>
          <w:rtl/>
          <w:lang w:bidi="ar-EG"/>
        </w:rPr>
        <w:t> </w:t>
      </w:r>
      <w:r w:rsidRPr="008A4F63">
        <w:rPr>
          <w:rFonts w:hint="cs"/>
          <w:rtl/>
          <w:lang w:bidi="ar-EG"/>
        </w:rPr>
        <w:t>يستحقها</w:t>
      </w:r>
      <w:r w:rsidRPr="008A4F63">
        <w:rPr>
          <w:rFonts w:hint="cs"/>
          <w:rtl/>
          <w:lang w:bidi="ar-JO"/>
        </w:rPr>
        <w:t>.</w:t>
      </w:r>
      <w:r w:rsidR="005F5387" w:rsidRPr="008A4F63">
        <w:rPr>
          <w:rFonts w:hint="cs"/>
          <w:rtl/>
        </w:rPr>
        <w:t xml:space="preserve"> </w:t>
      </w:r>
      <w:r w:rsidRPr="008A4F63">
        <w:rPr>
          <w:rFonts w:hint="cs"/>
          <w:rtl/>
        </w:rPr>
        <w:t xml:space="preserve">وتبيِّن التوصية </w:t>
      </w:r>
      <w:r w:rsidRPr="008A4F63">
        <w:rPr>
          <w:lang w:val="en-GB" w:bidi="ar-EG"/>
        </w:rPr>
        <w:t>ITU-T X.1212</w:t>
      </w:r>
      <w:r w:rsidRPr="008A4F63">
        <w:rPr>
          <w:rFonts w:hint="cs"/>
          <w:rtl/>
          <w:lang w:bidi="ar-EG"/>
        </w:rPr>
        <w:t xml:space="preserve"> </w:t>
      </w:r>
      <w:r w:rsidRPr="008A4F63">
        <w:rPr>
          <w:rtl/>
        </w:rPr>
        <w:t>اعتبارات التصميم لتحسين تصوُّر المستعملين النهائيين لمؤشرات استحقاق الثقة</w:t>
      </w:r>
      <w:r w:rsidR="003A67FF">
        <w:rPr>
          <w:rFonts w:hint="cs"/>
          <w:rtl/>
          <w:lang w:bidi="ar-SY"/>
        </w:rPr>
        <w:t>. وتُعرض في</w:t>
      </w:r>
      <w:r w:rsidR="003A67FF">
        <w:rPr>
          <w:rFonts w:hint="eastAsia"/>
          <w:rtl/>
          <w:lang w:bidi="ar-SY"/>
        </w:rPr>
        <w:t> </w:t>
      </w:r>
      <w:r w:rsidRPr="008A4F63">
        <w:rPr>
          <w:rFonts w:hint="cs"/>
          <w:rtl/>
          <w:lang w:bidi="ar-SY"/>
        </w:rPr>
        <w:t>التذييلين التقنيات الرئيس</w:t>
      </w:r>
      <w:r w:rsidRPr="008A4F63">
        <w:rPr>
          <w:rFonts w:hint="cs"/>
          <w:rtl/>
          <w:lang w:bidi="ar-EG"/>
        </w:rPr>
        <w:t>ي</w:t>
      </w:r>
      <w:r w:rsidRPr="008A4F63">
        <w:rPr>
          <w:rFonts w:hint="cs"/>
          <w:rtl/>
          <w:lang w:bidi="ar-SY"/>
        </w:rPr>
        <w:t xml:space="preserve">ة المستخدَمة لقياس </w:t>
      </w:r>
      <w:r w:rsidRPr="008A4F63">
        <w:rPr>
          <w:rtl/>
        </w:rPr>
        <w:t xml:space="preserve">تصوُّر </w:t>
      </w:r>
      <w:r w:rsidR="005F5387">
        <w:rPr>
          <w:rFonts w:hint="cs"/>
          <w:rtl/>
          <w:lang w:bidi="ar-SY"/>
        </w:rPr>
        <w:t>المستعملين النهائيين لهذه</w:t>
      </w:r>
      <w:r w:rsidR="005F5387">
        <w:rPr>
          <w:rFonts w:hint="eastAsia"/>
          <w:rtl/>
          <w:lang w:bidi="ar-SY"/>
        </w:rPr>
        <w:t> </w:t>
      </w:r>
      <w:r w:rsidRPr="008A4F63">
        <w:rPr>
          <w:rFonts w:hint="cs"/>
          <w:rtl/>
          <w:lang w:bidi="ar-SY"/>
        </w:rPr>
        <w:t>المؤشرات.</w:t>
      </w:r>
    </w:p>
    <w:p w:rsidR="008C197D" w:rsidRDefault="00EE4F47" w:rsidP="0038328D">
      <w:pPr>
        <w:pStyle w:val="Heading1"/>
        <w:rPr>
          <w:lang w:val="fr-CH"/>
        </w:rPr>
      </w:pPr>
      <w:r>
        <w:t>5</w:t>
      </w:r>
      <w:r>
        <w:tab/>
      </w:r>
      <w:r>
        <w:rPr>
          <w:rFonts w:hint="cs"/>
          <w:rtl/>
        </w:rPr>
        <w:t xml:space="preserve">مشروع التوصية </w:t>
      </w:r>
      <w:r w:rsidRPr="00EE4F47">
        <w:rPr>
          <w:lang w:val="fr-CH"/>
        </w:rPr>
        <w:t>ITU-T</w:t>
      </w:r>
      <w:r w:rsidR="0038328D">
        <w:rPr>
          <w:lang w:val="fr-CH"/>
        </w:rPr>
        <w:t> </w:t>
      </w:r>
      <w:r w:rsidRPr="00EE4F47">
        <w:rPr>
          <w:lang w:val="fr-CH"/>
        </w:rPr>
        <w:t>X.1362</w:t>
      </w:r>
      <w:r w:rsidR="0088728B">
        <w:rPr>
          <w:rFonts w:hint="cs"/>
          <w:rtl/>
          <w:lang w:val="fr-CH"/>
        </w:rPr>
        <w:t xml:space="preserve"> </w:t>
      </w:r>
      <w:r w:rsidR="00FD5DD7">
        <w:rPr>
          <w:rFonts w:hint="cs"/>
          <w:rtl/>
          <w:lang w:val="fr-CH"/>
        </w:rPr>
        <w:t>(</w:t>
      </w:r>
      <w:r w:rsidR="00FD5DD7">
        <w:t>X.iotsec-1</w:t>
      </w:r>
      <w:r w:rsidR="00FD5DD7">
        <w:rPr>
          <w:rFonts w:hint="cs"/>
          <w:rtl/>
          <w:lang w:bidi="ar-EG"/>
        </w:rPr>
        <w:t xml:space="preserve">، سابقاً) </w:t>
      </w:r>
      <w:r w:rsidR="0088728B" w:rsidRPr="00765398">
        <w:rPr>
          <w:lang w:val="fr-CH"/>
        </w:rPr>
        <w:t>(</w:t>
      </w:r>
      <w:hyperlink r:id="rId18" w:history="1">
        <w:r w:rsidR="0088728B" w:rsidRPr="00765398">
          <w:rPr>
            <w:rStyle w:val="Hyperlink"/>
            <w:lang w:val="fr-CH"/>
          </w:rPr>
          <w:t>R 77</w:t>
        </w:r>
      </w:hyperlink>
      <w:r w:rsidR="0088728B" w:rsidRPr="00765398">
        <w:rPr>
          <w:lang w:val="fr-CH"/>
        </w:rPr>
        <w:t>)</w:t>
      </w:r>
    </w:p>
    <w:p w:rsidR="00D3762F" w:rsidRPr="00755E99" w:rsidRDefault="00D3762F" w:rsidP="00D3762F">
      <w:pPr>
        <w:rPr>
          <w:b/>
          <w:bCs/>
        </w:rPr>
      </w:pPr>
      <w:r w:rsidRPr="00755E99">
        <w:rPr>
          <w:b/>
          <w:bCs/>
          <w:rtl/>
        </w:rPr>
        <w:t xml:space="preserve">إجراء </w:t>
      </w:r>
      <w:r w:rsidRPr="00755E99">
        <w:rPr>
          <w:rFonts w:hint="cs"/>
          <w:b/>
          <w:bCs/>
          <w:rtl/>
        </w:rPr>
        <w:t>تجفير</w:t>
      </w:r>
      <w:r w:rsidRPr="00755E99">
        <w:rPr>
          <w:b/>
          <w:bCs/>
          <w:rtl/>
        </w:rPr>
        <w:t xml:space="preserve"> بسيط من أجل بيئات إنترنت الأشياء</w:t>
      </w:r>
      <w:r w:rsidR="00AC73EB" w:rsidRPr="00755E99">
        <w:rPr>
          <w:rFonts w:hint="cs"/>
          <w:b/>
          <w:bCs/>
          <w:rtl/>
        </w:rPr>
        <w:t xml:space="preserve"> </w:t>
      </w:r>
      <w:r w:rsidR="00AC73EB" w:rsidRPr="00755E99">
        <w:rPr>
          <w:b/>
          <w:bCs/>
        </w:rPr>
        <w:t>(</w:t>
      </w:r>
      <w:proofErr w:type="spellStart"/>
      <w:r w:rsidR="00AC73EB" w:rsidRPr="00755E99">
        <w:rPr>
          <w:b/>
          <w:bCs/>
        </w:rPr>
        <w:t>IoT</w:t>
      </w:r>
      <w:proofErr w:type="spellEnd"/>
      <w:r w:rsidR="00AC73EB" w:rsidRPr="00755E99">
        <w:rPr>
          <w:b/>
          <w:bCs/>
        </w:rPr>
        <w:t>)</w:t>
      </w:r>
    </w:p>
    <w:p w:rsidR="008C197D" w:rsidRPr="00FF23E0" w:rsidRDefault="008C197D" w:rsidP="008C197D">
      <w:pPr>
        <w:pStyle w:val="Headingb"/>
        <w:rPr>
          <w:rtl/>
        </w:rPr>
      </w:pPr>
      <w:r w:rsidRPr="00FF23E0">
        <w:rPr>
          <w:rFonts w:hint="cs"/>
          <w:rtl/>
        </w:rPr>
        <w:t>ملخص</w:t>
      </w:r>
    </w:p>
    <w:p w:rsidR="008C197D" w:rsidRPr="007744E8" w:rsidRDefault="008C42D0" w:rsidP="00455FA0">
      <w:pPr>
        <w:rPr>
          <w:rtl/>
          <w:lang w:bidi="ar-EG"/>
        </w:rPr>
      </w:pPr>
      <w:r w:rsidRPr="007744E8">
        <w:rPr>
          <w:rFonts w:hint="cs"/>
          <w:rtl/>
          <w:lang w:bidi="ar-EG"/>
        </w:rPr>
        <w:t>تعتبر</w:t>
      </w:r>
      <w:r w:rsidR="00D3762F" w:rsidRPr="007744E8">
        <w:rPr>
          <w:rFonts w:hint="cs"/>
          <w:rtl/>
          <w:lang w:bidi="ar-EG"/>
        </w:rPr>
        <w:t xml:space="preserve"> </w:t>
      </w:r>
      <w:r w:rsidR="00D3762F" w:rsidRPr="007744E8">
        <w:rPr>
          <w:rtl/>
          <w:lang w:bidi="ar-EG"/>
        </w:rPr>
        <w:t>إنترنت الأشياء</w:t>
      </w:r>
      <w:r w:rsidR="00D3762F" w:rsidRPr="007744E8">
        <w:rPr>
          <w:rFonts w:hint="cs"/>
          <w:rtl/>
          <w:lang w:bidi="ar-EG"/>
        </w:rPr>
        <w:t xml:space="preserve"> </w:t>
      </w:r>
      <w:r w:rsidR="00D3762F" w:rsidRPr="007744E8">
        <w:rPr>
          <w:lang w:bidi="ar-EG"/>
        </w:rPr>
        <w:t>(</w:t>
      </w:r>
      <w:proofErr w:type="spellStart"/>
      <w:r w:rsidR="00D3762F" w:rsidRPr="007744E8">
        <w:rPr>
          <w:lang w:bidi="ar-EG"/>
        </w:rPr>
        <w:t>IoT</w:t>
      </w:r>
      <w:proofErr w:type="spellEnd"/>
      <w:r w:rsidR="00D3762F" w:rsidRPr="007744E8">
        <w:rPr>
          <w:lang w:bidi="ar-EG"/>
        </w:rPr>
        <w:t>)</w:t>
      </w:r>
      <w:r w:rsidR="00D3762F" w:rsidRPr="007744E8">
        <w:rPr>
          <w:rtl/>
          <w:lang w:bidi="ar-EG"/>
        </w:rPr>
        <w:t xml:space="preserve"> </w:t>
      </w:r>
      <w:r w:rsidR="00D3762F" w:rsidRPr="007744E8">
        <w:rPr>
          <w:rFonts w:hint="cs"/>
          <w:rtl/>
          <w:lang w:bidi="ar-EG"/>
        </w:rPr>
        <w:t xml:space="preserve">من أهم </w:t>
      </w:r>
      <w:r w:rsidR="004154ED" w:rsidRPr="007744E8">
        <w:rPr>
          <w:rFonts w:hint="cs"/>
          <w:rtl/>
          <w:lang w:bidi="ar-EG"/>
        </w:rPr>
        <w:t>مجالات</w:t>
      </w:r>
      <w:r w:rsidR="00D3762F" w:rsidRPr="007744E8">
        <w:rPr>
          <w:rFonts w:hint="cs"/>
          <w:rtl/>
          <w:lang w:bidi="ar-EG"/>
        </w:rPr>
        <w:t xml:space="preserve"> التقييس في المستقبل. وتعرف إنترنت الأشياء، من منظور قطاع تقييس الاتصالات، بأنها</w:t>
      </w:r>
      <w:r w:rsidR="00D3762F" w:rsidRPr="007744E8">
        <w:rPr>
          <w:rtl/>
          <w:lang w:bidi="ar-EG"/>
        </w:rPr>
        <w:t xml:space="preserve"> بنية تحتية عالمية لمجتمع المعلومات تمكّن الخدمات المتطورة عن طريق التوصيل </w:t>
      </w:r>
      <w:r w:rsidR="00B251D9" w:rsidRPr="007744E8">
        <w:rPr>
          <w:rFonts w:hint="cs"/>
          <w:rtl/>
          <w:lang w:bidi="ar-EG"/>
        </w:rPr>
        <w:t>البيني</w:t>
      </w:r>
      <w:r w:rsidR="00D3762F" w:rsidRPr="007744E8">
        <w:rPr>
          <w:rtl/>
          <w:lang w:bidi="ar-EG"/>
        </w:rPr>
        <w:t xml:space="preserve"> للأشياء (المادية والافتراضية)</w:t>
      </w:r>
      <w:r w:rsidR="00D3762F" w:rsidRPr="007744E8">
        <w:rPr>
          <w:rFonts w:hint="cs"/>
          <w:rtl/>
        </w:rPr>
        <w:t>.</w:t>
      </w:r>
      <w:r w:rsidR="00B96F92" w:rsidRPr="007744E8">
        <w:rPr>
          <w:rFonts w:hint="cs"/>
          <w:rtl/>
          <w:lang w:bidi="ar-EG"/>
        </w:rPr>
        <w:t xml:space="preserve"> </w:t>
      </w:r>
      <w:r w:rsidR="007E5EFC" w:rsidRPr="007744E8">
        <w:rPr>
          <w:rFonts w:hint="cs"/>
          <w:rtl/>
          <w:lang w:bidi="ar-EG"/>
        </w:rPr>
        <w:t>وفي</w:t>
      </w:r>
      <w:r w:rsidR="007E5EFC" w:rsidRPr="007744E8">
        <w:rPr>
          <w:rFonts w:hint="eastAsia"/>
          <w:rtl/>
          <w:lang w:bidi="ar-EG"/>
        </w:rPr>
        <w:t> </w:t>
      </w:r>
      <w:r w:rsidR="00D3762F" w:rsidRPr="007744E8">
        <w:rPr>
          <w:rFonts w:hint="cs"/>
          <w:rtl/>
          <w:lang w:bidi="ar-EG"/>
        </w:rPr>
        <w:t>بعض بيئات إنترنت الأشياء، ولا</w:t>
      </w:r>
      <w:r w:rsidR="00D3762F" w:rsidRPr="007744E8">
        <w:rPr>
          <w:rFonts w:hint="eastAsia"/>
          <w:rtl/>
          <w:lang w:bidi="ar-EG"/>
        </w:rPr>
        <w:t> </w:t>
      </w:r>
      <w:r w:rsidR="00D3762F" w:rsidRPr="007744E8">
        <w:rPr>
          <w:rFonts w:hint="cs"/>
          <w:rtl/>
          <w:lang w:bidi="ar-EG"/>
        </w:rPr>
        <w:t xml:space="preserve">سيما بالنسبة إلى </w:t>
      </w:r>
      <w:r w:rsidR="00D3762F" w:rsidRPr="007744E8">
        <w:rPr>
          <w:rtl/>
          <w:lang w:bidi="ar-EG"/>
        </w:rPr>
        <w:t>أجهزة إنترنت الأشياء</w:t>
      </w:r>
      <w:r w:rsidR="00D3762F" w:rsidRPr="007744E8">
        <w:rPr>
          <w:rFonts w:hint="cs"/>
          <w:rtl/>
          <w:lang w:bidi="ar-EG"/>
        </w:rPr>
        <w:t>، هناك شرط للمعالجة في الوقت الفعلي حيث تعالج المهام في</w:t>
      </w:r>
      <w:r w:rsidR="00E746D7" w:rsidRPr="007744E8">
        <w:rPr>
          <w:rFonts w:hint="eastAsia"/>
          <w:rtl/>
          <w:lang w:bidi="ar-EG"/>
        </w:rPr>
        <w:t> </w:t>
      </w:r>
      <w:r w:rsidR="00D3762F" w:rsidRPr="007744E8">
        <w:rPr>
          <w:rFonts w:hint="cs"/>
          <w:rtl/>
          <w:lang w:bidi="ar-EG"/>
        </w:rPr>
        <w:t>غضون فترة زمنية محددة. ومن أجل ضمان حماية سرية البيانات وسلامتها، يعتبر تطبيق خوارزميات لتجفير البيانات والاستيقان منها أحد التدابير المضادة</w:t>
      </w:r>
      <w:r w:rsidR="00C226F7" w:rsidRPr="007744E8">
        <w:rPr>
          <w:rFonts w:hint="cs"/>
          <w:rtl/>
          <w:lang w:bidi="ar-EG"/>
        </w:rPr>
        <w:t xml:space="preserve"> الأساسية</w:t>
      </w:r>
      <w:r w:rsidR="00D3762F" w:rsidRPr="007744E8">
        <w:rPr>
          <w:rFonts w:hint="cs"/>
          <w:rtl/>
          <w:lang w:bidi="ar-EG"/>
        </w:rPr>
        <w:t xml:space="preserve"> الأكثر شيوعاً. والمشكلة في التطبيقات القياسية لخوارزميات تجفير البيانات والاستيقان منها تتمثل في إمكانية عدم تحقيق هذا الشرط.</w:t>
      </w:r>
      <w:r w:rsidR="00B96F92" w:rsidRPr="007744E8">
        <w:rPr>
          <w:rFonts w:hint="cs"/>
          <w:rtl/>
          <w:lang w:bidi="ar-EG"/>
        </w:rPr>
        <w:t xml:space="preserve"> </w:t>
      </w:r>
      <w:r w:rsidR="00D3762F" w:rsidRPr="007744E8">
        <w:rPr>
          <w:rFonts w:hint="cs"/>
          <w:rtl/>
          <w:lang w:bidi="ar-EG"/>
        </w:rPr>
        <w:t>وتوص</w:t>
      </w:r>
      <w:r w:rsidR="00C82048" w:rsidRPr="007744E8">
        <w:rPr>
          <w:rFonts w:hint="cs"/>
          <w:rtl/>
          <w:lang w:bidi="ar-EG"/>
        </w:rPr>
        <w:t>ِّ</w:t>
      </w:r>
      <w:r w:rsidR="00D3762F" w:rsidRPr="007744E8">
        <w:rPr>
          <w:rFonts w:hint="cs"/>
          <w:rtl/>
          <w:lang w:bidi="ar-EG"/>
        </w:rPr>
        <w:t xml:space="preserve">ف التوصية </w:t>
      </w:r>
      <w:r w:rsidR="00D3762F" w:rsidRPr="007744E8">
        <w:rPr>
          <w:rFonts w:eastAsia="MS Mincho" w:cs="Times New Roman"/>
          <w:szCs w:val="22"/>
          <w:lang w:eastAsia="en-US"/>
        </w:rPr>
        <w:t>ITU-T</w:t>
      </w:r>
      <w:r w:rsidR="00666643" w:rsidRPr="007744E8">
        <w:rPr>
          <w:rFonts w:eastAsia="MS Mincho" w:cs="Times New Roman"/>
          <w:szCs w:val="22"/>
          <w:lang w:eastAsia="en-US"/>
        </w:rPr>
        <w:t> </w:t>
      </w:r>
      <w:r w:rsidR="00D3762F" w:rsidRPr="007744E8">
        <w:rPr>
          <w:rFonts w:eastAsia="MS Mincho" w:cs="Times New Roman"/>
          <w:szCs w:val="22"/>
          <w:lang w:eastAsia="en-US"/>
        </w:rPr>
        <w:t>X.1362</w:t>
      </w:r>
      <w:r w:rsidR="00D3762F" w:rsidRPr="007744E8">
        <w:rPr>
          <w:rFonts w:hint="cs"/>
          <w:rtl/>
          <w:lang w:bidi="ar-EG"/>
        </w:rPr>
        <w:t xml:space="preserve"> التجفير ببيانات القناع المصاحب</w:t>
      </w:r>
      <w:r w:rsidR="00455FA0">
        <w:rPr>
          <w:rFonts w:hint="eastAsia"/>
          <w:rtl/>
          <w:lang w:bidi="ar-EG"/>
        </w:rPr>
        <w:t> </w:t>
      </w:r>
      <w:r w:rsidR="00D3762F" w:rsidRPr="007744E8">
        <w:rPr>
          <w:szCs w:val="22"/>
          <w:lang w:bidi="ar-EG"/>
        </w:rPr>
        <w:t>(</w:t>
      </w:r>
      <w:r w:rsidR="00D3762F" w:rsidRPr="007744E8">
        <w:rPr>
          <w:rFonts w:eastAsia="MS Mincho" w:cs="Times New Roman"/>
          <w:szCs w:val="22"/>
          <w:lang w:eastAsia="en-US"/>
        </w:rPr>
        <w:t>EAMD</w:t>
      </w:r>
      <w:r w:rsidR="00D3762F" w:rsidRPr="007744E8">
        <w:rPr>
          <w:szCs w:val="22"/>
          <w:lang w:bidi="ar-EG"/>
        </w:rPr>
        <w:t>)</w:t>
      </w:r>
      <w:r w:rsidR="00D3762F" w:rsidRPr="007744E8">
        <w:rPr>
          <w:rFonts w:hint="cs"/>
          <w:rtl/>
          <w:lang w:bidi="ar-EG"/>
        </w:rPr>
        <w:t xml:space="preserve"> من أجل أجهزة إنترنت الأشياء. وتص</w:t>
      </w:r>
      <w:r w:rsidR="00800D1A" w:rsidRPr="007744E8">
        <w:rPr>
          <w:rFonts w:hint="cs"/>
          <w:rtl/>
          <w:lang w:bidi="ar-EG"/>
        </w:rPr>
        <w:t>ِّ</w:t>
      </w:r>
      <w:r w:rsidR="00D3762F" w:rsidRPr="007744E8">
        <w:rPr>
          <w:rFonts w:hint="cs"/>
          <w:rtl/>
          <w:lang w:bidi="ar-EG"/>
        </w:rPr>
        <w:t>ف التجفير</w:t>
      </w:r>
      <w:r w:rsidR="00D3762F" w:rsidRPr="007744E8">
        <w:rPr>
          <w:rFonts w:hint="eastAsia"/>
          <w:rtl/>
          <w:lang w:bidi="ar-EG"/>
        </w:rPr>
        <w:t> </w:t>
      </w:r>
      <w:r w:rsidR="00D3762F" w:rsidRPr="007744E8">
        <w:rPr>
          <w:lang w:bidi="ar-EG"/>
        </w:rPr>
        <w:t>EAMD</w:t>
      </w:r>
      <w:r w:rsidR="00D3762F" w:rsidRPr="007744E8">
        <w:rPr>
          <w:rFonts w:hint="cs"/>
          <w:rtl/>
          <w:lang w:bidi="ar-EG"/>
        </w:rPr>
        <w:t>، وكيف أنه يوفر مجموعة من الخدمات الأمنية للحركة التي تستخدمه.</w:t>
      </w:r>
    </w:p>
    <w:p w:rsidR="00446187" w:rsidRDefault="00FC2CD3" w:rsidP="00363CEC">
      <w:pPr>
        <w:pStyle w:val="Heading1"/>
        <w:rPr>
          <w:rtl/>
          <w:lang w:val="fr-CH"/>
        </w:rPr>
      </w:pPr>
      <w:r>
        <w:t>6</w:t>
      </w:r>
      <w:r>
        <w:tab/>
      </w:r>
      <w:r w:rsidR="00446187" w:rsidRPr="00FF23E0">
        <w:rPr>
          <w:rFonts w:hint="cs"/>
          <w:rtl/>
        </w:rPr>
        <w:t xml:space="preserve">مشروع التوصية </w:t>
      </w:r>
      <w:r w:rsidRPr="00FC2CD3">
        <w:rPr>
          <w:lang w:val="fr-CH"/>
        </w:rPr>
        <w:t>ITU-T</w:t>
      </w:r>
      <w:r w:rsidR="00363CEC">
        <w:rPr>
          <w:lang w:val="fr-CH"/>
        </w:rPr>
        <w:t> </w:t>
      </w:r>
      <w:r w:rsidRPr="00FC2CD3">
        <w:rPr>
          <w:lang w:val="fr-CH"/>
        </w:rPr>
        <w:t>X.1373</w:t>
      </w:r>
      <w:r w:rsidR="004475E5">
        <w:rPr>
          <w:rFonts w:hint="cs"/>
          <w:rtl/>
          <w:lang w:val="fr-CH"/>
        </w:rPr>
        <w:t xml:space="preserve"> (</w:t>
      </w:r>
      <w:r w:rsidR="004475E5">
        <w:t>X.itssec-1</w:t>
      </w:r>
      <w:r w:rsidR="004475E5">
        <w:rPr>
          <w:rFonts w:hint="cs"/>
          <w:rtl/>
          <w:lang w:bidi="ar-EG"/>
        </w:rPr>
        <w:t>، سابقاً)</w:t>
      </w:r>
      <w:r w:rsidR="00F31F12">
        <w:rPr>
          <w:rFonts w:hint="cs"/>
          <w:rtl/>
          <w:lang w:val="fr-CH"/>
        </w:rPr>
        <w:t xml:space="preserve"> </w:t>
      </w:r>
      <w:r w:rsidR="00F31F12" w:rsidRPr="00765398">
        <w:rPr>
          <w:lang w:val="fr-CH"/>
        </w:rPr>
        <w:t>(</w:t>
      </w:r>
      <w:hyperlink r:id="rId19" w:history="1">
        <w:r w:rsidR="00F31F12" w:rsidRPr="00765398">
          <w:rPr>
            <w:rStyle w:val="Hyperlink"/>
            <w:lang w:val="fr-CH"/>
          </w:rPr>
          <w:t>R 78 Rev.2</w:t>
        </w:r>
      </w:hyperlink>
      <w:r w:rsidR="00F31F12" w:rsidRPr="00765398">
        <w:rPr>
          <w:lang w:val="fr-CH"/>
        </w:rPr>
        <w:t>)</w:t>
      </w:r>
    </w:p>
    <w:p w:rsidR="00B71CAF" w:rsidRPr="00755E99" w:rsidRDefault="0059427E" w:rsidP="00B71CAF">
      <w:pPr>
        <w:rPr>
          <w:b/>
          <w:bCs/>
          <w:rtl/>
          <w:lang w:val="fr-CH"/>
        </w:rPr>
      </w:pPr>
      <w:r w:rsidRPr="00755E99">
        <w:rPr>
          <w:rFonts w:hint="cs"/>
          <w:b/>
          <w:bCs/>
          <w:rtl/>
          <w:lang w:val="fr-CH"/>
        </w:rPr>
        <w:t>قدرات التحديث الآمن لبرمجيات أجهزة الاتصالات في أنظمة النقل الذكية</w:t>
      </w:r>
    </w:p>
    <w:p w:rsidR="00446187" w:rsidRPr="00FF23E0" w:rsidRDefault="00446187" w:rsidP="00446187">
      <w:pPr>
        <w:pStyle w:val="Headingb"/>
        <w:rPr>
          <w:rtl/>
        </w:rPr>
      </w:pPr>
      <w:r w:rsidRPr="00FF23E0">
        <w:rPr>
          <w:rFonts w:hint="cs"/>
          <w:rtl/>
        </w:rPr>
        <w:t>ملخص</w:t>
      </w:r>
    </w:p>
    <w:p w:rsidR="0059427E" w:rsidRPr="00B96F92" w:rsidRDefault="0059427E" w:rsidP="00B96F92">
      <w:pPr>
        <w:rPr>
          <w:spacing w:val="2"/>
          <w:rtl/>
          <w:lang w:bidi="ar-EG"/>
        </w:rPr>
      </w:pPr>
      <w:r w:rsidRPr="00B96F92">
        <w:rPr>
          <w:rFonts w:hint="cs"/>
          <w:spacing w:val="2"/>
          <w:rtl/>
          <w:lang w:bidi="ar-EG"/>
        </w:rPr>
        <w:t>مع تحسّن تكنولوجيات النقل الذكية </w:t>
      </w:r>
      <w:r w:rsidRPr="00B96F92">
        <w:rPr>
          <w:spacing w:val="2"/>
          <w:lang w:bidi="ar-EG"/>
        </w:rPr>
        <w:t>(ITS)</w:t>
      </w:r>
      <w:r w:rsidRPr="00B96F92">
        <w:rPr>
          <w:rFonts w:hint="cs"/>
          <w:spacing w:val="2"/>
          <w:rtl/>
          <w:lang w:bidi="ar-EG"/>
        </w:rPr>
        <w:t>، أصبح من الشائع أن تتواصل المركبات مع كيانات أخرى ك</w:t>
      </w:r>
      <w:r w:rsidR="00FD4896" w:rsidRPr="00B96F92">
        <w:rPr>
          <w:rFonts w:hint="cs"/>
          <w:spacing w:val="2"/>
          <w:rtl/>
          <w:lang w:bidi="ar-EG"/>
        </w:rPr>
        <w:t>الاتصال بمركبات أخرى، والاتصال</w:t>
      </w:r>
      <w:r w:rsidRPr="00B96F92">
        <w:rPr>
          <w:rFonts w:hint="cs"/>
          <w:spacing w:val="2"/>
          <w:rtl/>
          <w:lang w:bidi="ar-EG"/>
        </w:rPr>
        <w:t xml:space="preserve"> من مركبة إلى مركبة </w:t>
      </w:r>
      <w:r w:rsidRPr="00B96F92">
        <w:rPr>
          <w:spacing w:val="2"/>
          <w:lang w:bidi="ar-EG"/>
        </w:rPr>
        <w:t>(V2V)</w:t>
      </w:r>
      <w:r w:rsidRPr="00B96F92">
        <w:rPr>
          <w:rFonts w:hint="cs"/>
          <w:spacing w:val="2"/>
          <w:rtl/>
          <w:lang w:bidi="ar-EG"/>
        </w:rPr>
        <w:t xml:space="preserve"> ومن مركبة إلى بنية تحتية </w:t>
      </w:r>
      <w:r w:rsidRPr="00B96F92">
        <w:rPr>
          <w:spacing w:val="2"/>
          <w:lang w:bidi="ar-EG"/>
        </w:rPr>
        <w:t>(V2I)</w:t>
      </w:r>
      <w:r w:rsidRPr="00B96F92">
        <w:rPr>
          <w:rFonts w:hint="cs"/>
          <w:spacing w:val="2"/>
          <w:rtl/>
          <w:lang w:bidi="ar-EG"/>
        </w:rPr>
        <w:t>. ونظراً إلى وجود أجهزة كهربائية داخل السيارة من قبيل وحدات التحكم الإلكتروني </w:t>
      </w:r>
      <w:r w:rsidRPr="00B96F92">
        <w:rPr>
          <w:spacing w:val="2"/>
          <w:lang w:bidi="ar-EG"/>
        </w:rPr>
        <w:t>(ECU)</w:t>
      </w:r>
      <w:r w:rsidRPr="00B96F92">
        <w:rPr>
          <w:rFonts w:hint="cs"/>
          <w:spacing w:val="2"/>
          <w:rtl/>
          <w:lang w:bidi="ar-EG"/>
        </w:rPr>
        <w:t xml:space="preserve"> والنظام الكهربائي لتحصيل الرسوم</w:t>
      </w:r>
      <w:r w:rsidR="00125B3C" w:rsidRPr="00B96F92">
        <w:rPr>
          <w:rFonts w:hint="eastAsia"/>
          <w:spacing w:val="2"/>
          <w:rtl/>
          <w:lang w:bidi="ar-EG"/>
        </w:rPr>
        <w:t> </w:t>
      </w:r>
      <w:r w:rsidRPr="00B96F92">
        <w:rPr>
          <w:spacing w:val="2"/>
          <w:lang w:bidi="ar-EG"/>
        </w:rPr>
        <w:t>(ETC)</w:t>
      </w:r>
      <w:r w:rsidRPr="00B96F92">
        <w:rPr>
          <w:rFonts w:hint="cs"/>
          <w:spacing w:val="2"/>
          <w:rtl/>
          <w:lang w:bidi="ar-EG"/>
        </w:rPr>
        <w:t>، أصبحت أنظمة الملاحة في الأنظمة والسيارات أكثر تطوراً. ونتيجةً لذلك، يلزم تحديث وحدات البرمجيات داخل هذه الأجهزة الكهربائية على نحو ملائم لإصلاح الأعطال وتحسين الأداء والأمن تفادياً لوقوع حوادث خطيرة.</w:t>
      </w:r>
      <w:r w:rsidR="00B96F92" w:rsidRPr="00B96F92">
        <w:rPr>
          <w:rFonts w:hint="cs"/>
          <w:spacing w:val="2"/>
          <w:rtl/>
          <w:lang w:bidi="ar-EG"/>
        </w:rPr>
        <w:t xml:space="preserve"> </w:t>
      </w:r>
      <w:r w:rsidRPr="00B96F92">
        <w:rPr>
          <w:rFonts w:hint="cs"/>
          <w:spacing w:val="2"/>
          <w:rtl/>
          <w:lang w:bidi="ar-EG"/>
        </w:rPr>
        <w:t>وبغية الوفاء بالمتطلبات المذكورة أعلاه، تقدم التوصية </w:t>
      </w:r>
      <w:r w:rsidRPr="00B96F92">
        <w:rPr>
          <w:spacing w:val="2"/>
          <w:lang w:bidi="ar-EG"/>
        </w:rPr>
        <w:t>ITU-T X.1373</w:t>
      </w:r>
      <w:r w:rsidRPr="00B96F92">
        <w:rPr>
          <w:rFonts w:hint="cs"/>
          <w:spacing w:val="2"/>
          <w:rtl/>
          <w:lang w:bidi="ar-EG"/>
        </w:rPr>
        <w:t xml:space="preserve"> إجراءات من أجل التحديث الآمن للبرمجيات بين مخدم تحديث البرمجيات والمركبات مع ضوابط أمنية ملائمة. ويمكن لشركات تصنيع السيارات والصناعات المتصلة بأنظمة النقل الذكية أن تستخدم هذه التوصية عملياً كمجموعة من القدرات المعيارية لأفضل</w:t>
      </w:r>
      <w:r w:rsidR="00B96F92">
        <w:rPr>
          <w:rFonts w:hint="eastAsia"/>
          <w:spacing w:val="2"/>
          <w:rtl/>
          <w:lang w:bidi="ar-EG"/>
        </w:rPr>
        <w:t> </w:t>
      </w:r>
      <w:r w:rsidRPr="00B96F92">
        <w:rPr>
          <w:rFonts w:hint="cs"/>
          <w:spacing w:val="2"/>
          <w:rtl/>
          <w:lang w:bidi="ar-EG"/>
        </w:rPr>
        <w:t>الممارسات.</w:t>
      </w:r>
    </w:p>
    <w:p w:rsidR="00FC2CD3" w:rsidRPr="00FF23E0" w:rsidRDefault="00FC2CD3" w:rsidP="00037E41">
      <w:pPr>
        <w:pStyle w:val="Heading1"/>
        <w:rPr>
          <w:rtl/>
        </w:rPr>
      </w:pPr>
      <w:r>
        <w:t>7</w:t>
      </w:r>
      <w:r>
        <w:tab/>
      </w:r>
      <w:r w:rsidRPr="00FF23E0">
        <w:rPr>
          <w:rFonts w:hint="cs"/>
          <w:rtl/>
        </w:rPr>
        <w:t xml:space="preserve">مشروع التوصية </w:t>
      </w:r>
      <w:r w:rsidRPr="00FC2CD3">
        <w:rPr>
          <w:lang w:val="fr-CH"/>
        </w:rPr>
        <w:t>ITU-T</w:t>
      </w:r>
      <w:r w:rsidR="00037E41">
        <w:rPr>
          <w:lang w:val="fr-CH"/>
        </w:rPr>
        <w:t> </w:t>
      </w:r>
      <w:r w:rsidRPr="00FC2CD3">
        <w:rPr>
          <w:lang w:val="fr-CH"/>
        </w:rPr>
        <w:t>X.1550</w:t>
      </w:r>
      <w:r w:rsidR="00A367DA">
        <w:rPr>
          <w:rFonts w:hint="cs"/>
          <w:rtl/>
        </w:rPr>
        <w:t xml:space="preserve"> (</w:t>
      </w:r>
      <w:proofErr w:type="spellStart"/>
      <w:r w:rsidR="00A367DA">
        <w:t>X.nessa</w:t>
      </w:r>
      <w:proofErr w:type="spellEnd"/>
      <w:r w:rsidR="00A367DA">
        <w:rPr>
          <w:rFonts w:hint="cs"/>
          <w:rtl/>
          <w:lang w:bidi="ar-EG"/>
        </w:rPr>
        <w:t>، سابقاً)</w:t>
      </w:r>
      <w:r w:rsidR="000232A3">
        <w:rPr>
          <w:rFonts w:hint="cs"/>
          <w:rtl/>
        </w:rPr>
        <w:t xml:space="preserve"> </w:t>
      </w:r>
      <w:r w:rsidR="000232A3" w:rsidRPr="00765398">
        <w:rPr>
          <w:lang w:val="fr-CH"/>
        </w:rPr>
        <w:t>(</w:t>
      </w:r>
      <w:hyperlink r:id="rId20" w:history="1">
        <w:r w:rsidR="000232A3" w:rsidRPr="00765398">
          <w:rPr>
            <w:rStyle w:val="Hyperlink"/>
            <w:lang w:val="fr-CH"/>
          </w:rPr>
          <w:t>R 72</w:t>
        </w:r>
      </w:hyperlink>
      <w:r w:rsidR="000232A3" w:rsidRPr="00765398">
        <w:rPr>
          <w:lang w:val="fr-CH"/>
        </w:rPr>
        <w:t>)</w:t>
      </w:r>
    </w:p>
    <w:p w:rsidR="00FC2CD3" w:rsidRPr="00755E99" w:rsidRDefault="00FC2CD3" w:rsidP="00EF7F8A">
      <w:pPr>
        <w:keepNext/>
        <w:keepLines/>
        <w:rPr>
          <w:b/>
          <w:bCs/>
          <w:rtl/>
        </w:rPr>
      </w:pPr>
      <w:r w:rsidRPr="00755E99">
        <w:rPr>
          <w:b/>
          <w:bCs/>
          <w:rtl/>
        </w:rPr>
        <w:t>نماذج للتحكم في النفاذ</w:t>
      </w:r>
      <w:r w:rsidRPr="00755E99">
        <w:rPr>
          <w:rFonts w:hint="cs"/>
          <w:b/>
          <w:bCs/>
          <w:rtl/>
        </w:rPr>
        <w:t xml:space="preserve"> لشبكات تبادل معلومات الحوادث العارضة</w:t>
      </w:r>
    </w:p>
    <w:p w:rsidR="00B71CAF" w:rsidRDefault="00B71CAF" w:rsidP="00B71CAF">
      <w:pPr>
        <w:pStyle w:val="Headingb"/>
        <w:rPr>
          <w:rtl/>
        </w:rPr>
      </w:pPr>
      <w:r>
        <w:rPr>
          <w:rFonts w:hint="cs"/>
          <w:rtl/>
        </w:rPr>
        <w:t>ملخص</w:t>
      </w:r>
    </w:p>
    <w:p w:rsidR="00FC2CD3" w:rsidRPr="00037E41" w:rsidRDefault="00FC2CD3" w:rsidP="00100758">
      <w:pPr>
        <w:rPr>
          <w:spacing w:val="2"/>
          <w:rtl/>
          <w:lang w:bidi="ar-EG"/>
        </w:rPr>
      </w:pPr>
      <w:r w:rsidRPr="00037E41">
        <w:rPr>
          <w:rFonts w:hint="cs"/>
          <w:spacing w:val="2"/>
          <w:rtl/>
          <w:lang w:bidi="ar-EG"/>
        </w:rPr>
        <w:t>تتناول التوصية</w:t>
      </w:r>
      <w:r w:rsidRPr="00037E41">
        <w:rPr>
          <w:rFonts w:hint="eastAsia"/>
          <w:spacing w:val="2"/>
          <w:rtl/>
          <w:lang w:bidi="ar-EG"/>
        </w:rPr>
        <w:t> </w:t>
      </w:r>
      <w:r w:rsidRPr="00037E41">
        <w:rPr>
          <w:spacing w:val="2"/>
          <w:lang w:bidi="ar-EG"/>
        </w:rPr>
        <w:t>ITU</w:t>
      </w:r>
      <w:r w:rsidRPr="00037E41">
        <w:rPr>
          <w:spacing w:val="2"/>
          <w:lang w:bidi="ar-EG"/>
        </w:rPr>
        <w:noBreakHyphen/>
        <w:t>T X.1550</w:t>
      </w:r>
      <w:r w:rsidRPr="00037E41">
        <w:rPr>
          <w:rFonts w:hint="cs"/>
          <w:spacing w:val="2"/>
          <w:rtl/>
          <w:lang w:bidi="ar-EG"/>
        </w:rPr>
        <w:t xml:space="preserve"> النُهج القائمة لتنفيذ سياسات التحكّم في النفاذ لشبكات تبادل معلومات الحوادث العارضة. وتطرح هذه التوصية مجموعة متنوعة من نماذج التحكّم في النفاذ</w:t>
      </w:r>
      <w:r w:rsidRPr="00037E41">
        <w:rPr>
          <w:rFonts w:hint="eastAsia"/>
          <w:spacing w:val="2"/>
          <w:rtl/>
          <w:lang w:bidi="ar-EG"/>
        </w:rPr>
        <w:t> </w:t>
      </w:r>
      <w:r w:rsidRPr="00037E41">
        <w:rPr>
          <w:rFonts w:hint="cs"/>
          <w:spacing w:val="2"/>
          <w:rtl/>
          <w:lang w:bidi="ar-EG"/>
        </w:rPr>
        <w:t xml:space="preserve">المحكمة ونماذج التبادل ومعايير من أجل تقييم أداء شبكة تبادل معلومات الحوادث العارضة. ويُنظر في الحلول القائمة على المعايير من أجل تيسير تنفيذ نماذج التحكّم المختلفة </w:t>
      </w:r>
      <w:r w:rsidR="008E7B9F" w:rsidRPr="00037E41">
        <w:rPr>
          <w:rFonts w:hint="cs"/>
          <w:spacing w:val="2"/>
          <w:rtl/>
          <w:lang w:bidi="ar-EG"/>
        </w:rPr>
        <w:t>ضمن</w:t>
      </w:r>
      <w:r w:rsidRPr="00037E41">
        <w:rPr>
          <w:rFonts w:hint="cs"/>
          <w:spacing w:val="2"/>
          <w:rtl/>
          <w:lang w:bidi="ar-EG"/>
        </w:rPr>
        <w:t xml:space="preserve"> </w:t>
      </w:r>
      <w:r w:rsidR="00100758">
        <w:rPr>
          <w:rFonts w:hint="cs"/>
          <w:spacing w:val="2"/>
          <w:rtl/>
          <w:lang w:bidi="ar-EG"/>
        </w:rPr>
        <w:t>النماذج</w:t>
      </w:r>
      <w:r w:rsidRPr="00037E41">
        <w:rPr>
          <w:rFonts w:hint="cs"/>
          <w:spacing w:val="2"/>
          <w:rtl/>
          <w:lang w:bidi="ar-EG"/>
        </w:rPr>
        <w:t xml:space="preserve"> المختلفة لتبادل معلومات الأمن السيبراني وفي ظل ظروف بيئات الثقة المتنوعة.</w:t>
      </w:r>
    </w:p>
    <w:p w:rsidR="00F5198D" w:rsidRDefault="00622F45" w:rsidP="00F5198D">
      <w:pPr>
        <w:spacing w:before="600"/>
        <w:jc w:val="center"/>
        <w:rPr>
          <w:rtl/>
        </w:rPr>
      </w:pPr>
      <w:r>
        <w:rPr>
          <w:rFonts w:hint="cs"/>
          <w:rtl/>
        </w:rPr>
        <w:t>___________</w:t>
      </w:r>
    </w:p>
    <w:sectPr w:rsidR="00F5198D" w:rsidSect="0030035F">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E0F" w:rsidRDefault="00C71E0F" w:rsidP="0030035F">
      <w:pPr>
        <w:spacing w:before="0" w:line="240" w:lineRule="auto"/>
      </w:pPr>
      <w:r>
        <w:separator/>
      </w:r>
    </w:p>
  </w:endnote>
  <w:endnote w:type="continuationSeparator" w:id="0">
    <w:p w:rsidR="00C71E0F" w:rsidRDefault="00C71E0F"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99" w:rsidRPr="00755E99" w:rsidRDefault="00755E99" w:rsidP="00755E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sidRPr="00755E99">
      <w:rPr>
        <w:rFonts w:eastAsia="Times New Roman" w:cs="Times New Roman"/>
        <w:caps/>
        <w:noProof/>
        <w:sz w:val="16"/>
        <w:szCs w:val="20"/>
        <w:lang w:val="fr-CH" w:eastAsia="en-US"/>
      </w:rPr>
      <w:t>ITU-T\BUREAU\CIRC\246</w:t>
    </w:r>
    <w:r>
      <w:rPr>
        <w:rFonts w:eastAsia="Times New Roman" w:cs="Times New Roman"/>
        <w:caps/>
        <w:noProof/>
        <w:sz w:val="16"/>
        <w:szCs w:val="20"/>
        <w:lang w:val="fr-CH" w:eastAsia="en-US"/>
      </w:rPr>
      <w:t>A</w:t>
    </w:r>
    <w:r w:rsidRPr="00755E99">
      <w:rPr>
        <w:rFonts w:eastAsia="Times New Roman" w:cs="Times New Roman"/>
        <w:caps/>
        <w:noProof/>
        <w:sz w:val="16"/>
        <w:szCs w:val="20"/>
        <w:lang w:val="fr-CH" w:eastAsia="en-US"/>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AA01DD" w:rsidRDefault="00AA01DD" w:rsidP="00755E9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0" w:line="240" w:lineRule="auto"/>
      <w:ind w:left="-397" w:right="-397"/>
      <w:jc w:val="center"/>
      <w:rPr>
        <w:rFonts w:eastAsia="Times New Roman" w:cs="Times New Roman"/>
        <w:sz w:val="16"/>
        <w:szCs w:val="20"/>
        <w:lang w:val="en-GB" w:eastAsia="en-US"/>
      </w:rPr>
    </w:pPr>
    <w:r w:rsidRPr="00AA01DD">
      <w:rPr>
        <w:rFonts w:eastAsia="Times New Roman" w:cs="Times New Roman"/>
        <w:sz w:val="18"/>
        <w:szCs w:val="18"/>
        <w:lang w:val="en-GB" w:eastAsia="en-US"/>
      </w:rPr>
      <w:t>International Telecommunication Union • Place des Nations • CH-1211 Geneva 20 • Switzerland</w:t>
    </w:r>
    <w:r w:rsidRPr="00AA01DD">
      <w:rPr>
        <w:rFonts w:eastAsia="Times New Roman" w:cs="Times New Roman"/>
        <w:sz w:val="18"/>
        <w:szCs w:val="18"/>
        <w:lang w:val="en-GB" w:eastAsia="en-US"/>
      </w:rPr>
      <w:br/>
      <w:t xml:space="preserve">Tel: +41 22 730 5111 • Fax: +41 22 733 7256 • </w:t>
    </w:r>
    <w:hyperlink r:id="rId1" w:history="1">
      <w:r w:rsidR="00B55E6F" w:rsidRPr="00F632E9">
        <w:rPr>
          <w:rStyle w:val="Hyperlink"/>
          <w:rFonts w:asciiTheme="minorHAnsi" w:hAnsiTheme="minorHAnsi"/>
          <w:sz w:val="18"/>
          <w:szCs w:val="18"/>
        </w:rPr>
        <w:t>itumail@itu.int</w:t>
      </w:r>
    </w:hyperlink>
    <w:r w:rsidR="00B55E6F" w:rsidRPr="00F632E9">
      <w:rPr>
        <w:rFonts w:asciiTheme="minorHAnsi" w:hAnsiTheme="minorHAnsi"/>
        <w:sz w:val="18"/>
        <w:szCs w:val="18"/>
        <w:lang w:val="fr-CH"/>
      </w:rPr>
      <w:t xml:space="preserve"> • </w:t>
    </w:r>
    <w:hyperlink r:id="rId2" w:history="1">
      <w:r w:rsidR="00B55E6F" w:rsidRPr="00F632E9">
        <w:rPr>
          <w:rStyle w:val="Hyperlink"/>
          <w:rFonts w:asciiTheme="minorHAnsi" w:hAnsiTheme="minorHAnsi"/>
          <w:sz w:val="18"/>
          <w:szCs w:val="18"/>
        </w:rPr>
        <w:t>www.itu.int</w:t>
      </w:r>
    </w:hyperlink>
    <w:r w:rsidR="00B55E6F"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E0F" w:rsidRDefault="00C71E0F" w:rsidP="0030035F">
      <w:pPr>
        <w:spacing w:before="0" w:line="240" w:lineRule="auto"/>
      </w:pPr>
      <w:r>
        <w:separator/>
      </w:r>
    </w:p>
  </w:footnote>
  <w:footnote w:type="continuationSeparator" w:id="0">
    <w:p w:rsidR="00C71E0F" w:rsidRDefault="00C71E0F"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B2044C" w:rsidP="00B2044C">
    <w:pPr>
      <w:pStyle w:val="Header"/>
      <w:bidi w:val="0"/>
      <w:spacing w:before="120" w:after="120"/>
      <w:jc w:val="center"/>
      <w:rPr>
        <w:rFonts w:cs="Calibri"/>
        <w:sz w:val="20"/>
        <w:szCs w:val="20"/>
      </w:rPr>
    </w:pPr>
    <w:r>
      <w:rPr>
        <w:rFonts w:cs="Calibri"/>
        <w:sz w:val="20"/>
        <w:szCs w:val="20"/>
      </w:rPr>
      <w:t xml:space="preserve">- </w:t>
    </w:r>
    <w:r w:rsidR="00E57497" w:rsidRPr="00E57497">
      <w:rPr>
        <w:rFonts w:cs="Calibri"/>
        <w:sz w:val="20"/>
        <w:szCs w:val="20"/>
      </w:rPr>
      <w:fldChar w:fldCharType="begin"/>
    </w:r>
    <w:r w:rsidR="00E57497" w:rsidRPr="00E57497">
      <w:rPr>
        <w:rFonts w:cs="Calibri"/>
        <w:sz w:val="20"/>
        <w:szCs w:val="20"/>
      </w:rPr>
      <w:instrText xml:space="preserve"> PAGE </w:instrText>
    </w:r>
    <w:r w:rsidR="00E57497" w:rsidRPr="00E57497">
      <w:rPr>
        <w:rFonts w:cs="Calibri"/>
        <w:sz w:val="20"/>
        <w:szCs w:val="20"/>
      </w:rPr>
      <w:fldChar w:fldCharType="separate"/>
    </w:r>
    <w:r w:rsidR="00F509DE">
      <w:rPr>
        <w:rFonts w:cs="Calibri"/>
        <w:noProof/>
        <w:sz w:val="20"/>
        <w:szCs w:val="20"/>
      </w:rPr>
      <w:t>5</w:t>
    </w:r>
    <w:r w:rsidR="00E57497" w:rsidRPr="00E5749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isplayBackgroundShap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0F"/>
    <w:rsid w:val="00016837"/>
    <w:rsid w:val="00021E79"/>
    <w:rsid w:val="000232A3"/>
    <w:rsid w:val="000324A9"/>
    <w:rsid w:val="00037E41"/>
    <w:rsid w:val="000418E3"/>
    <w:rsid w:val="00090574"/>
    <w:rsid w:val="000910C5"/>
    <w:rsid w:val="00097ABC"/>
    <w:rsid w:val="000B3345"/>
    <w:rsid w:val="000C2546"/>
    <w:rsid w:val="000E2F8F"/>
    <w:rsid w:val="000E744B"/>
    <w:rsid w:val="000F7755"/>
    <w:rsid w:val="00100758"/>
    <w:rsid w:val="0011020C"/>
    <w:rsid w:val="00117EE7"/>
    <w:rsid w:val="00125B3C"/>
    <w:rsid w:val="0015345D"/>
    <w:rsid w:val="001679EA"/>
    <w:rsid w:val="00173915"/>
    <w:rsid w:val="0019715D"/>
    <w:rsid w:val="001A083E"/>
    <w:rsid w:val="001A66D8"/>
    <w:rsid w:val="001A6A6B"/>
    <w:rsid w:val="002150CF"/>
    <w:rsid w:val="002178AF"/>
    <w:rsid w:val="0023283D"/>
    <w:rsid w:val="002476E5"/>
    <w:rsid w:val="00247756"/>
    <w:rsid w:val="002537BF"/>
    <w:rsid w:val="00265A6D"/>
    <w:rsid w:val="00267B7E"/>
    <w:rsid w:val="00276AF5"/>
    <w:rsid w:val="0028063F"/>
    <w:rsid w:val="002978F4"/>
    <w:rsid w:val="002A4881"/>
    <w:rsid w:val="002B028D"/>
    <w:rsid w:val="002D1758"/>
    <w:rsid w:val="002D7B0A"/>
    <w:rsid w:val="002E2427"/>
    <w:rsid w:val="002E6541"/>
    <w:rsid w:val="0030035F"/>
    <w:rsid w:val="00303A70"/>
    <w:rsid w:val="00346EA2"/>
    <w:rsid w:val="0035560B"/>
    <w:rsid w:val="00357185"/>
    <w:rsid w:val="00363CEC"/>
    <w:rsid w:val="00367E37"/>
    <w:rsid w:val="00375227"/>
    <w:rsid w:val="0038328D"/>
    <w:rsid w:val="003A1CFA"/>
    <w:rsid w:val="003A67FF"/>
    <w:rsid w:val="003C1063"/>
    <w:rsid w:val="003C18D6"/>
    <w:rsid w:val="003D2166"/>
    <w:rsid w:val="003D4152"/>
    <w:rsid w:val="003F3A3F"/>
    <w:rsid w:val="003F678F"/>
    <w:rsid w:val="0041417B"/>
    <w:rsid w:val="004154ED"/>
    <w:rsid w:val="0042686F"/>
    <w:rsid w:val="00443869"/>
    <w:rsid w:val="00445497"/>
    <w:rsid w:val="00446187"/>
    <w:rsid w:val="004475E5"/>
    <w:rsid w:val="0045128C"/>
    <w:rsid w:val="00455FA0"/>
    <w:rsid w:val="00480781"/>
    <w:rsid w:val="004A4F44"/>
    <w:rsid w:val="004B5F86"/>
    <w:rsid w:val="004C50F8"/>
    <w:rsid w:val="004D77B9"/>
    <w:rsid w:val="004F2BC4"/>
    <w:rsid w:val="00501E0E"/>
    <w:rsid w:val="005044D3"/>
    <w:rsid w:val="00504C57"/>
    <w:rsid w:val="005145B9"/>
    <w:rsid w:val="00521E65"/>
    <w:rsid w:val="00532D77"/>
    <w:rsid w:val="0055516A"/>
    <w:rsid w:val="00564F09"/>
    <w:rsid w:val="0059383F"/>
    <w:rsid w:val="0059427E"/>
    <w:rsid w:val="005A0987"/>
    <w:rsid w:val="005B79E9"/>
    <w:rsid w:val="005C378C"/>
    <w:rsid w:val="005C4900"/>
    <w:rsid w:val="005F0235"/>
    <w:rsid w:val="005F5387"/>
    <w:rsid w:val="00604B50"/>
    <w:rsid w:val="00610D1B"/>
    <w:rsid w:val="0061237D"/>
    <w:rsid w:val="00622F45"/>
    <w:rsid w:val="00643E02"/>
    <w:rsid w:val="00647CB0"/>
    <w:rsid w:val="00657D93"/>
    <w:rsid w:val="00664E3C"/>
    <w:rsid w:val="00666643"/>
    <w:rsid w:val="00667A48"/>
    <w:rsid w:val="00674BCC"/>
    <w:rsid w:val="006876D8"/>
    <w:rsid w:val="00693FFE"/>
    <w:rsid w:val="006A4D4B"/>
    <w:rsid w:val="006B79CC"/>
    <w:rsid w:val="006C625B"/>
    <w:rsid w:val="006E285E"/>
    <w:rsid w:val="006F23D5"/>
    <w:rsid w:val="006F3AE1"/>
    <w:rsid w:val="006F63F7"/>
    <w:rsid w:val="00701D32"/>
    <w:rsid w:val="0070277B"/>
    <w:rsid w:val="00706D7A"/>
    <w:rsid w:val="00722D8F"/>
    <w:rsid w:val="007305F4"/>
    <w:rsid w:val="00755E99"/>
    <w:rsid w:val="007605F6"/>
    <w:rsid w:val="007661F8"/>
    <w:rsid w:val="0077223F"/>
    <w:rsid w:val="007744E8"/>
    <w:rsid w:val="007B0E27"/>
    <w:rsid w:val="007B3839"/>
    <w:rsid w:val="007D4D46"/>
    <w:rsid w:val="007E5EFC"/>
    <w:rsid w:val="007F0F4C"/>
    <w:rsid w:val="00800D1A"/>
    <w:rsid w:val="00803F08"/>
    <w:rsid w:val="00811DFB"/>
    <w:rsid w:val="00814C35"/>
    <w:rsid w:val="0081670D"/>
    <w:rsid w:val="008235CD"/>
    <w:rsid w:val="00826D84"/>
    <w:rsid w:val="00827BAB"/>
    <w:rsid w:val="00831930"/>
    <w:rsid w:val="00843AF7"/>
    <w:rsid w:val="008513CB"/>
    <w:rsid w:val="00876394"/>
    <w:rsid w:val="008770DC"/>
    <w:rsid w:val="0088728B"/>
    <w:rsid w:val="008A4F63"/>
    <w:rsid w:val="008A7114"/>
    <w:rsid w:val="008A7CBA"/>
    <w:rsid w:val="008C197D"/>
    <w:rsid w:val="008C1F9E"/>
    <w:rsid w:val="008C42D0"/>
    <w:rsid w:val="008C4A9F"/>
    <w:rsid w:val="008D6B06"/>
    <w:rsid w:val="008E7B9F"/>
    <w:rsid w:val="008F3901"/>
    <w:rsid w:val="00922D59"/>
    <w:rsid w:val="009459BF"/>
    <w:rsid w:val="00973251"/>
    <w:rsid w:val="00982B28"/>
    <w:rsid w:val="009A4B1F"/>
    <w:rsid w:val="009C24F9"/>
    <w:rsid w:val="009D051B"/>
    <w:rsid w:val="009D4787"/>
    <w:rsid w:val="009E126A"/>
    <w:rsid w:val="009E6ED8"/>
    <w:rsid w:val="009F2073"/>
    <w:rsid w:val="00A367DA"/>
    <w:rsid w:val="00A4587C"/>
    <w:rsid w:val="00A54BBC"/>
    <w:rsid w:val="00A57B5B"/>
    <w:rsid w:val="00A77601"/>
    <w:rsid w:val="00A84685"/>
    <w:rsid w:val="00A93DCB"/>
    <w:rsid w:val="00A96D6E"/>
    <w:rsid w:val="00A97F94"/>
    <w:rsid w:val="00AA01DD"/>
    <w:rsid w:val="00AC629C"/>
    <w:rsid w:val="00AC73EB"/>
    <w:rsid w:val="00AE69E7"/>
    <w:rsid w:val="00AE6B96"/>
    <w:rsid w:val="00AF2FA0"/>
    <w:rsid w:val="00B03712"/>
    <w:rsid w:val="00B15320"/>
    <w:rsid w:val="00B157CD"/>
    <w:rsid w:val="00B2044C"/>
    <w:rsid w:val="00B251D9"/>
    <w:rsid w:val="00B42F75"/>
    <w:rsid w:val="00B45818"/>
    <w:rsid w:val="00B53C47"/>
    <w:rsid w:val="00B55E6F"/>
    <w:rsid w:val="00B56914"/>
    <w:rsid w:val="00B62E6C"/>
    <w:rsid w:val="00B6322E"/>
    <w:rsid w:val="00B71CAF"/>
    <w:rsid w:val="00B72971"/>
    <w:rsid w:val="00B96F92"/>
    <w:rsid w:val="00BB08B6"/>
    <w:rsid w:val="00BB1FA2"/>
    <w:rsid w:val="00BC24CD"/>
    <w:rsid w:val="00BC2B52"/>
    <w:rsid w:val="00BD51B9"/>
    <w:rsid w:val="00BE211E"/>
    <w:rsid w:val="00BE313D"/>
    <w:rsid w:val="00C226F7"/>
    <w:rsid w:val="00C23F7C"/>
    <w:rsid w:val="00C365F8"/>
    <w:rsid w:val="00C415BC"/>
    <w:rsid w:val="00C45F8C"/>
    <w:rsid w:val="00C674FE"/>
    <w:rsid w:val="00C71E0F"/>
    <w:rsid w:val="00C75633"/>
    <w:rsid w:val="00C82048"/>
    <w:rsid w:val="00CD0380"/>
    <w:rsid w:val="00CE2375"/>
    <w:rsid w:val="00CE2EE1"/>
    <w:rsid w:val="00CF1024"/>
    <w:rsid w:val="00CF3FFD"/>
    <w:rsid w:val="00D15687"/>
    <w:rsid w:val="00D17748"/>
    <w:rsid w:val="00D22647"/>
    <w:rsid w:val="00D244F8"/>
    <w:rsid w:val="00D36843"/>
    <w:rsid w:val="00D3762F"/>
    <w:rsid w:val="00D64C5D"/>
    <w:rsid w:val="00D65699"/>
    <w:rsid w:val="00D676D8"/>
    <w:rsid w:val="00D77D0F"/>
    <w:rsid w:val="00D829C8"/>
    <w:rsid w:val="00D83D03"/>
    <w:rsid w:val="00DA1CF0"/>
    <w:rsid w:val="00DA3BF6"/>
    <w:rsid w:val="00DB192D"/>
    <w:rsid w:val="00DB4A65"/>
    <w:rsid w:val="00DC096E"/>
    <w:rsid w:val="00DC0F40"/>
    <w:rsid w:val="00DC24B4"/>
    <w:rsid w:val="00DF16DC"/>
    <w:rsid w:val="00DF6FA8"/>
    <w:rsid w:val="00E17033"/>
    <w:rsid w:val="00E315B0"/>
    <w:rsid w:val="00E43070"/>
    <w:rsid w:val="00E45211"/>
    <w:rsid w:val="00E47DF2"/>
    <w:rsid w:val="00E52427"/>
    <w:rsid w:val="00E57497"/>
    <w:rsid w:val="00E60164"/>
    <w:rsid w:val="00E60E00"/>
    <w:rsid w:val="00E666E1"/>
    <w:rsid w:val="00E746D7"/>
    <w:rsid w:val="00E90764"/>
    <w:rsid w:val="00E97035"/>
    <w:rsid w:val="00EB6343"/>
    <w:rsid w:val="00ED25B4"/>
    <w:rsid w:val="00ED4646"/>
    <w:rsid w:val="00EE0998"/>
    <w:rsid w:val="00EE4F47"/>
    <w:rsid w:val="00EE6384"/>
    <w:rsid w:val="00EF5404"/>
    <w:rsid w:val="00EF7F8A"/>
    <w:rsid w:val="00F068E6"/>
    <w:rsid w:val="00F2170C"/>
    <w:rsid w:val="00F26857"/>
    <w:rsid w:val="00F31F12"/>
    <w:rsid w:val="00F509DE"/>
    <w:rsid w:val="00F5153B"/>
    <w:rsid w:val="00F5198D"/>
    <w:rsid w:val="00F621AF"/>
    <w:rsid w:val="00F84366"/>
    <w:rsid w:val="00F85089"/>
    <w:rsid w:val="00FA007A"/>
    <w:rsid w:val="00FA2959"/>
    <w:rsid w:val="00FB6B02"/>
    <w:rsid w:val="00FC2CD3"/>
    <w:rsid w:val="00FC3590"/>
    <w:rsid w:val="00FC38B6"/>
    <w:rsid w:val="00FD4896"/>
    <w:rsid w:val="00FD5DD7"/>
    <w:rsid w:val="00FF2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2C7F81-7CE5-4196-AB90-537C26A6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48"/>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9F2073"/>
    <w:rPr>
      <w:color w:val="0000FA"/>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character" w:styleId="FollowedHyperlink">
    <w:name w:val="FollowedHyperlink"/>
    <w:basedOn w:val="DefaultParagraphFont"/>
    <w:uiPriority w:val="99"/>
    <w:semiHidden/>
    <w:unhideWhenUsed/>
    <w:rsid w:val="00D226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www.itu.int/ipr/" TargetMode="External"/><Relationship Id="rId18" Type="http://schemas.openxmlformats.org/officeDocument/2006/relationships/hyperlink" Target="http://www.itu.int/md/T13-SG17-R-00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sbsg17@itu.int" TargetMode="External"/><Relationship Id="rId17" Type="http://schemas.openxmlformats.org/officeDocument/2006/relationships/hyperlink" Target="http://www.itu.int/md/T13-SG17-R-007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T13-SG17-R-0076" TargetMode="External"/><Relationship Id="rId20" Type="http://schemas.openxmlformats.org/officeDocument/2006/relationships/hyperlink" Target="http://www.itu.int/md/T13-SG17-R-0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T13-SG17-R-0075" TargetMode="External"/><Relationship Id="rId23" Type="http://schemas.openxmlformats.org/officeDocument/2006/relationships/footer" Target="footer2.xml"/><Relationship Id="rId10" Type="http://schemas.openxmlformats.org/officeDocument/2006/relationships/hyperlink" Target="http://www.itu.int/en/ITU-T/60/Pages/default.aspx" TargetMode="External"/><Relationship Id="rId19" Type="http://schemas.openxmlformats.org/officeDocument/2006/relationships/hyperlink" Target="http://www.itu.int/md/T13-SG17-R-007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tu.int/md/T13-SG17-R-0069"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8C17D-76FB-44A4-8118-A575C77B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dc:creator>
  <cp:keywords/>
  <dc:description>174A.DOCX  For: _x000d_Document date: _x000d_Saved by ITU51006837 at 16:43:28 on 09/11/15</dc:description>
  <cp:lastModifiedBy>Millet, Lia</cp:lastModifiedBy>
  <cp:revision>3</cp:revision>
  <cp:lastPrinted>2016-12-14T16:02:00Z</cp:lastPrinted>
  <dcterms:created xsi:type="dcterms:W3CDTF">2016-12-13T17:14:00Z</dcterms:created>
  <dcterms:modified xsi:type="dcterms:W3CDTF">2016-12-14T16:03:00Z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174A.DOCX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