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F126B8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F126B8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F126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F126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F126B8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7D1F1B" w:rsidTr="00555922">
        <w:trPr>
          <w:cantSplit/>
          <w:trHeight w:val="340"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 xml:space="preserve">جنيف، </w:t>
            </w:r>
            <w:r w:rsidR="00F3079A" w:rsidRPr="007D1F1B">
              <w:t>19</w:t>
            </w:r>
            <w:r w:rsidR="00F3079A" w:rsidRPr="007D1F1B">
              <w:rPr>
                <w:rFonts w:hint="eastAsia"/>
                <w:rtl/>
                <w:lang w:bidi="ar-EG"/>
              </w:rPr>
              <w:t> </w:t>
            </w:r>
            <w:r w:rsidR="00F3079A" w:rsidRPr="007D1F1B">
              <w:rPr>
                <w:rFonts w:hint="cs"/>
                <w:rtl/>
                <w:lang w:bidi="ar-EG"/>
              </w:rPr>
              <w:t>سبتمبر</w:t>
            </w:r>
            <w:r w:rsidR="00F3079A" w:rsidRPr="007D1F1B">
              <w:rPr>
                <w:rFonts w:hint="eastAsia"/>
                <w:rtl/>
                <w:lang w:bidi="ar-EG"/>
              </w:rPr>
              <w:t> </w:t>
            </w:r>
            <w:r w:rsidR="00F3079A" w:rsidRPr="007D1F1B">
              <w:t>2016</w:t>
            </w:r>
          </w:p>
        </w:tc>
      </w:tr>
      <w:tr w:rsidR="001967E8" w:rsidRPr="007D1F1B" w:rsidTr="00555922">
        <w:trPr>
          <w:cantSplit/>
          <w:trHeight w:val="340"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7D1F1B" w:rsidRDefault="001967E8" w:rsidP="00F01A2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7D1F1B">
              <w:rPr>
                <w:b/>
                <w:bCs/>
                <w:lang w:bidi="ar-SY"/>
              </w:rPr>
              <w:t>TSB Circular</w:t>
            </w:r>
            <w:r w:rsidR="00F01A2F" w:rsidRPr="007D1F1B">
              <w:rPr>
                <w:b/>
                <w:bCs/>
                <w:lang w:bidi="ar-SY"/>
              </w:rPr>
              <w:t> </w:t>
            </w:r>
            <w:r w:rsidR="00F3079A" w:rsidRPr="007D1F1B">
              <w:rPr>
                <w:b/>
                <w:lang w:bidi="ar-SY"/>
              </w:rPr>
              <w:t>243</w:t>
            </w:r>
            <w:r w:rsidRPr="007D1F1B">
              <w:rPr>
                <w:lang w:bidi="ar-SY"/>
              </w:rPr>
              <w:br/>
            </w:r>
            <w:r w:rsidR="00F3079A" w:rsidRPr="007D1F1B">
              <w:rPr>
                <w:bCs/>
                <w:lang w:bidi="ar-SY"/>
              </w:rPr>
              <w:t>SG17/MEU</w:t>
            </w:r>
          </w:p>
        </w:tc>
        <w:tc>
          <w:tcPr>
            <w:tcW w:w="2470" w:type="pct"/>
            <w:vMerge w:val="restart"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  <w:lang w:bidi="ar-SY"/>
              </w:rPr>
              <w:t>الهاتف</w:t>
            </w:r>
            <w:r w:rsidRPr="007D1F1B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7D1F1B" w:rsidRDefault="003222FE" w:rsidP="00F01A2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7D1F1B">
              <w:t>+41</w:t>
            </w:r>
            <w:r w:rsidR="00F01A2F" w:rsidRPr="007D1F1B">
              <w:t> </w:t>
            </w:r>
            <w:r w:rsidRPr="007D1F1B">
              <w:t>22</w:t>
            </w:r>
            <w:r w:rsidR="00F01A2F" w:rsidRPr="007D1F1B">
              <w:t> </w:t>
            </w:r>
            <w:r w:rsidRPr="007D1F1B">
              <w:t>730</w:t>
            </w:r>
            <w:r w:rsidR="00F01A2F" w:rsidRPr="007D1F1B">
              <w:t> </w:t>
            </w:r>
            <w:r w:rsidRPr="007D1F1B">
              <w:t>5866</w:t>
            </w:r>
          </w:p>
        </w:tc>
        <w:tc>
          <w:tcPr>
            <w:tcW w:w="2470" w:type="pct"/>
            <w:vMerge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D1F1B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7D1F1B" w:rsidRDefault="00C600AE" w:rsidP="00555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3222FE" w:rsidRPr="007D1F1B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470" w:type="pct"/>
          </w:tcPr>
          <w:p w:rsidR="001967E8" w:rsidRPr="007D1F1B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7D1F1B">
              <w:rPr>
                <w:rFonts w:hint="cs"/>
                <w:b/>
                <w:bCs/>
                <w:rtl/>
              </w:rPr>
              <w:t>نسخة إلى:</w:t>
            </w:r>
          </w:p>
          <w:p w:rsidR="00F3079A" w:rsidRPr="007D1F1B" w:rsidRDefault="00F3079A" w:rsidP="00F307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>أعضاء قطاع تقييس الاتصالات في الات</w:t>
            </w:r>
            <w:r w:rsidRPr="007D1F1B">
              <w:rPr>
                <w:rFonts w:hint="cs"/>
                <w:rtl/>
                <w:lang w:bidi="ar-EG"/>
              </w:rPr>
              <w:t>‍</w:t>
            </w:r>
            <w:r w:rsidRPr="007D1F1B">
              <w:rPr>
                <w:rFonts w:hint="cs"/>
                <w:rtl/>
              </w:rPr>
              <w:t>حاد؛</w:t>
            </w:r>
          </w:p>
          <w:p w:rsidR="00F3079A" w:rsidRPr="007D1F1B" w:rsidRDefault="00F3079A" w:rsidP="00A75661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rtl/>
              </w:rPr>
              <w:t>ال‍منتسبين إلى قطاع تقييس الاتصالات؛</w:t>
            </w:r>
          </w:p>
          <w:p w:rsidR="00F3079A" w:rsidRPr="007D1F1B" w:rsidRDefault="00F3079A" w:rsidP="00F307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  <w:lang w:bidi="ar-EG"/>
              </w:rPr>
              <w:tab/>
            </w:r>
            <w:r w:rsidRPr="007D1F1B">
              <w:rPr>
                <w:rFonts w:hint="cs"/>
                <w:rtl/>
                <w:lang w:bidi="ar-EG"/>
              </w:rPr>
              <w:t>الهيئات الأكادي‍مية ال‍منضمة إلى الات</w:t>
            </w:r>
            <w:r w:rsidR="00F01A2F" w:rsidRPr="007D1F1B">
              <w:rPr>
                <w:rFonts w:hint="cs"/>
                <w:rtl/>
                <w:lang w:bidi="ar-EG"/>
              </w:rPr>
              <w:t>‍</w:t>
            </w:r>
            <w:r w:rsidRPr="007D1F1B">
              <w:rPr>
                <w:rFonts w:hint="cs"/>
                <w:rtl/>
                <w:lang w:bidi="ar-EG"/>
              </w:rPr>
              <w:t>حاد؛</w:t>
            </w:r>
          </w:p>
          <w:p w:rsidR="00F3079A" w:rsidRPr="007D1F1B" w:rsidRDefault="00F3079A" w:rsidP="00F307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</w:r>
            <w:r w:rsidRPr="007D1F1B">
              <w:rPr>
                <w:rFonts w:hint="cs"/>
                <w:spacing w:val="-6"/>
                <w:rtl/>
              </w:rPr>
              <w:t xml:space="preserve">رئيس ل‍جنة الدراسات </w:t>
            </w:r>
            <w:r w:rsidRPr="007D1F1B">
              <w:rPr>
                <w:spacing w:val="-6"/>
              </w:rPr>
              <w:t>17</w:t>
            </w:r>
            <w:r w:rsidRPr="007D1F1B">
              <w:rPr>
                <w:rFonts w:hint="cs"/>
                <w:spacing w:val="-6"/>
                <w:rtl/>
                <w:lang w:bidi="ar-EG"/>
              </w:rPr>
              <w:t xml:space="preserve"> لقطاع تقييس الاتصالات ونوابه؛</w:t>
            </w:r>
          </w:p>
          <w:p w:rsidR="00F3079A" w:rsidRPr="007D1F1B" w:rsidRDefault="00F3079A" w:rsidP="00F3079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  <w:t>مدير مكتب تنمية الاتصالات</w:t>
            </w:r>
            <w:r w:rsidRPr="007D1F1B">
              <w:rPr>
                <w:rFonts w:hint="cs"/>
                <w:rtl/>
              </w:rPr>
              <w:t>؛</w:t>
            </w:r>
          </w:p>
          <w:p w:rsidR="001967E8" w:rsidRPr="007D1F1B" w:rsidRDefault="00F3079A" w:rsidP="00F3079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D1F1B">
              <w:rPr>
                <w:rFonts w:hint="cs"/>
                <w:rtl/>
              </w:rPr>
              <w:t>-</w:t>
            </w:r>
            <w:r w:rsidRPr="007D1F1B">
              <w:rPr>
                <w:rtl/>
              </w:rPr>
              <w:tab/>
              <w:t>مدير مكتب الاتصالات الراديوية</w:t>
            </w: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1967E8" w:rsidRPr="007D1F1B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7D1F1B" w:rsidTr="00555922">
        <w:trPr>
          <w:cantSplit/>
        </w:trPr>
        <w:tc>
          <w:tcPr>
            <w:tcW w:w="796" w:type="pct"/>
          </w:tcPr>
          <w:p w:rsidR="001967E8" w:rsidRPr="007D1F1B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7D1F1B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7D1F1B" w:rsidRDefault="00F3079A" w:rsidP="008039D0">
            <w:pPr>
              <w:spacing w:before="60" w:after="60" w:line="340" w:lineRule="exact"/>
              <w:jc w:val="left"/>
              <w:rPr>
                <w:b/>
                <w:bCs/>
                <w:spacing w:val="2"/>
                <w:rtl/>
              </w:rPr>
            </w:pPr>
            <w:r w:rsidRPr="007D1F1B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حالة التوصيات </w:t>
            </w:r>
            <w:r w:rsidRPr="007D1F1B">
              <w:rPr>
                <w:b/>
                <w:bCs/>
                <w:spacing w:val="2"/>
                <w:lang w:bidi="ar-SY"/>
              </w:rPr>
              <w:t>ITU-T X.1258</w:t>
            </w:r>
            <w:r w:rsidRPr="007D1F1B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 </w:t>
            </w:r>
            <w:r w:rsidRPr="007D1F1B">
              <w:rPr>
                <w:rFonts w:eastAsia="Times New Roman"/>
                <w:bCs/>
                <w:spacing w:val="2"/>
                <w:rtl/>
                <w:lang w:eastAsia="en-US"/>
              </w:rPr>
              <w:t>(</w:t>
            </w:r>
            <w:proofErr w:type="spellStart"/>
            <w:r w:rsidRPr="007D1F1B">
              <w:rPr>
                <w:rFonts w:eastAsia="Times New Roman"/>
                <w:b/>
                <w:spacing w:val="2"/>
                <w:lang w:eastAsia="en-US"/>
              </w:rPr>
              <w:t>X.eaaa</w:t>
            </w:r>
            <w:proofErr w:type="spellEnd"/>
            <w:r w:rsidRPr="007D1F1B">
              <w:rPr>
                <w:rFonts w:eastAsia="Times New Roman"/>
                <w:bCs/>
                <w:spacing w:val="2"/>
                <w:rtl/>
                <w:lang w:eastAsia="en-US"/>
              </w:rPr>
              <w:t xml:space="preserve"> سابقاً)</w:t>
            </w:r>
            <w:r w:rsidRPr="007D1F1B">
              <w:rPr>
                <w:rFonts w:hint="cs"/>
                <w:bCs/>
                <w:spacing w:val="2"/>
                <w:rtl/>
                <w:lang w:bidi="ar-EG"/>
              </w:rPr>
              <w:t xml:space="preserve"> </w:t>
            </w:r>
            <w:r w:rsidRPr="007D1F1B">
              <w:rPr>
                <w:rFonts w:hint="cs"/>
                <w:b/>
                <w:bCs/>
                <w:spacing w:val="2"/>
                <w:rtl/>
                <w:lang w:bidi="ar-EG"/>
              </w:rPr>
              <w:t>و</w:t>
            </w:r>
            <w:r w:rsidR="00AF7A7A" w:rsidRPr="007D1F1B">
              <w:rPr>
                <w:rFonts w:eastAsia="Times New Roman"/>
                <w:b/>
                <w:spacing w:val="2"/>
                <w:lang w:eastAsia="en-US"/>
              </w:rPr>
              <w:t>ITU</w:t>
            </w:r>
            <w:r w:rsidR="00AF7A7A" w:rsidRPr="007D1F1B">
              <w:rPr>
                <w:rFonts w:eastAsia="Times New Roman"/>
                <w:b/>
                <w:spacing w:val="2"/>
                <w:lang w:eastAsia="en-US"/>
              </w:rPr>
              <w:noBreakHyphen/>
              <w:t>T X.1542</w:t>
            </w:r>
            <w:r w:rsidR="00AF7A7A" w:rsidRPr="007D1F1B">
              <w:rPr>
                <w:rFonts w:eastAsia="Times New Roman"/>
                <w:bCs/>
                <w:spacing w:val="2"/>
                <w:rtl/>
                <w:lang w:eastAsia="en-US"/>
              </w:rPr>
              <w:t xml:space="preserve"> </w:t>
            </w:r>
            <w:r w:rsidRPr="007D1F1B">
              <w:rPr>
                <w:rFonts w:eastAsia="Times New Roman"/>
                <w:bCs/>
                <w:spacing w:val="2"/>
                <w:rtl/>
                <w:lang w:eastAsia="en-US"/>
              </w:rPr>
              <w:t>(</w:t>
            </w:r>
            <w:proofErr w:type="spellStart"/>
            <w:r w:rsidR="00AF7A7A" w:rsidRPr="007D1F1B">
              <w:rPr>
                <w:rFonts w:eastAsia="Times New Roman"/>
                <w:b/>
                <w:spacing w:val="2"/>
                <w:lang w:eastAsia="en-US"/>
              </w:rPr>
              <w:t>X.simef</w:t>
            </w:r>
            <w:proofErr w:type="spellEnd"/>
            <w:r w:rsidR="00AF7A7A" w:rsidRPr="007D1F1B">
              <w:rPr>
                <w:rFonts w:eastAsia="Times New Roman"/>
                <w:bCs/>
                <w:spacing w:val="2"/>
                <w:rtl/>
                <w:lang w:eastAsia="en-US"/>
              </w:rPr>
              <w:t xml:space="preserve"> سابقاً</w:t>
            </w:r>
            <w:r w:rsidRPr="007D1F1B">
              <w:rPr>
                <w:rFonts w:eastAsia="Times New Roman"/>
                <w:bCs/>
                <w:spacing w:val="2"/>
                <w:rtl/>
                <w:lang w:eastAsia="en-US"/>
              </w:rPr>
              <w:t>)</w:t>
            </w:r>
            <w:r w:rsidRPr="007D1F1B">
              <w:rPr>
                <w:rFonts w:eastAsia="Times New Roman"/>
                <w:b/>
                <w:spacing w:val="2"/>
                <w:lang w:eastAsia="en-US"/>
              </w:rPr>
              <w:t xml:space="preserve"> </w:t>
            </w:r>
            <w:r w:rsidRPr="007D1F1B">
              <w:rPr>
                <w:rFonts w:hint="cs"/>
                <w:b/>
                <w:bCs/>
                <w:spacing w:val="2"/>
                <w:rtl/>
                <w:lang w:bidi="ar-EG"/>
              </w:rPr>
              <w:t>و</w:t>
            </w:r>
            <w:r w:rsidRPr="007D1F1B">
              <w:rPr>
                <w:rFonts w:eastAsia="Times New Roman"/>
                <w:b/>
                <w:spacing w:val="2"/>
                <w:lang w:eastAsia="en-US"/>
              </w:rPr>
              <w:t>ITU</w:t>
            </w:r>
            <w:r w:rsidRPr="007D1F1B">
              <w:rPr>
                <w:rFonts w:eastAsia="Times New Roman"/>
                <w:b/>
                <w:spacing w:val="2"/>
                <w:lang w:eastAsia="en-US"/>
              </w:rPr>
              <w:noBreakHyphen/>
              <w:t>T X.1641</w:t>
            </w:r>
            <w:r w:rsidR="00AF7A7A" w:rsidRPr="007D1F1B">
              <w:rPr>
                <w:rFonts w:eastAsia="Times New Roman"/>
                <w:bCs/>
                <w:spacing w:val="2"/>
                <w:rtl/>
                <w:lang w:eastAsia="en-US"/>
              </w:rPr>
              <w:t xml:space="preserve"> (</w:t>
            </w:r>
            <w:proofErr w:type="spellStart"/>
            <w:r w:rsidRPr="007D1F1B">
              <w:rPr>
                <w:rFonts w:eastAsia="Times New Roman"/>
                <w:b/>
                <w:spacing w:val="2"/>
                <w:lang w:eastAsia="en-US"/>
              </w:rPr>
              <w:t>X.CSCDataSec</w:t>
            </w:r>
            <w:proofErr w:type="spellEnd"/>
            <w:r w:rsidR="00AF7A7A" w:rsidRPr="007D1F1B">
              <w:rPr>
                <w:rFonts w:eastAsia="Times New Roman"/>
                <w:bCs/>
                <w:spacing w:val="2"/>
                <w:rtl/>
                <w:lang w:eastAsia="en-US"/>
              </w:rPr>
              <w:t xml:space="preserve"> سابقاً)</w:t>
            </w:r>
            <w:r w:rsidRPr="007D1F1B">
              <w:rPr>
                <w:bCs/>
                <w:spacing w:val="2"/>
                <w:rtl/>
                <w:lang w:bidi="ar-EG"/>
              </w:rPr>
              <w:t xml:space="preserve"> </w:t>
            </w:r>
            <w:r w:rsidR="00AF7A7A" w:rsidRPr="007D1F1B">
              <w:rPr>
                <w:rFonts w:hint="cs"/>
                <w:b/>
                <w:bCs/>
                <w:spacing w:val="2"/>
                <w:rtl/>
                <w:lang w:bidi="ar-EG"/>
              </w:rPr>
              <w:t>بعد</w:t>
            </w:r>
            <w:r w:rsidRPr="007D1F1B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اجتماع لجنة الدراسات </w:t>
            </w:r>
            <w:r w:rsidRPr="007D1F1B">
              <w:rPr>
                <w:b/>
                <w:bCs/>
                <w:spacing w:val="2"/>
                <w:lang w:bidi="ar-EG"/>
              </w:rPr>
              <w:t>17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 xml:space="preserve"> </w:t>
            </w:r>
            <w:r w:rsidR="00AF7A7A" w:rsidRPr="007D1F1B">
              <w:rPr>
                <w:rFonts w:hint="cs"/>
                <w:b/>
                <w:bCs/>
                <w:spacing w:val="2"/>
                <w:rtl/>
              </w:rPr>
              <w:t xml:space="preserve">لقطاع تقييس الاتصالات 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(</w:t>
            </w:r>
            <w:r w:rsidRPr="007D1F1B">
              <w:rPr>
                <w:b/>
                <w:bCs/>
                <w:spacing w:val="2"/>
              </w:rPr>
              <w:t>29</w:t>
            </w:r>
            <w:r w:rsidR="008039D0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أغسطس</w:t>
            </w:r>
            <w:r w:rsidR="007D1F1B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 xml:space="preserve">- </w:t>
            </w:r>
            <w:r w:rsidRPr="007D1F1B">
              <w:rPr>
                <w:b/>
                <w:bCs/>
                <w:spacing w:val="2"/>
              </w:rPr>
              <w:t>7</w:t>
            </w:r>
            <w:r w:rsidR="009A42E3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سبتمبر</w:t>
            </w:r>
            <w:r w:rsidR="009A42E3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7D1F1B">
              <w:rPr>
                <w:b/>
                <w:bCs/>
                <w:spacing w:val="2"/>
              </w:rPr>
              <w:t>2016</w:t>
            </w:r>
            <w:r w:rsidRPr="007D1F1B">
              <w:rPr>
                <w:rFonts w:hint="cs"/>
                <w:b/>
                <w:bCs/>
                <w:spacing w:val="2"/>
                <w:rtl/>
              </w:rPr>
              <w:t>، جنيف)</w:t>
            </w:r>
          </w:p>
        </w:tc>
      </w:tr>
    </w:tbl>
    <w:p w:rsidR="001967E8" w:rsidRPr="001967E8" w:rsidRDefault="001967E8" w:rsidP="001768C2">
      <w:pPr>
        <w:pStyle w:val="Normalaftertitle"/>
        <w:spacing w:before="600"/>
        <w:rPr>
          <w:rtl/>
          <w:lang w:bidi="ar-EG"/>
        </w:rPr>
      </w:pPr>
      <w:bookmarkStart w:id="0" w:name="dtemplate"/>
      <w:bookmarkEnd w:id="0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F3079A" w:rsidRPr="00BD360A" w:rsidRDefault="001967E8" w:rsidP="00BD360A">
      <w:pPr>
        <w:rPr>
          <w:spacing w:val="2"/>
          <w:rtl/>
          <w:lang w:bidi="ar-EG"/>
        </w:rPr>
      </w:pPr>
      <w:r w:rsidRPr="00BD360A">
        <w:rPr>
          <w:spacing w:val="2"/>
          <w:lang w:bidi="ar-SY"/>
        </w:rPr>
        <w:t>1</w:t>
      </w:r>
      <w:r w:rsidRPr="00BD360A">
        <w:rPr>
          <w:spacing w:val="2"/>
          <w:lang w:bidi="ar-SY"/>
        </w:rPr>
        <w:tab/>
      </w:r>
      <w:r w:rsidR="001C206B" w:rsidRPr="00BD360A">
        <w:rPr>
          <w:rFonts w:hint="cs"/>
          <w:spacing w:val="2"/>
          <w:rtl/>
          <w:lang w:bidi="ar-SY"/>
        </w:rPr>
        <w:t>إل</w:t>
      </w:r>
      <w:r w:rsidR="00BD360A" w:rsidRPr="00BD360A">
        <w:rPr>
          <w:rFonts w:hint="cs"/>
          <w:spacing w:val="2"/>
          <w:rtl/>
          <w:lang w:bidi="ar-SY"/>
        </w:rPr>
        <w:t>‍</w:t>
      </w:r>
      <w:r w:rsidR="001C206B" w:rsidRPr="00BD360A">
        <w:rPr>
          <w:rFonts w:hint="cs"/>
          <w:spacing w:val="2"/>
          <w:rtl/>
          <w:lang w:bidi="ar-SY"/>
        </w:rPr>
        <w:t>حاقاً بالنشرة ال</w:t>
      </w:r>
      <w:r w:rsidR="00BD360A" w:rsidRPr="00BD360A">
        <w:rPr>
          <w:rFonts w:hint="cs"/>
          <w:spacing w:val="2"/>
          <w:rtl/>
          <w:lang w:bidi="ar-SY"/>
        </w:rPr>
        <w:t>‍</w:t>
      </w:r>
      <w:r w:rsidR="001C206B" w:rsidRPr="00BD360A">
        <w:rPr>
          <w:rFonts w:hint="cs"/>
          <w:spacing w:val="2"/>
          <w:rtl/>
          <w:lang w:bidi="ar-SY"/>
        </w:rPr>
        <w:t xml:space="preserve">معممة </w:t>
      </w:r>
      <w:r w:rsidR="001C206B" w:rsidRPr="00BD360A">
        <w:rPr>
          <w:spacing w:val="2"/>
        </w:rPr>
        <w:t xml:space="preserve">TSB </w:t>
      </w:r>
      <w:hyperlink r:id="rId11" w:history="1">
        <w:r w:rsidR="001C206B" w:rsidRPr="00BD360A">
          <w:rPr>
            <w:rStyle w:val="Hyperlink"/>
            <w:spacing w:val="2"/>
          </w:rPr>
          <w:t>214</w:t>
        </w:r>
      </w:hyperlink>
      <w:r w:rsidR="001C206B" w:rsidRPr="00BD360A">
        <w:rPr>
          <w:rFonts w:hint="cs"/>
          <w:spacing w:val="2"/>
          <w:rtl/>
        </w:rPr>
        <w:t xml:space="preserve"> لمكتب تقييس الاتصالات المؤرخة </w:t>
      </w:r>
      <w:r w:rsidR="001C206B" w:rsidRPr="00BD360A">
        <w:rPr>
          <w:spacing w:val="2"/>
        </w:rPr>
        <w:t>4</w:t>
      </w:r>
      <w:r w:rsidR="001C206B" w:rsidRPr="00BD360A">
        <w:rPr>
          <w:rFonts w:hint="cs"/>
          <w:spacing w:val="2"/>
          <w:rtl/>
          <w:lang w:bidi="ar-EG"/>
        </w:rPr>
        <w:t xml:space="preserve"> أبريل </w:t>
      </w:r>
      <w:r w:rsidR="001C206B" w:rsidRPr="00BD360A">
        <w:rPr>
          <w:spacing w:val="2"/>
          <w:lang w:bidi="ar-EG"/>
        </w:rPr>
        <w:t>2016</w:t>
      </w:r>
      <w:r w:rsidR="001C206B" w:rsidRPr="00BD360A">
        <w:rPr>
          <w:rFonts w:hint="cs"/>
          <w:spacing w:val="2"/>
          <w:rtl/>
          <w:lang w:bidi="ar-EG"/>
        </w:rPr>
        <w:t xml:space="preserve">، وعملاً بالفقرة </w:t>
      </w:r>
      <w:r w:rsidR="001C206B" w:rsidRPr="00BD360A">
        <w:rPr>
          <w:spacing w:val="2"/>
          <w:lang w:bidi="ar-EG"/>
        </w:rPr>
        <w:t>5.9</w:t>
      </w:r>
      <w:r w:rsidR="001C206B" w:rsidRPr="00BD360A">
        <w:rPr>
          <w:rFonts w:hint="cs"/>
          <w:spacing w:val="2"/>
          <w:rtl/>
          <w:lang w:bidi="ar-EG"/>
        </w:rPr>
        <w:t xml:space="preserve"> من القرار</w:t>
      </w:r>
      <w:r w:rsidR="00BD360A" w:rsidRPr="00BD360A">
        <w:rPr>
          <w:rFonts w:hint="eastAsia"/>
          <w:spacing w:val="2"/>
          <w:rtl/>
          <w:lang w:bidi="ar-EG"/>
        </w:rPr>
        <w:t> </w:t>
      </w:r>
      <w:r w:rsidR="001C206B" w:rsidRPr="00BD360A">
        <w:rPr>
          <w:spacing w:val="2"/>
          <w:lang w:bidi="ar-EG"/>
        </w:rPr>
        <w:t>1</w:t>
      </w:r>
      <w:r w:rsidR="001C206B" w:rsidRPr="00BD360A">
        <w:rPr>
          <w:rFonts w:hint="cs"/>
          <w:spacing w:val="2"/>
          <w:rtl/>
          <w:lang w:bidi="ar-EG"/>
        </w:rPr>
        <w:t xml:space="preserve"> (دبي، </w:t>
      </w:r>
      <w:r w:rsidR="001C206B" w:rsidRPr="00BD360A">
        <w:rPr>
          <w:spacing w:val="2"/>
          <w:lang w:bidi="ar-EG"/>
        </w:rPr>
        <w:t>2012</w:t>
      </w:r>
      <w:proofErr w:type="gramStart"/>
      <w:r w:rsidR="001C206B" w:rsidRPr="00BD360A">
        <w:rPr>
          <w:rFonts w:hint="cs"/>
          <w:spacing w:val="2"/>
          <w:rtl/>
          <w:lang w:bidi="ar-EG"/>
        </w:rPr>
        <w:t>)،</w:t>
      </w:r>
      <w:proofErr w:type="gramEnd"/>
      <w:r w:rsidR="001C206B" w:rsidRPr="00BD360A">
        <w:rPr>
          <w:rFonts w:hint="cs"/>
          <w:spacing w:val="2"/>
          <w:rtl/>
          <w:lang w:bidi="ar-EG"/>
        </w:rPr>
        <w:t xml:space="preserve"> أود إفادتكم بأن لجنة الدراسات </w:t>
      </w:r>
      <w:r w:rsidR="001C206B" w:rsidRPr="00BD360A">
        <w:rPr>
          <w:spacing w:val="2"/>
          <w:lang w:bidi="ar-EG"/>
        </w:rPr>
        <w:t>17</w:t>
      </w:r>
      <w:r w:rsidR="001C206B" w:rsidRPr="00BD360A">
        <w:rPr>
          <w:rFonts w:hint="cs"/>
          <w:spacing w:val="2"/>
          <w:rtl/>
          <w:lang w:bidi="ar-EG"/>
        </w:rPr>
        <w:t xml:space="preserve"> لقطاع تقييس الاتصالات قد توصلت إلى القرارات التالية في جلستها العامة التي عُقدت في </w:t>
      </w:r>
      <w:r w:rsidR="001C206B" w:rsidRPr="00BD360A">
        <w:rPr>
          <w:spacing w:val="2"/>
          <w:lang w:bidi="ar-EG"/>
        </w:rPr>
        <w:t>7</w:t>
      </w:r>
      <w:r w:rsidR="001C206B" w:rsidRPr="00BD360A">
        <w:rPr>
          <w:rFonts w:hint="cs"/>
          <w:spacing w:val="2"/>
          <w:rtl/>
          <w:lang w:bidi="ar-EG"/>
        </w:rPr>
        <w:t xml:space="preserve"> سبتمبر </w:t>
      </w:r>
      <w:r w:rsidR="001C206B" w:rsidRPr="00BD360A">
        <w:rPr>
          <w:spacing w:val="2"/>
          <w:lang w:bidi="ar-EG"/>
        </w:rPr>
        <w:t>2016</w:t>
      </w:r>
      <w:r w:rsidR="001C206B" w:rsidRPr="00BD360A">
        <w:rPr>
          <w:rFonts w:hint="cs"/>
          <w:spacing w:val="2"/>
          <w:rtl/>
          <w:lang w:bidi="ar-EG"/>
        </w:rPr>
        <w:t xml:space="preserve"> فيما يتعلق بمشاريع التوصيات الثلاث المب</w:t>
      </w:r>
      <w:r w:rsidR="00866188" w:rsidRPr="00BD360A">
        <w:rPr>
          <w:rFonts w:hint="cs"/>
          <w:spacing w:val="2"/>
          <w:rtl/>
          <w:lang w:bidi="ar-EG"/>
        </w:rPr>
        <w:t>ين</w:t>
      </w:r>
      <w:r w:rsidR="001C206B" w:rsidRPr="00BD360A">
        <w:rPr>
          <w:rFonts w:hint="cs"/>
          <w:spacing w:val="2"/>
          <w:rtl/>
          <w:lang w:bidi="ar-EG"/>
        </w:rPr>
        <w:t>ة فيما يلي:</w:t>
      </w:r>
    </w:p>
    <w:p w:rsidR="001967E8" w:rsidRDefault="001967E8" w:rsidP="001967E8">
      <w:pPr>
        <w:rPr>
          <w:spacing w:val="-4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761"/>
        <w:gridCol w:w="1625"/>
        <w:gridCol w:w="2127"/>
      </w:tblGrid>
      <w:tr w:rsidR="005E1B9B" w:rsidRPr="00BE23E2" w:rsidTr="00BE23E2">
        <w:trPr>
          <w:cantSplit/>
          <w:tblHeader/>
          <w:jc w:val="center"/>
        </w:trPr>
        <w:tc>
          <w:tcPr>
            <w:tcW w:w="2096" w:type="dxa"/>
            <w:tcBorders>
              <w:bottom w:val="single" w:sz="12" w:space="0" w:color="auto"/>
            </w:tcBorders>
          </w:tcPr>
          <w:p w:rsidR="00EC5D42" w:rsidRPr="00BE23E2" w:rsidRDefault="00EC5D42" w:rsidP="001C3127">
            <w:pPr>
              <w:pStyle w:val="TableHead"/>
              <w:spacing w:line="300" w:lineRule="exact"/>
              <w:rPr>
                <w:sz w:val="22"/>
                <w:szCs w:val="30"/>
                <w:lang w:eastAsia="en-US"/>
              </w:rPr>
            </w:pPr>
            <w:r w:rsidRPr="00BE23E2">
              <w:rPr>
                <w:rFonts w:hint="cs"/>
                <w:sz w:val="22"/>
                <w:szCs w:val="30"/>
                <w:rtl/>
                <w:lang w:eastAsia="en-US"/>
              </w:rPr>
              <w:t>رقم التوصية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EC5D42" w:rsidRPr="00303F80" w:rsidRDefault="00EC5D42" w:rsidP="00303F80">
            <w:pPr>
              <w:pStyle w:val="TableHead"/>
              <w:spacing w:line="300" w:lineRule="exact"/>
              <w:rPr>
                <w:sz w:val="22"/>
                <w:szCs w:val="30"/>
                <w:lang w:eastAsia="en-US" w:bidi="ar-EG"/>
              </w:rPr>
            </w:pPr>
            <w:r w:rsidRPr="00303F80">
              <w:rPr>
                <w:rFonts w:hint="cs"/>
                <w:sz w:val="22"/>
                <w:szCs w:val="30"/>
                <w:rtl/>
                <w:lang w:eastAsia="en-US"/>
              </w:rPr>
              <w:t>العنوان</w:t>
            </w:r>
          </w:p>
        </w:tc>
        <w:tc>
          <w:tcPr>
            <w:tcW w:w="1625" w:type="dxa"/>
            <w:tcBorders>
              <w:bottom w:val="single" w:sz="12" w:space="0" w:color="auto"/>
            </w:tcBorders>
          </w:tcPr>
          <w:p w:rsidR="00EC5D42" w:rsidRPr="00BE23E2" w:rsidRDefault="00EC5D42" w:rsidP="001C3127">
            <w:pPr>
              <w:pStyle w:val="TableHead"/>
              <w:spacing w:line="300" w:lineRule="exact"/>
              <w:rPr>
                <w:sz w:val="22"/>
                <w:szCs w:val="30"/>
                <w:rtl/>
                <w:lang w:eastAsia="en-US"/>
              </w:rPr>
            </w:pPr>
            <w:r w:rsidRPr="00BE23E2">
              <w:rPr>
                <w:rFonts w:hint="cs"/>
                <w:sz w:val="22"/>
                <w:szCs w:val="30"/>
                <w:rtl/>
                <w:lang w:eastAsia="en-US"/>
              </w:rPr>
              <w:t>القرار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C5D42" w:rsidRPr="00BE23E2" w:rsidRDefault="00EC5D42" w:rsidP="001C3127">
            <w:pPr>
              <w:pStyle w:val="TableHead"/>
              <w:spacing w:line="300" w:lineRule="exact"/>
              <w:rPr>
                <w:sz w:val="22"/>
                <w:szCs w:val="30"/>
                <w:lang w:eastAsia="en-US"/>
              </w:rPr>
            </w:pPr>
            <w:r w:rsidRPr="00BE23E2">
              <w:rPr>
                <w:rFonts w:hint="cs"/>
                <w:sz w:val="22"/>
                <w:szCs w:val="30"/>
                <w:rtl/>
                <w:lang w:eastAsia="en-US"/>
              </w:rPr>
              <w:t>ملاحظة</w:t>
            </w:r>
          </w:p>
        </w:tc>
      </w:tr>
      <w:tr w:rsidR="005E1B9B" w:rsidRPr="00BE23E2" w:rsidTr="00BE23E2">
        <w:trPr>
          <w:cantSplit/>
          <w:jc w:val="center"/>
        </w:trPr>
        <w:tc>
          <w:tcPr>
            <w:tcW w:w="2096" w:type="dxa"/>
          </w:tcPr>
          <w:p w:rsidR="00EC5D42" w:rsidRPr="00BE23E2" w:rsidRDefault="00C600AE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rtl/>
                <w:lang w:val="fr-CH" w:bidi="ar-EG"/>
              </w:rPr>
            </w:pPr>
            <w:hyperlink r:id="rId12" w:history="1"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 xml:space="preserve">ITU-T </w:t>
              </w:r>
              <w:proofErr w:type="gram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X.1258</w:t>
              </w:r>
              <w:proofErr w:type="gramEnd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br/>
              </w:r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u w:val="none"/>
                  <w:rtl/>
                  <w:lang w:val="fr-CH" w:bidi="ar-EG"/>
                </w:rPr>
                <w:t>(</w:t>
              </w:r>
              <w:proofErr w:type="spell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X.eaaa</w:t>
              </w:r>
              <w:proofErr w:type="spellEnd"/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rtl/>
                  <w:lang w:val="fr-CH" w:bidi="ar-EG"/>
                </w:rPr>
                <w:t xml:space="preserve"> سابقاً</w:t>
              </w:r>
            </w:hyperlink>
            <w:r w:rsidR="00EC5D42" w:rsidRPr="00BE23E2">
              <w:rPr>
                <w:rFonts w:hint="cs"/>
                <w:color w:val="0000FF"/>
                <w:sz w:val="22"/>
                <w:szCs w:val="30"/>
                <w:rtl/>
              </w:rPr>
              <w:t>)</w:t>
            </w:r>
          </w:p>
        </w:tc>
        <w:tc>
          <w:tcPr>
            <w:tcW w:w="3761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 w:rsidRPr="00BE23E2">
              <w:rPr>
                <w:rFonts w:hint="cs"/>
                <w:sz w:val="22"/>
                <w:szCs w:val="30"/>
                <w:rtl/>
              </w:rPr>
              <w:t>تعزيز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الاستيقان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من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الكيانات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على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أساس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تجميع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النعوت</w:t>
            </w:r>
          </w:p>
        </w:tc>
        <w:tc>
          <w:tcPr>
            <w:tcW w:w="1625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 w:rsidRPr="00BE23E2">
              <w:rPr>
                <w:rFonts w:hint="cs"/>
                <w:sz w:val="22"/>
                <w:szCs w:val="30"/>
                <w:rtl/>
                <w:lang w:val="en-GB"/>
              </w:rPr>
              <w:t>تمت الموافقة عليها</w:t>
            </w:r>
          </w:p>
        </w:tc>
        <w:tc>
          <w:tcPr>
            <w:tcW w:w="2127" w:type="dxa"/>
          </w:tcPr>
          <w:p w:rsidR="00EC5D42" w:rsidRPr="00BE23E2" w:rsidRDefault="00EC5D42" w:rsidP="001768C2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 w:rsidRPr="00BE23E2">
              <w:rPr>
                <w:rFonts w:hint="cs"/>
                <w:sz w:val="22"/>
                <w:szCs w:val="30"/>
                <w:rtl/>
                <w:lang w:val="en-GB"/>
              </w:rPr>
              <w:t>يجري العمل على هذا البند بالتعاون مع فريق المسألة</w:t>
            </w:r>
            <w:r w:rsidR="001768C2">
              <w:rPr>
                <w:rFonts w:hint="eastAsia"/>
                <w:sz w:val="22"/>
                <w:szCs w:val="30"/>
                <w:rtl/>
                <w:lang w:val="en-GB"/>
              </w:rPr>
              <w:t> </w:t>
            </w:r>
            <w:r w:rsidRPr="00BE23E2">
              <w:rPr>
                <w:sz w:val="22"/>
                <w:szCs w:val="30"/>
                <w:lang w:val="en-GB"/>
              </w:rPr>
              <w:t>7/17</w:t>
            </w:r>
          </w:p>
        </w:tc>
      </w:tr>
      <w:tr w:rsidR="005E1B9B" w:rsidRPr="00BE23E2" w:rsidTr="00BE23E2">
        <w:trPr>
          <w:cantSplit/>
          <w:jc w:val="center"/>
        </w:trPr>
        <w:tc>
          <w:tcPr>
            <w:tcW w:w="2096" w:type="dxa"/>
          </w:tcPr>
          <w:p w:rsidR="00EC5D42" w:rsidRPr="00BE23E2" w:rsidRDefault="00C600AE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fr-CH"/>
              </w:rPr>
            </w:pPr>
            <w:hyperlink r:id="rId13" w:history="1"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 xml:space="preserve">ITU-T </w:t>
              </w:r>
              <w:proofErr w:type="gram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X.1542</w:t>
              </w:r>
              <w:proofErr w:type="gramEnd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br/>
              </w:r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u w:val="none"/>
                  <w:rtl/>
                  <w:lang w:val="fr-CH" w:bidi="ar-EG"/>
                </w:rPr>
                <w:t>(</w:t>
              </w:r>
              <w:proofErr w:type="spell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X.simef</w:t>
              </w:r>
              <w:proofErr w:type="spellEnd"/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rtl/>
                  <w:lang w:val="fr-CH" w:bidi="ar-EG"/>
                </w:rPr>
                <w:t xml:space="preserve"> سابقاً</w:t>
              </w:r>
            </w:hyperlink>
            <w:r w:rsidR="00EC5D42" w:rsidRPr="00BE23E2">
              <w:rPr>
                <w:rFonts w:hint="cs"/>
                <w:color w:val="0000FF"/>
                <w:sz w:val="22"/>
                <w:szCs w:val="30"/>
                <w:rtl/>
              </w:rPr>
              <w:t>)</w:t>
            </w:r>
          </w:p>
        </w:tc>
        <w:tc>
          <w:tcPr>
            <w:tcW w:w="3761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fr-CH"/>
              </w:rPr>
            </w:pPr>
            <w:r w:rsidRPr="00BE23E2">
              <w:rPr>
                <w:rFonts w:hint="cs"/>
                <w:sz w:val="22"/>
                <w:szCs w:val="30"/>
                <w:rtl/>
              </w:rPr>
              <w:t>نسق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تبادل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الرسائل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المتعلقة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بمعلومات</w:t>
            </w:r>
            <w:r w:rsidRPr="00BE23E2">
              <w:rPr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z w:val="22"/>
                <w:szCs w:val="30"/>
                <w:rtl/>
              </w:rPr>
              <w:t>الدورة</w:t>
            </w:r>
          </w:p>
        </w:tc>
        <w:tc>
          <w:tcPr>
            <w:tcW w:w="1625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 w:rsidRPr="00BE23E2">
              <w:rPr>
                <w:rFonts w:hint="cs"/>
                <w:sz w:val="22"/>
                <w:szCs w:val="30"/>
                <w:rtl/>
                <w:lang w:val="en-GB"/>
              </w:rPr>
              <w:t>تمت الموافقة عليها</w:t>
            </w:r>
          </w:p>
        </w:tc>
        <w:tc>
          <w:tcPr>
            <w:tcW w:w="2127" w:type="dxa"/>
          </w:tcPr>
          <w:p w:rsidR="00EC5D42" w:rsidRPr="00BE23E2" w:rsidRDefault="00EC5D42" w:rsidP="001C3127">
            <w:pPr>
              <w:pStyle w:val="Tabletexte"/>
              <w:spacing w:line="300" w:lineRule="exact"/>
              <w:rPr>
                <w:sz w:val="22"/>
                <w:szCs w:val="30"/>
                <w:lang w:val="en-GB"/>
              </w:rPr>
            </w:pPr>
          </w:p>
        </w:tc>
      </w:tr>
      <w:tr w:rsidR="005E1B9B" w:rsidRPr="00BE23E2" w:rsidTr="00BE23E2">
        <w:trPr>
          <w:cantSplit/>
          <w:jc w:val="center"/>
        </w:trPr>
        <w:tc>
          <w:tcPr>
            <w:tcW w:w="2096" w:type="dxa"/>
          </w:tcPr>
          <w:p w:rsidR="00EC5D42" w:rsidRPr="00BE23E2" w:rsidRDefault="00C600AE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fr-CH"/>
              </w:rPr>
            </w:pPr>
            <w:hyperlink r:id="rId14" w:history="1"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 xml:space="preserve">ITU-T </w:t>
              </w:r>
              <w:proofErr w:type="gram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X.1641</w:t>
              </w:r>
              <w:proofErr w:type="gramEnd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br/>
              </w:r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u w:val="none"/>
                  <w:rtl/>
                  <w:lang w:val="fr-CH" w:bidi="ar-EG"/>
                </w:rPr>
                <w:t>(</w:t>
              </w:r>
              <w:proofErr w:type="spellStart"/>
              <w:r w:rsidR="00EC5D42" w:rsidRPr="00BE23E2">
                <w:rPr>
                  <w:rStyle w:val="Hyperlink"/>
                  <w:spacing w:val="-4"/>
                  <w:sz w:val="22"/>
                  <w:szCs w:val="30"/>
                  <w:lang w:val="fr-CH" w:bidi="ar-EG"/>
                </w:rPr>
                <w:t>X.CSCDataSec</w:t>
              </w:r>
              <w:proofErr w:type="spellEnd"/>
              <w:r w:rsidR="00EC5D42" w:rsidRPr="00BE23E2">
                <w:rPr>
                  <w:rStyle w:val="Hyperlink"/>
                  <w:rFonts w:hint="cs"/>
                  <w:spacing w:val="-4"/>
                  <w:sz w:val="22"/>
                  <w:szCs w:val="30"/>
                  <w:rtl/>
                  <w:lang w:val="fr-CH" w:bidi="ar-EG"/>
                </w:rPr>
                <w:t xml:space="preserve"> سابقاً</w:t>
              </w:r>
            </w:hyperlink>
            <w:r w:rsidR="00EC5D42" w:rsidRPr="00BE23E2">
              <w:rPr>
                <w:rFonts w:hint="cs"/>
                <w:color w:val="0000FF"/>
                <w:sz w:val="22"/>
                <w:szCs w:val="30"/>
                <w:rtl/>
              </w:rPr>
              <w:t>)</w:t>
            </w:r>
          </w:p>
        </w:tc>
        <w:tc>
          <w:tcPr>
            <w:tcW w:w="3761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pacing w:val="-4"/>
                <w:sz w:val="22"/>
                <w:szCs w:val="30"/>
                <w:lang w:val="en-GB"/>
              </w:rPr>
            </w:pP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المبادئ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التوجيهية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لأمن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بيانات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عملاء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الخدمات</w:t>
            </w:r>
            <w:r w:rsidRPr="00BE23E2">
              <w:rPr>
                <w:spacing w:val="-4"/>
                <w:sz w:val="22"/>
                <w:szCs w:val="30"/>
                <w:rtl/>
              </w:rPr>
              <w:t xml:space="preserve"> </w:t>
            </w:r>
            <w:r w:rsidRPr="00BE23E2">
              <w:rPr>
                <w:rFonts w:hint="cs"/>
                <w:spacing w:val="-4"/>
                <w:sz w:val="22"/>
                <w:szCs w:val="30"/>
                <w:rtl/>
              </w:rPr>
              <w:t>السحابية</w:t>
            </w:r>
          </w:p>
        </w:tc>
        <w:tc>
          <w:tcPr>
            <w:tcW w:w="1625" w:type="dxa"/>
          </w:tcPr>
          <w:p w:rsidR="00EC5D42" w:rsidRPr="00BE23E2" w:rsidRDefault="00EC5D42" w:rsidP="001C3127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 w:rsidRPr="00BE23E2">
              <w:rPr>
                <w:rFonts w:hint="cs"/>
                <w:sz w:val="22"/>
                <w:szCs w:val="30"/>
                <w:rtl/>
                <w:lang w:val="en-GB"/>
              </w:rPr>
              <w:t>تمت الموافقة عليها</w:t>
            </w:r>
          </w:p>
        </w:tc>
        <w:tc>
          <w:tcPr>
            <w:tcW w:w="2127" w:type="dxa"/>
          </w:tcPr>
          <w:p w:rsidR="00EC5D42" w:rsidRPr="00BE23E2" w:rsidRDefault="00EC5D42" w:rsidP="001C3127">
            <w:pPr>
              <w:pStyle w:val="Tabletexte"/>
              <w:spacing w:line="300" w:lineRule="exact"/>
              <w:rPr>
                <w:sz w:val="22"/>
                <w:szCs w:val="30"/>
                <w:lang w:val="en-GB"/>
              </w:rPr>
            </w:pPr>
          </w:p>
        </w:tc>
      </w:tr>
    </w:tbl>
    <w:p w:rsidR="00F919EB" w:rsidRDefault="00F919EB" w:rsidP="003222FE">
      <w:pPr>
        <w:rPr>
          <w:spacing w:val="-4"/>
          <w:rtl/>
          <w:lang w:bidi="ar-EG"/>
        </w:rPr>
      </w:pPr>
    </w:p>
    <w:p w:rsidR="001967E8" w:rsidRPr="001967E8" w:rsidRDefault="001967E8" w:rsidP="003222FE">
      <w:pPr>
        <w:rPr>
          <w:rtl/>
          <w:lang w:bidi="ar-EG"/>
        </w:rPr>
      </w:pPr>
      <w:r w:rsidRPr="001967E8">
        <w:rPr>
          <w:lang w:bidi="ar-SY"/>
        </w:rPr>
        <w:t>2</w:t>
      </w:r>
      <w:r w:rsidRPr="001967E8">
        <w:rPr>
          <w:rFonts w:hint="cs"/>
          <w:rtl/>
          <w:lang w:bidi="ar-EG"/>
        </w:rPr>
        <w:tab/>
      </w:r>
      <w:r w:rsidR="003222FE">
        <w:rPr>
          <w:rtl/>
          <w:lang w:bidi="ar-EG"/>
        </w:rPr>
        <w:t xml:space="preserve">وي‍مكن الاطلاع على ال‍معلومات ال‍خاصة ببراءات الاختراع بالرجوع إلى </w:t>
      </w:r>
      <w:hyperlink r:id="rId15" w:history="1">
        <w:r w:rsidR="003222FE" w:rsidRPr="00F919EB">
          <w:rPr>
            <w:rStyle w:val="Hyperlink"/>
            <w:rtl/>
            <w:lang w:bidi="ar-EG"/>
          </w:rPr>
          <w:t>ال‍موقع الإلكتروني لقطاع تقييس الاتصالات</w:t>
        </w:r>
      </w:hyperlink>
      <w:r w:rsidR="003222FE">
        <w:rPr>
          <w:rtl/>
          <w:lang w:bidi="ar-EG"/>
        </w:rPr>
        <w:t>.</w:t>
      </w:r>
    </w:p>
    <w:p w:rsidR="001967E8" w:rsidRDefault="001967E8" w:rsidP="003222FE">
      <w:pPr>
        <w:rPr>
          <w:rtl/>
          <w:lang w:bidi="ar-EG"/>
        </w:rPr>
      </w:pPr>
      <w:r w:rsidRPr="001967E8">
        <w:rPr>
          <w:lang w:bidi="ar-SY"/>
        </w:rPr>
        <w:t>3</w:t>
      </w:r>
      <w:r w:rsidRPr="001967E8">
        <w:rPr>
          <w:rFonts w:hint="cs"/>
          <w:rtl/>
          <w:lang w:bidi="ar-EG"/>
        </w:rPr>
        <w:tab/>
      </w:r>
      <w:r w:rsidR="003222FE" w:rsidRPr="00517C9A">
        <w:rPr>
          <w:rtl/>
          <w:lang w:bidi="ar-EG"/>
        </w:rPr>
        <w:t>وس</w:t>
      </w:r>
      <w:r w:rsidR="003222FE">
        <w:rPr>
          <w:rFonts w:hint="cs"/>
          <w:rtl/>
          <w:lang w:bidi="ar-EG"/>
        </w:rPr>
        <w:t>ت</w:t>
      </w:r>
      <w:r w:rsidR="003222FE" w:rsidRPr="00517C9A">
        <w:rPr>
          <w:rtl/>
          <w:lang w:bidi="ar-EG"/>
        </w:rPr>
        <w:t>تاح قريباً نص</w:t>
      </w:r>
      <w:r w:rsidR="003222FE">
        <w:rPr>
          <w:rFonts w:hint="cs"/>
          <w:rtl/>
          <w:lang w:bidi="ar-EG"/>
        </w:rPr>
        <w:t>وص</w:t>
      </w:r>
      <w:r w:rsidR="003222FE" w:rsidRPr="00517C9A">
        <w:rPr>
          <w:rtl/>
          <w:lang w:bidi="ar-EG"/>
        </w:rPr>
        <w:t xml:space="preserve"> التوصي</w:t>
      </w:r>
      <w:r w:rsidR="003222FE">
        <w:rPr>
          <w:rFonts w:hint="cs"/>
          <w:rtl/>
          <w:lang w:bidi="ar-EG"/>
        </w:rPr>
        <w:t>ات</w:t>
      </w:r>
      <w:r w:rsidR="003222FE" w:rsidRPr="00517C9A">
        <w:rPr>
          <w:rtl/>
          <w:lang w:bidi="ar-EG"/>
        </w:rPr>
        <w:t xml:space="preserve"> في صيغتها السابقة للنشر في ال‍موقع الإلكتروني لقطاع تقييس الاتصالات</w:t>
      </w:r>
      <w:r w:rsidR="003222FE" w:rsidRPr="00517C9A">
        <w:rPr>
          <w:rFonts w:hint="cs"/>
          <w:rtl/>
          <w:lang w:bidi="ar-EG"/>
        </w:rPr>
        <w:t xml:space="preserve"> </w:t>
      </w:r>
      <w:hyperlink r:id="rId16" w:history="1">
        <w:r w:rsidR="003222FE" w:rsidRPr="00517C9A">
          <w:rPr>
            <w:rFonts w:eastAsia="Times New Roman" w:cs="Times New Roman"/>
            <w:color w:val="0000FF"/>
            <w:szCs w:val="22"/>
            <w:u w:val="single"/>
            <w:lang w:eastAsia="en-US"/>
          </w:rPr>
          <w:t>http://itu.int/itu-t/recommendations/</w:t>
        </w:r>
      </w:hyperlink>
      <w:r w:rsidR="003222FE">
        <w:rPr>
          <w:rtl/>
          <w:lang w:bidi="ar-EG"/>
        </w:rPr>
        <w:t>.</w:t>
      </w:r>
    </w:p>
    <w:p w:rsidR="003222FE" w:rsidRPr="001967E8" w:rsidRDefault="003222FE" w:rsidP="003222FE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EG"/>
        </w:rPr>
        <w:t>وسوف ينشر الات‍حاد نص</w:t>
      </w:r>
      <w:r>
        <w:rPr>
          <w:rFonts w:hint="cs"/>
          <w:rtl/>
          <w:lang w:bidi="ar-EG"/>
        </w:rPr>
        <w:t>وص</w:t>
      </w:r>
      <w:r>
        <w:rPr>
          <w:rtl/>
          <w:lang w:bidi="ar-EG"/>
        </w:rPr>
        <w:t xml:space="preserve"> هذه التوصي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في أقرب وقت م‍مكن.</w:t>
      </w:r>
    </w:p>
    <w:p w:rsidR="001967E8" w:rsidRDefault="001967E8" w:rsidP="00A971DF">
      <w:pPr>
        <w:pStyle w:val="Normalaftertitle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C600AE" w:rsidRPr="001967E8" w:rsidRDefault="00C600AE" w:rsidP="00A971DF">
      <w:pPr>
        <w:pStyle w:val="Normalaftertitle"/>
        <w:spacing w:before="240"/>
        <w:rPr>
          <w:rtl/>
          <w:lang w:bidi="ar-EG"/>
        </w:rPr>
      </w:pPr>
      <w:bookmarkStart w:id="1" w:name="_GoBack"/>
      <w:bookmarkEnd w:id="1"/>
    </w:p>
    <w:p w:rsidR="001967E8" w:rsidRPr="001967E8" w:rsidRDefault="001967E8" w:rsidP="00BC5609">
      <w:pPr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RPr="001967E8" w:rsidSect="00BE23E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08" w:rsidRDefault="000C3D08" w:rsidP="00E76837">
      <w:pPr>
        <w:spacing w:before="0" w:line="240" w:lineRule="auto"/>
      </w:pPr>
      <w:r>
        <w:separator/>
      </w:r>
    </w:p>
  </w:endnote>
  <w:endnote w:type="continuationSeparator" w:id="0">
    <w:p w:rsidR="000C3D08" w:rsidRDefault="000C3D08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8" w:rsidRPr="00CC5888" w:rsidRDefault="00CC5888" w:rsidP="00CC5888">
    <w:pPr>
      <w:tabs>
        <w:tab w:val="clear" w:pos="794"/>
        <w:tab w:val="left" w:pos="5954"/>
        <w:tab w:val="right" w:pos="9639"/>
      </w:tabs>
      <w:bidi w:val="0"/>
      <w:spacing w:before="0"/>
      <w:rPr>
        <w:rFonts w:cs="Times New Roman"/>
        <w:caps/>
        <w:noProof/>
        <w:sz w:val="16"/>
        <w:szCs w:val="20"/>
        <w:lang w:val="fr-CH"/>
      </w:rPr>
    </w:pPr>
    <w:r>
      <w:rPr>
        <w:caps/>
        <w:noProof/>
        <w:sz w:val="16"/>
        <w:lang w:val="fr-CH"/>
      </w:rPr>
      <w:t>ITU-T\BUREAU\CIRC\243A.DOC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Pr="00F419A4" w:rsidRDefault="00F419A4" w:rsidP="00F419A4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6B2CD8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6B2CD8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6B2CD8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6B2CD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6B2CD8">
      <w:rPr>
        <w:rFonts w:eastAsia="Times New Roman" w:cs="Times New Roman"/>
        <w:sz w:val="18"/>
        <w:szCs w:val="18"/>
        <w:lang w:val="fr-CH" w:eastAsia="en-US"/>
      </w:rPr>
      <w:t>Switzerland</w:t>
    </w:r>
    <w:proofErr w:type="spellEnd"/>
    <w:r w:rsidRPr="006B2CD8">
      <w:rPr>
        <w:rFonts w:eastAsia="Times New Roman" w:cs="Times New Roman"/>
        <w:sz w:val="18"/>
        <w:szCs w:val="18"/>
        <w:lang w:val="fr-CH" w:eastAsia="en-US"/>
      </w:rPr>
      <w:t xml:space="preserve"> </w:t>
    </w:r>
    <w:r w:rsidRPr="006B2CD8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6B2CD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6B2CD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08" w:rsidRDefault="000C3D08" w:rsidP="00E76837">
      <w:pPr>
        <w:spacing w:before="0" w:line="240" w:lineRule="auto"/>
      </w:pPr>
      <w:r>
        <w:separator/>
      </w:r>
    </w:p>
  </w:footnote>
  <w:footnote w:type="continuationSeparator" w:id="0">
    <w:p w:rsidR="000C3D08" w:rsidRDefault="000C3D08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A11AA2" w:rsidP="00A11AA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- </w:t>
    </w:r>
    <w:r w:rsidR="00E76837" w:rsidRPr="00E76837">
      <w:rPr>
        <w:rFonts w:cs="Calibri"/>
        <w:sz w:val="20"/>
        <w:szCs w:val="20"/>
      </w:rPr>
      <w:fldChar w:fldCharType="begin"/>
    </w:r>
    <w:r w:rsidR="00E76837" w:rsidRPr="00E76837">
      <w:rPr>
        <w:rFonts w:cs="Calibri"/>
        <w:sz w:val="20"/>
        <w:szCs w:val="20"/>
      </w:rPr>
      <w:instrText xml:space="preserve"> PAGE </w:instrText>
    </w:r>
    <w:r w:rsidR="00E76837" w:rsidRPr="00E76837">
      <w:rPr>
        <w:rFonts w:cs="Calibri"/>
        <w:sz w:val="20"/>
        <w:szCs w:val="20"/>
      </w:rPr>
      <w:fldChar w:fldCharType="separate"/>
    </w:r>
    <w:r w:rsidR="00C600AE">
      <w:rPr>
        <w:rFonts w:cs="Calibri"/>
        <w:noProof/>
        <w:sz w:val="20"/>
        <w:szCs w:val="20"/>
      </w:rPr>
      <w:t>2</w:t>
    </w:r>
    <w:r w:rsidR="00E76837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08"/>
    <w:rsid w:val="00086A34"/>
    <w:rsid w:val="00090574"/>
    <w:rsid w:val="000A410A"/>
    <w:rsid w:val="000C3D08"/>
    <w:rsid w:val="00142DD1"/>
    <w:rsid w:val="00173915"/>
    <w:rsid w:val="001768C2"/>
    <w:rsid w:val="001967E8"/>
    <w:rsid w:val="001C206B"/>
    <w:rsid w:val="001C3127"/>
    <w:rsid w:val="0023283D"/>
    <w:rsid w:val="0028438A"/>
    <w:rsid w:val="002978F4"/>
    <w:rsid w:val="002B028D"/>
    <w:rsid w:val="002E6541"/>
    <w:rsid w:val="00303F80"/>
    <w:rsid w:val="003222FE"/>
    <w:rsid w:val="00357185"/>
    <w:rsid w:val="003F678F"/>
    <w:rsid w:val="0042686F"/>
    <w:rsid w:val="00443869"/>
    <w:rsid w:val="004F30AD"/>
    <w:rsid w:val="00501E0E"/>
    <w:rsid w:val="0055516A"/>
    <w:rsid w:val="00555922"/>
    <w:rsid w:val="005750AA"/>
    <w:rsid w:val="005E1B9B"/>
    <w:rsid w:val="005F0FFB"/>
    <w:rsid w:val="006F63F7"/>
    <w:rsid w:val="00706D7A"/>
    <w:rsid w:val="00737A93"/>
    <w:rsid w:val="00770442"/>
    <w:rsid w:val="00773B5E"/>
    <w:rsid w:val="007D1F1B"/>
    <w:rsid w:val="008039D0"/>
    <w:rsid w:val="00803F08"/>
    <w:rsid w:val="00822252"/>
    <w:rsid w:val="008235CD"/>
    <w:rsid w:val="008513CB"/>
    <w:rsid w:val="008575A2"/>
    <w:rsid w:val="00866188"/>
    <w:rsid w:val="008D6381"/>
    <w:rsid w:val="008E5FE1"/>
    <w:rsid w:val="00982B28"/>
    <w:rsid w:val="009A42E3"/>
    <w:rsid w:val="00A11AA2"/>
    <w:rsid w:val="00A335B4"/>
    <w:rsid w:val="00A75661"/>
    <w:rsid w:val="00A96670"/>
    <w:rsid w:val="00A971DF"/>
    <w:rsid w:val="00A97F94"/>
    <w:rsid w:val="00AE637F"/>
    <w:rsid w:val="00AF7A7A"/>
    <w:rsid w:val="00B31978"/>
    <w:rsid w:val="00BC5609"/>
    <w:rsid w:val="00BD360A"/>
    <w:rsid w:val="00BE23E2"/>
    <w:rsid w:val="00C600AE"/>
    <w:rsid w:val="00C674FE"/>
    <w:rsid w:val="00C75633"/>
    <w:rsid w:val="00CC5888"/>
    <w:rsid w:val="00CD6E27"/>
    <w:rsid w:val="00CE2EE1"/>
    <w:rsid w:val="00CF3FFD"/>
    <w:rsid w:val="00D77D0F"/>
    <w:rsid w:val="00DA1CF0"/>
    <w:rsid w:val="00DC24B4"/>
    <w:rsid w:val="00DC70D2"/>
    <w:rsid w:val="00DE724E"/>
    <w:rsid w:val="00DF16DC"/>
    <w:rsid w:val="00E17033"/>
    <w:rsid w:val="00E45211"/>
    <w:rsid w:val="00E76837"/>
    <w:rsid w:val="00E87B31"/>
    <w:rsid w:val="00EC5D42"/>
    <w:rsid w:val="00F01A2F"/>
    <w:rsid w:val="00F126B8"/>
    <w:rsid w:val="00F3079A"/>
    <w:rsid w:val="00F419A4"/>
    <w:rsid w:val="00F67271"/>
    <w:rsid w:val="00F84366"/>
    <w:rsid w:val="00F85089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737441C8-EEDB-4D85-894A-22F2ECB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2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2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workprog/wp_item.aspx?isn=1027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8DF7-8C97-4BA7-8770-FF4AEC05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62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>243A.DOCX  For: _x000d_Document date: _x000d_Saved by ITU51011599 at 16:43:06 on 27/09/2016</dc:description>
  <cp:lastModifiedBy>Osvath, Alexandra</cp:lastModifiedBy>
  <cp:revision>25</cp:revision>
  <cp:lastPrinted>2016-09-28T08:44:00Z</cp:lastPrinted>
  <dcterms:created xsi:type="dcterms:W3CDTF">2016-09-21T16:35:00Z</dcterms:created>
  <dcterms:modified xsi:type="dcterms:W3CDTF">2016-09-28T08:44:00Z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