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884D12" w:rsidRPr="00697BC1" w:rsidTr="00B80E33">
        <w:trPr>
          <w:cantSplit/>
        </w:trPr>
        <w:tc>
          <w:tcPr>
            <w:tcW w:w="1418" w:type="dxa"/>
            <w:vAlign w:val="center"/>
          </w:tcPr>
          <w:p w:rsidR="00884D12" w:rsidRPr="00697BC1" w:rsidRDefault="00884D12" w:rsidP="00B80E33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A27801D" wp14:editId="586ADF41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884D12" w:rsidRPr="00161F9A" w:rsidRDefault="00884D12" w:rsidP="00884D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:rsidR="00884D12" w:rsidRPr="00884D12" w:rsidRDefault="00884D12" w:rsidP="00884D12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es-ES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884D12" w:rsidRPr="00697BC1" w:rsidRDefault="00884D12" w:rsidP="00B80E33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  <w:r>
              <w:rPr>
                <w:rFonts w:cs="Calibri"/>
                <w:noProof/>
                <w:lang w:val="en-US" w:eastAsia="zh-CN"/>
              </w:rPr>
              <w:drawing>
                <wp:inline distT="0" distB="0" distL="0" distR="0" wp14:anchorId="1703B13C" wp14:editId="03B2FE80">
                  <wp:extent cx="937955" cy="719948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69" cy="75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772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Default="00C34772" w:rsidP="00FD70BE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 xml:space="preserve">Ginebra, </w:t>
      </w:r>
      <w:r w:rsidR="00FD70BE" w:rsidRPr="00FD70BE">
        <w:t>6 de septiembre de 2016</w:t>
      </w:r>
    </w:p>
    <w:p w:rsidR="00C34772" w:rsidRDefault="00C34772" w:rsidP="00303D62">
      <w:pPr>
        <w:spacing w:before="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3695"/>
        <w:gridCol w:w="5329"/>
      </w:tblGrid>
      <w:tr w:rsidR="00CC5ACE" w:rsidTr="008A5CFA">
        <w:trPr>
          <w:cantSplit/>
          <w:trHeight w:val="340"/>
        </w:trPr>
        <w:tc>
          <w:tcPr>
            <w:tcW w:w="1182" w:type="dxa"/>
          </w:tcPr>
          <w:p w:rsidR="00CC5ACE" w:rsidRPr="00CC5ACE" w:rsidRDefault="00CC5ACE" w:rsidP="00CC5ACE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8A5CFA">
              <w:rPr>
                <w:szCs w:val="24"/>
              </w:rPr>
              <w:t>Ref.:</w:t>
            </w:r>
          </w:p>
        </w:tc>
        <w:tc>
          <w:tcPr>
            <w:tcW w:w="3695" w:type="dxa"/>
          </w:tcPr>
          <w:p w:rsidR="00CC5ACE" w:rsidRPr="0094637C" w:rsidRDefault="00CC5ACE" w:rsidP="00EA0E30">
            <w:pPr>
              <w:tabs>
                <w:tab w:val="left" w:pos="4111"/>
              </w:tabs>
              <w:spacing w:before="0"/>
              <w:ind w:left="57"/>
              <w:rPr>
                <w:b/>
                <w:lang w:val="en-GB"/>
              </w:rPr>
            </w:pPr>
            <w:r w:rsidRPr="0094637C">
              <w:rPr>
                <w:b/>
                <w:lang w:val="en-GB"/>
              </w:rPr>
              <w:t>Circular TSB 2</w:t>
            </w:r>
            <w:r w:rsidR="00FD70BE">
              <w:rPr>
                <w:b/>
                <w:lang w:val="en-GB"/>
              </w:rPr>
              <w:t>34</w:t>
            </w:r>
          </w:p>
          <w:p w:rsidR="00CC5ACE" w:rsidRPr="00FD70BE" w:rsidRDefault="00FD70BE" w:rsidP="002C73A4">
            <w:pPr>
              <w:tabs>
                <w:tab w:val="left" w:pos="4111"/>
              </w:tabs>
              <w:spacing w:before="0" w:after="360"/>
              <w:ind w:left="57"/>
              <w:rPr>
                <w:b/>
                <w:bCs/>
                <w:lang w:val="en-GB"/>
              </w:rPr>
            </w:pPr>
            <w:r w:rsidRPr="00FD70BE">
              <w:rPr>
                <w:b/>
                <w:bCs/>
                <w:lang w:val="en-GB"/>
              </w:rPr>
              <w:t>Bilel Jamoussi</w:t>
            </w:r>
          </w:p>
        </w:tc>
        <w:tc>
          <w:tcPr>
            <w:tcW w:w="5329" w:type="dxa"/>
            <w:vMerge w:val="restart"/>
          </w:tcPr>
          <w:p w:rsidR="008A0F06" w:rsidRDefault="00CC5ACE" w:rsidP="00900E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S"/>
            <w:bookmarkEnd w:id="0"/>
            <w:r>
              <w:t>–</w:t>
            </w:r>
            <w:r>
              <w:tab/>
            </w:r>
            <w:r w:rsidR="008A0F06">
              <w:t>A las Administraciones de los Estados Miembros de la Unión;</w:t>
            </w:r>
          </w:p>
          <w:p w:rsidR="008A0F06" w:rsidRDefault="008A0F06" w:rsidP="008A0F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>
              <w:tab/>
              <w:t xml:space="preserve"> </w:t>
            </w:r>
            <w:r w:rsidR="00900E62">
              <w:t>A los Miembros del Sector UIT-T</w:t>
            </w:r>
            <w:r>
              <w:t>;</w:t>
            </w:r>
          </w:p>
          <w:p w:rsidR="008A0F06" w:rsidRDefault="00900E62" w:rsidP="008A0F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>
              <w:tab/>
              <w:t xml:space="preserve"> A los Asociados del UIT-T</w:t>
            </w:r>
            <w:r w:rsidR="008A0F06">
              <w:t>;</w:t>
            </w:r>
          </w:p>
          <w:p w:rsidR="008A0F06" w:rsidRDefault="008A0F06" w:rsidP="008A0F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>
              <w:tab/>
              <w:t xml:space="preserve"> A las Ins</w:t>
            </w:r>
            <w:r w:rsidR="00900E62">
              <w:t>tituciones Académicas de la UIT</w:t>
            </w:r>
            <w:r>
              <w:t>;</w:t>
            </w:r>
          </w:p>
          <w:p w:rsidR="008A0F06" w:rsidRDefault="008A0F06" w:rsidP="008A0F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>
              <w:tab/>
              <w:t xml:space="preserve"> A las organizaciones r</w:t>
            </w:r>
            <w:r w:rsidR="00900E62">
              <w:t>egionales de telecomunicaciones</w:t>
            </w:r>
            <w:r>
              <w:t>;</w:t>
            </w:r>
          </w:p>
          <w:p w:rsidR="008A0F06" w:rsidRDefault="008A0F06" w:rsidP="008A0F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>
              <w:tab/>
              <w:t xml:space="preserve"> A las organizaciones intergubernamentales que</w:t>
            </w:r>
            <w:r w:rsidR="00900E62">
              <w:t xml:space="preserve"> explotan sistemas de satélites</w:t>
            </w:r>
            <w:r>
              <w:t>;</w:t>
            </w:r>
          </w:p>
          <w:p w:rsidR="00CC5ACE" w:rsidRDefault="008A0F06" w:rsidP="008A0F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>
              <w:tab/>
              <w:t xml:space="preserve"> A los organismos especializados de las Naciones Unidas y al Organismo Internacional de Energía Atómica</w:t>
            </w:r>
          </w:p>
        </w:tc>
      </w:tr>
      <w:tr w:rsidR="00CC5ACE" w:rsidTr="008A5CFA">
        <w:trPr>
          <w:cantSplit/>
          <w:trHeight w:val="340"/>
        </w:trPr>
        <w:tc>
          <w:tcPr>
            <w:tcW w:w="1182" w:type="dxa"/>
          </w:tcPr>
          <w:p w:rsidR="00CC5ACE" w:rsidRPr="008A5CFA" w:rsidRDefault="00CC5ACE" w:rsidP="008A5CFA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8A5CFA">
              <w:rPr>
                <w:szCs w:val="24"/>
              </w:rPr>
              <w:t>Tel.:</w:t>
            </w:r>
          </w:p>
        </w:tc>
        <w:tc>
          <w:tcPr>
            <w:tcW w:w="3695" w:type="dxa"/>
          </w:tcPr>
          <w:p w:rsidR="00CC5ACE" w:rsidRPr="0094637C" w:rsidRDefault="00FD70BE" w:rsidP="0094637C">
            <w:pPr>
              <w:tabs>
                <w:tab w:val="left" w:pos="4111"/>
              </w:tabs>
              <w:spacing w:before="0"/>
              <w:ind w:left="57"/>
              <w:rPr>
                <w:b/>
                <w:lang w:val="en-GB"/>
              </w:rPr>
            </w:pPr>
            <w:r w:rsidRPr="00FD70BE">
              <w:rPr>
                <w:lang w:val="en-GB"/>
              </w:rPr>
              <w:t>+41 22 730 6311</w:t>
            </w:r>
          </w:p>
        </w:tc>
        <w:tc>
          <w:tcPr>
            <w:tcW w:w="5329" w:type="dxa"/>
            <w:vMerge/>
          </w:tcPr>
          <w:p w:rsidR="00CC5ACE" w:rsidRDefault="00CC5ACE" w:rsidP="009463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C5ACE" w:rsidTr="008A5CFA">
        <w:trPr>
          <w:cantSplit/>
          <w:trHeight w:val="340"/>
        </w:trPr>
        <w:tc>
          <w:tcPr>
            <w:tcW w:w="1182" w:type="dxa"/>
          </w:tcPr>
          <w:p w:rsidR="00CC5ACE" w:rsidRPr="008A5CFA" w:rsidRDefault="00CC5ACE" w:rsidP="008A5CFA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8A5CFA">
              <w:rPr>
                <w:szCs w:val="24"/>
              </w:rPr>
              <w:t>Fax:</w:t>
            </w:r>
            <w:r w:rsidR="00B57C5B" w:rsidRPr="008A5CFA">
              <w:rPr>
                <w:szCs w:val="24"/>
              </w:rPr>
              <w:t xml:space="preserve"> Correo-e:</w:t>
            </w:r>
          </w:p>
        </w:tc>
        <w:tc>
          <w:tcPr>
            <w:tcW w:w="3695" w:type="dxa"/>
          </w:tcPr>
          <w:p w:rsidR="00CC5ACE" w:rsidRPr="00B57C5B" w:rsidRDefault="00413AD8" w:rsidP="00B57C5B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B57C5B">
              <w:t>+41 22 730 5853</w:t>
            </w:r>
            <w:r w:rsidR="00B57C5B" w:rsidRPr="00B57C5B">
              <w:br/>
            </w:r>
            <w:r w:rsidR="00B57C5B" w:rsidRPr="00413AD8">
              <w:rPr>
                <w:rStyle w:val="Hyperlink"/>
              </w:rPr>
              <w:t>tsbsgd@itu.int</w:t>
            </w:r>
          </w:p>
        </w:tc>
        <w:tc>
          <w:tcPr>
            <w:tcW w:w="5329" w:type="dxa"/>
            <w:vMerge/>
          </w:tcPr>
          <w:p w:rsidR="00CC5ACE" w:rsidRDefault="00CC5ACE" w:rsidP="009463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34772" w:rsidTr="008A5CFA">
        <w:trPr>
          <w:cantSplit/>
        </w:trPr>
        <w:tc>
          <w:tcPr>
            <w:tcW w:w="1182" w:type="dxa"/>
          </w:tcPr>
          <w:p w:rsidR="00C34772" w:rsidRPr="008A5CFA" w:rsidRDefault="00C34772" w:rsidP="008A5CFA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</w:p>
        </w:tc>
        <w:tc>
          <w:tcPr>
            <w:tcW w:w="3695" w:type="dxa"/>
          </w:tcPr>
          <w:p w:rsidR="00C34772" w:rsidRPr="00413AD8" w:rsidRDefault="00C34772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</w:p>
        </w:tc>
        <w:tc>
          <w:tcPr>
            <w:tcW w:w="5329" w:type="dxa"/>
          </w:tcPr>
          <w:p w:rsidR="00C34772" w:rsidRDefault="00C34772" w:rsidP="00437D85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>Copia</w:t>
            </w:r>
            <w:r>
              <w:t>:</w:t>
            </w:r>
          </w:p>
          <w:p w:rsidR="008A0F06" w:rsidRPr="00675404" w:rsidRDefault="008A5CFA" w:rsidP="008A0F06">
            <w:pPr>
              <w:pStyle w:val="Tabletext0"/>
              <w:tabs>
                <w:tab w:val="clear" w:pos="284"/>
                <w:tab w:val="left" w:pos="283"/>
              </w:tabs>
              <w:ind w:left="283" w:hanging="283"/>
              <w:rPr>
                <w:szCs w:val="24"/>
              </w:rPr>
            </w:pPr>
            <w:r>
              <w:t>–</w:t>
            </w:r>
            <w:r w:rsidR="0094637C">
              <w:tab/>
            </w:r>
            <w:r w:rsidR="008A0F06" w:rsidRPr="00675404">
              <w:rPr>
                <w:szCs w:val="24"/>
              </w:rPr>
              <w:t xml:space="preserve">A los Presidentes y Vicepresidentes de las </w:t>
            </w:r>
            <w:r w:rsidR="00900E62">
              <w:rPr>
                <w:szCs w:val="24"/>
              </w:rPr>
              <w:t>Comisiones de Estudio del UIT-T</w:t>
            </w:r>
            <w:r w:rsidR="008A0F06" w:rsidRPr="00675404">
              <w:rPr>
                <w:szCs w:val="24"/>
              </w:rPr>
              <w:t>;</w:t>
            </w:r>
          </w:p>
          <w:p w:rsidR="008A0F06" w:rsidRPr="00675404" w:rsidRDefault="008A0F06" w:rsidP="008A0F06">
            <w:pPr>
              <w:pStyle w:val="Tabletext0"/>
              <w:tabs>
                <w:tab w:val="clear" w:pos="284"/>
                <w:tab w:val="left" w:pos="283"/>
              </w:tabs>
              <w:ind w:left="283" w:hanging="283"/>
              <w:rPr>
                <w:szCs w:val="24"/>
              </w:rPr>
            </w:pPr>
            <w:r>
              <w:t>–</w:t>
            </w:r>
            <w:r w:rsidRPr="00675404">
              <w:rPr>
                <w:szCs w:val="24"/>
              </w:rPr>
              <w:tab/>
            </w:r>
            <w:r w:rsidRPr="00675404">
              <w:t xml:space="preserve"> </w:t>
            </w:r>
            <w:r w:rsidRPr="00675404">
              <w:rPr>
                <w:szCs w:val="24"/>
              </w:rPr>
              <w:t>Al Director de la Oficina de Desar</w:t>
            </w:r>
            <w:r w:rsidR="00900E62">
              <w:rPr>
                <w:szCs w:val="24"/>
              </w:rPr>
              <w:t>rollo de las Telecomunicaciones</w:t>
            </w:r>
            <w:r w:rsidRPr="00675404">
              <w:rPr>
                <w:szCs w:val="24"/>
              </w:rPr>
              <w:t>;</w:t>
            </w:r>
          </w:p>
          <w:p w:rsidR="00EA0E30" w:rsidRDefault="008A0F06" w:rsidP="008A0F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 w:rsidRPr="00675404">
              <w:rPr>
                <w:szCs w:val="24"/>
              </w:rPr>
              <w:tab/>
            </w:r>
            <w:r w:rsidRPr="00675404">
              <w:t xml:space="preserve"> </w:t>
            </w:r>
            <w:r w:rsidRPr="00675404">
              <w:rPr>
                <w:szCs w:val="24"/>
              </w:rPr>
              <w:t>Al Director de la Oficina de Radiocomunicaciones</w:t>
            </w:r>
          </w:p>
        </w:tc>
      </w:tr>
      <w:tr w:rsidR="00CC5ACE" w:rsidTr="00B80E33">
        <w:trPr>
          <w:cantSplit/>
        </w:trPr>
        <w:tc>
          <w:tcPr>
            <w:tcW w:w="1182" w:type="dxa"/>
          </w:tcPr>
          <w:p w:rsidR="00CC5ACE" w:rsidRPr="008A5CFA" w:rsidRDefault="00CC5ACE" w:rsidP="00FC2680">
            <w:pPr>
              <w:spacing w:before="240"/>
              <w:ind w:left="57"/>
            </w:pPr>
            <w:r w:rsidRPr="00CC5ACE">
              <w:t>Asunto:</w:t>
            </w:r>
          </w:p>
        </w:tc>
        <w:tc>
          <w:tcPr>
            <w:tcW w:w="9024" w:type="dxa"/>
            <w:gridSpan w:val="2"/>
          </w:tcPr>
          <w:p w:rsidR="00CC5ACE" w:rsidRPr="00CC5ACE" w:rsidRDefault="00B2608B" w:rsidP="00FC2680">
            <w:pPr>
              <w:spacing w:before="240" w:after="240"/>
              <w:ind w:left="57"/>
              <w:rPr>
                <w:b/>
                <w:bCs/>
              </w:rPr>
            </w:pPr>
            <w:r w:rsidRPr="00B2608B">
              <w:rPr>
                <w:b/>
                <w:bCs/>
              </w:rPr>
              <w:t xml:space="preserve">Simposio Mundial de Normalización (SMN-16): seguridad, privacidad y confianza en la normalización; </w:t>
            </w:r>
            <w:proofErr w:type="spellStart"/>
            <w:r w:rsidRPr="00B2608B">
              <w:rPr>
                <w:b/>
                <w:bCs/>
              </w:rPr>
              <w:t>Yasmine</w:t>
            </w:r>
            <w:proofErr w:type="spellEnd"/>
            <w:r w:rsidRPr="00B2608B">
              <w:rPr>
                <w:b/>
                <w:bCs/>
              </w:rPr>
              <w:t xml:space="preserve"> </w:t>
            </w:r>
            <w:proofErr w:type="spellStart"/>
            <w:r w:rsidRPr="00B2608B">
              <w:rPr>
                <w:b/>
                <w:bCs/>
              </w:rPr>
              <w:t>Hammamet</w:t>
            </w:r>
            <w:proofErr w:type="spellEnd"/>
            <w:r w:rsidRPr="00B2608B">
              <w:rPr>
                <w:b/>
                <w:bCs/>
              </w:rPr>
              <w:t xml:space="preserve"> (Túnez), 24 de octubre de 2016</w:t>
            </w:r>
          </w:p>
        </w:tc>
      </w:tr>
    </w:tbl>
    <w:p w:rsidR="00B2608B" w:rsidRPr="00675404" w:rsidRDefault="00B2608B" w:rsidP="00DB6D69">
      <w:pPr>
        <w:spacing w:before="360" w:after="120"/>
        <w:rPr>
          <w:szCs w:val="24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675404">
        <w:rPr>
          <w:szCs w:val="24"/>
        </w:rPr>
        <w:t>Muy Señora mía/Muy Señor mío:</w:t>
      </w:r>
    </w:p>
    <w:p w:rsidR="00B2608B" w:rsidRPr="00675404" w:rsidRDefault="00B2608B" w:rsidP="00B2608B">
      <w:pPr>
        <w:rPr>
          <w:szCs w:val="24"/>
        </w:rPr>
      </w:pPr>
      <w:r w:rsidRPr="00675404">
        <w:rPr>
          <w:szCs w:val="24"/>
        </w:rPr>
        <w:t xml:space="preserve">El Secretario General de la UIT ha anunciado, a través de la </w:t>
      </w:r>
      <w:hyperlink r:id="rId10" w:history="1">
        <w:r w:rsidRPr="00675404">
          <w:rPr>
            <w:color w:val="0000FF"/>
            <w:szCs w:val="24"/>
            <w:u w:val="single"/>
          </w:rPr>
          <w:t>Carta Circular Nº 16/013</w:t>
        </w:r>
      </w:hyperlink>
      <w:r w:rsidRPr="00675404">
        <w:rPr>
          <w:szCs w:val="24"/>
        </w:rPr>
        <w:t xml:space="preserve"> y las cartas </w:t>
      </w:r>
      <w:hyperlink r:id="rId11" w:history="1">
        <w:r w:rsidRPr="00675404">
          <w:rPr>
            <w:color w:val="0000FF"/>
            <w:szCs w:val="24"/>
            <w:u w:val="single"/>
          </w:rPr>
          <w:t>DM-16/1005</w:t>
        </w:r>
      </w:hyperlink>
      <w:r w:rsidRPr="00675404">
        <w:rPr>
          <w:color w:val="0000FF"/>
          <w:szCs w:val="24"/>
          <w:u w:val="single"/>
        </w:rPr>
        <w:t xml:space="preserve">, </w:t>
      </w:r>
      <w:hyperlink r:id="rId12" w:history="1">
        <w:r w:rsidRPr="00675404">
          <w:rPr>
            <w:color w:val="0000FF"/>
            <w:szCs w:val="24"/>
            <w:u w:val="single"/>
          </w:rPr>
          <w:t>DM-16/1006</w:t>
        </w:r>
      </w:hyperlink>
      <w:r w:rsidRPr="00675404">
        <w:rPr>
          <w:color w:val="0000FF"/>
          <w:szCs w:val="24"/>
          <w:u w:val="single"/>
        </w:rPr>
        <w:t xml:space="preserve"> y </w:t>
      </w:r>
      <w:hyperlink r:id="rId13" w:history="1">
        <w:r w:rsidRPr="00675404">
          <w:rPr>
            <w:color w:val="0000FF"/>
            <w:szCs w:val="24"/>
            <w:u w:val="single"/>
          </w:rPr>
          <w:t>DM-16/1007</w:t>
        </w:r>
      </w:hyperlink>
      <w:r w:rsidRPr="00675404">
        <w:rPr>
          <w:szCs w:val="24"/>
        </w:rPr>
        <w:t xml:space="preserve"> de fecha 7 de marzo de 2016, que la Asamblea Mundial de Normalización de las Telecomunicaciones (AMNT</w:t>
      </w:r>
      <w:r w:rsidRPr="00675404">
        <w:rPr>
          <w:szCs w:val="24"/>
        </w:rPr>
        <w:noBreakHyphen/>
        <w:t xml:space="preserve">16) se celebrará, por amable invitación del Gobierno de Túnez, en </w:t>
      </w:r>
      <w:proofErr w:type="spellStart"/>
      <w:r w:rsidRPr="00675404">
        <w:rPr>
          <w:szCs w:val="24"/>
        </w:rPr>
        <w:t>Yasmine</w:t>
      </w:r>
      <w:proofErr w:type="spellEnd"/>
      <w:r w:rsidRPr="00675404">
        <w:rPr>
          <w:szCs w:val="24"/>
        </w:rPr>
        <w:t xml:space="preserve"> </w:t>
      </w:r>
      <w:proofErr w:type="spellStart"/>
      <w:r w:rsidRPr="00675404">
        <w:rPr>
          <w:szCs w:val="24"/>
        </w:rPr>
        <w:t>Hammamet</w:t>
      </w:r>
      <w:proofErr w:type="spellEnd"/>
      <w:r w:rsidRPr="00675404">
        <w:rPr>
          <w:szCs w:val="24"/>
        </w:rPr>
        <w:t xml:space="preserve"> (Túnez) del 25 de octubre al 3 de noviembre de 2016, precedida por el Simposio Mundial de Normalización, el 24 de octubre de 2016.</w:t>
      </w:r>
    </w:p>
    <w:p w:rsidR="00B2608B" w:rsidRPr="00675404" w:rsidRDefault="00B2608B" w:rsidP="00B2608B">
      <w:pPr>
        <w:rPr>
          <w:rFonts w:cs="Calibri"/>
          <w:szCs w:val="24"/>
        </w:rPr>
      </w:pPr>
      <w:r w:rsidRPr="00675404">
        <w:rPr>
          <w:szCs w:val="24"/>
        </w:rPr>
        <w:t xml:space="preserve">Es para mí un honor invitarle a participar en el Simposio Mundial de Normalización (SMN), que tendrá lugar en el mismo lugar que la AMNT-16, en el Medina Hotel and </w:t>
      </w:r>
      <w:proofErr w:type="spellStart"/>
      <w:r w:rsidRPr="00675404">
        <w:rPr>
          <w:szCs w:val="24"/>
        </w:rPr>
        <w:t>Convention</w:t>
      </w:r>
      <w:proofErr w:type="spellEnd"/>
      <w:r w:rsidRPr="00675404">
        <w:rPr>
          <w:szCs w:val="24"/>
        </w:rPr>
        <w:t xml:space="preserve"> &amp; </w:t>
      </w:r>
      <w:proofErr w:type="spellStart"/>
      <w:r w:rsidRPr="00675404">
        <w:rPr>
          <w:szCs w:val="24"/>
        </w:rPr>
        <w:t>Exhibition</w:t>
      </w:r>
      <w:proofErr w:type="spellEnd"/>
      <w:r w:rsidRPr="00675404">
        <w:rPr>
          <w:szCs w:val="24"/>
        </w:rPr>
        <w:t xml:space="preserve"> Center, en </w:t>
      </w:r>
      <w:proofErr w:type="spellStart"/>
      <w:r w:rsidRPr="00675404">
        <w:rPr>
          <w:szCs w:val="24"/>
        </w:rPr>
        <w:t>Yasmine</w:t>
      </w:r>
      <w:proofErr w:type="spellEnd"/>
      <w:r w:rsidRPr="00675404">
        <w:rPr>
          <w:szCs w:val="24"/>
        </w:rPr>
        <w:t xml:space="preserve"> </w:t>
      </w:r>
      <w:proofErr w:type="spellStart"/>
      <w:r w:rsidRPr="00675404">
        <w:rPr>
          <w:szCs w:val="24"/>
        </w:rPr>
        <w:t>Hammamet</w:t>
      </w:r>
      <w:proofErr w:type="spellEnd"/>
      <w:r w:rsidRPr="00675404">
        <w:rPr>
          <w:szCs w:val="24"/>
        </w:rPr>
        <w:t xml:space="preserve"> (Túnez). El SMN </w:t>
      </w:r>
      <w:r>
        <w:rPr>
          <w:szCs w:val="24"/>
        </w:rPr>
        <w:t>es</w:t>
      </w:r>
      <w:r w:rsidRPr="00675404">
        <w:rPr>
          <w:szCs w:val="24"/>
        </w:rPr>
        <w:t xml:space="preserve"> un foro de alto nivel para la discusión y la coordinación abierto tanto a los miembros como a quienes no lo son. El tema del SMN-16 es</w:t>
      </w:r>
      <w:r w:rsidR="00B648DB">
        <w:rPr>
          <w:szCs w:val="24"/>
        </w:rPr>
        <w:t xml:space="preserve"> "</w:t>
      </w:r>
      <w:r w:rsidRPr="00675404">
        <w:rPr>
          <w:szCs w:val="24"/>
        </w:rPr>
        <w:t>Seguridad, privacidad y confianza en la normalización</w:t>
      </w:r>
      <w:r w:rsidR="00B648DB">
        <w:rPr>
          <w:szCs w:val="24"/>
        </w:rPr>
        <w:t>"</w:t>
      </w:r>
      <w:r w:rsidRPr="00675404">
        <w:rPr>
          <w:rFonts w:cs="Calibri"/>
          <w:szCs w:val="24"/>
        </w:rPr>
        <w:t xml:space="preserve"> (véase el PROYECTO de programa adjunto). </w:t>
      </w:r>
    </w:p>
    <w:p w:rsidR="00B2608B" w:rsidRPr="00675404" w:rsidRDefault="00B2608B" w:rsidP="00B2608B">
      <w:pPr>
        <w:rPr>
          <w:szCs w:val="24"/>
        </w:rPr>
      </w:pPr>
      <w:r w:rsidRPr="00675404">
        <w:rPr>
          <w:rFonts w:cs="Calibri"/>
          <w:szCs w:val="24"/>
        </w:rPr>
        <w:t>Se puede consultar más información sobre el SMN-16 en el</w:t>
      </w:r>
      <w:r>
        <w:rPr>
          <w:rFonts w:cs="Calibri"/>
          <w:szCs w:val="24"/>
        </w:rPr>
        <w:t xml:space="preserve"> propio</w:t>
      </w:r>
      <w:r w:rsidRPr="00675404">
        <w:rPr>
          <w:rFonts w:cs="Calibri"/>
          <w:szCs w:val="24"/>
        </w:rPr>
        <w:t xml:space="preserve"> </w:t>
      </w:r>
      <w:hyperlink r:id="rId14" w:history="1">
        <w:r w:rsidRPr="00675404">
          <w:rPr>
            <w:color w:val="0000FF"/>
            <w:szCs w:val="24"/>
            <w:u w:val="single"/>
          </w:rPr>
          <w:t>sitio web del SMN</w:t>
        </w:r>
      </w:hyperlink>
      <w:r w:rsidRPr="00675404">
        <w:rPr>
          <w:szCs w:val="24"/>
        </w:rPr>
        <w:t xml:space="preserve">. </w:t>
      </w:r>
    </w:p>
    <w:p w:rsidR="00837FEA" w:rsidRDefault="00B2608B" w:rsidP="00B2608B">
      <w:pPr>
        <w:rPr>
          <w:b/>
          <w:bCs/>
          <w:i/>
          <w:iCs/>
          <w:szCs w:val="24"/>
        </w:rPr>
      </w:pPr>
      <w:r w:rsidRPr="00675404">
        <w:rPr>
          <w:szCs w:val="24"/>
        </w:rPr>
        <w:t xml:space="preserve">La inscripción de los participantes en el SMN se efectuará exclusivamente </w:t>
      </w:r>
      <w:r w:rsidRPr="00675404">
        <w:rPr>
          <w:b/>
          <w:bCs/>
          <w:szCs w:val="24"/>
        </w:rPr>
        <w:t xml:space="preserve">en línea, </w:t>
      </w:r>
      <w:r w:rsidRPr="00675404">
        <w:rPr>
          <w:szCs w:val="24"/>
        </w:rPr>
        <w:t xml:space="preserve">en el </w:t>
      </w:r>
      <w:hyperlink r:id="rId15" w:history="1">
        <w:r w:rsidRPr="00675404">
          <w:rPr>
            <w:color w:val="0000FF"/>
            <w:szCs w:val="24"/>
            <w:u w:val="single"/>
          </w:rPr>
          <w:t>sitio web de la AMNT-16</w:t>
        </w:r>
      </w:hyperlink>
      <w:r w:rsidRPr="00675404">
        <w:rPr>
          <w:szCs w:val="24"/>
        </w:rPr>
        <w:t>.</w:t>
      </w:r>
      <w:r w:rsidRPr="00675404">
        <w:rPr>
          <w:b/>
          <w:bCs/>
          <w:i/>
          <w:iCs/>
          <w:szCs w:val="24"/>
        </w:rPr>
        <w:t xml:space="preserve"> </w:t>
      </w:r>
    </w:p>
    <w:p w:rsidR="00837FEA" w:rsidRDefault="00837FE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br w:type="page"/>
      </w:r>
    </w:p>
    <w:p w:rsidR="00B2608B" w:rsidRPr="00675404" w:rsidRDefault="00B2608B" w:rsidP="00B2608B">
      <w:pPr>
        <w:rPr>
          <w:szCs w:val="24"/>
        </w:rPr>
      </w:pPr>
      <w:r w:rsidRPr="00675404">
        <w:rPr>
          <w:szCs w:val="24"/>
        </w:rPr>
        <w:lastRenderedPageBreak/>
        <w:t xml:space="preserve">El sitio web de la AMNT-16 también contiene </w:t>
      </w:r>
      <w:hyperlink r:id="rId16" w:history="1">
        <w:r w:rsidRPr="00675404">
          <w:rPr>
            <w:color w:val="0000FF"/>
            <w:szCs w:val="24"/>
            <w:u w:val="single"/>
          </w:rPr>
          <w:t>información práctica</w:t>
        </w:r>
      </w:hyperlink>
      <w:r w:rsidRPr="00675404">
        <w:rPr>
          <w:szCs w:val="24"/>
        </w:rPr>
        <w:t xml:space="preserve"> para el evento, incluidas </w:t>
      </w:r>
      <w:hyperlink r:id="rId17" w:history="1">
        <w:r w:rsidRPr="00675404">
          <w:rPr>
            <w:color w:val="0000FF"/>
            <w:szCs w:val="24"/>
            <w:u w:val="single"/>
          </w:rPr>
          <w:t>las disposiciones en materia de visados</w:t>
        </w:r>
      </w:hyperlink>
      <w:r w:rsidRPr="00675404">
        <w:rPr>
          <w:szCs w:val="24"/>
        </w:rPr>
        <w:t xml:space="preserve"> y los </w:t>
      </w:r>
      <w:hyperlink r:id="rId18" w:history="1">
        <w:r w:rsidRPr="00675404">
          <w:rPr>
            <w:color w:val="0000FF"/>
            <w:szCs w:val="24"/>
            <w:u w:val="single"/>
          </w:rPr>
          <w:t>detalles relativos a los hoteles</w:t>
        </w:r>
      </w:hyperlink>
      <w:r w:rsidRPr="00675404">
        <w:rPr>
          <w:szCs w:val="24"/>
        </w:rPr>
        <w:t>.</w:t>
      </w:r>
    </w:p>
    <w:p w:rsidR="00B2608B" w:rsidRPr="00675404" w:rsidRDefault="00B2608B" w:rsidP="00B2608B">
      <w:pPr>
        <w:rPr>
          <w:szCs w:val="24"/>
        </w:rPr>
      </w:pPr>
      <w:r w:rsidRPr="00675404">
        <w:rPr>
          <w:szCs w:val="24"/>
        </w:rPr>
        <w:t xml:space="preserve">Aguardo con interés darle la bienvenida en </w:t>
      </w:r>
      <w:proofErr w:type="spellStart"/>
      <w:r w:rsidRPr="00675404">
        <w:rPr>
          <w:szCs w:val="24"/>
        </w:rPr>
        <w:t>Yasmine</w:t>
      </w:r>
      <w:proofErr w:type="spellEnd"/>
      <w:r w:rsidRPr="00675404">
        <w:rPr>
          <w:szCs w:val="24"/>
        </w:rPr>
        <w:t xml:space="preserve"> </w:t>
      </w:r>
      <w:proofErr w:type="spellStart"/>
      <w:r w:rsidRPr="00675404">
        <w:rPr>
          <w:szCs w:val="24"/>
        </w:rPr>
        <w:t>Hammamet</w:t>
      </w:r>
      <w:proofErr w:type="spellEnd"/>
      <w:r w:rsidRPr="00675404">
        <w:rPr>
          <w:szCs w:val="24"/>
        </w:rPr>
        <w:t>.</w:t>
      </w:r>
    </w:p>
    <w:p w:rsidR="00B2608B" w:rsidRPr="00675404" w:rsidRDefault="00B2608B" w:rsidP="001F6C71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rPr>
          <w:szCs w:val="24"/>
        </w:rPr>
      </w:pPr>
      <w:r w:rsidRPr="00675404">
        <w:rPr>
          <w:szCs w:val="24"/>
        </w:rPr>
        <w:t>Le saluda atentamente</w:t>
      </w:r>
      <w:r w:rsidR="001F6C71">
        <w:rPr>
          <w:szCs w:val="24"/>
        </w:rPr>
        <w:t>,</w:t>
      </w:r>
      <w:r w:rsidRPr="00675404">
        <w:rPr>
          <w:szCs w:val="24"/>
        </w:rPr>
        <w:t xml:space="preserve"> </w:t>
      </w:r>
    </w:p>
    <w:p w:rsidR="001F6C71" w:rsidRDefault="001F6C71" w:rsidP="00B2608B">
      <w:pPr>
        <w:spacing w:before="0"/>
        <w:rPr>
          <w:noProof/>
          <w:szCs w:val="24"/>
          <w:lang w:val="en-US" w:eastAsia="zh-CN"/>
        </w:rPr>
      </w:pPr>
    </w:p>
    <w:p w:rsidR="001F6C71" w:rsidRDefault="001F6C71" w:rsidP="00B2608B">
      <w:pPr>
        <w:spacing w:before="0"/>
        <w:rPr>
          <w:noProof/>
          <w:szCs w:val="24"/>
          <w:lang w:val="en-US" w:eastAsia="zh-CN"/>
        </w:rPr>
      </w:pPr>
    </w:p>
    <w:p w:rsidR="00B2608B" w:rsidRPr="00675404" w:rsidRDefault="00B2608B" w:rsidP="00B2608B">
      <w:pPr>
        <w:spacing w:before="0"/>
        <w:rPr>
          <w:b/>
          <w:bCs/>
          <w:szCs w:val="24"/>
        </w:rPr>
      </w:pPr>
      <w:bookmarkStart w:id="4" w:name="_GoBack"/>
      <w:bookmarkEnd w:id="4"/>
      <w:r w:rsidRPr="00675404">
        <w:rPr>
          <w:szCs w:val="24"/>
        </w:rPr>
        <w:br/>
        <w:t>Chaesub Lee</w:t>
      </w:r>
      <w:r w:rsidRPr="00675404">
        <w:rPr>
          <w:szCs w:val="24"/>
        </w:rPr>
        <w:br/>
        <w:t>Director de la Oficina de</w:t>
      </w:r>
      <w:r w:rsidRPr="00675404">
        <w:rPr>
          <w:szCs w:val="24"/>
        </w:rPr>
        <w:br/>
        <w:t>Normalización de las Telecomunicaciones</w:t>
      </w:r>
      <w:r w:rsidRPr="00675404">
        <w:rPr>
          <w:b/>
          <w:bCs/>
          <w:szCs w:val="24"/>
        </w:rPr>
        <w:t xml:space="preserve"> </w:t>
      </w:r>
    </w:p>
    <w:p w:rsidR="00B2608B" w:rsidRPr="00675404" w:rsidRDefault="00B2608B" w:rsidP="00552F13">
      <w:pPr>
        <w:spacing w:before="480"/>
        <w:rPr>
          <w:b/>
          <w:bCs/>
          <w:szCs w:val="24"/>
        </w:rPr>
      </w:pPr>
    </w:p>
    <w:p w:rsidR="00B2608B" w:rsidRDefault="00B2608B" w:rsidP="00B2608B">
      <w:pPr>
        <w:spacing w:before="0"/>
        <w:rPr>
          <w:b/>
          <w:bCs/>
        </w:rPr>
      </w:pPr>
      <w:r w:rsidRPr="00675404">
        <w:rPr>
          <w:b/>
          <w:bCs/>
        </w:rPr>
        <w:t xml:space="preserve">Anexo: 1 </w:t>
      </w:r>
    </w:p>
    <w:p w:rsidR="00552F13" w:rsidRDefault="00552F1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B2608B" w:rsidRPr="00675404" w:rsidRDefault="00B2608B" w:rsidP="00552F13">
      <w:pPr>
        <w:pStyle w:val="Annex"/>
      </w:pPr>
      <w:r w:rsidRPr="00675404">
        <w:lastRenderedPageBreak/>
        <w:t>ANEXO 1</w:t>
      </w:r>
      <w:r w:rsidRPr="00675404">
        <w:br/>
        <w:t>(</w:t>
      </w:r>
      <w:r w:rsidR="00A45A3A" w:rsidRPr="00675404">
        <w:rPr>
          <w:caps w:val="0"/>
        </w:rPr>
        <w:t xml:space="preserve">a la circular </w:t>
      </w:r>
      <w:r w:rsidRPr="00675404">
        <w:t>TSB 234)</w:t>
      </w:r>
    </w:p>
    <w:p w:rsidR="00B2608B" w:rsidRPr="00675404" w:rsidRDefault="00B2608B" w:rsidP="00B2608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ind w:right="237"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675404">
        <w:rPr>
          <w:rFonts w:ascii="Calibri" w:hAnsi="Calibri" w:cs="Calibri"/>
          <w:noProof/>
          <w:sz w:val="22"/>
          <w:szCs w:val="22"/>
          <w:lang w:val="en-US" w:eastAsia="zh-CN"/>
        </w:rPr>
        <w:drawing>
          <wp:inline distT="0" distB="0" distL="0" distR="0" wp14:anchorId="4362F958" wp14:editId="47047225">
            <wp:extent cx="2190750" cy="932835"/>
            <wp:effectExtent l="0" t="0" r="0" b="635"/>
            <wp:docPr id="4" name="Picture 4" descr="G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S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297" cy="93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08B" w:rsidRPr="00675404" w:rsidRDefault="00B2608B" w:rsidP="00B2608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ind w:right="237"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675404">
        <w:rPr>
          <w:rFonts w:ascii="Calibri" w:hAnsi="Calibri" w:cs="Calibri"/>
          <w:b/>
          <w:bCs/>
          <w:sz w:val="22"/>
          <w:szCs w:val="22"/>
        </w:rPr>
        <w:t>Simposio Mundial de Normalización</w:t>
      </w:r>
    </w:p>
    <w:p w:rsidR="00B2608B" w:rsidRPr="00675404" w:rsidRDefault="00B2608B" w:rsidP="00B2608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ind w:right="237"/>
        <w:jc w:val="center"/>
        <w:textAlignment w:val="auto"/>
        <w:rPr>
          <w:rFonts w:ascii="Calibri" w:hAnsi="Calibri" w:cs="Calibri"/>
          <w:bCs/>
          <w:sz w:val="22"/>
          <w:szCs w:val="22"/>
        </w:rPr>
      </w:pPr>
    </w:p>
    <w:p w:rsidR="00B2608B" w:rsidRPr="00675404" w:rsidRDefault="00B2608B" w:rsidP="00B2608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ind w:right="237"/>
        <w:jc w:val="center"/>
        <w:textAlignment w:val="auto"/>
        <w:rPr>
          <w:rFonts w:ascii="Calibri" w:hAnsi="Calibri" w:cs="Calibri"/>
          <w:bCs/>
          <w:sz w:val="22"/>
          <w:szCs w:val="22"/>
        </w:rPr>
      </w:pPr>
      <w:proofErr w:type="spellStart"/>
      <w:r w:rsidRPr="00675404">
        <w:rPr>
          <w:rFonts w:ascii="Calibri" w:hAnsi="Calibri" w:cs="Calibri"/>
          <w:bCs/>
          <w:sz w:val="22"/>
          <w:szCs w:val="22"/>
        </w:rPr>
        <w:t>Yasmine</w:t>
      </w:r>
      <w:proofErr w:type="spellEnd"/>
      <w:r w:rsidRPr="0067540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75404">
        <w:rPr>
          <w:rFonts w:ascii="Calibri" w:hAnsi="Calibri" w:cs="Calibri"/>
          <w:bCs/>
          <w:sz w:val="22"/>
          <w:szCs w:val="22"/>
        </w:rPr>
        <w:t>Hammamet</w:t>
      </w:r>
      <w:proofErr w:type="spellEnd"/>
      <w:r w:rsidRPr="00675404">
        <w:rPr>
          <w:rFonts w:ascii="Calibri" w:hAnsi="Calibri" w:cs="Calibri"/>
          <w:bCs/>
          <w:sz w:val="22"/>
          <w:szCs w:val="22"/>
        </w:rPr>
        <w:t>, Túnez, 24 de octubre de 2016</w:t>
      </w:r>
    </w:p>
    <w:p w:rsidR="00B2608B" w:rsidRPr="00675404" w:rsidRDefault="00B2608B" w:rsidP="00B2608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ind w:right="237"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675404">
        <w:rPr>
          <w:rFonts w:ascii="Calibri" w:hAnsi="Calibri" w:cs="Calibri"/>
          <w:b/>
          <w:bCs/>
          <w:sz w:val="22"/>
          <w:szCs w:val="22"/>
        </w:rPr>
        <w:t>Seguridad, privacidad y confianza en la normalización</w:t>
      </w:r>
    </w:p>
    <w:p w:rsidR="00B2608B" w:rsidRPr="00675404" w:rsidRDefault="00B2608B" w:rsidP="00B2608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ind w:right="237"/>
        <w:jc w:val="center"/>
        <w:textAlignment w:val="auto"/>
        <w:rPr>
          <w:rFonts w:ascii="Calibri" w:hAnsi="Calibri" w:cs="Calibri"/>
          <w:bCs/>
          <w:sz w:val="22"/>
          <w:szCs w:val="22"/>
        </w:rPr>
      </w:pPr>
      <w:r w:rsidRPr="00675404">
        <w:rPr>
          <w:rFonts w:ascii="Calibri" w:hAnsi="Calibri" w:cs="Calibri"/>
          <w:bCs/>
          <w:sz w:val="22"/>
          <w:szCs w:val="22"/>
        </w:rPr>
        <w:t xml:space="preserve">Organizado por el </w:t>
      </w:r>
      <w:r w:rsidRPr="00675404">
        <w:rPr>
          <w:rFonts w:ascii="Calibri" w:hAnsi="Calibri" w:cs="Calibri"/>
          <w:bCs/>
          <w:sz w:val="22"/>
          <w:szCs w:val="22"/>
        </w:rPr>
        <w:br/>
        <w:t xml:space="preserve">Sector de Normalización de las Telecomunicaciones </w:t>
      </w:r>
      <w:r w:rsidR="00552F13">
        <w:rPr>
          <w:rFonts w:ascii="Calibri" w:hAnsi="Calibri" w:cs="Calibri"/>
          <w:bCs/>
          <w:sz w:val="22"/>
          <w:szCs w:val="22"/>
        </w:rPr>
        <w:br/>
      </w:r>
      <w:r w:rsidRPr="00675404">
        <w:rPr>
          <w:rFonts w:ascii="Calibri" w:hAnsi="Calibri" w:cs="Calibri"/>
          <w:bCs/>
          <w:sz w:val="22"/>
          <w:szCs w:val="22"/>
        </w:rPr>
        <w:t xml:space="preserve">de la Unión Internacional de Telecomunicaciones (UIT-T) </w:t>
      </w:r>
      <w:r w:rsidRPr="00675404">
        <w:rPr>
          <w:rFonts w:ascii="Calibri" w:hAnsi="Calibri" w:cs="Calibri"/>
          <w:bCs/>
          <w:sz w:val="22"/>
          <w:szCs w:val="22"/>
        </w:rPr>
        <w:br/>
        <w:t>y acogido por el Gobierno de Túnez</w:t>
      </w:r>
    </w:p>
    <w:p w:rsidR="00B2608B" w:rsidRPr="00675404" w:rsidRDefault="00B2608B" w:rsidP="00B2608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ind w:right="237"/>
        <w:jc w:val="center"/>
        <w:textAlignment w:val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75404">
        <w:rPr>
          <w:rFonts w:ascii="Calibri" w:hAnsi="Calibri" w:cs="Calibri"/>
          <w:b/>
          <w:bCs/>
          <w:sz w:val="22"/>
          <w:szCs w:val="22"/>
          <w:u w:val="single"/>
        </w:rPr>
        <w:t>Proyecto de programa</w:t>
      </w:r>
    </w:p>
    <w:p w:rsidR="00B2608B" w:rsidRPr="00675404" w:rsidRDefault="00B2608B" w:rsidP="00B2608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ind w:right="237"/>
        <w:textAlignment w:val="auto"/>
        <w:rPr>
          <w:rFonts w:ascii="Calibri" w:hAnsi="Calibri" w:cs="Calibri"/>
          <w:b/>
          <w:sz w:val="22"/>
          <w:szCs w:val="22"/>
        </w:rPr>
      </w:pPr>
    </w:p>
    <w:tbl>
      <w:tblPr>
        <w:tblW w:w="5273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5"/>
        <w:gridCol w:w="8510"/>
      </w:tblGrid>
      <w:tr w:rsidR="00B2608B" w:rsidRPr="00675404" w:rsidTr="00364876">
        <w:trPr>
          <w:tblCellSpacing w:w="15" w:type="dxa"/>
          <w:jc w:val="center"/>
        </w:trPr>
        <w:tc>
          <w:tcPr>
            <w:tcW w:w="4970" w:type="pct"/>
            <w:gridSpan w:val="2"/>
            <w:tcBorders>
              <w:top w:val="single" w:sz="4" w:space="0" w:color="BBD6EF"/>
              <w:left w:val="single" w:sz="4" w:space="0" w:color="BBD6EF"/>
              <w:bottom w:val="single" w:sz="4" w:space="0" w:color="BBD6EF"/>
              <w:right w:val="single" w:sz="4" w:space="0" w:color="BBD6EF"/>
            </w:tcBorders>
            <w:shd w:val="clear" w:color="auto" w:fill="CAE4FF"/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24 de octubre de 2016</w:t>
            </w:r>
            <w:r w:rsidR="00B648D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2608B" w:rsidRPr="00675404" w:rsidTr="00364876">
        <w:trPr>
          <w:tblCellSpacing w:w="15" w:type="dxa"/>
          <w:jc w:val="center"/>
        </w:trPr>
        <w:tc>
          <w:tcPr>
            <w:tcW w:w="790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sz w:val="22"/>
                <w:szCs w:val="22"/>
              </w:rPr>
              <w:t>09.30 - 10.00</w:t>
            </w:r>
          </w:p>
        </w:tc>
        <w:tc>
          <w:tcPr>
            <w:tcW w:w="4165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ind w:right="238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Sesión 1: Bienvenida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Objetivos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i/>
                <w:iCs/>
                <w:sz w:val="22"/>
                <w:szCs w:val="22"/>
              </w:rPr>
              <w:t>El Simposio Mundial de Normalización (SMN) fue adoptado por la Conferencia de Plenipotenciarios de la UIT (en su Resolución 122, Antalya 2006) como una reunión de mesas redondas y coordinación de un día de duración, destinada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</w:t>
            </w:r>
            <w:r w:rsidRPr="00675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servir de foro para examinar políticas de alto nivel y transmitir sus conclusiones a la AMNT.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 xml:space="preserve">Discurso de apertura pronunciado por el Presidente del Simposio 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Bienvenida</w:t>
            </w:r>
          </w:p>
          <w:p w:rsidR="00B2608B" w:rsidRPr="00675404" w:rsidRDefault="00B2608B" w:rsidP="00B2608B">
            <w:pPr>
              <w:numPr>
                <w:ilvl w:val="0"/>
                <w:numId w:val="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Sr. Houlin ZHAO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, Secretario General, UIT 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Discurso inicial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Dr. Chaesub LEE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, Director, TSB </w:t>
            </w:r>
          </w:p>
        </w:tc>
      </w:tr>
      <w:tr w:rsidR="00B2608B" w:rsidRPr="00675404" w:rsidTr="00364876">
        <w:trPr>
          <w:tblCellSpacing w:w="15" w:type="dxa"/>
          <w:jc w:val="center"/>
        </w:trPr>
        <w:tc>
          <w:tcPr>
            <w:tcW w:w="790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sz w:val="22"/>
                <w:szCs w:val="22"/>
              </w:rPr>
              <w:t>10.00 - 11.00</w:t>
            </w:r>
          </w:p>
        </w:tc>
        <w:tc>
          <w:tcPr>
            <w:tcW w:w="4165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ind w:right="238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Sesión 2: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La incidencia de las tecnologías emergentes en la seguridad, la privacidad y la confianza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Moderador invitado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Sra. </w:t>
            </w:r>
            <w:proofErr w:type="spellStart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Kathryn</w:t>
            </w:r>
            <w:proofErr w:type="spellEnd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BROWN</w:t>
            </w:r>
            <w:r w:rsidRPr="00675404">
              <w:rPr>
                <w:rFonts w:ascii="Calibri" w:hAnsi="Calibri" w:cs="Calibri"/>
                <w:sz w:val="22"/>
                <w:szCs w:val="22"/>
              </w:rPr>
              <w:t>, President</w:t>
            </w:r>
            <w:r w:rsidR="00221548">
              <w:rPr>
                <w:rFonts w:ascii="Calibri" w:hAnsi="Calibri" w:cs="Calibri"/>
                <w:sz w:val="22"/>
                <w:szCs w:val="22"/>
              </w:rPr>
              <w:t>a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 y Director General de Internet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Society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> (ISOC)</w:t>
            </w: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Oradores invitados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Sr. </w:t>
            </w:r>
            <w:proofErr w:type="spellStart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Chawki</w:t>
            </w:r>
            <w:proofErr w:type="spellEnd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GADDES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, Presidente, Autoridad Nacional para la Protección de la Información Personal, Túnez </w:t>
            </w:r>
          </w:p>
          <w:p w:rsidR="00B2608B" w:rsidRPr="00675404" w:rsidRDefault="00B2608B" w:rsidP="00B2608B">
            <w:pPr>
              <w:numPr>
                <w:ilvl w:val="0"/>
                <w:numId w:val="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Sr. </w:t>
            </w:r>
            <w:proofErr w:type="spellStart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Jakub</w:t>
            </w:r>
            <w:proofErr w:type="spellEnd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BORATYNSKI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, Jefe de la Unidad de Confianza y Seguridad, DG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Connect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, Comisión Europea </w:t>
            </w:r>
          </w:p>
          <w:p w:rsidR="00B2608B" w:rsidRPr="00675404" w:rsidRDefault="00B2608B" w:rsidP="00B2608B">
            <w:pPr>
              <w:numPr>
                <w:ilvl w:val="0"/>
                <w:numId w:val="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Sr. </w:t>
            </w:r>
            <w:proofErr w:type="spellStart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Ram</w:t>
            </w:r>
            <w:proofErr w:type="spellEnd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Sewak</w:t>
            </w:r>
            <w:proofErr w:type="spellEnd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SHARAMA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, Presidente, Autoridad Reguladora de las Telecomunicaciones de la India (TRAI) </w:t>
            </w:r>
          </w:p>
        </w:tc>
      </w:tr>
      <w:tr w:rsidR="00B2608B" w:rsidRPr="00675404" w:rsidTr="00364876">
        <w:trPr>
          <w:tblCellSpacing w:w="15" w:type="dxa"/>
          <w:jc w:val="center"/>
        </w:trPr>
        <w:tc>
          <w:tcPr>
            <w:tcW w:w="790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608B" w:rsidRPr="00675404" w:rsidDel="00AF4E02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sz w:val="22"/>
                <w:szCs w:val="22"/>
              </w:rPr>
              <w:lastRenderedPageBreak/>
              <w:t>11.00 - 11.20</w:t>
            </w:r>
          </w:p>
        </w:tc>
        <w:tc>
          <w:tcPr>
            <w:tcW w:w="4165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ind w:right="238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Pausa para el café</w:t>
            </w:r>
          </w:p>
        </w:tc>
      </w:tr>
      <w:tr w:rsidR="00B2608B" w:rsidRPr="00675404" w:rsidTr="00364876">
        <w:trPr>
          <w:tblCellSpacing w:w="15" w:type="dxa"/>
          <w:jc w:val="center"/>
        </w:trPr>
        <w:tc>
          <w:tcPr>
            <w:tcW w:w="790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sz w:val="22"/>
                <w:szCs w:val="22"/>
              </w:rPr>
              <w:t>11.20 - 12.20</w:t>
            </w:r>
          </w:p>
        </w:tc>
        <w:tc>
          <w:tcPr>
            <w:tcW w:w="4165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ind w:right="238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Sesión 3 (parte 1):</w:t>
            </w:r>
            <w:r w:rsidR="00B648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Cómo cumple la industria las expectativas de seguridad, privacidad y confianza de los usuarios finales 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Moderador invitado</w:t>
            </w:r>
          </w:p>
          <w:p w:rsidR="00B2608B" w:rsidRPr="00675404" w:rsidRDefault="00B2608B" w:rsidP="00B2608B">
            <w:pPr>
              <w:numPr>
                <w:ilvl w:val="0"/>
                <w:numId w:val="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Sr. Ilias CHANTZOS,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 Director Jefe, Asuntos Gubernamentales, EMEA, Global CIP and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Privacy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Advisor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, Symantec 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Oradores invitados</w:t>
            </w:r>
          </w:p>
          <w:p w:rsidR="00B2608B" w:rsidRPr="00900E62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lang w:val="de-CH"/>
              </w:rPr>
            </w:pPr>
            <w:r w:rsidRPr="00900E62"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  <w:t>Sr. Ammar ALKASSAR,</w:t>
            </w:r>
            <w:r w:rsidRPr="00900E62">
              <w:rPr>
                <w:rFonts w:ascii="Calibri" w:hAnsi="Calibri" w:cs="Calibri"/>
                <w:sz w:val="22"/>
                <w:szCs w:val="22"/>
                <w:lang w:val="de-CH"/>
              </w:rPr>
              <w:t xml:space="preserve"> Director General, Rohde &amp; Schwarz Cybersecurity 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Dr. Thomas KREMER,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 Miembro de la Junta de Administración para la Privacidad de los Datos, Asuntos Jurídicos y Conformidad, Deutsche Telekom 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Sr. David FRANCIS, 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Director de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Ciberseguridad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 Europea,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Huawei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 Technologies 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Sra. </w:t>
            </w:r>
            <w:proofErr w:type="spellStart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Jaya</w:t>
            </w:r>
            <w:proofErr w:type="spellEnd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BALOO, </w:t>
            </w:r>
            <w:r w:rsidRPr="00675404">
              <w:rPr>
                <w:rFonts w:ascii="Calibri" w:hAnsi="Calibri" w:cs="Calibri"/>
                <w:sz w:val="22"/>
                <w:szCs w:val="22"/>
              </w:rPr>
              <w:t>Directora Jefa de Seguridad de la Información, KPN</w:t>
            </w:r>
            <w:r w:rsidRPr="00675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2608B" w:rsidRPr="00675404" w:rsidTr="00364876">
        <w:trPr>
          <w:tblCellSpacing w:w="15" w:type="dxa"/>
          <w:jc w:val="center"/>
        </w:trPr>
        <w:tc>
          <w:tcPr>
            <w:tcW w:w="790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sz w:val="22"/>
                <w:szCs w:val="22"/>
              </w:rPr>
              <w:t>12.20 - 14.00</w:t>
            </w:r>
          </w:p>
        </w:tc>
        <w:tc>
          <w:tcPr>
            <w:tcW w:w="4165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ind w:right="238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Almuerzo</w:t>
            </w:r>
          </w:p>
        </w:tc>
      </w:tr>
      <w:tr w:rsidR="00B2608B" w:rsidRPr="00675404" w:rsidTr="00364876">
        <w:trPr>
          <w:tblCellSpacing w:w="15" w:type="dxa"/>
          <w:jc w:val="center"/>
        </w:trPr>
        <w:tc>
          <w:tcPr>
            <w:tcW w:w="790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sz w:val="22"/>
                <w:szCs w:val="22"/>
              </w:rPr>
              <w:t>14.00 - 15.00</w:t>
            </w:r>
          </w:p>
        </w:tc>
        <w:tc>
          <w:tcPr>
            <w:tcW w:w="4165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ind w:right="238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Sesión 3 (parte 2):</w:t>
            </w:r>
            <w:r w:rsidR="00B648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Cómo cumple la industria las expectativas de seguridad, privacidad y confianza de los usuarios finales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Moderador invitado</w:t>
            </w:r>
          </w:p>
          <w:p w:rsidR="00B2608B" w:rsidRPr="00675404" w:rsidRDefault="00B2608B" w:rsidP="00B2608B">
            <w:pPr>
              <w:numPr>
                <w:ilvl w:val="0"/>
                <w:numId w:val="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Sr. Ilias CHANTZOS,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 Director Jefe, Asuntos Gubernamentales, EMEA, Global CIP and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Privacy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Advisor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, Symantec 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Oradores invitados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Sr. James SNOW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, Estratega en Seguridad y Conformidad, Google 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Sra. Lise TCHENG,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 Vicepresidenta,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Telco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Industry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, SAP 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Sr. </w:t>
            </w:r>
            <w:proofErr w:type="spellStart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Yuejin</w:t>
            </w:r>
            <w:proofErr w:type="spellEnd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DU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, Vicepresidente de Seguridad,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Alibaba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Group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Prof. Jean YANG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, Profesor Asistente, Carnegie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Mellon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University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, y fundador,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Cybersecurity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 Factory </w:t>
            </w:r>
          </w:p>
        </w:tc>
      </w:tr>
      <w:tr w:rsidR="00B2608B" w:rsidRPr="00675404" w:rsidTr="00364876">
        <w:trPr>
          <w:trHeight w:val="376"/>
          <w:tblCellSpacing w:w="15" w:type="dxa"/>
          <w:jc w:val="center"/>
        </w:trPr>
        <w:tc>
          <w:tcPr>
            <w:tcW w:w="790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sz w:val="22"/>
                <w:szCs w:val="22"/>
              </w:rPr>
              <w:t>15.00 - 15.20</w:t>
            </w:r>
          </w:p>
        </w:tc>
        <w:tc>
          <w:tcPr>
            <w:tcW w:w="4165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ind w:right="238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Pausa para el café</w:t>
            </w:r>
          </w:p>
        </w:tc>
      </w:tr>
      <w:tr w:rsidR="00B2608B" w:rsidRPr="00900E62" w:rsidTr="00364876">
        <w:trPr>
          <w:tblCellSpacing w:w="15" w:type="dxa"/>
          <w:jc w:val="center"/>
        </w:trPr>
        <w:tc>
          <w:tcPr>
            <w:tcW w:w="790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sz w:val="22"/>
                <w:szCs w:val="22"/>
              </w:rPr>
              <w:t>15.20 - 16.50</w:t>
            </w:r>
          </w:p>
        </w:tc>
        <w:tc>
          <w:tcPr>
            <w:tcW w:w="4165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ind w:right="238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Sesión 4: Enfoque adoptado por los organismos de normalización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 relación con</w:t>
            </w: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la seguridad, la privacidad y la confianza 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Moderador invitado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Sr. Toni EID</w:t>
            </w:r>
            <w:r w:rsidRPr="00675404">
              <w:rPr>
                <w:rFonts w:ascii="Calibri" w:hAnsi="Calibri" w:cs="Calibri"/>
                <w:sz w:val="22"/>
                <w:szCs w:val="22"/>
              </w:rPr>
              <w:t>, Editor Jefe, Telecom Review</w:t>
            </w: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Panelistas invitados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Sr. Kevin </w:t>
            </w:r>
            <w:proofErr w:type="spellStart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McKINLEY</w:t>
            </w:r>
            <w:proofErr w:type="spellEnd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675404">
              <w:rPr>
                <w:rFonts w:ascii="Calibri" w:hAnsi="Calibri" w:cs="Calibri"/>
                <w:sz w:val="22"/>
                <w:szCs w:val="22"/>
              </w:rPr>
              <w:t>Secretario General en funciones, Organización Internacional de Normalización</w:t>
            </w: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75404">
              <w:rPr>
                <w:rFonts w:ascii="Calibri" w:hAnsi="Calibri" w:cs="Calibri"/>
                <w:sz w:val="22"/>
                <w:szCs w:val="22"/>
              </w:rPr>
              <w:t>(ISO)</w:t>
            </w: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Sr. </w:t>
            </w:r>
            <w:proofErr w:type="spellStart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Frans</w:t>
            </w:r>
            <w:proofErr w:type="spellEnd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VREESWIJK, </w:t>
            </w:r>
            <w:r w:rsidRPr="00675404">
              <w:rPr>
                <w:rFonts w:ascii="Calibri" w:hAnsi="Calibri" w:cs="Calibri"/>
                <w:sz w:val="22"/>
                <w:szCs w:val="22"/>
              </w:rPr>
              <w:t>Secretario General, Comisión Electrotécnica Internacional (CEI)</w:t>
            </w: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Sr. Bruce KRAEMER, </w:t>
            </w:r>
            <w:r w:rsidRPr="00675404">
              <w:rPr>
                <w:rFonts w:ascii="Calibri" w:hAnsi="Calibri" w:cs="Calibri"/>
                <w:sz w:val="22"/>
                <w:szCs w:val="22"/>
              </w:rPr>
              <w:t>Presidente, IEEE-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Standards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75404">
              <w:rPr>
                <w:rFonts w:ascii="Calibri" w:hAnsi="Calibri" w:cs="Calibri"/>
                <w:sz w:val="22"/>
                <w:szCs w:val="22"/>
              </w:rPr>
              <w:t>Association</w:t>
            </w:r>
            <w:proofErr w:type="spellEnd"/>
            <w:r w:rsidRPr="00675404">
              <w:rPr>
                <w:rFonts w:ascii="Calibri" w:hAnsi="Calibri" w:cs="Calibri"/>
                <w:sz w:val="22"/>
                <w:szCs w:val="22"/>
              </w:rPr>
              <w:t xml:space="preserve"> (IEEE-SA) 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Sra. Elena SANTIAGO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, Directora General, CEN-CENELEC </w:t>
            </w:r>
          </w:p>
          <w:p w:rsidR="00B2608B" w:rsidRPr="00B2608B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608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 xml:space="preserve">Dr. Reinhard SCHOLL, </w:t>
            </w:r>
            <w:r w:rsidRPr="00B2608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Director </w:t>
            </w:r>
            <w:proofErr w:type="spellStart"/>
            <w:r w:rsidRPr="00B2608B">
              <w:rPr>
                <w:rFonts w:ascii="Calibri" w:hAnsi="Calibri" w:cs="Calibri"/>
                <w:sz w:val="22"/>
                <w:szCs w:val="22"/>
                <w:lang w:val="en-US"/>
              </w:rPr>
              <w:t>Adjunto</w:t>
            </w:r>
            <w:proofErr w:type="spellEnd"/>
            <w:r w:rsidRPr="00B2608B">
              <w:rPr>
                <w:rFonts w:ascii="Calibri" w:hAnsi="Calibri" w:cs="Calibri"/>
                <w:sz w:val="22"/>
                <w:szCs w:val="22"/>
                <w:lang w:val="en-US"/>
              </w:rPr>
              <w:t>, TSB, UIT</w:t>
            </w:r>
          </w:p>
          <w:p w:rsidR="00B2608B" w:rsidRPr="00675404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Sr. </w:t>
            </w:r>
            <w:proofErr w:type="spellStart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Jari</w:t>
            </w:r>
            <w:proofErr w:type="spellEnd"/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ARKKO,</w:t>
            </w:r>
            <w:r w:rsidRPr="00675404">
              <w:rPr>
                <w:rFonts w:ascii="Calibri" w:hAnsi="Calibri" w:cs="Calibri"/>
                <w:sz w:val="22"/>
                <w:szCs w:val="22"/>
              </w:rPr>
              <w:t xml:space="preserve"> Presidente, Grupo Especial sobre Ingeniería de Internet (IETF) </w:t>
            </w:r>
          </w:p>
          <w:p w:rsidR="00B2608B" w:rsidRPr="00900E62" w:rsidRDefault="00B2608B" w:rsidP="00B2608B">
            <w:pPr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lang w:val="de-CH"/>
              </w:rPr>
            </w:pPr>
            <w:r w:rsidRPr="00900E62"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  <w:t xml:space="preserve">Sr. Nan CHEN, </w:t>
            </w:r>
            <w:r w:rsidRPr="00900E62">
              <w:rPr>
                <w:rFonts w:ascii="Calibri" w:hAnsi="Calibri" w:cs="Calibri"/>
                <w:sz w:val="22"/>
                <w:szCs w:val="22"/>
                <w:lang w:val="de-CH"/>
              </w:rPr>
              <w:t>Presidente, MEF</w:t>
            </w:r>
          </w:p>
        </w:tc>
      </w:tr>
      <w:tr w:rsidR="00B2608B" w:rsidRPr="00675404" w:rsidTr="00364876">
        <w:trPr>
          <w:tblCellSpacing w:w="15" w:type="dxa"/>
          <w:jc w:val="center"/>
        </w:trPr>
        <w:tc>
          <w:tcPr>
            <w:tcW w:w="790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675404">
              <w:rPr>
                <w:rFonts w:ascii="Calibri" w:hAnsi="Calibri" w:cs="Calibri"/>
                <w:sz w:val="22"/>
                <w:szCs w:val="22"/>
              </w:rPr>
              <w:lastRenderedPageBreak/>
              <w:t>16.50 - 17.30</w:t>
            </w:r>
          </w:p>
        </w:tc>
        <w:tc>
          <w:tcPr>
            <w:tcW w:w="4165" w:type="pct"/>
            <w:tcBorders>
              <w:top w:val="dashed" w:sz="4" w:space="0" w:color="BBD6EF"/>
              <w:left w:val="dashed" w:sz="4" w:space="0" w:color="BBD6EF"/>
              <w:bottom w:val="dashed" w:sz="4" w:space="0" w:color="BBD6EF"/>
              <w:right w:val="dashed" w:sz="4" w:space="0" w:color="BBD6E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ind w:right="238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b/>
                <w:bCs/>
                <w:sz w:val="22"/>
                <w:szCs w:val="22"/>
              </w:rPr>
              <w:t>Sesión 5: Adopción del Informe del SMN y clausura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 xml:space="preserve">Presidente del Simposio 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75404">
              <w:rPr>
                <w:rFonts w:ascii="Calibri" w:hAnsi="Calibri" w:cs="Calibri"/>
                <w:sz w:val="22"/>
                <w:szCs w:val="22"/>
                <w:u w:val="single"/>
              </w:rPr>
              <w:t>Objetivos</w:t>
            </w:r>
          </w:p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75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El objetivo de la última sesión es adoptar las conclusiones del SMN, que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contendrán</w:t>
            </w:r>
            <w:r w:rsidRPr="00675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recomendaciones para que las apliquen los Miembros. El Informe sobre las conclusiones,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que elaborará</w:t>
            </w:r>
            <w:r w:rsidRPr="0067540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la Comisión de Dirección del SMN, se presentará a la AMNT-16 para que se tomen las medidas pertinentes.</w:t>
            </w:r>
          </w:p>
        </w:tc>
      </w:tr>
      <w:tr w:rsidR="00B2608B" w:rsidRPr="00675404" w:rsidTr="00364876">
        <w:trPr>
          <w:tblCellSpacing w:w="15" w:type="dxa"/>
          <w:jc w:val="center"/>
        </w:trPr>
        <w:tc>
          <w:tcPr>
            <w:tcW w:w="4970" w:type="pct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08B" w:rsidRPr="00675404" w:rsidRDefault="00B2608B" w:rsidP="003648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ind w:right="237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92796" w:rsidRPr="000E2118" w:rsidRDefault="00492796" w:rsidP="0032202E">
      <w:pPr>
        <w:pStyle w:val="Reasons"/>
        <w:rPr>
          <w:lang w:val="es-ES_tradnl"/>
        </w:rPr>
      </w:pPr>
    </w:p>
    <w:p w:rsidR="00492796" w:rsidRDefault="00492796">
      <w:pPr>
        <w:jc w:val="center"/>
      </w:pPr>
      <w:r>
        <w:t>______________</w:t>
      </w:r>
    </w:p>
    <w:sectPr w:rsidR="00492796" w:rsidSect="00B2608B">
      <w:headerReference w:type="default" r:id="rId20"/>
      <w:footerReference w:type="default" r:id="rId21"/>
      <w:footerReference w:type="first" r:id="rId22"/>
      <w:pgSz w:w="11907" w:h="16840" w:code="9"/>
      <w:pgMar w:top="1021" w:right="1134" w:bottom="1077" w:left="1134" w:header="340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2B" w:rsidRDefault="0075512B">
      <w:r>
        <w:separator/>
      </w:r>
    </w:p>
  </w:endnote>
  <w:endnote w:type="continuationSeparator" w:id="0">
    <w:p w:rsidR="0075512B" w:rsidRDefault="0075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796" w:rsidRPr="00FC2680" w:rsidRDefault="00492796" w:rsidP="000E2118">
    <w:pPr>
      <w:pStyle w:val="Footer"/>
      <w:rPr>
        <w:sz w:val="16"/>
        <w:szCs w:val="16"/>
        <w:lang w:val="fr-CH"/>
      </w:rPr>
    </w:pPr>
    <w:r w:rsidRPr="00FC2680">
      <w:rPr>
        <w:sz w:val="16"/>
        <w:szCs w:val="16"/>
      </w:rPr>
      <w:fldChar w:fldCharType="begin"/>
    </w:r>
    <w:r w:rsidRPr="00FC2680">
      <w:rPr>
        <w:sz w:val="16"/>
        <w:szCs w:val="16"/>
        <w:lang w:val="fr-CH"/>
      </w:rPr>
      <w:instrText xml:space="preserve"> FILENAME \p  \* MERGEFORMAT </w:instrText>
    </w:r>
    <w:r w:rsidRPr="00FC2680">
      <w:rPr>
        <w:sz w:val="16"/>
        <w:szCs w:val="16"/>
      </w:rPr>
      <w:fldChar w:fldCharType="separate"/>
    </w:r>
    <w:r w:rsidR="002C73A4">
      <w:rPr>
        <w:noProof/>
        <w:sz w:val="16"/>
        <w:szCs w:val="16"/>
        <w:lang w:val="fr-CH"/>
      </w:rPr>
      <w:t>ITU-T\BUREAU\CIRC\200\234S.docx</w:t>
    </w:r>
    <w:r w:rsidRPr="00FC2680">
      <w:rPr>
        <w:noProof/>
        <w:sz w:val="16"/>
        <w:szCs w:val="16"/>
      </w:rPr>
      <w:fldChar w:fldCharType="end"/>
    </w:r>
    <w:r w:rsidRPr="00FC2680">
      <w:rPr>
        <w:noProof/>
        <w:sz w:val="16"/>
        <w:szCs w:val="16"/>
        <w:lang w:val="fr-CH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5E" w:rsidRPr="002E0A6B" w:rsidRDefault="001A525E" w:rsidP="00900E62">
    <w:pPr>
      <w:pStyle w:val="FirstFooter"/>
      <w:ind w:left="-397" w:right="-397"/>
      <w:jc w:val="center"/>
      <w:rPr>
        <w:szCs w:val="18"/>
      </w:rPr>
    </w:pPr>
    <w:r w:rsidRPr="002E0A6B">
      <w:rPr>
        <w:szCs w:val="18"/>
      </w:rPr>
      <w:t xml:space="preserve">Unión Internacional de Telecomunicaciones • Place des </w:t>
    </w:r>
    <w:proofErr w:type="spellStart"/>
    <w:r w:rsidRPr="002E0A6B">
      <w:rPr>
        <w:szCs w:val="18"/>
      </w:rPr>
      <w:t>Nations</w:t>
    </w:r>
    <w:proofErr w:type="spellEnd"/>
    <w:r>
      <w:rPr>
        <w:szCs w:val="18"/>
      </w:rPr>
      <w:t xml:space="preserve"> •</w:t>
    </w:r>
    <w:r w:rsidRPr="002E0A6B">
      <w:rPr>
        <w:szCs w:val="18"/>
      </w:rPr>
      <w:t xml:space="preserve"> CH</w:t>
    </w:r>
    <w:r w:rsidRPr="002E0A6B">
      <w:rPr>
        <w:szCs w:val="18"/>
      </w:rPr>
      <w:noBreakHyphen/>
      <w:t>1211 Ginebra</w:t>
    </w:r>
    <w:r>
      <w:rPr>
        <w:szCs w:val="18"/>
      </w:rPr>
      <w:t xml:space="preserve"> 20 </w:t>
    </w:r>
    <w:r w:rsidRPr="002E0A6B">
      <w:rPr>
        <w:szCs w:val="18"/>
      </w:rPr>
      <w:t xml:space="preserve">• Suiza </w:t>
    </w:r>
    <w:r w:rsidRPr="002E0A6B">
      <w:rPr>
        <w:szCs w:val="18"/>
      </w:rPr>
      <w:br/>
      <w:t>Tel.: +41 22 730</w:t>
    </w:r>
    <w:r>
      <w:rPr>
        <w:szCs w:val="18"/>
      </w:rPr>
      <w:t xml:space="preserve"> 5111 • Fax: +41 22 733 7256 • </w:t>
    </w:r>
    <w:r w:rsidRPr="002E0A6B">
      <w:rPr>
        <w:szCs w:val="18"/>
      </w:rPr>
      <w:t xml:space="preserve">Correo-e: </w:t>
    </w:r>
    <w:hyperlink r:id="rId1" w:history="1">
      <w:r w:rsidRPr="002E0A6B">
        <w:rPr>
          <w:color w:val="0000FF"/>
          <w:szCs w:val="18"/>
          <w:u w:val="single"/>
        </w:rPr>
        <w:t>itumail@itu.int</w:t>
      </w:r>
    </w:hyperlink>
    <w:r w:rsidRPr="002E0A6B">
      <w:rPr>
        <w:szCs w:val="18"/>
      </w:rPr>
      <w:t xml:space="preserve"> • </w:t>
    </w:r>
    <w:hyperlink r:id="rId2" w:history="1">
      <w:r w:rsidRPr="002E0A6B">
        <w:rPr>
          <w:color w:val="0000FF"/>
          <w:szCs w:val="18"/>
          <w:u w:val="single"/>
        </w:rPr>
        <w:t>www.itu.int</w:t>
      </w:r>
    </w:hyperlink>
    <w:r w:rsidR="00900E62" w:rsidRPr="002E0A6B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2B" w:rsidRDefault="0075512B">
      <w:r>
        <w:t>____________________</w:t>
      </w:r>
    </w:p>
  </w:footnote>
  <w:footnote w:type="continuationSeparator" w:id="0">
    <w:p w:rsidR="0075512B" w:rsidRDefault="00755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Default="006D675D" w:rsidP="00932E45">
    <w:pPr>
      <w:pStyle w:val="Header"/>
      <w:rPr>
        <w:rStyle w:val="PageNumber"/>
      </w:rPr>
    </w:pPr>
    <w:r w:rsidRPr="00E61D77">
      <w:rPr>
        <w:sz w:val="18"/>
        <w:szCs w:val="16"/>
        <w:lang w:val="en-US"/>
      </w:rPr>
      <w:t xml:space="preserve">- </w:t>
    </w:r>
    <w:r w:rsidRPr="00E61D77">
      <w:rPr>
        <w:rStyle w:val="PageNumber"/>
        <w:sz w:val="18"/>
        <w:szCs w:val="16"/>
      </w:rPr>
      <w:fldChar w:fldCharType="begin"/>
    </w:r>
    <w:r w:rsidRPr="00E61D77">
      <w:rPr>
        <w:rStyle w:val="PageNumber"/>
        <w:sz w:val="18"/>
        <w:szCs w:val="16"/>
      </w:rPr>
      <w:instrText xml:space="preserve"> PAGE </w:instrText>
    </w:r>
    <w:r w:rsidRPr="00E61D77">
      <w:rPr>
        <w:rStyle w:val="PageNumber"/>
        <w:sz w:val="18"/>
        <w:szCs w:val="16"/>
      </w:rPr>
      <w:fldChar w:fldCharType="separate"/>
    </w:r>
    <w:r w:rsidR="001F6C71">
      <w:rPr>
        <w:rStyle w:val="PageNumber"/>
        <w:noProof/>
        <w:sz w:val="18"/>
        <w:szCs w:val="16"/>
      </w:rPr>
      <w:t>2</w:t>
    </w:r>
    <w:r w:rsidRPr="00E61D77">
      <w:rPr>
        <w:rStyle w:val="PageNumber"/>
        <w:sz w:val="18"/>
        <w:szCs w:val="16"/>
      </w:rPr>
      <w:fldChar w:fldCharType="end"/>
    </w:r>
    <w:r w:rsidRPr="00E61D77">
      <w:rPr>
        <w:rStyle w:val="PageNumber"/>
        <w:sz w:val="18"/>
        <w:szCs w:val="16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64E89"/>
    <w:multiLevelType w:val="hybridMultilevel"/>
    <w:tmpl w:val="5B2E623A"/>
    <w:lvl w:ilvl="0" w:tplc="C32600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34FB"/>
    <w:multiLevelType w:val="hybridMultilevel"/>
    <w:tmpl w:val="7F84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3FE0AA5"/>
    <w:multiLevelType w:val="hybridMultilevel"/>
    <w:tmpl w:val="2F2AB578"/>
    <w:lvl w:ilvl="0" w:tplc="2E42E39E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7C"/>
    <w:rsid w:val="00002529"/>
    <w:rsid w:val="00085662"/>
    <w:rsid w:val="000B72F8"/>
    <w:rsid w:val="000C382F"/>
    <w:rsid w:val="000E2118"/>
    <w:rsid w:val="001173CC"/>
    <w:rsid w:val="00143C4B"/>
    <w:rsid w:val="0014464D"/>
    <w:rsid w:val="00162E19"/>
    <w:rsid w:val="001A525E"/>
    <w:rsid w:val="001A54CC"/>
    <w:rsid w:val="001A746E"/>
    <w:rsid w:val="001F62D1"/>
    <w:rsid w:val="001F6C71"/>
    <w:rsid w:val="00221548"/>
    <w:rsid w:val="00235C3D"/>
    <w:rsid w:val="00257FB4"/>
    <w:rsid w:val="002C73A4"/>
    <w:rsid w:val="002E496E"/>
    <w:rsid w:val="00303D62"/>
    <w:rsid w:val="00335367"/>
    <w:rsid w:val="00370C2D"/>
    <w:rsid w:val="003D1E8D"/>
    <w:rsid w:val="003D673B"/>
    <w:rsid w:val="003F2855"/>
    <w:rsid w:val="00401C20"/>
    <w:rsid w:val="00413AD8"/>
    <w:rsid w:val="00437D85"/>
    <w:rsid w:val="00492796"/>
    <w:rsid w:val="004A7957"/>
    <w:rsid w:val="004C4144"/>
    <w:rsid w:val="004D6B4C"/>
    <w:rsid w:val="004E7DCD"/>
    <w:rsid w:val="00552F13"/>
    <w:rsid w:val="00565D71"/>
    <w:rsid w:val="00581C9B"/>
    <w:rsid w:val="0062151E"/>
    <w:rsid w:val="00655A05"/>
    <w:rsid w:val="0069036E"/>
    <w:rsid w:val="006969B4"/>
    <w:rsid w:val="006A4F9F"/>
    <w:rsid w:val="006D675D"/>
    <w:rsid w:val="006E4F7B"/>
    <w:rsid w:val="0075512B"/>
    <w:rsid w:val="00781E2A"/>
    <w:rsid w:val="007933A2"/>
    <w:rsid w:val="007E1FEF"/>
    <w:rsid w:val="00801C52"/>
    <w:rsid w:val="00814503"/>
    <w:rsid w:val="008258C2"/>
    <w:rsid w:val="00837FEA"/>
    <w:rsid w:val="008505BD"/>
    <w:rsid w:val="00850C78"/>
    <w:rsid w:val="00855E3A"/>
    <w:rsid w:val="00884D12"/>
    <w:rsid w:val="008A0F06"/>
    <w:rsid w:val="008A5CFA"/>
    <w:rsid w:val="008A746D"/>
    <w:rsid w:val="008C17AD"/>
    <w:rsid w:val="008D02CD"/>
    <w:rsid w:val="00900E62"/>
    <w:rsid w:val="0090137A"/>
    <w:rsid w:val="0092348E"/>
    <w:rsid w:val="0093316C"/>
    <w:rsid w:val="0094637C"/>
    <w:rsid w:val="0095172A"/>
    <w:rsid w:val="00963BBE"/>
    <w:rsid w:val="00973CF1"/>
    <w:rsid w:val="00993D80"/>
    <w:rsid w:val="009A0BA0"/>
    <w:rsid w:val="00A42768"/>
    <w:rsid w:val="00A45A3A"/>
    <w:rsid w:val="00A54E47"/>
    <w:rsid w:val="00A71D8D"/>
    <w:rsid w:val="00A93E3B"/>
    <w:rsid w:val="00AB6E3A"/>
    <w:rsid w:val="00AC16C0"/>
    <w:rsid w:val="00AC356E"/>
    <w:rsid w:val="00AE7093"/>
    <w:rsid w:val="00B14BE9"/>
    <w:rsid w:val="00B2608B"/>
    <w:rsid w:val="00B422BC"/>
    <w:rsid w:val="00B43F77"/>
    <w:rsid w:val="00B55A3E"/>
    <w:rsid w:val="00B57C5B"/>
    <w:rsid w:val="00B648DB"/>
    <w:rsid w:val="00B80E33"/>
    <w:rsid w:val="00B87E9E"/>
    <w:rsid w:val="00B95F0A"/>
    <w:rsid w:val="00B96180"/>
    <w:rsid w:val="00BA3874"/>
    <w:rsid w:val="00BD7629"/>
    <w:rsid w:val="00C116FE"/>
    <w:rsid w:val="00C17AC0"/>
    <w:rsid w:val="00C20E01"/>
    <w:rsid w:val="00C34772"/>
    <w:rsid w:val="00C47C70"/>
    <w:rsid w:val="00C5465A"/>
    <w:rsid w:val="00C57F94"/>
    <w:rsid w:val="00CC07F0"/>
    <w:rsid w:val="00CC5ACE"/>
    <w:rsid w:val="00D54642"/>
    <w:rsid w:val="00DB6D69"/>
    <w:rsid w:val="00DD77C9"/>
    <w:rsid w:val="00DF3538"/>
    <w:rsid w:val="00E3747D"/>
    <w:rsid w:val="00E61D77"/>
    <w:rsid w:val="00E734C3"/>
    <w:rsid w:val="00E839B0"/>
    <w:rsid w:val="00E92C09"/>
    <w:rsid w:val="00EA0E30"/>
    <w:rsid w:val="00EF4AA6"/>
    <w:rsid w:val="00F14380"/>
    <w:rsid w:val="00F6461F"/>
    <w:rsid w:val="00FC2680"/>
    <w:rsid w:val="00FD2B2D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9EA14A23-8B03-4BB4-BBF3-9066FAAF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aliases w:val="fo,pie de página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aliases w:val="fo Char,pie de página Char"/>
    <w:link w:val="Footer"/>
    <w:uiPriority w:val="99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NormalWeb">
    <w:name w:val="Normal (Web)"/>
    <w:basedOn w:val="Normal"/>
    <w:uiPriority w:val="99"/>
    <w:rsid w:val="0094637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8A5CF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lang w:val="en-GB"/>
    </w:rPr>
  </w:style>
  <w:style w:type="paragraph" w:customStyle="1" w:styleId="Reasons">
    <w:name w:val="Reasons"/>
    <w:basedOn w:val="Normal"/>
    <w:qFormat/>
    <w:rsid w:val="008A5CF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62151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151E"/>
    <w:rPr>
      <w:rFonts w:ascii="Tahoma" w:hAnsi="Tahoma" w:cs="Tahoma"/>
      <w:sz w:val="16"/>
      <w:szCs w:val="16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4D6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md/S16-DM-CIR-01007/en" TargetMode="External"/><Relationship Id="rId18" Type="http://schemas.openxmlformats.org/officeDocument/2006/relationships/hyperlink" Target="http://www.wtsa16.tn/hotels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tu.int/md/S16-DM-CIR-01006/en" TargetMode="External"/><Relationship Id="rId17" Type="http://schemas.openxmlformats.org/officeDocument/2006/relationships/hyperlink" Target="http://www.wtsa16.tn/vis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T/wtsa16/Pages/information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S16-DM-CIR-01005/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en/ITU-T/wtsa16/Pages/Registration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md/S16-SG-CIR-0013/en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tu.int/en/ITU-T/wtsa16/gss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A93C-E1F7-48C6-B227-627914D6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23</TotalTime>
  <Pages>5</Pages>
  <Words>946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6885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FHernández</dc:creator>
  <cp:lastModifiedBy>Osvath, Alexandra</cp:lastModifiedBy>
  <cp:revision>23</cp:revision>
  <cp:lastPrinted>2016-09-26T12:25:00Z</cp:lastPrinted>
  <dcterms:created xsi:type="dcterms:W3CDTF">2016-09-12T13:55:00Z</dcterms:created>
  <dcterms:modified xsi:type="dcterms:W3CDTF">2016-09-26T12:25:00Z</dcterms:modified>
</cp:coreProperties>
</file>