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B228C2" w:rsidTr="00697D1D">
        <w:trPr>
          <w:cantSplit/>
        </w:trPr>
        <w:tc>
          <w:tcPr>
            <w:tcW w:w="1418" w:type="dxa"/>
            <w:vAlign w:val="center"/>
          </w:tcPr>
          <w:p w:rsidR="00297434" w:rsidRPr="00B228C2" w:rsidRDefault="00297434" w:rsidP="00697D1D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B228C2">
              <w:rPr>
                <w:noProof/>
                <w:lang w:val="en-GB" w:eastAsia="zh-CN"/>
              </w:rPr>
              <w:drawing>
                <wp:inline distT="0" distB="0" distL="0" distR="0" wp14:anchorId="57CE26F0" wp14:editId="1AB8A12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97434" w:rsidRPr="00B228C2" w:rsidRDefault="00297434" w:rsidP="00697D1D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228C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B228C2" w:rsidRDefault="00297434" w:rsidP="00697D1D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228C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B228C2" w:rsidRDefault="00397B87" w:rsidP="00697D1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B228C2">
              <w:rPr>
                <w:noProof/>
                <w:lang w:val="en-GB" w:eastAsia="zh-CN"/>
              </w:rPr>
              <w:drawing>
                <wp:inline distT="0" distB="0" distL="0" distR="0" wp14:anchorId="7797567D" wp14:editId="03DDF99E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434" w:rsidRPr="00B228C2" w:rsidTr="00697D1D">
        <w:trPr>
          <w:cantSplit/>
        </w:trPr>
        <w:tc>
          <w:tcPr>
            <w:tcW w:w="7086" w:type="dxa"/>
            <w:gridSpan w:val="2"/>
            <w:vAlign w:val="center"/>
          </w:tcPr>
          <w:p w:rsidR="00297434" w:rsidRPr="00B228C2" w:rsidRDefault="00297434" w:rsidP="00697D1D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297434" w:rsidRPr="00B228C2" w:rsidRDefault="00297434" w:rsidP="00697D1D">
            <w:pPr>
              <w:rPr>
                <w:lang w:val="ru-RU"/>
              </w:rPr>
            </w:pPr>
          </w:p>
        </w:tc>
      </w:tr>
    </w:tbl>
    <w:p w:rsidR="001629DC" w:rsidRPr="00B228C2" w:rsidRDefault="001629DC" w:rsidP="00FC0BDA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360"/>
        <w:rPr>
          <w:lang w:val="ru-RU"/>
        </w:rPr>
      </w:pPr>
      <w:r w:rsidRPr="00B228C2">
        <w:rPr>
          <w:lang w:val="ru-RU"/>
        </w:rPr>
        <w:tab/>
        <w:t>Женева,</w:t>
      </w:r>
      <w:r w:rsidR="00B54B88" w:rsidRPr="00B228C2">
        <w:rPr>
          <w:lang w:val="ru-RU"/>
        </w:rPr>
        <w:t xml:space="preserve"> </w:t>
      </w:r>
      <w:r w:rsidR="00FC0BDA" w:rsidRPr="00B228C2">
        <w:rPr>
          <w:lang w:val="ru-RU"/>
        </w:rPr>
        <w:t>4</w:t>
      </w:r>
      <w:r w:rsidR="006B1E6B" w:rsidRPr="00B228C2">
        <w:rPr>
          <w:lang w:val="ru-RU"/>
        </w:rPr>
        <w:t xml:space="preserve"> </w:t>
      </w:r>
      <w:r w:rsidR="00B852B7" w:rsidRPr="00B228C2">
        <w:rPr>
          <w:lang w:val="ru-RU"/>
        </w:rPr>
        <w:t xml:space="preserve">апреля </w:t>
      </w:r>
      <w:r w:rsidR="00A32FD5" w:rsidRPr="00B228C2">
        <w:rPr>
          <w:lang w:val="ru-RU"/>
        </w:rPr>
        <w:t>201</w:t>
      </w:r>
      <w:r w:rsidR="007D4F1A" w:rsidRPr="00B228C2">
        <w:rPr>
          <w:lang w:val="ru-RU"/>
        </w:rPr>
        <w:t>6 </w:t>
      </w:r>
      <w:r w:rsidR="00A32FD5" w:rsidRPr="00B228C2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372A8C" w:rsidRPr="00B228C2" w:rsidTr="0072564E">
        <w:trPr>
          <w:cantSplit/>
        </w:trPr>
        <w:tc>
          <w:tcPr>
            <w:tcW w:w="1418" w:type="dxa"/>
          </w:tcPr>
          <w:p w:rsidR="00372A8C" w:rsidRPr="00B228C2" w:rsidRDefault="00372A8C" w:rsidP="00867192">
            <w:pPr>
              <w:spacing w:before="0"/>
              <w:rPr>
                <w:lang w:val="ru-RU"/>
              </w:rPr>
            </w:pPr>
            <w:r w:rsidRPr="00B228C2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372A8C" w:rsidRPr="00B228C2" w:rsidRDefault="00372A8C" w:rsidP="00FC0BDA">
            <w:pPr>
              <w:spacing w:before="0"/>
              <w:ind w:left="142"/>
              <w:rPr>
                <w:lang w:val="ru-RU"/>
              </w:rPr>
            </w:pPr>
            <w:r w:rsidRPr="00B228C2">
              <w:rPr>
                <w:b/>
                <w:bCs/>
                <w:lang w:val="ru-RU"/>
              </w:rPr>
              <w:t>Циркуляр 2</w:t>
            </w:r>
            <w:r w:rsidR="00BC46A0" w:rsidRPr="00B228C2">
              <w:rPr>
                <w:b/>
                <w:bCs/>
                <w:lang w:val="ru-RU"/>
              </w:rPr>
              <w:t>1</w:t>
            </w:r>
            <w:r w:rsidR="00FC0BDA" w:rsidRPr="00B228C2">
              <w:rPr>
                <w:b/>
                <w:bCs/>
                <w:lang w:val="ru-RU"/>
              </w:rPr>
              <w:t>4</w:t>
            </w:r>
            <w:r w:rsidRPr="00B228C2">
              <w:rPr>
                <w:b/>
                <w:bCs/>
                <w:lang w:val="ru-RU"/>
              </w:rPr>
              <w:t xml:space="preserve"> БСЭ</w:t>
            </w:r>
            <w:r w:rsidRPr="00B228C2">
              <w:rPr>
                <w:b/>
                <w:bCs/>
                <w:lang w:val="ru-RU"/>
              </w:rPr>
              <w:br/>
            </w:r>
            <w:r w:rsidR="00B852B7" w:rsidRPr="00B228C2">
              <w:rPr>
                <w:lang w:val="ru-RU"/>
              </w:rPr>
              <w:t>SG17/MEU</w:t>
            </w:r>
          </w:p>
        </w:tc>
        <w:tc>
          <w:tcPr>
            <w:tcW w:w="4242" w:type="dxa"/>
            <w:vMerge w:val="restart"/>
          </w:tcPr>
          <w:p w:rsidR="00372A8C" w:rsidRPr="00B228C2" w:rsidRDefault="00372A8C" w:rsidP="00397B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228C2">
              <w:rPr>
                <w:lang w:val="ru-RU"/>
              </w:rPr>
              <w:t>–</w:t>
            </w:r>
            <w:r w:rsidRPr="00B228C2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372A8C" w:rsidRPr="00B228C2" w:rsidTr="0072564E">
        <w:trPr>
          <w:cantSplit/>
          <w:trHeight w:val="269"/>
        </w:trPr>
        <w:tc>
          <w:tcPr>
            <w:tcW w:w="1418" w:type="dxa"/>
            <w:vMerge w:val="restart"/>
          </w:tcPr>
          <w:p w:rsidR="00372A8C" w:rsidRPr="00B228C2" w:rsidRDefault="00372A8C" w:rsidP="00397B87">
            <w:pPr>
              <w:spacing w:before="240"/>
              <w:rPr>
                <w:lang w:val="ru-RU"/>
              </w:rPr>
            </w:pPr>
            <w:r w:rsidRPr="00B228C2">
              <w:rPr>
                <w:lang w:val="ru-RU"/>
              </w:rPr>
              <w:t>Тел.:</w:t>
            </w:r>
            <w:r w:rsidRPr="00B228C2">
              <w:rPr>
                <w:lang w:val="ru-RU"/>
              </w:rPr>
              <w:br/>
              <w:t>Факс:</w:t>
            </w:r>
            <w:r w:rsidRPr="00B228C2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  <w:vMerge w:val="restart"/>
          </w:tcPr>
          <w:p w:rsidR="00372A8C" w:rsidRPr="00B228C2" w:rsidRDefault="00372A8C" w:rsidP="00397B87">
            <w:pPr>
              <w:spacing w:before="240"/>
              <w:ind w:left="142"/>
              <w:rPr>
                <w:b/>
                <w:bCs/>
                <w:lang w:val="ru-RU"/>
              </w:rPr>
            </w:pPr>
            <w:r w:rsidRPr="00B228C2">
              <w:rPr>
                <w:szCs w:val="22"/>
                <w:lang w:val="ru-RU"/>
              </w:rPr>
              <w:t xml:space="preserve">+41 22 730 </w:t>
            </w:r>
            <w:r w:rsidR="001C2FB8" w:rsidRPr="00B228C2">
              <w:rPr>
                <w:lang w:val="ru-RU"/>
              </w:rPr>
              <w:t>5866</w:t>
            </w:r>
            <w:r w:rsidR="00BC46A0" w:rsidRPr="00B228C2">
              <w:rPr>
                <w:lang w:val="ru-RU"/>
              </w:rPr>
              <w:br/>
            </w:r>
            <w:r w:rsidRPr="00B228C2">
              <w:rPr>
                <w:szCs w:val="22"/>
                <w:lang w:val="ru-RU"/>
              </w:rPr>
              <w:t>+41 22 730 5853</w:t>
            </w:r>
            <w:r w:rsidRPr="00B228C2">
              <w:rPr>
                <w:lang w:val="ru-RU"/>
              </w:rPr>
              <w:br/>
            </w:r>
            <w:hyperlink r:id="rId10" w:history="1">
              <w:r w:rsidR="001C2FB8" w:rsidRPr="00B228C2">
                <w:rPr>
                  <w:rStyle w:val="Hyperlink"/>
                  <w:lang w:val="ru-RU"/>
                </w:rPr>
                <w:t>tsbsg17@itu.int</w:t>
              </w:r>
            </w:hyperlink>
          </w:p>
        </w:tc>
        <w:tc>
          <w:tcPr>
            <w:tcW w:w="4242" w:type="dxa"/>
            <w:vMerge/>
          </w:tcPr>
          <w:p w:rsidR="00372A8C" w:rsidRPr="00B228C2" w:rsidRDefault="00372A8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372A8C" w:rsidRPr="00CB232C" w:rsidTr="0072564E">
        <w:trPr>
          <w:cantSplit/>
        </w:trPr>
        <w:tc>
          <w:tcPr>
            <w:tcW w:w="1418" w:type="dxa"/>
            <w:vMerge/>
          </w:tcPr>
          <w:p w:rsidR="00372A8C" w:rsidRPr="00B228C2" w:rsidRDefault="00372A8C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111" w:type="dxa"/>
            <w:vMerge/>
          </w:tcPr>
          <w:p w:rsidR="00372A8C" w:rsidRPr="00B228C2" w:rsidRDefault="00372A8C" w:rsidP="0072564E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242" w:type="dxa"/>
          </w:tcPr>
          <w:p w:rsidR="00372A8C" w:rsidRPr="00B228C2" w:rsidRDefault="00372A8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228C2">
              <w:rPr>
                <w:b/>
                <w:bCs/>
                <w:lang w:val="ru-RU"/>
              </w:rPr>
              <w:t>Копии</w:t>
            </w:r>
            <w:r w:rsidRPr="00B228C2">
              <w:rPr>
                <w:lang w:val="ru-RU"/>
              </w:rPr>
              <w:t>:</w:t>
            </w:r>
          </w:p>
          <w:p w:rsidR="00B852B7" w:rsidRPr="00B228C2" w:rsidRDefault="00B852B7" w:rsidP="00B852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228C2">
              <w:rPr>
                <w:lang w:val="ru-RU"/>
              </w:rPr>
              <w:t>–</w:t>
            </w:r>
            <w:r w:rsidRPr="00B228C2">
              <w:rPr>
                <w:lang w:val="ru-RU"/>
              </w:rPr>
              <w:tab/>
              <w:t>Членам Сектора МСЭ-Т</w:t>
            </w:r>
          </w:p>
          <w:p w:rsidR="00B852B7" w:rsidRPr="00B228C2" w:rsidRDefault="00B852B7" w:rsidP="00B852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228C2">
              <w:rPr>
                <w:lang w:val="ru-RU"/>
              </w:rPr>
              <w:t>–</w:t>
            </w:r>
            <w:r w:rsidRPr="00B228C2">
              <w:rPr>
                <w:lang w:val="ru-RU"/>
              </w:rPr>
              <w:tab/>
              <w:t>Ассоциированным членам МСЭ-Т</w:t>
            </w:r>
          </w:p>
          <w:p w:rsidR="00B852B7" w:rsidRPr="00B228C2" w:rsidRDefault="00B852B7" w:rsidP="00B852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228C2">
              <w:rPr>
                <w:lang w:val="ru-RU"/>
              </w:rPr>
              <w:t>–</w:t>
            </w:r>
            <w:r w:rsidRPr="00B228C2">
              <w:rPr>
                <w:lang w:val="ru-RU"/>
              </w:rPr>
              <w:tab/>
              <w:t xml:space="preserve">Академическим организациям − Членам МСЭ </w:t>
            </w:r>
          </w:p>
          <w:p w:rsidR="00372A8C" w:rsidRPr="00B228C2" w:rsidRDefault="00372A8C" w:rsidP="00FC0B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228C2">
              <w:rPr>
                <w:lang w:val="ru-RU"/>
              </w:rPr>
              <w:t>–</w:t>
            </w:r>
            <w:r w:rsidRPr="00B228C2">
              <w:rPr>
                <w:lang w:val="ru-RU"/>
              </w:rPr>
              <w:tab/>
              <w:t>Председател</w:t>
            </w:r>
            <w:r w:rsidR="001C2FB8" w:rsidRPr="00B228C2">
              <w:rPr>
                <w:lang w:val="ru-RU"/>
              </w:rPr>
              <w:t>ю</w:t>
            </w:r>
            <w:r w:rsidRPr="00B228C2">
              <w:rPr>
                <w:lang w:val="ru-RU"/>
              </w:rPr>
              <w:t xml:space="preserve"> и заместител</w:t>
            </w:r>
            <w:r w:rsidR="00FC0BDA" w:rsidRPr="00B228C2">
              <w:rPr>
                <w:lang w:val="ru-RU"/>
              </w:rPr>
              <w:t>ям</w:t>
            </w:r>
            <w:r w:rsidRPr="00B228C2">
              <w:rPr>
                <w:lang w:val="ru-RU"/>
              </w:rPr>
              <w:t xml:space="preserve"> председател</w:t>
            </w:r>
            <w:r w:rsidR="001C2FB8" w:rsidRPr="00B228C2">
              <w:rPr>
                <w:lang w:val="ru-RU"/>
              </w:rPr>
              <w:t>я 17-й</w:t>
            </w:r>
            <w:r w:rsidRPr="00B228C2">
              <w:rPr>
                <w:lang w:val="ru-RU"/>
              </w:rPr>
              <w:t xml:space="preserve"> </w:t>
            </w:r>
            <w:r w:rsidR="001C2FB8" w:rsidRPr="00B228C2">
              <w:rPr>
                <w:lang w:val="ru-RU"/>
              </w:rPr>
              <w:t xml:space="preserve">Исследовательской </w:t>
            </w:r>
            <w:r w:rsidRPr="00B228C2">
              <w:rPr>
                <w:lang w:val="ru-RU"/>
              </w:rPr>
              <w:t>комисси</w:t>
            </w:r>
            <w:r w:rsidR="001C2FB8" w:rsidRPr="00B228C2">
              <w:rPr>
                <w:lang w:val="ru-RU"/>
              </w:rPr>
              <w:t>и</w:t>
            </w:r>
            <w:r w:rsidRPr="00B228C2">
              <w:rPr>
                <w:lang w:val="ru-RU"/>
              </w:rPr>
              <w:t xml:space="preserve"> МСЭ-Т</w:t>
            </w:r>
          </w:p>
          <w:p w:rsidR="00372A8C" w:rsidRPr="00B228C2" w:rsidRDefault="00372A8C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228C2">
              <w:rPr>
                <w:lang w:val="ru-RU"/>
              </w:rPr>
              <w:t>–</w:t>
            </w:r>
            <w:r w:rsidRPr="00B228C2">
              <w:rPr>
                <w:lang w:val="ru-RU"/>
              </w:rPr>
              <w:tab/>
              <w:t>Директору Бюро развития электросвязи</w:t>
            </w:r>
          </w:p>
          <w:p w:rsidR="00372A8C" w:rsidRPr="00B228C2" w:rsidRDefault="00372A8C" w:rsidP="00BC46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228C2">
              <w:rPr>
                <w:lang w:val="ru-RU"/>
              </w:rPr>
              <w:t>–</w:t>
            </w:r>
            <w:r w:rsidRPr="00B228C2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B228C2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B228C2" w:rsidTr="0072564E">
        <w:trPr>
          <w:cantSplit/>
        </w:trPr>
        <w:tc>
          <w:tcPr>
            <w:tcW w:w="1418" w:type="dxa"/>
          </w:tcPr>
          <w:p w:rsidR="001629DC" w:rsidRPr="00B228C2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B228C2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FC0BDA" w:rsidRPr="00B228C2" w:rsidRDefault="00FC0BDA" w:rsidP="00FC0BD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jc w:val="both"/>
              <w:rPr>
                <w:b/>
                <w:bCs/>
                <w:szCs w:val="22"/>
                <w:lang w:val="ru-RU"/>
              </w:rPr>
            </w:pPr>
            <w:r w:rsidRPr="00B228C2">
              <w:rPr>
                <w:b/>
                <w:bCs/>
                <w:szCs w:val="22"/>
                <w:lang w:val="ru-RU"/>
              </w:rPr>
              <w:t xml:space="preserve">Собрание 17-й Исследовательской комиссии МСЭ-Т, имеющее целью утверждение проектов Рекомендаций </w:t>
            </w:r>
            <w:r w:rsidRPr="00B228C2">
              <w:rPr>
                <w:b/>
                <w:bCs/>
                <w:lang w:val="ru-RU"/>
              </w:rPr>
              <w:t>МСЭ</w:t>
            </w:r>
            <w:r w:rsidRPr="00B228C2">
              <w:rPr>
                <w:b/>
                <w:bCs/>
                <w:lang w:val="ru-RU"/>
              </w:rPr>
              <w:noBreakHyphen/>
              <w:t xml:space="preserve">T X.1258 (бывш. X.eaaa), X.1542 (бывш. X.simef) и X.1641 (бывш. X.CSCDataSec) </w:t>
            </w:r>
            <w:r w:rsidRPr="00B228C2">
              <w:rPr>
                <w:b/>
                <w:bCs/>
                <w:szCs w:val="22"/>
                <w:lang w:val="ru-RU"/>
              </w:rPr>
              <w:t>в соответствии с положениями раздела 9 Резолюции 1 (Дубай, 2012 г.) ВАСЭ</w:t>
            </w:r>
          </w:p>
          <w:p w:rsidR="001629DC" w:rsidRPr="00B228C2" w:rsidRDefault="00FC0BDA" w:rsidP="00CB7BCA">
            <w:pPr>
              <w:spacing w:before="0"/>
              <w:rPr>
                <w:lang w:val="ru-RU"/>
              </w:rPr>
            </w:pPr>
            <w:r w:rsidRPr="00B228C2">
              <w:rPr>
                <w:b/>
                <w:bCs/>
                <w:szCs w:val="22"/>
                <w:lang w:val="ru-RU"/>
              </w:rPr>
              <w:t xml:space="preserve">Женева, </w:t>
            </w:r>
            <w:r w:rsidR="00CB7BCA" w:rsidRPr="00B228C2">
              <w:rPr>
                <w:b/>
                <w:bCs/>
                <w:szCs w:val="22"/>
                <w:lang w:val="ru-RU"/>
              </w:rPr>
              <w:t>7</w:t>
            </w:r>
            <w:r w:rsidRPr="00B228C2">
              <w:rPr>
                <w:b/>
                <w:bCs/>
                <w:szCs w:val="22"/>
                <w:lang w:val="ru-RU"/>
              </w:rPr>
              <w:t xml:space="preserve"> </w:t>
            </w:r>
            <w:r w:rsidR="00CB7BCA" w:rsidRPr="00B228C2">
              <w:rPr>
                <w:b/>
                <w:bCs/>
                <w:szCs w:val="22"/>
                <w:lang w:val="ru-RU"/>
              </w:rPr>
              <w:t xml:space="preserve">сентября </w:t>
            </w:r>
            <w:r w:rsidRPr="00B228C2">
              <w:rPr>
                <w:b/>
                <w:bCs/>
                <w:szCs w:val="22"/>
                <w:lang w:val="ru-RU"/>
              </w:rPr>
              <w:t>2016 года</w:t>
            </w:r>
          </w:p>
        </w:tc>
      </w:tr>
    </w:tbl>
    <w:p w:rsidR="001629DC" w:rsidRPr="00B228C2" w:rsidRDefault="001629DC" w:rsidP="00297434">
      <w:pPr>
        <w:pStyle w:val="Normalaftertitle"/>
        <w:spacing w:before="480"/>
        <w:rPr>
          <w:lang w:val="ru-RU"/>
        </w:rPr>
      </w:pPr>
      <w:r w:rsidRPr="00B228C2">
        <w:rPr>
          <w:lang w:val="ru-RU"/>
        </w:rPr>
        <w:t>Уважаемая госпожа,</w:t>
      </w:r>
      <w:r w:rsidRPr="00B228C2">
        <w:rPr>
          <w:lang w:val="ru-RU"/>
        </w:rPr>
        <w:br/>
        <w:t>уважаемый господин,</w:t>
      </w:r>
    </w:p>
    <w:p w:rsidR="00CB7BCA" w:rsidRPr="00B228C2" w:rsidRDefault="00CB7BCA" w:rsidP="00397B87">
      <w:pPr>
        <w:jc w:val="both"/>
        <w:rPr>
          <w:lang w:val="ru-RU"/>
        </w:rPr>
      </w:pPr>
      <w:r w:rsidRPr="00B228C2">
        <w:rPr>
          <w:lang w:val="ru-RU"/>
        </w:rPr>
        <w:t>1</w:t>
      </w:r>
      <w:r w:rsidRPr="00B228C2">
        <w:rPr>
          <w:lang w:val="ru-RU"/>
        </w:rPr>
        <w:tab/>
        <w:t>По просьбе председателя 17-й Исследовательской комиссии МСЭ-T (</w:t>
      </w:r>
      <w:r w:rsidRPr="00B228C2">
        <w:rPr>
          <w:i/>
          <w:iCs/>
          <w:lang w:val="ru-RU"/>
        </w:rPr>
        <w:t>Безопасность</w:t>
      </w:r>
      <w:r w:rsidRPr="00B228C2">
        <w:rPr>
          <w:lang w:val="ru-RU"/>
        </w:rPr>
        <w:t xml:space="preserve">) имею честь сообщить вам, что указанная Исследовательская комиссия, собрание которой состоится 29 августа – 7 сентября </w:t>
      </w:r>
      <w:r w:rsidRPr="00B228C2">
        <w:rPr>
          <w:szCs w:val="22"/>
          <w:lang w:val="ru-RU"/>
        </w:rPr>
        <w:t xml:space="preserve">2016 </w:t>
      </w:r>
      <w:r w:rsidRPr="00B228C2">
        <w:rPr>
          <w:lang w:val="ru-RU"/>
        </w:rPr>
        <w:t>года, намеревается применить для утверждения вышеупомянутых проектов Рекомендаций процедуру, описанную в разделе 9 Резолюции 1 (Дубай, 2012 г.) ВАСЭ.</w:t>
      </w:r>
    </w:p>
    <w:p w:rsidR="00CB7BCA" w:rsidRPr="00B228C2" w:rsidRDefault="00CB7BCA" w:rsidP="00FB1052">
      <w:pPr>
        <w:jc w:val="both"/>
        <w:rPr>
          <w:lang w:val="ru-RU"/>
        </w:rPr>
      </w:pPr>
      <w:r w:rsidRPr="00B228C2">
        <w:rPr>
          <w:lang w:val="ru-RU"/>
        </w:rPr>
        <w:t>2</w:t>
      </w:r>
      <w:r w:rsidRPr="00B228C2">
        <w:rPr>
          <w:lang w:val="ru-RU"/>
        </w:rPr>
        <w:tab/>
        <w:t>Названия и резюме предлагаемых к утверждению проектов Рекомендаций МСЭ-Т и указание на мест</w:t>
      </w:r>
      <w:r w:rsidR="00FB1052" w:rsidRPr="00B228C2">
        <w:rPr>
          <w:lang w:val="ru-RU"/>
        </w:rPr>
        <w:t>о</w:t>
      </w:r>
      <w:r w:rsidRPr="00B228C2">
        <w:rPr>
          <w:lang w:val="ru-RU"/>
        </w:rPr>
        <w:t xml:space="preserve"> их размещения содержатся в </w:t>
      </w:r>
      <w:r w:rsidRPr="00B228C2">
        <w:rPr>
          <w:b/>
          <w:bCs/>
          <w:lang w:val="ru-RU"/>
        </w:rPr>
        <w:t>Приложении 1</w:t>
      </w:r>
      <w:r w:rsidRPr="00B228C2">
        <w:rPr>
          <w:lang w:val="ru-RU"/>
        </w:rPr>
        <w:t>.</w:t>
      </w:r>
    </w:p>
    <w:p w:rsidR="00CB7BCA" w:rsidRPr="00B228C2" w:rsidRDefault="00CB7BCA" w:rsidP="00B612FD">
      <w:pPr>
        <w:jc w:val="both"/>
        <w:rPr>
          <w:lang w:val="ru-RU"/>
        </w:rPr>
      </w:pPr>
      <w:r w:rsidRPr="00B228C2">
        <w:rPr>
          <w:lang w:val="ru-RU"/>
        </w:rPr>
        <w:t>3</w:t>
      </w:r>
      <w:r w:rsidRPr="00B228C2">
        <w:rPr>
          <w:lang w:val="ru-RU"/>
        </w:rPr>
        <w:tab/>
        <w:t xml:space="preserve">Просьба ко всем Государствам </w:t>
      </w:r>
      <w:r w:rsidR="00B612FD">
        <w:rPr>
          <w:lang w:val="ru-RU"/>
        </w:rPr>
        <w:t>−</w:t>
      </w:r>
      <w:r w:rsidRPr="00B228C2">
        <w:rPr>
          <w:lang w:val="ru-RU"/>
        </w:rPr>
        <w:t xml:space="preserve"> Членам МСЭ, Членам Сектора, Ассоциированным членам или Академическим организациям, располагающим информацией о принадлежащим им или другим сторонам патентах, которые могут полностью либо частично охватывать элементы проектов предлагаемых к утверждению Рекомендаций, сообщить об этом БСЭ в соответствии с общей патентной политикой для МСЭ-Т/МСЭ-R/ИСО/МЭК.</w:t>
      </w:r>
    </w:p>
    <w:p w:rsidR="00CB7BCA" w:rsidRPr="00B228C2" w:rsidRDefault="00CB7BCA" w:rsidP="00CB7BCA">
      <w:pPr>
        <w:jc w:val="both"/>
        <w:rPr>
          <w:lang w:val="ru-RU"/>
        </w:rPr>
      </w:pPr>
      <w:r w:rsidRPr="00B228C2">
        <w:rPr>
          <w:lang w:val="ru-RU"/>
        </w:rPr>
        <w:t>Имеющаяся патентная информация доступна в онлайновом режиме на веб-сайте МСЭ-Т (</w:t>
      </w:r>
      <w:hyperlink r:id="rId11" w:history="1">
        <w:r w:rsidRPr="00B228C2">
          <w:rPr>
            <w:rStyle w:val="Hyperlink"/>
            <w:szCs w:val="22"/>
            <w:lang w:val="ru-RU"/>
          </w:rPr>
          <w:t>http://www.</w:t>
        </w:r>
        <w:bookmarkStart w:id="1" w:name="_GoBack"/>
        <w:bookmarkEnd w:id="1"/>
        <w:r w:rsidRPr="00B228C2">
          <w:rPr>
            <w:rStyle w:val="Hyperlink"/>
            <w:szCs w:val="22"/>
            <w:lang w:val="ru-RU"/>
          </w:rPr>
          <w:t>itu.int/ipr/</w:t>
        </w:r>
      </w:hyperlink>
      <w:r w:rsidRPr="00B228C2">
        <w:rPr>
          <w:lang w:val="ru-RU"/>
        </w:rPr>
        <w:t>).</w:t>
      </w:r>
    </w:p>
    <w:p w:rsidR="00CB7BCA" w:rsidRPr="00B228C2" w:rsidRDefault="00CB7BCA" w:rsidP="00CB7BCA">
      <w:pPr>
        <w:jc w:val="both"/>
        <w:rPr>
          <w:lang w:val="ru-RU"/>
        </w:rPr>
      </w:pPr>
      <w:r w:rsidRPr="00B228C2">
        <w:rPr>
          <w:lang w:val="ru-RU"/>
        </w:rPr>
        <w:t>4</w:t>
      </w:r>
      <w:r w:rsidRPr="00B228C2">
        <w:rPr>
          <w:lang w:val="ru-RU"/>
        </w:rPr>
        <w:tab/>
        <w:t xml:space="preserve">Учитывая положения раздела 9 Резолюции 1, заранее благодарю вас за информацию о том, дает ли ваша администрация 17-й Исследовательской комиссии </w:t>
      </w:r>
      <w:r w:rsidR="00FB1052" w:rsidRPr="00B228C2">
        <w:rPr>
          <w:lang w:val="ru-RU"/>
        </w:rPr>
        <w:t xml:space="preserve">МСЭ-Т </w:t>
      </w:r>
      <w:r w:rsidRPr="00B228C2">
        <w:rPr>
          <w:lang w:val="ru-RU"/>
        </w:rPr>
        <w:t xml:space="preserve">полномочия </w:t>
      </w:r>
      <w:r w:rsidRPr="00B228C2">
        <w:rPr>
          <w:lang w:val="ru-RU"/>
        </w:rPr>
        <w:lastRenderedPageBreak/>
        <w:t>рассмотреть на своем собрании проекты указанных Рекомендаций на предмет их утверждения, направленную в мой адрес до 2400 UTC 17 августа 2016 года.</w:t>
      </w:r>
    </w:p>
    <w:p w:rsidR="00CB7BCA" w:rsidRPr="00B228C2" w:rsidRDefault="00CB7BCA" w:rsidP="00FB1052">
      <w:pPr>
        <w:jc w:val="both"/>
        <w:rPr>
          <w:lang w:val="ru-RU"/>
        </w:rPr>
      </w:pPr>
      <w:r w:rsidRPr="00B228C2">
        <w:rPr>
          <w:lang w:val="ru-RU"/>
        </w:rPr>
        <w:t>Если какие-либо Государства-Члены сочтут, что рассматривать Рекомендации на предмет их утверждения не следует, им необходимо сообщить о причинах такого неодобрения и указать, какие возможные изменения могли бы способствовать дальнейшему рассмотрению и утверждению проектов указанных Рекомендаций.</w:t>
      </w:r>
    </w:p>
    <w:p w:rsidR="00CB7BCA" w:rsidRPr="00B228C2" w:rsidRDefault="00CB7BCA" w:rsidP="00CB7BCA">
      <w:pPr>
        <w:jc w:val="both"/>
        <w:rPr>
          <w:lang w:val="ru-RU"/>
        </w:rPr>
      </w:pPr>
      <w:r w:rsidRPr="00B228C2">
        <w:rPr>
          <w:lang w:val="ru-RU"/>
        </w:rPr>
        <w:t>5</w:t>
      </w:r>
      <w:r w:rsidRPr="00B228C2">
        <w:rPr>
          <w:lang w:val="ru-RU"/>
        </w:rPr>
        <w:tab/>
        <w:t>В случае если 70% или более Государств-Членов в своих ответах выскажутся за рассмотрение на собрании Исследовательской комиссии проектов указанных Рекомендаций на предмет их утверждения, одно пленарное заседание 7 сентября 2016 года будет отведено для применения процедуры утверждения.</w:t>
      </w:r>
    </w:p>
    <w:p w:rsidR="00CB7BCA" w:rsidRPr="00B228C2" w:rsidRDefault="00CB7BCA" w:rsidP="00CB7BCA">
      <w:pPr>
        <w:jc w:val="both"/>
        <w:rPr>
          <w:lang w:val="ru-RU"/>
        </w:rPr>
      </w:pPr>
      <w:r w:rsidRPr="00B228C2">
        <w:rPr>
          <w:lang w:val="ru-RU"/>
        </w:rPr>
        <w:t xml:space="preserve">В связи с этим предлагаю вашей администрации направить на собрание своего представителя. </w:t>
      </w:r>
      <w:r w:rsidRPr="00B228C2">
        <w:rPr>
          <w:b/>
          <w:bCs/>
          <w:lang w:val="ru-RU"/>
        </w:rPr>
        <w:t>Администрациям Государств – Членов Союза</w:t>
      </w:r>
      <w:r w:rsidRPr="00B228C2">
        <w:rPr>
          <w:lang w:val="ru-RU"/>
        </w:rPr>
        <w:t xml:space="preserve"> </w:t>
      </w:r>
      <w:r w:rsidRPr="00B228C2">
        <w:rPr>
          <w:b/>
          <w:bCs/>
          <w:lang w:val="ru-RU"/>
        </w:rPr>
        <w:t>предлагается сообщить фамилии глав их делегаций. Если ваша администрация желает быть представленной на собрании признанной эксплуатационной организацией, научной или промышленной организацией либо иным объединением, занимающимся вопросами электросвязи, то в соответствии с п. 239 Статьи 19 Конвенции МСЭ необходимо должным образом сообщить об этом Директору БСЭ</w:t>
      </w:r>
      <w:r w:rsidRPr="00B228C2">
        <w:rPr>
          <w:lang w:val="ru-RU"/>
        </w:rPr>
        <w:t>.</w:t>
      </w:r>
    </w:p>
    <w:p w:rsidR="00CB7BCA" w:rsidRPr="00B228C2" w:rsidRDefault="00CB7BCA" w:rsidP="00CB7BCA">
      <w:pPr>
        <w:jc w:val="both"/>
        <w:rPr>
          <w:lang w:val="ru-RU"/>
        </w:rPr>
      </w:pPr>
      <w:r w:rsidRPr="00B228C2">
        <w:rPr>
          <w:lang w:val="ru-RU"/>
        </w:rPr>
        <w:t>6</w:t>
      </w:r>
      <w:r w:rsidRPr="00B228C2">
        <w:rPr>
          <w:lang w:val="ru-RU"/>
        </w:rPr>
        <w:tab/>
        <w:t>Повестка дня и вся соответствующая информация, касающаяся собрания 17</w:t>
      </w:r>
      <w:r w:rsidRPr="00B228C2">
        <w:rPr>
          <w:lang w:val="ru-RU"/>
        </w:rPr>
        <w:noBreakHyphen/>
        <w:t>й Исследовательской комиссии МСЭ-Т, будут предоставлены в Коллективном письме 8/17.</w:t>
      </w:r>
    </w:p>
    <w:p w:rsidR="00CB7BCA" w:rsidRPr="00B228C2" w:rsidRDefault="00CB7BCA" w:rsidP="00CB7BCA">
      <w:pPr>
        <w:jc w:val="both"/>
        <w:rPr>
          <w:lang w:val="ru-RU"/>
        </w:rPr>
      </w:pPr>
      <w:r w:rsidRPr="00B228C2">
        <w:rPr>
          <w:lang w:val="ru-RU"/>
        </w:rPr>
        <w:t>7</w:t>
      </w:r>
      <w:r w:rsidRPr="00B228C2">
        <w:rPr>
          <w:lang w:val="ru-RU"/>
        </w:rPr>
        <w:tab/>
        <w:t>После собрания Директор БСЭ в циркулярном письме уведомит о принятом по данным Рекомендациям решении. Эта информация будет также опубликована в Оперативном бюллетене МСЭ.</w:t>
      </w:r>
    </w:p>
    <w:p w:rsidR="00CB7BCA" w:rsidRDefault="00CB7BCA" w:rsidP="00397B87">
      <w:pPr>
        <w:rPr>
          <w:lang w:val="ru-RU"/>
        </w:rPr>
      </w:pPr>
      <w:r w:rsidRPr="00B228C2">
        <w:rPr>
          <w:lang w:val="ru-RU"/>
        </w:rPr>
        <w:t>С уважением,</w:t>
      </w:r>
    </w:p>
    <w:p w:rsidR="006F75DF" w:rsidRPr="006F75DF" w:rsidRDefault="006F75DF" w:rsidP="00397B87"/>
    <w:p w:rsidR="00CB7BCA" w:rsidRPr="00B228C2" w:rsidRDefault="00CB7BCA" w:rsidP="006F75DF">
      <w:pPr>
        <w:spacing w:before="720"/>
        <w:rPr>
          <w:lang w:val="ru-RU"/>
        </w:rPr>
      </w:pPr>
      <w:r w:rsidRPr="00B228C2">
        <w:rPr>
          <w:lang w:val="ru-RU"/>
        </w:rPr>
        <w:t>Чхе Суб Ли</w:t>
      </w:r>
      <w:r w:rsidRPr="00B228C2">
        <w:rPr>
          <w:lang w:val="ru-RU"/>
        </w:rPr>
        <w:br/>
        <w:t>Директор Бюро</w:t>
      </w:r>
      <w:r w:rsidRPr="00B228C2">
        <w:rPr>
          <w:lang w:val="ru-RU"/>
        </w:rPr>
        <w:br/>
        <w:t>стандартизации электросвязи</w:t>
      </w:r>
    </w:p>
    <w:p w:rsidR="00CB7BCA" w:rsidRPr="00B228C2" w:rsidRDefault="00CB7BCA" w:rsidP="00435995">
      <w:pPr>
        <w:spacing w:before="360"/>
        <w:rPr>
          <w:lang w:val="ru-RU"/>
        </w:rPr>
      </w:pPr>
      <w:r w:rsidRPr="00B228C2">
        <w:rPr>
          <w:b/>
          <w:bCs/>
          <w:lang w:val="ru-RU"/>
        </w:rPr>
        <w:t>Приложение</w:t>
      </w:r>
      <w:r w:rsidRPr="00B228C2">
        <w:rPr>
          <w:lang w:val="ru-RU"/>
        </w:rPr>
        <w:t>: 1</w:t>
      </w:r>
    </w:p>
    <w:p w:rsidR="00CB7BCA" w:rsidRPr="00B228C2" w:rsidRDefault="00CB7BCA" w:rsidP="00CB7BCA">
      <w:pPr>
        <w:rPr>
          <w:lang w:val="ru-RU"/>
        </w:rPr>
      </w:pPr>
      <w:r w:rsidRPr="00B228C2">
        <w:rPr>
          <w:lang w:val="ru-RU"/>
        </w:rPr>
        <w:br w:type="page"/>
      </w:r>
    </w:p>
    <w:p w:rsidR="00CB7BCA" w:rsidRPr="00900C8B" w:rsidRDefault="00CB7BCA" w:rsidP="00FB1052">
      <w:pPr>
        <w:pStyle w:val="AnnexNo"/>
        <w:spacing w:before="0" w:after="0"/>
        <w:rPr>
          <w:b/>
          <w:bCs/>
          <w:sz w:val="22"/>
          <w:szCs w:val="22"/>
          <w:lang w:val="ru-RU"/>
        </w:rPr>
      </w:pPr>
      <w:r w:rsidRPr="00900C8B">
        <w:rPr>
          <w:b/>
          <w:bCs/>
          <w:lang w:val="ru-RU"/>
        </w:rPr>
        <w:lastRenderedPageBreak/>
        <w:t>ПРИЛОЖЕНИЕ 1</w:t>
      </w:r>
      <w:r w:rsidRPr="00900C8B">
        <w:rPr>
          <w:b/>
          <w:bCs/>
          <w:lang w:val="ru-RU"/>
        </w:rPr>
        <w:br/>
      </w:r>
      <w:r w:rsidRPr="00900C8B">
        <w:rPr>
          <w:b/>
          <w:bCs/>
          <w:caps w:val="0"/>
          <w:sz w:val="22"/>
          <w:szCs w:val="22"/>
          <w:lang w:val="ru-RU"/>
        </w:rPr>
        <w:t xml:space="preserve">(к Циркуляру </w:t>
      </w:r>
      <w:r w:rsidR="00FB1052" w:rsidRPr="00900C8B">
        <w:rPr>
          <w:b/>
          <w:bCs/>
          <w:caps w:val="0"/>
          <w:sz w:val="22"/>
          <w:szCs w:val="22"/>
          <w:lang w:val="ru-RU"/>
        </w:rPr>
        <w:t>2</w:t>
      </w:r>
      <w:r w:rsidRPr="00900C8B">
        <w:rPr>
          <w:b/>
          <w:bCs/>
          <w:caps w:val="0"/>
          <w:sz w:val="22"/>
          <w:szCs w:val="22"/>
          <w:lang w:val="ru-RU"/>
        </w:rPr>
        <w:t>14 БСЭ)</w:t>
      </w:r>
    </w:p>
    <w:p w:rsidR="00CB7BCA" w:rsidRPr="00B228C2" w:rsidRDefault="00CB7BCA" w:rsidP="00397B87">
      <w:pPr>
        <w:pStyle w:val="Annextitle0"/>
        <w:rPr>
          <w:lang w:val="ru-RU"/>
        </w:rPr>
      </w:pPr>
      <w:r w:rsidRPr="00B228C2">
        <w:rPr>
          <w:lang w:val="ru-RU"/>
        </w:rPr>
        <w:t>Резюме текстов и указание на место их размещения</w:t>
      </w:r>
    </w:p>
    <w:p w:rsidR="00FB1052" w:rsidRPr="00B228C2" w:rsidRDefault="00FB1052" w:rsidP="00397B87">
      <w:pPr>
        <w:pStyle w:val="Heading1"/>
        <w:rPr>
          <w:lang w:val="ru-RU"/>
        </w:rPr>
      </w:pPr>
      <w:r w:rsidRPr="00B228C2">
        <w:rPr>
          <w:lang w:val="ru-RU"/>
        </w:rPr>
        <w:t>1</w:t>
      </w:r>
      <w:r w:rsidRPr="00B228C2">
        <w:rPr>
          <w:lang w:val="ru-RU"/>
        </w:rPr>
        <w:tab/>
      </w:r>
      <w:r w:rsidR="00CB7BCA" w:rsidRPr="00B228C2">
        <w:rPr>
          <w:lang w:val="ru-RU"/>
        </w:rPr>
        <w:t>Проект новой Рекомендации МСЭ-Т X.12</w:t>
      </w:r>
      <w:r w:rsidRPr="00B228C2">
        <w:rPr>
          <w:lang w:val="ru-RU"/>
        </w:rPr>
        <w:t>58</w:t>
      </w:r>
      <w:r w:rsidR="00CB7BCA" w:rsidRPr="00B228C2">
        <w:rPr>
          <w:lang w:val="ru-RU"/>
        </w:rPr>
        <w:t xml:space="preserve"> (</w:t>
      </w:r>
      <w:r w:rsidRPr="00B228C2">
        <w:rPr>
          <w:lang w:val="ru-RU"/>
        </w:rPr>
        <w:t>бывш. X.eaaa</w:t>
      </w:r>
      <w:r w:rsidR="00CB7BCA" w:rsidRPr="00B228C2">
        <w:rPr>
          <w:lang w:val="ru-RU"/>
        </w:rPr>
        <w:t>)</w:t>
      </w:r>
      <w:r w:rsidRPr="00B228C2">
        <w:rPr>
          <w:lang w:val="ru-RU"/>
        </w:rPr>
        <w:t xml:space="preserve"> (</w:t>
      </w:r>
      <w:hyperlink r:id="rId12" w:history="1">
        <w:r w:rsidRPr="00B228C2">
          <w:rPr>
            <w:rStyle w:val="Hyperlink"/>
            <w:lang w:val="ru-RU"/>
          </w:rPr>
          <w:t>R 64</w:t>
        </w:r>
      </w:hyperlink>
      <w:r w:rsidRPr="00B228C2">
        <w:rPr>
          <w:lang w:val="ru-RU"/>
        </w:rPr>
        <w:t>)</w:t>
      </w:r>
    </w:p>
    <w:p w:rsidR="00CB7BCA" w:rsidRPr="00B228C2" w:rsidRDefault="00FB1052" w:rsidP="00397B87">
      <w:pPr>
        <w:pStyle w:val="Headingb"/>
        <w:rPr>
          <w:sz w:val="28"/>
          <w:szCs w:val="28"/>
          <w:lang w:val="ru-RU"/>
        </w:rPr>
      </w:pPr>
      <w:r w:rsidRPr="00B228C2">
        <w:rPr>
          <w:lang w:val="ru-RU"/>
        </w:rPr>
        <w:t>Улучшенная аутентификация объект</w:t>
      </w:r>
      <w:r w:rsidR="00ED06CB" w:rsidRPr="00B228C2">
        <w:rPr>
          <w:lang w:val="ru-RU"/>
        </w:rPr>
        <w:t>ов</w:t>
      </w:r>
      <w:r w:rsidRPr="00B228C2">
        <w:rPr>
          <w:lang w:val="ru-RU"/>
        </w:rPr>
        <w:t xml:space="preserve"> на основании </w:t>
      </w:r>
      <w:r w:rsidR="00ED06CB" w:rsidRPr="00B228C2">
        <w:rPr>
          <w:lang w:val="ru-RU"/>
        </w:rPr>
        <w:t xml:space="preserve">объединенных </w:t>
      </w:r>
      <w:r w:rsidRPr="00B228C2">
        <w:rPr>
          <w:lang w:val="ru-RU"/>
        </w:rPr>
        <w:t>атрибутов</w:t>
      </w:r>
    </w:p>
    <w:p w:rsidR="00CB7BCA" w:rsidRPr="00B228C2" w:rsidRDefault="00CB7BCA" w:rsidP="00397B87">
      <w:pPr>
        <w:pStyle w:val="Headingb"/>
        <w:rPr>
          <w:lang w:val="ru-RU"/>
        </w:rPr>
      </w:pPr>
      <w:r w:rsidRPr="00B228C2">
        <w:rPr>
          <w:lang w:val="ru-RU"/>
        </w:rPr>
        <w:t>Резюме</w:t>
      </w:r>
    </w:p>
    <w:p w:rsidR="00FB1052" w:rsidRPr="00B228C2" w:rsidRDefault="00FB1052" w:rsidP="00B228C2">
      <w:pPr>
        <w:jc w:val="both"/>
        <w:rPr>
          <w:lang w:val="ru-RU"/>
        </w:rPr>
      </w:pPr>
      <w:r w:rsidRPr="00B228C2">
        <w:rPr>
          <w:lang w:val="ru-RU"/>
        </w:rPr>
        <w:t xml:space="preserve">Объединение атрибутов, </w:t>
      </w:r>
      <w:r w:rsidR="00ED06CB" w:rsidRPr="00B228C2">
        <w:rPr>
          <w:lang w:val="ru-RU"/>
        </w:rPr>
        <w:t xml:space="preserve">получаемых от </w:t>
      </w:r>
      <w:r w:rsidRPr="00B228C2">
        <w:rPr>
          <w:lang w:val="ru-RU"/>
        </w:rPr>
        <w:t>нескольки</w:t>
      </w:r>
      <w:r w:rsidR="00ED06CB" w:rsidRPr="00B228C2">
        <w:rPr>
          <w:lang w:val="ru-RU"/>
        </w:rPr>
        <w:t>х</w:t>
      </w:r>
      <w:r w:rsidRPr="00B228C2">
        <w:rPr>
          <w:lang w:val="ru-RU"/>
        </w:rPr>
        <w:t xml:space="preserve"> орган</w:t>
      </w:r>
      <w:r w:rsidR="00ED06CB" w:rsidRPr="00B228C2">
        <w:rPr>
          <w:lang w:val="ru-RU"/>
        </w:rPr>
        <w:t>ов</w:t>
      </w:r>
      <w:r w:rsidRPr="00B228C2">
        <w:rPr>
          <w:lang w:val="ru-RU"/>
        </w:rPr>
        <w:t xml:space="preserve"> по присвоению атрибутов, может потребоваться для того, чтобы позволить полагающейся стороне повысить свое доверие к идентичности той или иной стороны. Объединение можно рассматривать как </w:t>
      </w:r>
      <w:r w:rsidR="00ED06CB" w:rsidRPr="00B228C2">
        <w:rPr>
          <w:lang w:val="ru-RU"/>
        </w:rPr>
        <w:t>деятельность по</w:t>
      </w:r>
      <w:r w:rsidRPr="00B228C2">
        <w:rPr>
          <w:lang w:val="ru-RU"/>
        </w:rPr>
        <w:t xml:space="preserve"> сбор</w:t>
      </w:r>
      <w:r w:rsidR="00ED06CB" w:rsidRPr="00B228C2">
        <w:rPr>
          <w:lang w:val="ru-RU"/>
        </w:rPr>
        <w:t>у</w:t>
      </w:r>
      <w:r w:rsidRPr="00B228C2">
        <w:rPr>
          <w:lang w:val="ru-RU"/>
        </w:rPr>
        <w:t xml:space="preserve"> глобально определенных уникальных идентификаторов, </w:t>
      </w:r>
      <w:r w:rsidR="00ED06CB" w:rsidRPr="00B228C2">
        <w:rPr>
          <w:lang w:val="ru-RU"/>
        </w:rPr>
        <w:t xml:space="preserve">которая </w:t>
      </w:r>
      <w:r w:rsidRPr="00B228C2">
        <w:rPr>
          <w:lang w:val="ru-RU"/>
        </w:rPr>
        <w:t>характерн</w:t>
      </w:r>
      <w:r w:rsidR="00ED06CB" w:rsidRPr="00B228C2">
        <w:rPr>
          <w:lang w:val="ru-RU"/>
        </w:rPr>
        <w:t>а</w:t>
      </w:r>
      <w:r w:rsidRPr="00B228C2">
        <w:rPr>
          <w:lang w:val="ru-RU"/>
        </w:rPr>
        <w:t xml:space="preserve"> для все</w:t>
      </w:r>
      <w:r w:rsidR="00ED06CB" w:rsidRPr="00B228C2">
        <w:rPr>
          <w:lang w:val="ru-RU"/>
        </w:rPr>
        <w:t>х</w:t>
      </w:r>
      <w:r w:rsidRPr="00B228C2">
        <w:rPr>
          <w:lang w:val="ru-RU"/>
        </w:rPr>
        <w:t xml:space="preserve"> органов по присвоению атрибутов. На практике объекты не имеют глобальных идентификаторов, а имеют различные идентификаторы и атрибуты объектов, присвоенные их различными поставщиками услуг определения идентичности (IdSP). При таком сценарии для решения проблемы объединения атрибутов используется концепция </w:t>
      </w:r>
      <w:r w:rsidR="006E0502" w:rsidRPr="00B228C2">
        <w:rPr>
          <w:lang w:val="ru-RU"/>
        </w:rPr>
        <w:t xml:space="preserve">федерации идентичностей. Например, если </w:t>
      </w:r>
      <w:r w:rsidR="0084470C" w:rsidRPr="00B228C2">
        <w:rPr>
          <w:lang w:val="ru-RU"/>
        </w:rPr>
        <w:t xml:space="preserve">какой-либо </w:t>
      </w:r>
      <w:r w:rsidR="006E0502" w:rsidRPr="00B228C2">
        <w:rPr>
          <w:lang w:val="ru-RU"/>
        </w:rPr>
        <w:t>электронный книжный магазин планирует предоставлять скидки пожил</w:t>
      </w:r>
      <w:r w:rsidR="0084470C" w:rsidRPr="00B228C2">
        <w:rPr>
          <w:lang w:val="ru-RU"/>
        </w:rPr>
        <w:t>ым</w:t>
      </w:r>
      <w:r w:rsidR="006E0502" w:rsidRPr="00B228C2">
        <w:rPr>
          <w:lang w:val="ru-RU"/>
        </w:rPr>
        <w:t xml:space="preserve"> </w:t>
      </w:r>
      <w:r w:rsidR="0084470C" w:rsidRPr="00B228C2">
        <w:rPr>
          <w:lang w:val="ru-RU"/>
        </w:rPr>
        <w:t>людям</w:t>
      </w:r>
      <w:r w:rsidR="006E0502" w:rsidRPr="00B228C2">
        <w:rPr>
          <w:lang w:val="ru-RU"/>
        </w:rPr>
        <w:t xml:space="preserve">, то этому магазину должен быть предоставлен объединенный набор атрибутов (кредитная карта и возрастная граница) от двух </w:t>
      </w:r>
      <w:r w:rsidRPr="00B228C2">
        <w:rPr>
          <w:lang w:val="ru-RU"/>
        </w:rPr>
        <w:t xml:space="preserve">IdSP, </w:t>
      </w:r>
      <w:r w:rsidR="006E0502" w:rsidRPr="00B228C2">
        <w:rPr>
          <w:lang w:val="ru-RU"/>
        </w:rPr>
        <w:t xml:space="preserve">но при этом </w:t>
      </w:r>
      <w:r w:rsidR="0084470C" w:rsidRPr="00B228C2">
        <w:rPr>
          <w:lang w:val="ru-RU"/>
        </w:rPr>
        <w:t>данные</w:t>
      </w:r>
      <w:r w:rsidR="006E0502" w:rsidRPr="00B228C2">
        <w:rPr>
          <w:lang w:val="ru-RU"/>
        </w:rPr>
        <w:t xml:space="preserve"> </w:t>
      </w:r>
      <w:r w:rsidRPr="00B228C2">
        <w:rPr>
          <w:lang w:val="ru-RU"/>
        </w:rPr>
        <w:t>IdSP</w:t>
      </w:r>
      <w:r w:rsidR="006E0502" w:rsidRPr="00B228C2">
        <w:rPr>
          <w:lang w:val="ru-RU"/>
        </w:rPr>
        <w:t xml:space="preserve"> не </w:t>
      </w:r>
      <w:r w:rsidR="0084470C" w:rsidRPr="00B228C2">
        <w:rPr>
          <w:lang w:val="ru-RU"/>
        </w:rPr>
        <w:t>знают о</w:t>
      </w:r>
      <w:r w:rsidR="006E0502" w:rsidRPr="00B228C2">
        <w:rPr>
          <w:lang w:val="ru-RU"/>
        </w:rPr>
        <w:t>б участии друг друга.</w:t>
      </w:r>
      <w:r w:rsidRPr="00B228C2">
        <w:rPr>
          <w:lang w:val="ru-RU"/>
        </w:rPr>
        <w:t xml:space="preserve"> </w:t>
      </w:r>
      <w:r w:rsidR="0084470C" w:rsidRPr="00B228C2">
        <w:rPr>
          <w:lang w:val="ru-RU"/>
        </w:rPr>
        <w:t>В случае</w:t>
      </w:r>
      <w:r w:rsidR="006E0502" w:rsidRPr="00B228C2">
        <w:rPr>
          <w:lang w:val="ru-RU"/>
        </w:rPr>
        <w:t xml:space="preserve"> </w:t>
      </w:r>
      <w:r w:rsidR="0084470C" w:rsidRPr="00B228C2">
        <w:rPr>
          <w:lang w:val="ru-RU"/>
        </w:rPr>
        <w:t xml:space="preserve">стандартного </w:t>
      </w:r>
      <w:r w:rsidR="006E0502" w:rsidRPr="00B228C2">
        <w:rPr>
          <w:lang w:val="ru-RU"/>
        </w:rPr>
        <w:t>управлени</w:t>
      </w:r>
      <w:r w:rsidR="0084470C" w:rsidRPr="00B228C2">
        <w:rPr>
          <w:lang w:val="ru-RU"/>
        </w:rPr>
        <w:t>я</w:t>
      </w:r>
      <w:r w:rsidR="006E0502" w:rsidRPr="00B228C2">
        <w:rPr>
          <w:lang w:val="ru-RU"/>
        </w:rPr>
        <w:t xml:space="preserve"> федеративной идентичностью тот или иной объект может </w:t>
      </w:r>
      <w:r w:rsidR="0084470C" w:rsidRPr="00B228C2">
        <w:rPr>
          <w:lang w:val="ru-RU"/>
        </w:rPr>
        <w:t>представить</w:t>
      </w:r>
      <w:r w:rsidR="006E0502" w:rsidRPr="00B228C2">
        <w:rPr>
          <w:lang w:val="ru-RU"/>
        </w:rPr>
        <w:t xml:space="preserve"> атрибуты</w:t>
      </w:r>
      <w:r w:rsidR="00287E8C" w:rsidRPr="00B228C2">
        <w:rPr>
          <w:lang w:val="ru-RU"/>
        </w:rPr>
        <w:t xml:space="preserve"> </w:t>
      </w:r>
      <w:r w:rsidR="006E0502" w:rsidRPr="00B228C2">
        <w:rPr>
          <w:lang w:val="ru-RU"/>
        </w:rPr>
        <w:t>только одной идентичности, однако для данной транзакции требуются атрибуты</w:t>
      </w:r>
      <w:r w:rsidR="00287E8C" w:rsidRPr="00B228C2">
        <w:rPr>
          <w:lang w:val="ru-RU"/>
        </w:rPr>
        <w:t xml:space="preserve"> двух идентичностей. Существует несколько методов создания фед</w:t>
      </w:r>
      <w:r w:rsidR="00F543DB">
        <w:rPr>
          <w:lang w:val="ru-RU"/>
        </w:rPr>
        <w:t>ерации идентичностей, например</w:t>
      </w:r>
      <w:r w:rsidR="00287E8C" w:rsidRPr="00B228C2">
        <w:rPr>
          <w:lang w:val="ru-RU"/>
        </w:rPr>
        <w:t xml:space="preserve"> язык разметки утверждений безопасности </w:t>
      </w:r>
      <w:r w:rsidRPr="00B228C2">
        <w:rPr>
          <w:lang w:val="ru-RU"/>
        </w:rPr>
        <w:t xml:space="preserve">(SAML), </w:t>
      </w:r>
      <w:r w:rsidR="00287E8C" w:rsidRPr="00B228C2">
        <w:rPr>
          <w:lang w:val="ru-RU"/>
        </w:rPr>
        <w:t xml:space="preserve">идентификационный маркер </w:t>
      </w:r>
      <w:r w:rsidRPr="00B228C2">
        <w:rPr>
          <w:lang w:val="ru-RU"/>
        </w:rPr>
        <w:t xml:space="preserve">[b-Shibboleth], </w:t>
      </w:r>
      <w:r w:rsidR="00287E8C" w:rsidRPr="00B228C2">
        <w:rPr>
          <w:lang w:val="ru-RU"/>
        </w:rPr>
        <w:t xml:space="preserve">открытая идентичность </w:t>
      </w:r>
      <w:r w:rsidRPr="00B228C2">
        <w:rPr>
          <w:lang w:val="ru-RU"/>
        </w:rPr>
        <w:t>(OpenID)</w:t>
      </w:r>
      <w:r w:rsidR="00287E8C" w:rsidRPr="00B228C2">
        <w:rPr>
          <w:lang w:val="ru-RU"/>
        </w:rPr>
        <w:t xml:space="preserve">, открытая аутентификация </w:t>
      </w:r>
      <w:r w:rsidRPr="00B228C2">
        <w:rPr>
          <w:lang w:val="ru-RU"/>
        </w:rPr>
        <w:t>(OAuth)</w:t>
      </w:r>
      <w:r w:rsidR="00287E8C" w:rsidRPr="00B228C2">
        <w:rPr>
          <w:lang w:val="ru-RU"/>
        </w:rPr>
        <w:t xml:space="preserve"> и др. В Рекомендации МСЭ</w:t>
      </w:r>
      <w:r w:rsidRPr="00B228C2">
        <w:rPr>
          <w:lang w:val="ru-RU"/>
        </w:rPr>
        <w:t xml:space="preserve">-T X.1258 (X.eaaa) </w:t>
      </w:r>
      <w:r w:rsidR="00287E8C" w:rsidRPr="00B228C2">
        <w:rPr>
          <w:lang w:val="ru-RU"/>
        </w:rPr>
        <w:t xml:space="preserve">представлена концепция объединения атрибутов, позволяющая тому или иному объекту объединять атрибуты, полученные от нескольких </w:t>
      </w:r>
      <w:r w:rsidRPr="00B228C2">
        <w:rPr>
          <w:lang w:val="ru-RU"/>
        </w:rPr>
        <w:t xml:space="preserve">IdSP. </w:t>
      </w:r>
      <w:r w:rsidR="00287E8C" w:rsidRPr="00B228C2">
        <w:rPr>
          <w:lang w:val="ru-RU"/>
        </w:rPr>
        <w:t xml:space="preserve">Объединение атрибутов – это механизм сбора атрибутов какого-либо объекта, полученных от нескольких </w:t>
      </w:r>
      <w:r w:rsidR="00B1503B" w:rsidRPr="00B228C2">
        <w:rPr>
          <w:lang w:val="ru-RU"/>
        </w:rPr>
        <w:t>поставщиков услуг определения идентичности. Объединение атрибутов необходимо для динамического объединения атрибутов по запросу.</w:t>
      </w:r>
      <w:r w:rsidRPr="00B228C2">
        <w:rPr>
          <w:lang w:val="ru-RU"/>
        </w:rPr>
        <w:t xml:space="preserve"> IdSP </w:t>
      </w:r>
      <w:r w:rsidR="00B1503B" w:rsidRPr="00B228C2">
        <w:rPr>
          <w:lang w:val="ru-RU"/>
        </w:rPr>
        <w:t>может выполнить запрос на объединение, в случае если тот или иной объект хочет получить какую-либо услугу. В дальнейшем при аутентификации также может быть применен объектно-ориентированный механизм объединения атрибутов, чтобы ограничить утечку конфиденциальных данных</w:t>
      </w:r>
      <w:r w:rsidRPr="00B228C2">
        <w:rPr>
          <w:lang w:val="ru-RU"/>
        </w:rPr>
        <w:t>.</w:t>
      </w:r>
    </w:p>
    <w:p w:rsidR="00B1503B" w:rsidRPr="00B228C2" w:rsidRDefault="00B1503B" w:rsidP="00397B87">
      <w:pPr>
        <w:pStyle w:val="Heading1"/>
        <w:rPr>
          <w:b w:val="0"/>
          <w:bCs w:val="0"/>
          <w:lang w:val="ru-RU"/>
        </w:rPr>
      </w:pPr>
      <w:r w:rsidRPr="00B228C2">
        <w:rPr>
          <w:lang w:val="ru-RU"/>
        </w:rPr>
        <w:t>2</w:t>
      </w:r>
      <w:r w:rsidRPr="00B228C2">
        <w:rPr>
          <w:lang w:val="ru-RU"/>
        </w:rPr>
        <w:tab/>
        <w:t>Проект новой Рекомендации МСЭ-Т X.1542 (бывш. X.simef) (</w:t>
      </w:r>
      <w:hyperlink r:id="rId13" w:history="1">
        <w:r w:rsidRPr="00B228C2">
          <w:rPr>
            <w:rStyle w:val="Hyperlink"/>
            <w:lang w:val="ru-RU"/>
          </w:rPr>
          <w:t>R 61</w:t>
        </w:r>
      </w:hyperlink>
      <w:r w:rsidRPr="00B228C2">
        <w:rPr>
          <w:lang w:val="ru-RU"/>
        </w:rPr>
        <w:t>)</w:t>
      </w:r>
    </w:p>
    <w:p w:rsidR="00B1503B" w:rsidRPr="00B228C2" w:rsidRDefault="00B1503B" w:rsidP="00397B87">
      <w:pPr>
        <w:pStyle w:val="Headingb"/>
        <w:rPr>
          <w:sz w:val="28"/>
          <w:szCs w:val="28"/>
          <w:lang w:val="ru-RU"/>
        </w:rPr>
      </w:pPr>
      <w:r w:rsidRPr="00B228C2">
        <w:rPr>
          <w:lang w:val="ru-RU"/>
        </w:rPr>
        <w:t>Формат обмена информационными сообщениями сеанса</w:t>
      </w:r>
    </w:p>
    <w:p w:rsidR="00B1503B" w:rsidRPr="00B228C2" w:rsidRDefault="00B1503B" w:rsidP="00397B87">
      <w:pPr>
        <w:pStyle w:val="Headingb"/>
        <w:rPr>
          <w:lang w:val="ru-RU"/>
        </w:rPr>
      </w:pPr>
      <w:r w:rsidRPr="00B228C2">
        <w:rPr>
          <w:lang w:val="ru-RU"/>
        </w:rPr>
        <w:t>Резюме</w:t>
      </w:r>
    </w:p>
    <w:p w:rsidR="00B1503B" w:rsidRPr="00B228C2" w:rsidRDefault="00B1503B" w:rsidP="00B228C2">
      <w:pPr>
        <w:jc w:val="both"/>
        <w:rPr>
          <w:lang w:val="ru-RU"/>
        </w:rPr>
      </w:pPr>
      <w:r w:rsidRPr="00B228C2">
        <w:rPr>
          <w:lang w:val="ru-RU"/>
        </w:rPr>
        <w:t>В современной сетевой среде компьютерные сети уязвимы перед внутренними и внешними угрозами организации. Системы сетевой</w:t>
      </w:r>
      <w:r w:rsidR="001C320B" w:rsidRPr="00B228C2">
        <w:rPr>
          <w:lang w:val="ru-RU"/>
        </w:rPr>
        <w:t xml:space="preserve"> защиты</w:t>
      </w:r>
      <w:r w:rsidRPr="00B228C2">
        <w:rPr>
          <w:lang w:val="ru-RU"/>
        </w:rPr>
        <w:t xml:space="preserve"> </w:t>
      </w:r>
      <w:r w:rsidR="00FE7622" w:rsidRPr="00B228C2">
        <w:rPr>
          <w:lang w:val="ru-RU"/>
        </w:rPr>
        <w:t xml:space="preserve">регистрируют информацию о сеансе, которая </w:t>
      </w:r>
      <w:r w:rsidR="00FE7622" w:rsidRPr="00B228C2">
        <w:rPr>
          <w:lang w:val="ru-RU"/>
        </w:rPr>
        <w:lastRenderedPageBreak/>
        <w:t xml:space="preserve">касается отдельных входящих и исходящих соединений по протоколу управления передачей/протоколу Интернет </w:t>
      </w:r>
      <w:r w:rsidRPr="00B228C2">
        <w:rPr>
          <w:lang w:val="ru-RU"/>
        </w:rPr>
        <w:t xml:space="preserve">(TCP/IP). </w:t>
      </w:r>
      <w:r w:rsidR="00FE7622" w:rsidRPr="00B228C2">
        <w:rPr>
          <w:lang w:val="ru-RU"/>
        </w:rPr>
        <w:t xml:space="preserve">Однако </w:t>
      </w:r>
      <w:r w:rsidR="0068726A" w:rsidRPr="00B228C2">
        <w:rPr>
          <w:lang w:val="ru-RU"/>
        </w:rPr>
        <w:t xml:space="preserve">эти имеющиеся </w:t>
      </w:r>
      <w:r w:rsidR="00FE7622" w:rsidRPr="00B228C2">
        <w:rPr>
          <w:lang w:val="ru-RU"/>
        </w:rPr>
        <w:t>в настоящее время системы, как правило, функционально несовместимы, потому что каждая система обладает собственными специальными функциональными возможностями, механизмами управления и форматами журнала регистрации сеансов. Сегодня большинство администраторов систем безопасности сталкиваются с необходимостью обеспечения согласованног</w:t>
      </w:r>
      <w:r w:rsidR="0068726A" w:rsidRPr="00B228C2">
        <w:rPr>
          <w:lang w:val="ru-RU"/>
        </w:rPr>
        <w:t>о формата</w:t>
      </w:r>
      <w:r w:rsidR="00FE7622" w:rsidRPr="00B228C2">
        <w:rPr>
          <w:lang w:val="ru-RU"/>
        </w:rPr>
        <w:t xml:space="preserve"> обмена информацией о сеансе </w:t>
      </w:r>
      <w:r w:rsidR="0068726A" w:rsidRPr="00B228C2">
        <w:rPr>
          <w:lang w:val="ru-RU"/>
        </w:rPr>
        <w:t>для</w:t>
      </w:r>
      <w:r w:rsidR="00FE7622" w:rsidRPr="00B228C2">
        <w:rPr>
          <w:lang w:val="ru-RU"/>
        </w:rPr>
        <w:t xml:space="preserve"> разны</w:t>
      </w:r>
      <w:r w:rsidR="0068726A" w:rsidRPr="00B228C2">
        <w:rPr>
          <w:lang w:val="ru-RU"/>
        </w:rPr>
        <w:t>х</w:t>
      </w:r>
      <w:r w:rsidR="00FE7622" w:rsidRPr="00B228C2">
        <w:rPr>
          <w:lang w:val="ru-RU"/>
        </w:rPr>
        <w:t xml:space="preserve"> систем сетевой защиты и даже разны</w:t>
      </w:r>
      <w:r w:rsidR="0068726A" w:rsidRPr="00B228C2">
        <w:rPr>
          <w:lang w:val="ru-RU"/>
        </w:rPr>
        <w:t>х</w:t>
      </w:r>
      <w:r w:rsidR="00FE7622" w:rsidRPr="00B228C2">
        <w:rPr>
          <w:lang w:val="ru-RU"/>
        </w:rPr>
        <w:t xml:space="preserve"> инфраструктур. В Рекомендации МСЭ</w:t>
      </w:r>
      <w:r w:rsidRPr="00B228C2">
        <w:rPr>
          <w:lang w:val="ru-RU"/>
        </w:rPr>
        <w:t xml:space="preserve">-T X.1542 (X.simef) </w:t>
      </w:r>
      <w:r w:rsidR="00FE7622" w:rsidRPr="00B228C2">
        <w:rPr>
          <w:lang w:val="ru-RU"/>
        </w:rPr>
        <w:t xml:space="preserve">приводится информационная модель для формата обмена информационными сообщениями сеанса </w:t>
      </w:r>
      <w:r w:rsidRPr="00B228C2">
        <w:rPr>
          <w:lang w:val="ru-RU"/>
        </w:rPr>
        <w:t>(SIMEF)</w:t>
      </w:r>
      <w:r w:rsidR="00FE7622" w:rsidRPr="00B228C2">
        <w:rPr>
          <w:lang w:val="ru-RU"/>
        </w:rPr>
        <w:t xml:space="preserve">, а также </w:t>
      </w:r>
      <w:r w:rsidR="0068726A" w:rsidRPr="00B228C2">
        <w:rPr>
          <w:lang w:val="ru-RU"/>
        </w:rPr>
        <w:t>относящаяся к ней</w:t>
      </w:r>
      <w:r w:rsidR="00FE7622" w:rsidRPr="00B228C2">
        <w:rPr>
          <w:lang w:val="ru-RU"/>
        </w:rPr>
        <w:t xml:space="preserve"> модель данных, </w:t>
      </w:r>
      <w:r w:rsidR="0068726A" w:rsidRPr="00B228C2">
        <w:rPr>
          <w:lang w:val="ru-RU"/>
        </w:rPr>
        <w:t>определенная</w:t>
      </w:r>
      <w:r w:rsidR="00FE7622" w:rsidRPr="00B228C2">
        <w:rPr>
          <w:lang w:val="ru-RU"/>
        </w:rPr>
        <w:t xml:space="preserve"> с помощью схемы расширяемого языка разметки </w:t>
      </w:r>
      <w:r w:rsidRPr="00B228C2">
        <w:rPr>
          <w:lang w:val="ru-RU"/>
        </w:rPr>
        <w:t xml:space="preserve">(XML). </w:t>
      </w:r>
      <w:r w:rsidR="0068726A" w:rsidRPr="00B228C2">
        <w:rPr>
          <w:lang w:val="ru-RU"/>
        </w:rPr>
        <w:t xml:space="preserve">В </w:t>
      </w:r>
      <w:r w:rsidRPr="00B228C2">
        <w:rPr>
          <w:lang w:val="ru-RU"/>
        </w:rPr>
        <w:t xml:space="preserve">SIMEF </w:t>
      </w:r>
      <w:r w:rsidR="00FE7622" w:rsidRPr="00B228C2">
        <w:rPr>
          <w:lang w:val="ru-RU"/>
        </w:rPr>
        <w:t>определяет</w:t>
      </w:r>
      <w:r w:rsidR="0068726A" w:rsidRPr="00B228C2">
        <w:rPr>
          <w:lang w:val="ru-RU"/>
        </w:rPr>
        <w:t>ся</w:t>
      </w:r>
      <w:r w:rsidR="00FE7622" w:rsidRPr="00B228C2">
        <w:rPr>
          <w:lang w:val="ru-RU"/>
        </w:rPr>
        <w:t xml:space="preserve"> представление модели данных для обмена </w:t>
      </w:r>
      <w:r w:rsidR="004052E5" w:rsidRPr="00B228C2">
        <w:rPr>
          <w:lang w:val="ru-RU"/>
        </w:rPr>
        <w:t>информацией транспортного уровня, содержащейся в журнале регистрации сеансов, которая касается централизованно</w:t>
      </w:r>
      <w:r w:rsidR="0068726A" w:rsidRPr="00B228C2">
        <w:rPr>
          <w:lang w:val="ru-RU"/>
        </w:rPr>
        <w:t>го</w:t>
      </w:r>
      <w:r w:rsidR="004052E5" w:rsidRPr="00B228C2">
        <w:rPr>
          <w:lang w:val="ru-RU"/>
        </w:rPr>
        <w:t xml:space="preserve"> управления безопасностью сети и </w:t>
      </w:r>
      <w:r w:rsidR="0068726A" w:rsidRPr="00B228C2">
        <w:rPr>
          <w:lang w:val="ru-RU"/>
        </w:rPr>
        <w:t xml:space="preserve">системы </w:t>
      </w:r>
      <w:r w:rsidR="004052E5" w:rsidRPr="00B228C2">
        <w:rPr>
          <w:lang w:val="ru-RU"/>
        </w:rPr>
        <w:t xml:space="preserve">обмена информацией о безопасности. Спецификация какого-либо транспортного протокола не входит в сферу применения настоящей Рекомендации. </w:t>
      </w:r>
    </w:p>
    <w:p w:rsidR="004052E5" w:rsidRPr="00B228C2" w:rsidRDefault="00B545AE" w:rsidP="00397B87">
      <w:pPr>
        <w:pStyle w:val="Heading1"/>
        <w:rPr>
          <w:b w:val="0"/>
          <w:bCs w:val="0"/>
          <w:lang w:val="ru-RU"/>
        </w:rPr>
      </w:pPr>
      <w:r w:rsidRPr="00B228C2">
        <w:rPr>
          <w:lang w:val="ru-RU"/>
        </w:rPr>
        <w:t>3</w:t>
      </w:r>
      <w:r w:rsidR="004052E5" w:rsidRPr="00B228C2">
        <w:rPr>
          <w:lang w:val="ru-RU"/>
        </w:rPr>
        <w:tab/>
        <w:t>Проект новой Рекомендации МСЭ-Т X.1641 (бывш. X.CSCDataSec) (</w:t>
      </w:r>
      <w:hyperlink r:id="rId14" w:history="1">
        <w:r w:rsidR="004052E5" w:rsidRPr="00B228C2">
          <w:rPr>
            <w:rStyle w:val="Hyperlink"/>
            <w:lang w:val="ru-RU"/>
          </w:rPr>
          <w:t>R 63</w:t>
        </w:r>
      </w:hyperlink>
      <w:r w:rsidR="004052E5" w:rsidRPr="00B228C2">
        <w:rPr>
          <w:lang w:val="ru-RU"/>
        </w:rPr>
        <w:t>)</w:t>
      </w:r>
    </w:p>
    <w:p w:rsidR="004052E5" w:rsidRPr="00B228C2" w:rsidRDefault="004052E5" w:rsidP="00397B87">
      <w:pPr>
        <w:pStyle w:val="Headingb"/>
        <w:rPr>
          <w:sz w:val="28"/>
          <w:szCs w:val="28"/>
          <w:lang w:val="ru-RU"/>
        </w:rPr>
      </w:pPr>
      <w:r w:rsidRPr="00B228C2">
        <w:rPr>
          <w:lang w:val="ru-RU"/>
        </w:rPr>
        <w:t>Руководящие указания по безопасности данных клиентов облачных услуг</w:t>
      </w:r>
    </w:p>
    <w:p w:rsidR="004052E5" w:rsidRPr="00B228C2" w:rsidRDefault="004052E5" w:rsidP="00397B87">
      <w:pPr>
        <w:pStyle w:val="Headingb"/>
        <w:rPr>
          <w:lang w:val="ru-RU"/>
        </w:rPr>
      </w:pPr>
      <w:r w:rsidRPr="00B228C2">
        <w:rPr>
          <w:lang w:val="ru-RU"/>
        </w:rPr>
        <w:t>Резюме</w:t>
      </w:r>
    </w:p>
    <w:p w:rsidR="004052E5" w:rsidRPr="00B228C2" w:rsidRDefault="004052E5" w:rsidP="00875E74">
      <w:pPr>
        <w:jc w:val="both"/>
        <w:rPr>
          <w:lang w:val="ru-RU"/>
        </w:rPr>
      </w:pPr>
      <w:r w:rsidRPr="00B228C2">
        <w:rPr>
          <w:lang w:val="ru-RU"/>
        </w:rPr>
        <w:t xml:space="preserve">В Рекомендации МСЭ-T X.1641 (X.CSCdataSec) представлены типовые руководящие указания по </w:t>
      </w:r>
      <w:r w:rsidR="0068726A" w:rsidRPr="00B228C2">
        <w:rPr>
          <w:lang w:val="ru-RU"/>
        </w:rPr>
        <w:t xml:space="preserve">обеспечению </w:t>
      </w:r>
      <w:r w:rsidRPr="00B228C2">
        <w:rPr>
          <w:lang w:val="ru-RU"/>
        </w:rPr>
        <w:t xml:space="preserve">безопасности данных клиентов облачных услуг при облачных вычислениях. В ней анализируется жизненный цикл данных клиентов облачных услуг и предлагаются требования к безопасности на каждом этапе жизненного цикла данных. Кроме того, в этой Рекомендации представлены руководящие указания относительно </w:t>
      </w:r>
      <w:r w:rsidR="00875E74">
        <w:rPr>
          <w:lang w:val="ru-RU"/>
        </w:rPr>
        <w:t>тех</w:t>
      </w:r>
      <w:r w:rsidR="001662FD" w:rsidRPr="00B228C2">
        <w:rPr>
          <w:lang w:val="ru-RU"/>
        </w:rPr>
        <w:t xml:space="preserve"> условий, при которых </w:t>
      </w:r>
      <w:r w:rsidRPr="00B228C2">
        <w:rPr>
          <w:lang w:val="ru-RU"/>
        </w:rPr>
        <w:t xml:space="preserve">следует использовать каждое средство управления в соответствии с передовым опытом в </w:t>
      </w:r>
      <w:r w:rsidR="00E941A9" w:rsidRPr="00B228C2">
        <w:rPr>
          <w:lang w:val="ru-RU"/>
        </w:rPr>
        <w:t>сфере</w:t>
      </w:r>
      <w:r w:rsidRPr="00B228C2">
        <w:rPr>
          <w:lang w:val="ru-RU"/>
        </w:rPr>
        <w:t xml:space="preserve"> безопасности. </w:t>
      </w:r>
    </w:p>
    <w:p w:rsidR="004052E5" w:rsidRPr="00B228C2" w:rsidRDefault="00B228C2" w:rsidP="00B228C2">
      <w:pPr>
        <w:spacing w:before="480"/>
        <w:jc w:val="center"/>
        <w:rPr>
          <w:lang w:val="ru-RU"/>
        </w:rPr>
      </w:pPr>
      <w:r w:rsidRPr="00B228C2">
        <w:rPr>
          <w:lang w:val="ru-RU"/>
        </w:rPr>
        <w:t>______________</w:t>
      </w:r>
    </w:p>
    <w:sectPr w:rsidR="004052E5" w:rsidRPr="00B228C2" w:rsidSect="00297434">
      <w:headerReference w:type="default" r:id="rId15"/>
      <w:footerReference w:type="default" r:id="rId16"/>
      <w:footerReference w:type="first" r:id="rId17"/>
      <w:pgSz w:w="11907" w:h="16840" w:code="9"/>
      <w:pgMar w:top="1418" w:right="1134" w:bottom="1418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03B" w:rsidRDefault="00B1503B">
      <w:r>
        <w:separator/>
      </w:r>
    </w:p>
  </w:endnote>
  <w:endnote w:type="continuationSeparator" w:id="0">
    <w:p w:rsidR="00B1503B" w:rsidRDefault="00B1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03B" w:rsidRPr="00900C8B" w:rsidRDefault="00900C8B" w:rsidP="00900C8B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rFonts w:ascii="Calibri" w:hAnsi="Calibri"/>
        <w:caps/>
        <w:noProof/>
        <w:sz w:val="16"/>
        <w:szCs w:val="20"/>
        <w:lang w:val="fr-CH"/>
      </w:rPr>
    </w:pPr>
    <w:r w:rsidRPr="00900C8B">
      <w:rPr>
        <w:rFonts w:ascii="Calibri" w:hAnsi="Calibri"/>
        <w:caps/>
        <w:noProof/>
        <w:sz w:val="16"/>
        <w:szCs w:val="20"/>
        <w:lang w:val="fr-CH"/>
      </w:rPr>
      <w:t>ITU-T\BUREAU\CIRC\214</w:t>
    </w:r>
    <w:r>
      <w:rPr>
        <w:rFonts w:ascii="Calibri" w:hAnsi="Calibri"/>
        <w:caps/>
        <w:noProof/>
        <w:sz w:val="16"/>
        <w:szCs w:val="20"/>
        <w:lang w:val="fr-CH"/>
      </w:rPr>
      <w:t>R</w:t>
    </w:r>
    <w:r w:rsidRPr="00900C8B">
      <w:rPr>
        <w:rFonts w:ascii="Calibri" w:hAnsi="Calibri"/>
        <w:caps/>
        <w:noProof/>
        <w:sz w:val="16"/>
        <w:szCs w:val="20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03B" w:rsidRPr="00CB232C" w:rsidRDefault="00B1503B" w:rsidP="00D05D96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CB232C">
      <w:rPr>
        <w:sz w:val="18"/>
        <w:szCs w:val="18"/>
        <w:lang w:val="fr-CH"/>
      </w:rPr>
      <w:t>International Telecommunication Union • Place</w:t>
    </w:r>
    <w:r w:rsidR="00CB232C">
      <w:rPr>
        <w:sz w:val="18"/>
        <w:szCs w:val="18"/>
        <w:lang w:val="fr-CH"/>
      </w:rPr>
      <w:t xml:space="preserve"> des Nations </w:t>
    </w:r>
    <w:r w:rsidR="00CB232C" w:rsidRPr="00CB232C">
      <w:rPr>
        <w:sz w:val="18"/>
        <w:szCs w:val="18"/>
        <w:lang w:val="fr-CH"/>
      </w:rPr>
      <w:t>•</w:t>
    </w:r>
    <w:r w:rsidRPr="00CB232C">
      <w:rPr>
        <w:sz w:val="18"/>
        <w:szCs w:val="18"/>
        <w:lang w:val="fr-CH"/>
      </w:rPr>
      <w:t xml:space="preserve"> CH</w:t>
    </w:r>
    <w:r w:rsidRPr="00CB232C">
      <w:rPr>
        <w:sz w:val="18"/>
        <w:szCs w:val="18"/>
        <w:lang w:val="fr-CH"/>
      </w:rPr>
      <w:noBreakHyphen/>
      <w:t xml:space="preserve">1211 Geneva 20 • Switzerland </w:t>
    </w:r>
    <w:r w:rsidRPr="00CB232C">
      <w:rPr>
        <w:sz w:val="18"/>
        <w:szCs w:val="18"/>
        <w:lang w:val="fr-CH"/>
      </w:rPr>
      <w:br/>
    </w:r>
    <w:r w:rsidRPr="00CB232C">
      <w:rPr>
        <w:sz w:val="18"/>
        <w:szCs w:val="18"/>
        <w:lang w:val="ru-RU"/>
      </w:rPr>
      <w:t>Тел.</w:t>
    </w:r>
    <w:r w:rsidRPr="00CB232C">
      <w:rPr>
        <w:sz w:val="18"/>
        <w:szCs w:val="18"/>
        <w:lang w:val="fr-CH"/>
      </w:rPr>
      <w:t xml:space="preserve">: +41 22 730 5111 • </w:t>
    </w:r>
    <w:r w:rsidRPr="00CB232C">
      <w:rPr>
        <w:sz w:val="18"/>
        <w:szCs w:val="18"/>
        <w:lang w:val="ru-RU"/>
      </w:rPr>
      <w:t>Факс</w:t>
    </w:r>
    <w:r w:rsidRPr="00CB232C">
      <w:rPr>
        <w:sz w:val="18"/>
        <w:szCs w:val="18"/>
        <w:lang w:val="fr-CH"/>
      </w:rPr>
      <w:t>: +41 22 733 7256</w:t>
    </w:r>
    <w:r w:rsidRPr="00CB232C">
      <w:rPr>
        <w:sz w:val="18"/>
        <w:szCs w:val="18"/>
        <w:lang w:val="ru-RU"/>
      </w:rPr>
      <w:t xml:space="preserve"> </w:t>
    </w:r>
    <w:r w:rsidRPr="00CB232C">
      <w:rPr>
        <w:sz w:val="18"/>
        <w:szCs w:val="18"/>
        <w:lang w:val="fr-CH"/>
      </w:rPr>
      <w:t xml:space="preserve">• </w:t>
    </w:r>
    <w:r w:rsidRPr="00CB232C">
      <w:rPr>
        <w:sz w:val="18"/>
        <w:szCs w:val="18"/>
        <w:lang w:val="ru-RU"/>
      </w:rPr>
      <w:t>Эл. почта</w:t>
    </w:r>
    <w:r w:rsidRPr="00CB232C">
      <w:rPr>
        <w:sz w:val="18"/>
        <w:szCs w:val="18"/>
        <w:lang w:val="fr-CH"/>
      </w:rPr>
      <w:t xml:space="preserve">: </w:t>
    </w:r>
    <w:hyperlink r:id="rId1" w:history="1">
      <w:r w:rsidRPr="00CB232C">
        <w:rPr>
          <w:rStyle w:val="Hyperlink"/>
          <w:sz w:val="18"/>
          <w:szCs w:val="18"/>
          <w:lang w:val="fr-CH"/>
        </w:rPr>
        <w:t>itumail@itu.int</w:t>
      </w:r>
    </w:hyperlink>
    <w:r w:rsidRPr="00CB232C">
      <w:rPr>
        <w:sz w:val="18"/>
        <w:szCs w:val="18"/>
        <w:lang w:val="fr-CH"/>
      </w:rPr>
      <w:t xml:space="preserve"> • </w:t>
    </w:r>
    <w:hyperlink r:id="rId2" w:history="1">
      <w:r w:rsidRPr="00CB232C">
        <w:rPr>
          <w:rStyle w:val="Hyperlink"/>
          <w:sz w:val="18"/>
          <w:szCs w:val="18"/>
          <w:lang w:val="fr-CH"/>
        </w:rPr>
        <w:t>www.itu.int</w:t>
      </w:r>
    </w:hyperlink>
    <w:r w:rsidRPr="00CB232C">
      <w:rPr>
        <w:sz w:val="18"/>
        <w:szCs w:val="18"/>
        <w:lang w:val="fr-CH"/>
      </w:rPr>
      <w:t xml:space="preserve"> • </w:t>
    </w:r>
    <w:hyperlink r:id="rId3" w:history="1">
      <w:r w:rsidRPr="00CB232C">
        <w:rPr>
          <w:rStyle w:val="Hyperlink"/>
          <w:sz w:val="18"/>
          <w:szCs w:val="18"/>
          <w:lang w:val="fr-CH"/>
        </w:rPr>
        <w:t>CCITT/ITU-T 60 years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03B" w:rsidRDefault="00B1503B">
      <w:r>
        <w:separator/>
      </w:r>
    </w:p>
  </w:footnote>
  <w:footnote w:type="continuationSeparator" w:id="0">
    <w:p w:rsidR="00B1503B" w:rsidRDefault="00B15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03B" w:rsidRDefault="00B1503B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1DF6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B9E50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969B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E8B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C630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47490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0B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F2B7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2ACB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740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6266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62E38"/>
    <w:rsid w:val="000720FA"/>
    <w:rsid w:val="00082B7B"/>
    <w:rsid w:val="00095EA0"/>
    <w:rsid w:val="000B5653"/>
    <w:rsid w:val="000C2147"/>
    <w:rsid w:val="000C7D98"/>
    <w:rsid w:val="00103310"/>
    <w:rsid w:val="00107A46"/>
    <w:rsid w:val="00112CD6"/>
    <w:rsid w:val="00115B49"/>
    <w:rsid w:val="001629DC"/>
    <w:rsid w:val="001662FD"/>
    <w:rsid w:val="001B4A74"/>
    <w:rsid w:val="001C2FB8"/>
    <w:rsid w:val="001C320B"/>
    <w:rsid w:val="001D261C"/>
    <w:rsid w:val="00205108"/>
    <w:rsid w:val="00207341"/>
    <w:rsid w:val="00251D41"/>
    <w:rsid w:val="0025701E"/>
    <w:rsid w:val="0026232A"/>
    <w:rsid w:val="002736E9"/>
    <w:rsid w:val="002773B1"/>
    <w:rsid w:val="00287E8C"/>
    <w:rsid w:val="00297434"/>
    <w:rsid w:val="002A5E04"/>
    <w:rsid w:val="002B37F9"/>
    <w:rsid w:val="002C552E"/>
    <w:rsid w:val="002D06B7"/>
    <w:rsid w:val="002D26FD"/>
    <w:rsid w:val="002E4C41"/>
    <w:rsid w:val="00314B2D"/>
    <w:rsid w:val="00323296"/>
    <w:rsid w:val="0033434F"/>
    <w:rsid w:val="00337770"/>
    <w:rsid w:val="00337F1C"/>
    <w:rsid w:val="00340304"/>
    <w:rsid w:val="00360D8C"/>
    <w:rsid w:val="00372A8C"/>
    <w:rsid w:val="003759D0"/>
    <w:rsid w:val="003906BF"/>
    <w:rsid w:val="00397B87"/>
    <w:rsid w:val="003F5B77"/>
    <w:rsid w:val="00400CEF"/>
    <w:rsid w:val="00403C87"/>
    <w:rsid w:val="004052E5"/>
    <w:rsid w:val="004167E6"/>
    <w:rsid w:val="0041688E"/>
    <w:rsid w:val="00435995"/>
    <w:rsid w:val="00444B73"/>
    <w:rsid w:val="00455EFA"/>
    <w:rsid w:val="00461969"/>
    <w:rsid w:val="004650C7"/>
    <w:rsid w:val="00475A27"/>
    <w:rsid w:val="00495F13"/>
    <w:rsid w:val="004A01E1"/>
    <w:rsid w:val="004A0D07"/>
    <w:rsid w:val="004C5268"/>
    <w:rsid w:val="004E01AE"/>
    <w:rsid w:val="004E1DF6"/>
    <w:rsid w:val="004F48F0"/>
    <w:rsid w:val="00514426"/>
    <w:rsid w:val="00535FB5"/>
    <w:rsid w:val="00547C89"/>
    <w:rsid w:val="005928AA"/>
    <w:rsid w:val="005A3201"/>
    <w:rsid w:val="005A375D"/>
    <w:rsid w:val="005D044D"/>
    <w:rsid w:val="005E616E"/>
    <w:rsid w:val="005F2867"/>
    <w:rsid w:val="005F761F"/>
    <w:rsid w:val="006139B2"/>
    <w:rsid w:val="00624739"/>
    <w:rsid w:val="00625BAF"/>
    <w:rsid w:val="00636D90"/>
    <w:rsid w:val="006777D5"/>
    <w:rsid w:val="00682FCC"/>
    <w:rsid w:val="006845B0"/>
    <w:rsid w:val="0068726A"/>
    <w:rsid w:val="00690DB4"/>
    <w:rsid w:val="00697D1D"/>
    <w:rsid w:val="006B0FB6"/>
    <w:rsid w:val="006B1E6B"/>
    <w:rsid w:val="006C444C"/>
    <w:rsid w:val="006D70E4"/>
    <w:rsid w:val="006E0502"/>
    <w:rsid w:val="006F1984"/>
    <w:rsid w:val="006F34A1"/>
    <w:rsid w:val="006F75DF"/>
    <w:rsid w:val="00701561"/>
    <w:rsid w:val="0071361F"/>
    <w:rsid w:val="00717255"/>
    <w:rsid w:val="0072564E"/>
    <w:rsid w:val="00726FFA"/>
    <w:rsid w:val="0073537C"/>
    <w:rsid w:val="00741C5B"/>
    <w:rsid w:val="0074299E"/>
    <w:rsid w:val="00744B3C"/>
    <w:rsid w:val="0074689D"/>
    <w:rsid w:val="00751BDC"/>
    <w:rsid w:val="00753F18"/>
    <w:rsid w:val="00763FF3"/>
    <w:rsid w:val="007749F3"/>
    <w:rsid w:val="007752C4"/>
    <w:rsid w:val="0079397B"/>
    <w:rsid w:val="00795C6F"/>
    <w:rsid w:val="007B5C1B"/>
    <w:rsid w:val="007D0BFA"/>
    <w:rsid w:val="007D4432"/>
    <w:rsid w:val="007D4F1A"/>
    <w:rsid w:val="007F1CEA"/>
    <w:rsid w:val="00803BC4"/>
    <w:rsid w:val="008261BF"/>
    <w:rsid w:val="00826CB4"/>
    <w:rsid w:val="00831FDC"/>
    <w:rsid w:val="00832A5A"/>
    <w:rsid w:val="0084470C"/>
    <w:rsid w:val="00852337"/>
    <w:rsid w:val="00867192"/>
    <w:rsid w:val="00871131"/>
    <w:rsid w:val="00875E74"/>
    <w:rsid w:val="0087674B"/>
    <w:rsid w:val="00894719"/>
    <w:rsid w:val="008B0BD9"/>
    <w:rsid w:val="008C5C0E"/>
    <w:rsid w:val="008C630B"/>
    <w:rsid w:val="008C7044"/>
    <w:rsid w:val="008E0925"/>
    <w:rsid w:val="008F5FAF"/>
    <w:rsid w:val="00900C8B"/>
    <w:rsid w:val="009166E1"/>
    <w:rsid w:val="009344BF"/>
    <w:rsid w:val="009469D2"/>
    <w:rsid w:val="00954B9E"/>
    <w:rsid w:val="009908A0"/>
    <w:rsid w:val="009979B5"/>
    <w:rsid w:val="009A2C9B"/>
    <w:rsid w:val="009A4485"/>
    <w:rsid w:val="009B6144"/>
    <w:rsid w:val="009C10A0"/>
    <w:rsid w:val="00A16F08"/>
    <w:rsid w:val="00A21DD2"/>
    <w:rsid w:val="00A32FD5"/>
    <w:rsid w:val="00A532FC"/>
    <w:rsid w:val="00A563C7"/>
    <w:rsid w:val="00A57977"/>
    <w:rsid w:val="00A654CA"/>
    <w:rsid w:val="00A66C90"/>
    <w:rsid w:val="00A8170F"/>
    <w:rsid w:val="00A87822"/>
    <w:rsid w:val="00A91EB5"/>
    <w:rsid w:val="00AD3D11"/>
    <w:rsid w:val="00AD62EA"/>
    <w:rsid w:val="00AF2B53"/>
    <w:rsid w:val="00AF4E59"/>
    <w:rsid w:val="00B1503B"/>
    <w:rsid w:val="00B228C2"/>
    <w:rsid w:val="00B22A4A"/>
    <w:rsid w:val="00B34D84"/>
    <w:rsid w:val="00B43680"/>
    <w:rsid w:val="00B467F0"/>
    <w:rsid w:val="00B545AE"/>
    <w:rsid w:val="00B54B88"/>
    <w:rsid w:val="00B612FD"/>
    <w:rsid w:val="00B634F2"/>
    <w:rsid w:val="00B852B7"/>
    <w:rsid w:val="00BC31CD"/>
    <w:rsid w:val="00BC33B4"/>
    <w:rsid w:val="00BC46A0"/>
    <w:rsid w:val="00BF68F5"/>
    <w:rsid w:val="00C13A79"/>
    <w:rsid w:val="00C20FE5"/>
    <w:rsid w:val="00C22D6C"/>
    <w:rsid w:val="00C5792C"/>
    <w:rsid w:val="00C60E38"/>
    <w:rsid w:val="00C623F1"/>
    <w:rsid w:val="00C73DFC"/>
    <w:rsid w:val="00CB232C"/>
    <w:rsid w:val="00CB7BCA"/>
    <w:rsid w:val="00CE0A47"/>
    <w:rsid w:val="00CE6BD1"/>
    <w:rsid w:val="00D05D96"/>
    <w:rsid w:val="00D16B3A"/>
    <w:rsid w:val="00D209A2"/>
    <w:rsid w:val="00D22C75"/>
    <w:rsid w:val="00D407BA"/>
    <w:rsid w:val="00D47122"/>
    <w:rsid w:val="00D577B0"/>
    <w:rsid w:val="00D64809"/>
    <w:rsid w:val="00D83022"/>
    <w:rsid w:val="00D911F5"/>
    <w:rsid w:val="00DA1127"/>
    <w:rsid w:val="00DB6519"/>
    <w:rsid w:val="00DC6716"/>
    <w:rsid w:val="00DD2CE8"/>
    <w:rsid w:val="00DE0985"/>
    <w:rsid w:val="00DE5455"/>
    <w:rsid w:val="00DF012B"/>
    <w:rsid w:val="00DF109B"/>
    <w:rsid w:val="00DF40D8"/>
    <w:rsid w:val="00E07386"/>
    <w:rsid w:val="00E14A1A"/>
    <w:rsid w:val="00E17F1A"/>
    <w:rsid w:val="00E45C46"/>
    <w:rsid w:val="00E473CE"/>
    <w:rsid w:val="00E645B4"/>
    <w:rsid w:val="00E941A9"/>
    <w:rsid w:val="00EB24FD"/>
    <w:rsid w:val="00EC5E44"/>
    <w:rsid w:val="00ED06CB"/>
    <w:rsid w:val="00EE4334"/>
    <w:rsid w:val="00EF273F"/>
    <w:rsid w:val="00F15118"/>
    <w:rsid w:val="00F205F5"/>
    <w:rsid w:val="00F27D21"/>
    <w:rsid w:val="00F543DB"/>
    <w:rsid w:val="00F62566"/>
    <w:rsid w:val="00F830DA"/>
    <w:rsid w:val="00F83892"/>
    <w:rsid w:val="00F8473D"/>
    <w:rsid w:val="00F8789D"/>
    <w:rsid w:val="00F93AEE"/>
    <w:rsid w:val="00FB1052"/>
    <w:rsid w:val="00FC019B"/>
    <w:rsid w:val="00FC0BDA"/>
    <w:rsid w:val="00FD353E"/>
    <w:rsid w:val="00FE3F16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C1B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F543DB"/>
    <w:pPr>
      <w:keepNext/>
      <w:spacing w:before="360"/>
      <w:outlineLvl w:val="0"/>
    </w:pPr>
    <w:rPr>
      <w:rFonts w:cs="Arial"/>
      <w:b/>
      <w:bCs/>
      <w:color w:val="000000"/>
      <w:sz w:val="26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sid w:val="007B5C1B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1C2FB8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Calibri" w:hAnsi="Calibri"/>
      <w:sz w:val="24"/>
      <w:szCs w:val="20"/>
      <w:lang w:val="en-GB"/>
    </w:rPr>
  </w:style>
  <w:style w:type="paragraph" w:customStyle="1" w:styleId="Tablehead">
    <w:name w:val="Table_head"/>
    <w:basedOn w:val="Tabletext0"/>
    <w:next w:val="Tabletext0"/>
    <w:rsid w:val="001C2FB8"/>
    <w:pPr>
      <w:keepNext/>
      <w:spacing w:before="80" w:after="8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T13-SG17-R-006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T13-SG17-R-0064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tsbsg17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tu.int/md/T13-SG17-R-0063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F202F-E184-4D0A-BE9C-015A89AFF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0</TotalTime>
  <Pages>4</Pages>
  <Words>1238</Words>
  <Characters>7060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8282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Circ_214R.docx  For: _x000d_Document date: _x000d_Saved by ITU51011599 at 10:00:22 on 18/04/2016</dc:description>
  <cp:lastModifiedBy>Bettini, Nadine</cp:lastModifiedBy>
  <cp:revision>2</cp:revision>
  <cp:lastPrinted>2016-04-18T10:14:00Z</cp:lastPrinted>
  <dcterms:created xsi:type="dcterms:W3CDTF">2016-04-19T06:35:00Z</dcterms:created>
  <dcterms:modified xsi:type="dcterms:W3CDTF">2016-04-19T06:35:00Z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Circ_214R.docx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