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C52AA9" w:rsidTr="00751BDC">
        <w:trPr>
          <w:cantSplit/>
        </w:trPr>
        <w:tc>
          <w:tcPr>
            <w:tcW w:w="1418" w:type="dxa"/>
            <w:vAlign w:val="center"/>
          </w:tcPr>
          <w:p w:rsidR="00297434" w:rsidRPr="00C52AA9" w:rsidRDefault="00297434" w:rsidP="00297434">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C52AA9">
              <w:rPr>
                <w:noProof/>
                <w:lang w:val="en-GB"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C52AA9" w:rsidRDefault="00297434" w:rsidP="00297434">
            <w:pPr>
              <w:spacing w:before="0"/>
              <w:rPr>
                <w:rFonts w:cs="Times New Roman Bold"/>
                <w:b/>
                <w:bCs/>
                <w:iCs/>
                <w:smallCaps/>
                <w:sz w:val="32"/>
                <w:szCs w:val="32"/>
                <w:lang w:val="ru-RU"/>
              </w:rPr>
            </w:pPr>
            <w:r w:rsidRPr="00C52AA9">
              <w:rPr>
                <w:rFonts w:cs="Times New Roman Bold"/>
                <w:b/>
                <w:bCs/>
                <w:iCs/>
                <w:smallCaps/>
                <w:sz w:val="32"/>
                <w:szCs w:val="32"/>
                <w:lang w:val="ru-RU"/>
              </w:rPr>
              <w:t>Международный союз электросвязи</w:t>
            </w:r>
          </w:p>
          <w:p w:rsidR="00297434" w:rsidRPr="00C52AA9" w:rsidRDefault="00297434" w:rsidP="00297434">
            <w:pPr>
              <w:tabs>
                <w:tab w:val="right" w:pos="8732"/>
              </w:tabs>
              <w:rPr>
                <w:rFonts w:ascii="Verdana" w:hAnsi="Verdana"/>
                <w:b/>
                <w:bCs/>
                <w:iCs/>
                <w:color w:val="FFFFFF"/>
                <w:sz w:val="26"/>
                <w:szCs w:val="26"/>
                <w:lang w:val="ru-RU"/>
              </w:rPr>
            </w:pPr>
            <w:r w:rsidRPr="00C52AA9">
              <w:rPr>
                <w:rFonts w:cs="Times New Roman Bold"/>
                <w:b/>
                <w:bCs/>
                <w:iCs/>
                <w:smallCaps/>
                <w:sz w:val="26"/>
                <w:szCs w:val="26"/>
                <w:lang w:val="ru-RU"/>
              </w:rPr>
              <w:t>Бюро стандартизации электросвязи</w:t>
            </w:r>
          </w:p>
        </w:tc>
        <w:tc>
          <w:tcPr>
            <w:tcW w:w="1843" w:type="dxa"/>
            <w:vAlign w:val="center"/>
          </w:tcPr>
          <w:p w:rsidR="00297434" w:rsidRPr="00C52AA9" w:rsidRDefault="00751BDC" w:rsidP="00297434">
            <w:pPr>
              <w:spacing w:before="0"/>
              <w:jc w:val="right"/>
              <w:rPr>
                <w:rFonts w:ascii="Verdana" w:hAnsi="Verdana"/>
                <w:color w:val="FFFFFF"/>
                <w:sz w:val="26"/>
                <w:szCs w:val="26"/>
                <w:lang w:val="ru-RU"/>
              </w:rPr>
            </w:pPr>
            <w:r w:rsidRPr="00C52AA9">
              <w:rPr>
                <w:noProof/>
                <w:lang w:val="en-GB" w:eastAsia="zh-CN"/>
              </w:rPr>
              <w:drawing>
                <wp:inline distT="0" distB="0" distL="0" distR="0" wp14:anchorId="2DD5A640" wp14:editId="7857BCC3">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297434" w:rsidRPr="00C52AA9" w:rsidTr="00751BDC">
        <w:trPr>
          <w:cantSplit/>
        </w:trPr>
        <w:tc>
          <w:tcPr>
            <w:tcW w:w="7086" w:type="dxa"/>
            <w:gridSpan w:val="2"/>
            <w:vAlign w:val="center"/>
          </w:tcPr>
          <w:p w:rsidR="00297434" w:rsidRPr="00C52AA9" w:rsidRDefault="00297434" w:rsidP="00297434">
            <w:pPr>
              <w:rPr>
                <w:lang w:val="ru-RU"/>
              </w:rPr>
            </w:pPr>
          </w:p>
        </w:tc>
        <w:tc>
          <w:tcPr>
            <w:tcW w:w="2695" w:type="dxa"/>
            <w:gridSpan w:val="2"/>
            <w:vAlign w:val="center"/>
          </w:tcPr>
          <w:p w:rsidR="00297434" w:rsidRPr="00C52AA9" w:rsidRDefault="00297434" w:rsidP="00297434">
            <w:pPr>
              <w:rPr>
                <w:lang w:val="ru-RU"/>
              </w:rPr>
            </w:pPr>
          </w:p>
        </w:tc>
      </w:tr>
    </w:tbl>
    <w:p w:rsidR="001629DC" w:rsidRPr="00C52AA9" w:rsidRDefault="001629DC" w:rsidP="00751BDC">
      <w:pPr>
        <w:tabs>
          <w:tab w:val="clear" w:pos="794"/>
          <w:tab w:val="clear" w:pos="1191"/>
          <w:tab w:val="clear" w:pos="1588"/>
          <w:tab w:val="clear" w:pos="1985"/>
          <w:tab w:val="left" w:pos="5529"/>
        </w:tabs>
        <w:spacing w:before="240" w:after="360"/>
        <w:rPr>
          <w:lang w:val="ru-RU"/>
        </w:rPr>
      </w:pPr>
      <w:r w:rsidRPr="00C52AA9">
        <w:rPr>
          <w:lang w:val="ru-RU"/>
        </w:rPr>
        <w:tab/>
        <w:t>Женева,</w:t>
      </w:r>
      <w:r w:rsidR="00B54B88" w:rsidRPr="00C52AA9">
        <w:rPr>
          <w:lang w:val="ru-RU"/>
        </w:rPr>
        <w:t xml:space="preserve"> </w:t>
      </w:r>
      <w:r w:rsidR="009359C2" w:rsidRPr="00C52AA9">
        <w:rPr>
          <w:lang w:val="ru-RU"/>
        </w:rPr>
        <w:t>16</w:t>
      </w:r>
      <w:r w:rsidR="006B1E6B" w:rsidRPr="00C52AA9">
        <w:rPr>
          <w:lang w:val="ru-RU"/>
        </w:rPr>
        <w:t xml:space="preserve"> марта</w:t>
      </w:r>
      <w:r w:rsidR="00A32FD5" w:rsidRPr="00C52AA9">
        <w:rPr>
          <w:lang w:val="ru-RU"/>
        </w:rPr>
        <w:t xml:space="preserve"> 201</w:t>
      </w:r>
      <w:r w:rsidR="007D4F1A" w:rsidRPr="00C52AA9">
        <w:rPr>
          <w:lang w:val="ru-RU"/>
        </w:rPr>
        <w:t>6 </w:t>
      </w:r>
      <w:r w:rsidR="00A32FD5" w:rsidRPr="00C52AA9">
        <w:rPr>
          <w:lang w:val="ru-RU"/>
        </w:rPr>
        <w:t>года</w:t>
      </w:r>
    </w:p>
    <w:tbl>
      <w:tblPr>
        <w:tblW w:w="9781" w:type="dxa"/>
        <w:tblLayout w:type="fixed"/>
        <w:tblCellMar>
          <w:left w:w="0" w:type="dxa"/>
          <w:right w:w="0" w:type="dxa"/>
        </w:tblCellMar>
        <w:tblLook w:val="0000" w:firstRow="0" w:lastRow="0" w:firstColumn="0" w:lastColumn="0" w:noHBand="0" w:noVBand="0"/>
      </w:tblPr>
      <w:tblGrid>
        <w:gridCol w:w="1418"/>
        <w:gridCol w:w="4111"/>
        <w:gridCol w:w="4242"/>
        <w:gridCol w:w="10"/>
      </w:tblGrid>
      <w:tr w:rsidR="001629DC" w:rsidRPr="00C52AA9" w:rsidTr="00C52AA9">
        <w:trPr>
          <w:gridAfter w:val="1"/>
          <w:wAfter w:w="10" w:type="dxa"/>
          <w:cantSplit/>
        </w:trPr>
        <w:tc>
          <w:tcPr>
            <w:tcW w:w="1418" w:type="dxa"/>
          </w:tcPr>
          <w:p w:rsidR="001629DC" w:rsidRPr="00C52AA9" w:rsidRDefault="001629DC" w:rsidP="00867192">
            <w:pPr>
              <w:spacing w:before="0"/>
              <w:rPr>
                <w:lang w:val="ru-RU"/>
              </w:rPr>
            </w:pPr>
            <w:r w:rsidRPr="00C52AA9">
              <w:rPr>
                <w:lang w:val="ru-RU"/>
              </w:rPr>
              <w:t>Осн.:</w:t>
            </w:r>
          </w:p>
        </w:tc>
        <w:tc>
          <w:tcPr>
            <w:tcW w:w="4111" w:type="dxa"/>
          </w:tcPr>
          <w:p w:rsidR="001629DC" w:rsidRPr="00C52AA9" w:rsidRDefault="001629DC" w:rsidP="00751BDC">
            <w:pPr>
              <w:spacing w:before="0"/>
              <w:rPr>
                <w:lang w:val="ru-RU"/>
              </w:rPr>
            </w:pPr>
            <w:r w:rsidRPr="00C52AA9">
              <w:rPr>
                <w:b/>
                <w:bCs/>
                <w:lang w:val="ru-RU"/>
              </w:rPr>
              <w:t xml:space="preserve">Циркуляр </w:t>
            </w:r>
            <w:r w:rsidR="0045726D" w:rsidRPr="00C52AA9">
              <w:rPr>
                <w:b/>
                <w:bCs/>
                <w:lang w:val="ru-RU"/>
              </w:rPr>
              <w:t>20</w:t>
            </w:r>
            <w:r w:rsidR="009359C2" w:rsidRPr="00C52AA9">
              <w:rPr>
                <w:b/>
                <w:bCs/>
                <w:lang w:val="ru-RU"/>
              </w:rPr>
              <w:t>7</w:t>
            </w:r>
            <w:r w:rsidRPr="00C52AA9">
              <w:rPr>
                <w:b/>
                <w:bCs/>
                <w:lang w:val="ru-RU"/>
              </w:rPr>
              <w:t xml:space="preserve"> БСЭ</w:t>
            </w:r>
            <w:r w:rsidR="00867192" w:rsidRPr="00C52AA9">
              <w:rPr>
                <w:b/>
                <w:bCs/>
                <w:lang w:val="ru-RU"/>
              </w:rPr>
              <w:br/>
            </w:r>
            <w:r w:rsidR="009359C2" w:rsidRPr="00C52AA9">
              <w:rPr>
                <w:lang w:val="ru-RU"/>
              </w:rPr>
              <w:t>COM 3/LS</w:t>
            </w:r>
          </w:p>
        </w:tc>
        <w:tc>
          <w:tcPr>
            <w:tcW w:w="4242" w:type="dxa"/>
          </w:tcPr>
          <w:p w:rsidR="008F5FAF" w:rsidRPr="00C52AA9" w:rsidRDefault="001629DC" w:rsidP="00C52AA9">
            <w:pPr>
              <w:tabs>
                <w:tab w:val="clear" w:pos="794"/>
                <w:tab w:val="clear" w:pos="1191"/>
                <w:tab w:val="clear" w:pos="1588"/>
                <w:tab w:val="clear" w:pos="1985"/>
                <w:tab w:val="left" w:pos="284"/>
              </w:tabs>
              <w:spacing w:before="0" w:after="240"/>
              <w:ind w:left="284" w:hanging="284"/>
              <w:rPr>
                <w:lang w:val="ru-RU"/>
              </w:rPr>
            </w:pPr>
            <w:r w:rsidRPr="00C52AA9">
              <w:rPr>
                <w:lang w:val="ru-RU"/>
              </w:rPr>
              <w:t>–</w:t>
            </w:r>
            <w:r w:rsidRPr="00C52AA9">
              <w:rPr>
                <w:lang w:val="ru-RU"/>
              </w:rPr>
              <w:tab/>
              <w:t>Администрациям Государств – Членов Союза</w:t>
            </w:r>
          </w:p>
        </w:tc>
      </w:tr>
      <w:tr w:rsidR="001629DC" w:rsidRPr="004E7F53" w:rsidTr="00C52AA9">
        <w:trPr>
          <w:gridAfter w:val="1"/>
          <w:wAfter w:w="10" w:type="dxa"/>
          <w:cantSplit/>
        </w:trPr>
        <w:tc>
          <w:tcPr>
            <w:tcW w:w="1418" w:type="dxa"/>
          </w:tcPr>
          <w:p w:rsidR="001629DC" w:rsidRPr="00C52AA9" w:rsidRDefault="001629DC" w:rsidP="00867192">
            <w:pPr>
              <w:spacing w:before="0"/>
              <w:rPr>
                <w:lang w:val="ru-RU"/>
              </w:rPr>
            </w:pPr>
            <w:r w:rsidRPr="00C52AA9">
              <w:rPr>
                <w:lang w:val="ru-RU"/>
              </w:rPr>
              <w:t>Тел.:</w:t>
            </w:r>
            <w:r w:rsidR="00867192" w:rsidRPr="00C52AA9">
              <w:rPr>
                <w:lang w:val="ru-RU"/>
              </w:rPr>
              <w:br/>
            </w:r>
            <w:r w:rsidRPr="00C52AA9">
              <w:rPr>
                <w:lang w:val="ru-RU"/>
              </w:rPr>
              <w:t>Факс:</w:t>
            </w:r>
            <w:r w:rsidR="00867192" w:rsidRPr="00C52AA9">
              <w:rPr>
                <w:lang w:val="ru-RU"/>
              </w:rPr>
              <w:br/>
            </w:r>
            <w:r w:rsidRPr="00C52AA9">
              <w:rPr>
                <w:lang w:val="ru-RU"/>
              </w:rPr>
              <w:t>Эл. почта:</w:t>
            </w:r>
          </w:p>
        </w:tc>
        <w:tc>
          <w:tcPr>
            <w:tcW w:w="4111" w:type="dxa"/>
          </w:tcPr>
          <w:p w:rsidR="001629DC" w:rsidRPr="00C52AA9" w:rsidRDefault="009359C2" w:rsidP="007752C4">
            <w:pPr>
              <w:spacing w:before="0"/>
              <w:rPr>
                <w:lang w:val="ru-RU"/>
              </w:rPr>
            </w:pPr>
            <w:r w:rsidRPr="00C52AA9">
              <w:rPr>
                <w:lang w:val="ru-RU"/>
              </w:rPr>
              <w:t>+41 22 730 5884</w:t>
            </w:r>
            <w:r w:rsidR="001629DC" w:rsidRPr="00C52AA9">
              <w:rPr>
                <w:lang w:val="ru-RU"/>
              </w:rPr>
              <w:br/>
            </w:r>
            <w:r w:rsidRPr="00C52AA9">
              <w:rPr>
                <w:lang w:val="ru-RU"/>
              </w:rPr>
              <w:t>+41 22 730 5853</w:t>
            </w:r>
            <w:r w:rsidR="00867192" w:rsidRPr="00C52AA9">
              <w:rPr>
                <w:lang w:val="ru-RU"/>
              </w:rPr>
              <w:br/>
            </w:r>
            <w:hyperlink r:id="rId10" w:history="1">
              <w:r w:rsidRPr="00C52AA9">
                <w:rPr>
                  <w:rStyle w:val="Hyperlink"/>
                  <w:szCs w:val="22"/>
                  <w:lang w:val="ru-RU"/>
                </w:rPr>
                <w:t>tsbsg3@itu.int</w:t>
              </w:r>
            </w:hyperlink>
          </w:p>
        </w:tc>
        <w:tc>
          <w:tcPr>
            <w:tcW w:w="4242" w:type="dxa"/>
          </w:tcPr>
          <w:p w:rsidR="001629DC" w:rsidRPr="00C52AA9" w:rsidRDefault="001629DC" w:rsidP="00B54B88">
            <w:pPr>
              <w:tabs>
                <w:tab w:val="clear" w:pos="794"/>
                <w:tab w:val="clear" w:pos="1191"/>
                <w:tab w:val="clear" w:pos="1588"/>
                <w:tab w:val="clear" w:pos="1985"/>
                <w:tab w:val="left" w:pos="284"/>
              </w:tabs>
              <w:spacing w:before="0"/>
              <w:ind w:left="284" w:hanging="284"/>
              <w:rPr>
                <w:lang w:val="ru-RU"/>
              </w:rPr>
            </w:pPr>
            <w:r w:rsidRPr="00C52AA9">
              <w:rPr>
                <w:b/>
                <w:bCs/>
                <w:lang w:val="ru-RU"/>
              </w:rPr>
              <w:t>Копии</w:t>
            </w:r>
            <w:r w:rsidRPr="00C52AA9">
              <w:rPr>
                <w:lang w:val="ru-RU"/>
              </w:rPr>
              <w:t>:</w:t>
            </w:r>
          </w:p>
          <w:p w:rsidR="0045726D" w:rsidRPr="00C52AA9" w:rsidRDefault="0045726D" w:rsidP="0045726D">
            <w:pPr>
              <w:tabs>
                <w:tab w:val="clear" w:pos="794"/>
                <w:tab w:val="clear" w:pos="1191"/>
                <w:tab w:val="clear" w:pos="1588"/>
                <w:tab w:val="clear" w:pos="1985"/>
                <w:tab w:val="left" w:pos="284"/>
              </w:tabs>
              <w:spacing w:before="0"/>
              <w:ind w:left="284" w:hanging="284"/>
              <w:rPr>
                <w:lang w:val="ru-RU"/>
              </w:rPr>
            </w:pPr>
            <w:r w:rsidRPr="00C52AA9">
              <w:rPr>
                <w:lang w:val="ru-RU"/>
              </w:rPr>
              <w:t>–</w:t>
            </w:r>
            <w:r w:rsidRPr="00C52AA9">
              <w:rPr>
                <w:lang w:val="ru-RU"/>
              </w:rPr>
              <w:tab/>
              <w:t>Членам Сектора МСЭ-Т</w:t>
            </w:r>
          </w:p>
          <w:p w:rsidR="0045726D" w:rsidRPr="00C52AA9" w:rsidRDefault="0045726D" w:rsidP="0045726D">
            <w:pPr>
              <w:tabs>
                <w:tab w:val="clear" w:pos="794"/>
                <w:tab w:val="clear" w:pos="1191"/>
                <w:tab w:val="clear" w:pos="1588"/>
                <w:tab w:val="clear" w:pos="1985"/>
                <w:tab w:val="left" w:pos="284"/>
              </w:tabs>
              <w:spacing w:before="0"/>
              <w:ind w:left="284" w:hanging="284"/>
              <w:rPr>
                <w:lang w:val="ru-RU"/>
              </w:rPr>
            </w:pPr>
            <w:r w:rsidRPr="00C52AA9">
              <w:rPr>
                <w:lang w:val="ru-RU"/>
              </w:rPr>
              <w:t>–</w:t>
            </w:r>
            <w:r w:rsidRPr="00C52AA9">
              <w:rPr>
                <w:lang w:val="ru-RU"/>
              </w:rPr>
              <w:tab/>
              <w:t xml:space="preserve">Ассоциированным членам </w:t>
            </w:r>
            <w:r w:rsidR="009359C2" w:rsidRPr="00C52AA9">
              <w:rPr>
                <w:lang w:val="ru-RU"/>
              </w:rPr>
              <w:t xml:space="preserve">ИК3 </w:t>
            </w:r>
            <w:r w:rsidRPr="00C52AA9">
              <w:rPr>
                <w:lang w:val="ru-RU"/>
              </w:rPr>
              <w:t>МСЭ-Т</w:t>
            </w:r>
          </w:p>
          <w:p w:rsidR="0045726D" w:rsidRPr="00C52AA9" w:rsidRDefault="0045726D" w:rsidP="0045726D">
            <w:pPr>
              <w:tabs>
                <w:tab w:val="clear" w:pos="794"/>
                <w:tab w:val="clear" w:pos="1191"/>
                <w:tab w:val="clear" w:pos="1588"/>
                <w:tab w:val="clear" w:pos="1985"/>
                <w:tab w:val="left" w:pos="284"/>
              </w:tabs>
              <w:spacing w:before="0"/>
              <w:ind w:left="284" w:hanging="284"/>
              <w:rPr>
                <w:lang w:val="ru-RU"/>
              </w:rPr>
            </w:pPr>
            <w:r w:rsidRPr="00C52AA9">
              <w:rPr>
                <w:lang w:val="ru-RU"/>
              </w:rPr>
              <w:t>–</w:t>
            </w:r>
            <w:r w:rsidRPr="00C52AA9">
              <w:rPr>
                <w:lang w:val="ru-RU"/>
              </w:rPr>
              <w:tab/>
              <w:t>Академиче</w:t>
            </w:r>
            <w:r w:rsidR="00F342E5" w:rsidRPr="00C52AA9">
              <w:rPr>
                <w:lang w:val="ru-RU"/>
              </w:rPr>
              <w:t>ским организациям − Членам МСЭ</w:t>
            </w:r>
          </w:p>
          <w:p w:rsidR="001629DC" w:rsidRPr="00C52AA9" w:rsidRDefault="0045726D" w:rsidP="00C52AA9">
            <w:pPr>
              <w:tabs>
                <w:tab w:val="clear" w:pos="794"/>
                <w:tab w:val="clear" w:pos="1191"/>
                <w:tab w:val="clear" w:pos="1588"/>
                <w:tab w:val="clear" w:pos="1985"/>
                <w:tab w:val="left" w:pos="284"/>
              </w:tabs>
              <w:spacing w:before="0" w:after="240"/>
              <w:ind w:left="284" w:hanging="284"/>
              <w:rPr>
                <w:lang w:val="ru-RU"/>
              </w:rPr>
            </w:pPr>
            <w:r w:rsidRPr="00C52AA9">
              <w:rPr>
                <w:lang w:val="ru-RU"/>
              </w:rPr>
              <w:t>–</w:t>
            </w:r>
            <w:r w:rsidRPr="00C52AA9">
              <w:rPr>
                <w:lang w:val="ru-RU"/>
              </w:rPr>
              <w:tab/>
              <w:t xml:space="preserve">Председателю и заместителям председателя </w:t>
            </w:r>
            <w:r w:rsidR="009359C2" w:rsidRPr="00C52AA9">
              <w:rPr>
                <w:lang w:val="ru-RU"/>
              </w:rPr>
              <w:t>3</w:t>
            </w:r>
            <w:r w:rsidRPr="00C52AA9">
              <w:rPr>
                <w:lang w:val="ru-RU"/>
              </w:rPr>
              <w:t>-й Исследовательской комиссии</w:t>
            </w:r>
          </w:p>
        </w:tc>
      </w:tr>
      <w:tr w:rsidR="001629DC" w:rsidRPr="004E7F53" w:rsidTr="00C52AA9">
        <w:tblPrEx>
          <w:tblCellMar>
            <w:left w:w="107" w:type="dxa"/>
            <w:right w:w="107" w:type="dxa"/>
          </w:tblCellMar>
        </w:tblPrEx>
        <w:trPr>
          <w:cantSplit/>
        </w:trPr>
        <w:tc>
          <w:tcPr>
            <w:tcW w:w="1418" w:type="dxa"/>
          </w:tcPr>
          <w:p w:rsidR="001629DC" w:rsidRPr="00C52AA9" w:rsidRDefault="001629DC" w:rsidP="00C52AA9">
            <w:pPr>
              <w:ind w:left="-107"/>
              <w:rPr>
                <w:lang w:val="ru-RU"/>
              </w:rPr>
            </w:pPr>
            <w:r w:rsidRPr="00C52AA9">
              <w:rPr>
                <w:lang w:val="ru-RU"/>
              </w:rPr>
              <w:t>Предмет:</w:t>
            </w:r>
          </w:p>
        </w:tc>
        <w:tc>
          <w:tcPr>
            <w:tcW w:w="8363" w:type="dxa"/>
            <w:gridSpan w:val="3"/>
          </w:tcPr>
          <w:p w:rsidR="001629DC" w:rsidRPr="00C52AA9" w:rsidRDefault="009359C2" w:rsidP="00C52AA9">
            <w:pPr>
              <w:ind w:left="-107"/>
              <w:rPr>
                <w:lang w:val="ru-RU"/>
              </w:rPr>
            </w:pPr>
            <w:r w:rsidRPr="00C52AA9">
              <w:rPr>
                <w:b/>
                <w:bCs/>
                <w:szCs w:val="22"/>
                <w:lang w:val="ru-RU"/>
              </w:rPr>
              <w:t xml:space="preserve">Вопросник 3-й Исследовательской комиссии </w:t>
            </w:r>
            <w:r w:rsidR="001F0165" w:rsidRPr="00C52AA9">
              <w:rPr>
                <w:b/>
                <w:bCs/>
                <w:szCs w:val="22"/>
                <w:lang w:val="ru-RU"/>
              </w:rPr>
              <w:t>по</w:t>
            </w:r>
            <w:r w:rsidRPr="00C52AA9">
              <w:rPr>
                <w:b/>
                <w:bCs/>
                <w:szCs w:val="22"/>
                <w:lang w:val="ru-RU"/>
              </w:rPr>
              <w:t xml:space="preserve"> разрешени</w:t>
            </w:r>
            <w:r w:rsidR="001F0165" w:rsidRPr="00C52AA9">
              <w:rPr>
                <w:b/>
                <w:bCs/>
                <w:szCs w:val="22"/>
                <w:lang w:val="ru-RU"/>
              </w:rPr>
              <w:t>ю</w:t>
            </w:r>
            <w:r w:rsidRPr="00C52AA9">
              <w:rPr>
                <w:b/>
                <w:bCs/>
                <w:szCs w:val="22"/>
                <w:lang w:val="ru-RU"/>
              </w:rPr>
              <w:t xml:space="preserve"> споров, связанных с начислением платы и выставлением счетов</w:t>
            </w:r>
          </w:p>
        </w:tc>
      </w:tr>
      <w:tr w:rsidR="009359C2" w:rsidRPr="004E7F53" w:rsidTr="00C52AA9">
        <w:tblPrEx>
          <w:tblCellMar>
            <w:left w:w="107" w:type="dxa"/>
            <w:right w:w="107" w:type="dxa"/>
          </w:tblCellMar>
        </w:tblPrEx>
        <w:trPr>
          <w:cantSplit/>
        </w:trPr>
        <w:tc>
          <w:tcPr>
            <w:tcW w:w="1418" w:type="dxa"/>
          </w:tcPr>
          <w:p w:rsidR="009359C2" w:rsidRPr="00C52AA9" w:rsidRDefault="009359C2" w:rsidP="00C52AA9">
            <w:pPr>
              <w:ind w:left="-107"/>
              <w:rPr>
                <w:szCs w:val="22"/>
                <w:lang w:val="ru-RU"/>
              </w:rPr>
            </w:pPr>
            <w:r w:rsidRPr="00C52AA9">
              <w:rPr>
                <w:lang w:val="ru-RU"/>
              </w:rPr>
              <w:t>Действие</w:t>
            </w:r>
            <w:r w:rsidRPr="00C52AA9">
              <w:rPr>
                <w:szCs w:val="22"/>
                <w:lang w:val="ru-RU"/>
              </w:rPr>
              <w:t>:</w:t>
            </w:r>
          </w:p>
        </w:tc>
        <w:tc>
          <w:tcPr>
            <w:tcW w:w="8363" w:type="dxa"/>
            <w:gridSpan w:val="3"/>
          </w:tcPr>
          <w:p w:rsidR="009359C2" w:rsidRPr="00C52AA9" w:rsidRDefault="009359C2" w:rsidP="00C52AA9">
            <w:pPr>
              <w:ind w:left="-107"/>
              <w:rPr>
                <w:szCs w:val="22"/>
                <w:lang w:val="ru-RU"/>
              </w:rPr>
            </w:pPr>
            <w:r w:rsidRPr="00C52AA9">
              <w:rPr>
                <w:szCs w:val="22"/>
                <w:lang w:val="ru-RU"/>
              </w:rPr>
              <w:t>Просьба</w:t>
            </w:r>
            <w:r w:rsidRPr="00C52AA9">
              <w:rPr>
                <w:color w:val="000000"/>
                <w:szCs w:val="22"/>
                <w:lang w:val="ru-RU"/>
              </w:rPr>
              <w:t xml:space="preserve"> вернуть вопросник с ответами не позднее</w:t>
            </w:r>
            <w:r w:rsidRPr="00C52AA9">
              <w:rPr>
                <w:b/>
                <w:bCs/>
                <w:color w:val="000000"/>
                <w:szCs w:val="22"/>
                <w:lang w:val="ru-RU"/>
              </w:rPr>
              <w:t xml:space="preserve"> </w:t>
            </w:r>
            <w:r w:rsidRPr="00C52AA9">
              <w:rPr>
                <w:b/>
                <w:bCs/>
                <w:szCs w:val="22"/>
                <w:lang w:val="ru-RU"/>
              </w:rPr>
              <w:t>25 июля 2016 года</w:t>
            </w:r>
            <w:r w:rsidRPr="00C52AA9">
              <w:rPr>
                <w:szCs w:val="22"/>
                <w:lang w:val="ru-RU"/>
              </w:rPr>
              <w:t xml:space="preserve"> </w:t>
            </w:r>
          </w:p>
        </w:tc>
      </w:tr>
    </w:tbl>
    <w:p w:rsidR="001629DC" w:rsidRPr="00C52AA9" w:rsidRDefault="001629DC" w:rsidP="00297434">
      <w:pPr>
        <w:pStyle w:val="Normalaftertitle"/>
        <w:spacing w:before="480"/>
        <w:rPr>
          <w:lang w:val="ru-RU"/>
        </w:rPr>
      </w:pPr>
      <w:r w:rsidRPr="00C52AA9">
        <w:rPr>
          <w:lang w:val="ru-RU"/>
        </w:rPr>
        <w:t>Уважаемая госпожа,</w:t>
      </w:r>
      <w:r w:rsidRPr="00C52AA9">
        <w:rPr>
          <w:lang w:val="ru-RU"/>
        </w:rPr>
        <w:br/>
        <w:t>уважаемый господин,</w:t>
      </w:r>
    </w:p>
    <w:p w:rsidR="009359C2" w:rsidRPr="00C52AA9" w:rsidRDefault="009359C2" w:rsidP="001F0165">
      <w:pPr>
        <w:rPr>
          <w:szCs w:val="22"/>
          <w:lang w:val="ru-RU"/>
        </w:rPr>
      </w:pPr>
      <w:r w:rsidRPr="00C52AA9">
        <w:rPr>
          <w:bCs/>
          <w:szCs w:val="22"/>
          <w:lang w:val="ru-RU"/>
        </w:rPr>
        <w:t>1</w:t>
      </w:r>
      <w:r w:rsidRPr="00C52AA9">
        <w:rPr>
          <w:szCs w:val="22"/>
          <w:lang w:val="ru-RU"/>
        </w:rPr>
        <w:tab/>
        <w:t>На своем собрании, проходившем 22 февраля − 1 марта 2016 года, 3-я Исследовательская комиссия МСЭ-Т (</w:t>
      </w:r>
      <w:r w:rsidR="001F0165" w:rsidRPr="00C52AA9">
        <w:rPr>
          <w:szCs w:val="22"/>
          <w:lang w:val="ru-RU"/>
        </w:rPr>
        <w:t>ИК3 МСЭ-Т) решила разработ</w:t>
      </w:r>
      <w:r w:rsidRPr="00C52AA9">
        <w:rPr>
          <w:szCs w:val="22"/>
          <w:lang w:val="ru-RU"/>
        </w:rPr>
        <w:t xml:space="preserve">ать вопросник </w:t>
      </w:r>
      <w:r w:rsidR="001F0165" w:rsidRPr="00C52AA9">
        <w:rPr>
          <w:szCs w:val="22"/>
          <w:lang w:val="ru-RU"/>
        </w:rPr>
        <w:t xml:space="preserve">по разрешению споров, связанных с начислением платы и выставлением счетов. </w:t>
      </w:r>
    </w:p>
    <w:p w:rsidR="009359C2" w:rsidRPr="00C52AA9" w:rsidRDefault="009359C2" w:rsidP="001F0165">
      <w:pPr>
        <w:rPr>
          <w:szCs w:val="22"/>
          <w:lang w:val="ru-RU"/>
        </w:rPr>
      </w:pPr>
      <w:r w:rsidRPr="00C52AA9">
        <w:rPr>
          <w:bCs/>
          <w:szCs w:val="22"/>
          <w:lang w:val="ru-RU"/>
        </w:rPr>
        <w:t>2</w:t>
      </w:r>
      <w:r w:rsidRPr="00C52AA9">
        <w:rPr>
          <w:szCs w:val="22"/>
          <w:lang w:val="ru-RU"/>
        </w:rPr>
        <w:tab/>
        <w:t xml:space="preserve">Настоящий </w:t>
      </w:r>
      <w:r w:rsidR="00C52AA9" w:rsidRPr="00C52AA9">
        <w:rPr>
          <w:szCs w:val="22"/>
          <w:lang w:val="ru-RU"/>
        </w:rPr>
        <w:t xml:space="preserve">циркуляр </w:t>
      </w:r>
      <w:r w:rsidRPr="00C52AA9">
        <w:rPr>
          <w:szCs w:val="22"/>
          <w:lang w:val="ru-RU"/>
        </w:rPr>
        <w:t xml:space="preserve">предназначен для сбора информации, которая могла бы содействовать работе </w:t>
      </w:r>
      <w:r w:rsidR="00C52AA9" w:rsidRPr="00C52AA9">
        <w:rPr>
          <w:szCs w:val="22"/>
          <w:lang w:val="ru-RU"/>
        </w:rPr>
        <w:lastRenderedPageBreak/>
        <w:t>комиссии</w:t>
      </w:r>
      <w:r w:rsidRPr="00C52AA9">
        <w:rPr>
          <w:szCs w:val="22"/>
          <w:lang w:val="ru-RU"/>
        </w:rPr>
        <w:t xml:space="preserve">. Поэтому в </w:t>
      </w:r>
      <w:r w:rsidR="001F0165" w:rsidRPr="00C52AA9">
        <w:rPr>
          <w:b/>
          <w:bCs/>
          <w:szCs w:val="22"/>
          <w:lang w:val="ru-RU"/>
        </w:rPr>
        <w:t>Приложении 1</w:t>
      </w:r>
      <w:r w:rsidRPr="00C52AA9">
        <w:rPr>
          <w:szCs w:val="22"/>
          <w:lang w:val="ru-RU"/>
        </w:rPr>
        <w:t xml:space="preserve"> к </w:t>
      </w:r>
      <w:r w:rsidR="001F0165" w:rsidRPr="00C52AA9">
        <w:rPr>
          <w:szCs w:val="22"/>
          <w:lang w:val="ru-RU"/>
        </w:rPr>
        <w:t>настоящему</w:t>
      </w:r>
      <w:r w:rsidRPr="00C52AA9">
        <w:rPr>
          <w:szCs w:val="22"/>
          <w:lang w:val="ru-RU"/>
        </w:rPr>
        <w:t xml:space="preserve"> </w:t>
      </w:r>
      <w:r w:rsidR="00C52AA9" w:rsidRPr="00C52AA9">
        <w:rPr>
          <w:szCs w:val="22"/>
          <w:lang w:val="ru-RU"/>
        </w:rPr>
        <w:t xml:space="preserve">циркуляру </w:t>
      </w:r>
      <w:r w:rsidRPr="00C52AA9">
        <w:rPr>
          <w:szCs w:val="22"/>
          <w:lang w:val="ru-RU"/>
        </w:rPr>
        <w:t xml:space="preserve">содержится </w:t>
      </w:r>
      <w:r w:rsidR="001F0165" w:rsidRPr="00C52AA9">
        <w:rPr>
          <w:szCs w:val="22"/>
          <w:lang w:val="ru-RU"/>
        </w:rPr>
        <w:t>в</w:t>
      </w:r>
      <w:r w:rsidRPr="00C52AA9">
        <w:rPr>
          <w:szCs w:val="22"/>
          <w:lang w:val="ru-RU"/>
        </w:rPr>
        <w:t xml:space="preserve">опросник </w:t>
      </w:r>
      <w:r w:rsidR="001F0165" w:rsidRPr="00C52AA9">
        <w:rPr>
          <w:szCs w:val="22"/>
          <w:lang w:val="ru-RU"/>
        </w:rPr>
        <w:t xml:space="preserve">по данной теме. </w:t>
      </w:r>
    </w:p>
    <w:p w:rsidR="001F0165" w:rsidRPr="00C52AA9" w:rsidRDefault="009359C2" w:rsidP="001F0165">
      <w:pPr>
        <w:pStyle w:val="Normalaftertitle"/>
        <w:spacing w:before="120"/>
        <w:rPr>
          <w:lang w:val="ru-RU"/>
        </w:rPr>
      </w:pPr>
      <w:r w:rsidRPr="00C52AA9">
        <w:rPr>
          <w:bCs/>
          <w:szCs w:val="22"/>
          <w:lang w:val="ru-RU"/>
        </w:rPr>
        <w:t>3</w:t>
      </w:r>
      <w:r w:rsidRPr="00C52AA9">
        <w:rPr>
          <w:szCs w:val="22"/>
          <w:lang w:val="ru-RU"/>
        </w:rPr>
        <w:tab/>
        <w:t>Был бы признателен, если бы вы смогли заполнить представленн</w:t>
      </w:r>
      <w:r w:rsidR="001F0165" w:rsidRPr="00C52AA9">
        <w:rPr>
          <w:szCs w:val="22"/>
          <w:lang w:val="ru-RU"/>
        </w:rPr>
        <w:t>ый в</w:t>
      </w:r>
      <w:r w:rsidRPr="00C52AA9">
        <w:rPr>
          <w:szCs w:val="22"/>
          <w:lang w:val="ru-RU"/>
        </w:rPr>
        <w:t xml:space="preserve"> </w:t>
      </w:r>
      <w:r w:rsidR="001F0165" w:rsidRPr="00C52AA9">
        <w:rPr>
          <w:szCs w:val="22"/>
          <w:lang w:val="ru-RU"/>
        </w:rPr>
        <w:t>Приложении</w:t>
      </w:r>
      <w:r w:rsidRPr="00C52AA9">
        <w:rPr>
          <w:szCs w:val="22"/>
          <w:lang w:val="ru-RU"/>
        </w:rPr>
        <w:t xml:space="preserve"> </w:t>
      </w:r>
      <w:r w:rsidR="001F0165" w:rsidRPr="00C52AA9">
        <w:rPr>
          <w:szCs w:val="22"/>
          <w:lang w:val="ru-RU"/>
        </w:rPr>
        <w:t>1</w:t>
      </w:r>
      <w:r w:rsidRPr="00C52AA9">
        <w:rPr>
          <w:szCs w:val="22"/>
          <w:lang w:val="ru-RU"/>
        </w:rPr>
        <w:t xml:space="preserve"> </w:t>
      </w:r>
      <w:r w:rsidR="001F0165" w:rsidRPr="00C52AA9">
        <w:rPr>
          <w:szCs w:val="22"/>
          <w:lang w:val="ru-RU"/>
        </w:rPr>
        <w:t xml:space="preserve">вопросник </w:t>
      </w:r>
      <w:r w:rsidRPr="00C52AA9">
        <w:rPr>
          <w:szCs w:val="22"/>
          <w:lang w:val="ru-RU"/>
        </w:rPr>
        <w:t xml:space="preserve">и направить результаты в </w:t>
      </w:r>
      <w:r w:rsidR="001F0165" w:rsidRPr="00C52AA9">
        <w:rPr>
          <w:szCs w:val="22"/>
          <w:lang w:val="ru-RU"/>
        </w:rPr>
        <w:t>БСЭ, секретариат 3-й Исследовательской комиссии</w:t>
      </w:r>
      <w:r w:rsidRPr="00C52AA9">
        <w:rPr>
          <w:szCs w:val="22"/>
          <w:lang w:val="ru-RU"/>
        </w:rPr>
        <w:t xml:space="preserve"> </w:t>
      </w:r>
      <w:r w:rsidRPr="00C52AA9">
        <w:rPr>
          <w:lang w:val="ru-RU"/>
        </w:rPr>
        <w:t>(</w:t>
      </w:r>
      <w:hyperlink r:id="rId11" w:history="1">
        <w:r w:rsidRPr="00C52AA9">
          <w:rPr>
            <w:rStyle w:val="Hyperlink"/>
            <w:lang w:val="ru-RU"/>
          </w:rPr>
          <w:t>tsbsg3@itu.int</w:t>
        </w:r>
      </w:hyperlink>
      <w:r w:rsidRPr="00C52AA9">
        <w:rPr>
          <w:lang w:val="ru-RU"/>
        </w:rPr>
        <w:t>)</w:t>
      </w:r>
      <w:r w:rsidR="001F0165" w:rsidRPr="00C52AA9">
        <w:rPr>
          <w:lang w:val="ru-RU"/>
        </w:rPr>
        <w:t>,</w:t>
      </w:r>
      <w:r w:rsidRPr="00C52AA9">
        <w:rPr>
          <w:lang w:val="ru-RU"/>
        </w:rPr>
        <w:t xml:space="preserve"> </w:t>
      </w:r>
      <w:r w:rsidR="001F0165" w:rsidRPr="00C52AA9">
        <w:rPr>
          <w:lang w:val="ru-RU"/>
        </w:rPr>
        <w:t>не позднее</w:t>
      </w:r>
      <w:r w:rsidRPr="00C52AA9">
        <w:rPr>
          <w:lang w:val="ru-RU"/>
        </w:rPr>
        <w:t xml:space="preserve"> </w:t>
      </w:r>
      <w:r w:rsidRPr="00C52AA9">
        <w:rPr>
          <w:b/>
          <w:bCs/>
          <w:lang w:val="ru-RU"/>
        </w:rPr>
        <w:t>2</w:t>
      </w:r>
      <w:r w:rsidRPr="00C52AA9">
        <w:rPr>
          <w:b/>
          <w:lang w:val="ru-RU"/>
        </w:rPr>
        <w:t xml:space="preserve">5 </w:t>
      </w:r>
      <w:r w:rsidR="001F0165" w:rsidRPr="00C52AA9">
        <w:rPr>
          <w:b/>
          <w:lang w:val="ru-RU"/>
        </w:rPr>
        <w:t>июля</w:t>
      </w:r>
      <w:r w:rsidRPr="00C52AA9">
        <w:rPr>
          <w:b/>
          <w:lang w:val="ru-RU"/>
        </w:rPr>
        <w:t xml:space="preserve"> 2016</w:t>
      </w:r>
      <w:r w:rsidR="001F0165" w:rsidRPr="00C52AA9">
        <w:rPr>
          <w:b/>
          <w:lang w:val="ru-RU"/>
        </w:rPr>
        <w:t xml:space="preserve"> года</w:t>
      </w:r>
      <w:r w:rsidRPr="00C52AA9">
        <w:rPr>
          <w:lang w:val="ru-RU"/>
        </w:rPr>
        <w:t>.</w:t>
      </w:r>
    </w:p>
    <w:p w:rsidR="0045726D" w:rsidRDefault="0045726D" w:rsidP="001F0165">
      <w:pPr>
        <w:pStyle w:val="Normalaftertitle"/>
        <w:spacing w:before="120"/>
        <w:rPr>
          <w:lang w:val="ru-RU"/>
        </w:rPr>
      </w:pPr>
      <w:r w:rsidRPr="00C52AA9">
        <w:rPr>
          <w:lang w:val="ru-RU"/>
        </w:rPr>
        <w:t>С уважением,</w:t>
      </w:r>
    </w:p>
    <w:p w:rsidR="004E7F53" w:rsidRPr="004E7F53" w:rsidRDefault="004E7F53" w:rsidP="004E7F53"/>
    <w:p w:rsidR="00751BDC" w:rsidRPr="00C52AA9" w:rsidRDefault="0045726D" w:rsidP="004E7F53">
      <w:pPr>
        <w:spacing w:before="720"/>
        <w:rPr>
          <w:lang w:val="ru-RU"/>
        </w:rPr>
      </w:pPr>
      <w:r w:rsidRPr="00C52AA9">
        <w:rPr>
          <w:lang w:val="ru-RU"/>
        </w:rPr>
        <w:t>Чхе Суб Ли</w:t>
      </w:r>
      <w:r w:rsidRPr="00C52AA9">
        <w:rPr>
          <w:lang w:val="ru-RU"/>
        </w:rPr>
        <w:br/>
        <w:t>Директор Бюро</w:t>
      </w:r>
      <w:r w:rsidRPr="00C52AA9">
        <w:rPr>
          <w:lang w:val="ru-RU"/>
        </w:rPr>
        <w:br/>
        <w:t>стандартизации электросвязи</w:t>
      </w:r>
    </w:p>
    <w:p w:rsidR="009359C2" w:rsidRPr="00B82364" w:rsidRDefault="009359C2" w:rsidP="00C52AA9">
      <w:pPr>
        <w:spacing w:before="720"/>
        <w:rPr>
          <w:b/>
        </w:rPr>
      </w:pPr>
      <w:r w:rsidRPr="00B82364">
        <w:rPr>
          <w:b/>
          <w:lang w:val="ru-RU"/>
        </w:rPr>
        <w:t>Приложение</w:t>
      </w:r>
      <w:r w:rsidRPr="00B82364">
        <w:rPr>
          <w:b/>
        </w:rPr>
        <w:t>: 1</w:t>
      </w:r>
      <w:r w:rsidRPr="00B82364">
        <w:rPr>
          <w:b/>
        </w:rPr>
        <w:br w:type="page"/>
      </w:r>
    </w:p>
    <w:p w:rsidR="009359C2" w:rsidRPr="00EF28FA" w:rsidRDefault="009359C2" w:rsidP="009359C2">
      <w:pPr>
        <w:pStyle w:val="Appendixref"/>
        <w:spacing w:after="120"/>
        <w:rPr>
          <w:lang w:val="en-US"/>
        </w:rPr>
      </w:pPr>
      <w:r w:rsidRPr="00EF28FA">
        <w:rPr>
          <w:rStyle w:val="AnnexNoChar"/>
          <w:lang w:val="en-US"/>
        </w:rPr>
        <w:lastRenderedPageBreak/>
        <w:t>ANNEX 1</w:t>
      </w:r>
      <w:r w:rsidRPr="00EF28FA">
        <w:rPr>
          <w:rStyle w:val="AnnexNoChar"/>
          <w:lang w:val="en-US"/>
        </w:rPr>
        <w:br/>
      </w:r>
      <w:r w:rsidRPr="00EF28FA">
        <w:rPr>
          <w:sz w:val="22"/>
          <w:szCs w:val="18"/>
          <w:lang w:val="en-US"/>
        </w:rPr>
        <w:t>(to TSB Circular 207)</w:t>
      </w:r>
    </w:p>
    <w:p w:rsidR="009359C2" w:rsidRPr="00EF28FA" w:rsidRDefault="009359C2" w:rsidP="00C52AA9">
      <w:pPr>
        <w:pStyle w:val="Annextitle0"/>
        <w:rPr>
          <w:lang w:val="en-US"/>
        </w:rPr>
      </w:pPr>
      <w:r w:rsidRPr="00EF28FA">
        <w:rPr>
          <w:lang w:val="en-US"/>
        </w:rPr>
        <w:t>Questionnaire on Dispute Resolution Related to Cha</w:t>
      </w:r>
      <w:r w:rsidR="00C52AA9" w:rsidRPr="00EF28FA">
        <w:rPr>
          <w:lang w:val="en-US"/>
        </w:rPr>
        <w:t>rging and Invoicing (ITU-T SG3)</w:t>
      </w:r>
    </w:p>
    <w:p w:rsidR="009359C2" w:rsidRPr="00EF28FA" w:rsidRDefault="009359C2" w:rsidP="00C52AA9">
      <w:pPr>
        <w:pStyle w:val="Headingb"/>
        <w:rPr>
          <w:lang w:val="en-US"/>
        </w:rPr>
      </w:pPr>
      <w:r w:rsidRPr="00EF28FA">
        <w:rPr>
          <w:lang w:val="en-US"/>
        </w:rPr>
        <w:t>Introduction and Background</w:t>
      </w:r>
    </w:p>
    <w:p w:rsidR="009359C2" w:rsidRPr="00EF28FA" w:rsidRDefault="009359C2" w:rsidP="00C52AA9">
      <w:r w:rsidRPr="00EF28FA">
        <w:t xml:space="preserve">The Dispute Resolution Rapporteur Group was established with the purpose of developing guidelines or recommendations with a view to standardizing the handling of disputes by encouraging the use of standard processes and forms in order to ensure resolution of disputes in an effective, </w:t>
      </w:r>
      <w:r w:rsidRPr="00EF28FA">
        <w:rPr>
          <w:color w:val="000000"/>
          <w:lang w:eastAsia="zh-CN"/>
        </w:rPr>
        <w:t>cost- and time-efficient manner.</w:t>
      </w:r>
      <w:r w:rsidRPr="00EF28FA">
        <w:t xml:space="preserve"> To this end, the Dispute Resolution Rapporteur Group developed several supplements and guidelines to Recommendations D.170 and D.195 ranging from Dispute Management Guidelines to generic templates and Credit Management guidelines among others.</w:t>
      </w:r>
    </w:p>
    <w:p w:rsidR="009359C2" w:rsidRPr="00EF28FA" w:rsidRDefault="009359C2" w:rsidP="00C52AA9">
      <w:pPr>
        <w:rPr>
          <w:color w:val="000000"/>
          <w:lang w:eastAsia="zh-CN"/>
        </w:rPr>
      </w:pPr>
      <w:r w:rsidRPr="00EF28FA">
        <w:rPr>
          <w:color w:val="000000"/>
          <w:lang w:eastAsia="zh-CN"/>
        </w:rPr>
        <w:t xml:space="preserve">The existing D.170 and D.195 supplements were developed over 5 years ago and as such there is need for their review in order to take cognizance of the continuing technical, policy, and regulatory evolution of the telecommunication sector. </w:t>
      </w:r>
    </w:p>
    <w:p w:rsidR="009359C2" w:rsidRPr="00EF28FA" w:rsidRDefault="009359C2" w:rsidP="00C52AA9">
      <w:r w:rsidRPr="00EF28FA">
        <w:t>The questionnaire below seeks to update key baseline information regarding the following focus areas:</w:t>
      </w:r>
    </w:p>
    <w:p w:rsidR="009359C2" w:rsidRPr="00EF28FA" w:rsidRDefault="00C52AA9" w:rsidP="00C52AA9">
      <w:pPr>
        <w:ind w:left="794" w:hanging="794"/>
        <w:rPr>
          <w:lang w:eastAsia="zh-CN"/>
        </w:rPr>
      </w:pPr>
      <w:r w:rsidRPr="00EF28FA">
        <w:rPr>
          <w:lang w:eastAsia="zh-CN"/>
        </w:rPr>
        <w:t>•</w:t>
      </w:r>
      <w:r w:rsidRPr="00EF28FA">
        <w:rPr>
          <w:lang w:eastAsia="zh-CN"/>
        </w:rPr>
        <w:tab/>
      </w:r>
      <w:r w:rsidR="009359C2" w:rsidRPr="00EF28FA">
        <w:rPr>
          <w:lang w:eastAsia="zh-CN"/>
        </w:rPr>
        <w:t>Sources of disputes</w:t>
      </w:r>
    </w:p>
    <w:p w:rsidR="009359C2" w:rsidRPr="00EF28FA" w:rsidRDefault="00C52AA9" w:rsidP="00C52AA9">
      <w:pPr>
        <w:ind w:left="794" w:hanging="794"/>
        <w:rPr>
          <w:lang w:eastAsia="zh-CN"/>
        </w:rPr>
      </w:pPr>
      <w:r w:rsidRPr="00EF28FA">
        <w:rPr>
          <w:lang w:eastAsia="zh-CN"/>
        </w:rPr>
        <w:t>•</w:t>
      </w:r>
      <w:r w:rsidRPr="00EF28FA">
        <w:rPr>
          <w:lang w:eastAsia="zh-CN"/>
        </w:rPr>
        <w:tab/>
      </w:r>
      <w:r w:rsidR="009359C2" w:rsidRPr="00EF28FA">
        <w:rPr>
          <w:lang w:eastAsia="zh-CN"/>
        </w:rPr>
        <w:t>Scope of dispute resolution procedures</w:t>
      </w:r>
    </w:p>
    <w:p w:rsidR="009359C2" w:rsidRPr="00EF28FA" w:rsidRDefault="00C52AA9" w:rsidP="00C52AA9">
      <w:pPr>
        <w:ind w:left="794" w:hanging="794"/>
        <w:rPr>
          <w:lang w:eastAsia="zh-CN"/>
        </w:rPr>
      </w:pPr>
      <w:r w:rsidRPr="00EF28FA">
        <w:rPr>
          <w:lang w:eastAsia="zh-CN"/>
        </w:rPr>
        <w:lastRenderedPageBreak/>
        <w:t>•</w:t>
      </w:r>
      <w:r w:rsidRPr="00EF28FA">
        <w:rPr>
          <w:lang w:eastAsia="zh-CN"/>
        </w:rPr>
        <w:tab/>
      </w:r>
      <w:r w:rsidR="009359C2" w:rsidRPr="00EF28FA">
        <w:rPr>
          <w:lang w:eastAsia="zh-CN"/>
        </w:rPr>
        <w:t xml:space="preserve">Existing dispute resolution mechanisms </w:t>
      </w:r>
    </w:p>
    <w:p w:rsidR="009359C2" w:rsidRPr="00EF28FA" w:rsidRDefault="00C52AA9" w:rsidP="00C52AA9">
      <w:pPr>
        <w:ind w:left="794" w:hanging="794"/>
        <w:rPr>
          <w:lang w:eastAsia="zh-CN"/>
        </w:rPr>
      </w:pPr>
      <w:r w:rsidRPr="00EF28FA">
        <w:rPr>
          <w:lang w:eastAsia="zh-CN"/>
        </w:rPr>
        <w:t>•</w:t>
      </w:r>
      <w:r w:rsidRPr="00EF28FA">
        <w:rPr>
          <w:lang w:eastAsia="zh-CN"/>
        </w:rPr>
        <w:tab/>
      </w:r>
      <w:r w:rsidR="009359C2" w:rsidRPr="00EF28FA">
        <w:rPr>
          <w:lang w:eastAsia="zh-CN"/>
        </w:rPr>
        <w:t>Technological advancements in the area of dispute resolution through the use of automated tools and processes</w:t>
      </w:r>
    </w:p>
    <w:p w:rsidR="009359C2" w:rsidRPr="00EF28FA" w:rsidRDefault="009359C2" w:rsidP="00C52AA9">
      <w:r w:rsidRPr="00EF28FA">
        <w:t xml:space="preserve">Responses to the questionnaire will provide insights that will facilitate the </w:t>
      </w:r>
      <w:r w:rsidRPr="00EF28FA">
        <w:rPr>
          <w:lang w:eastAsia="zh-CN"/>
        </w:rPr>
        <w:t xml:space="preserve">assessment of existing Dispute Management Processes and the evolution thereof as well as determine whether there is need to update existing supplements and guidelines or develop new recommendations. </w:t>
      </w:r>
    </w:p>
    <w:p w:rsidR="00C52AA9" w:rsidRPr="00EF28FA" w:rsidRDefault="00C52AA9">
      <w:pPr>
        <w:tabs>
          <w:tab w:val="clear" w:pos="794"/>
          <w:tab w:val="clear" w:pos="1191"/>
          <w:tab w:val="clear" w:pos="1588"/>
          <w:tab w:val="clear" w:pos="1985"/>
        </w:tabs>
        <w:spacing w:before="0"/>
        <w:rPr>
          <w:b/>
          <w:bCs/>
        </w:rPr>
      </w:pPr>
      <w:r w:rsidRPr="00EF28FA">
        <w:rPr>
          <w:b/>
          <w:bCs/>
        </w:rPr>
        <w:br w:type="page"/>
      </w:r>
    </w:p>
    <w:p w:rsidR="009359C2" w:rsidRPr="00C52AA9" w:rsidRDefault="009359C2" w:rsidP="00C52AA9">
      <w:pPr>
        <w:pStyle w:val="Annextitle0"/>
        <w:rPr>
          <w:lang w:val="ru-RU"/>
        </w:rPr>
      </w:pPr>
      <w:r w:rsidRPr="00C52AA9">
        <w:rPr>
          <w:lang w:val="ru-RU"/>
        </w:rPr>
        <w:lastRenderedPageBreak/>
        <w:t>Questions and Explanatory Notes</w:t>
      </w:r>
    </w:p>
    <w:tbl>
      <w:tblPr>
        <w:tblStyle w:val="TableGrid"/>
        <w:tblW w:w="9922" w:type="dxa"/>
        <w:jc w:val="center"/>
        <w:tblLayout w:type="fixed"/>
        <w:tblLook w:val="04A0" w:firstRow="1" w:lastRow="0" w:firstColumn="1" w:lastColumn="0" w:noHBand="0" w:noVBand="1"/>
      </w:tblPr>
      <w:tblGrid>
        <w:gridCol w:w="1696"/>
        <w:gridCol w:w="567"/>
        <w:gridCol w:w="1996"/>
        <w:gridCol w:w="3107"/>
        <w:gridCol w:w="2556"/>
      </w:tblGrid>
      <w:tr w:rsidR="009359C2" w:rsidRPr="00C52AA9" w:rsidTr="00C52AA9">
        <w:trPr>
          <w:tblHeader/>
          <w:jc w:val="center"/>
        </w:trPr>
        <w:tc>
          <w:tcPr>
            <w:tcW w:w="1696" w:type="dxa"/>
            <w:shd w:val="clear" w:color="auto" w:fill="0F243E" w:themeFill="text2" w:themeFillShade="80"/>
            <w:vAlign w:val="center"/>
          </w:tcPr>
          <w:p w:rsidR="009359C2" w:rsidRPr="00C52AA9" w:rsidRDefault="009359C2" w:rsidP="00C52AA9">
            <w:pPr>
              <w:tabs>
                <w:tab w:val="left" w:pos="6889"/>
              </w:tabs>
              <w:spacing w:before="80" w:after="80"/>
              <w:jc w:val="center"/>
              <w:rPr>
                <w:b/>
                <w:color w:val="FFFFFF" w:themeColor="background1"/>
                <w:sz w:val="20"/>
                <w:szCs w:val="20"/>
                <w:lang w:val="ru-RU"/>
              </w:rPr>
            </w:pPr>
            <w:r w:rsidRPr="00C52AA9">
              <w:rPr>
                <w:b/>
                <w:color w:val="FFFFFF" w:themeColor="background1"/>
                <w:sz w:val="20"/>
                <w:szCs w:val="20"/>
                <w:lang w:val="ru-RU"/>
              </w:rPr>
              <w:t>Focus Area</w:t>
            </w:r>
          </w:p>
        </w:tc>
        <w:tc>
          <w:tcPr>
            <w:tcW w:w="2563" w:type="dxa"/>
            <w:gridSpan w:val="2"/>
            <w:shd w:val="clear" w:color="auto" w:fill="0F243E" w:themeFill="text2" w:themeFillShade="80"/>
            <w:vAlign w:val="center"/>
          </w:tcPr>
          <w:p w:rsidR="009359C2" w:rsidRPr="00C52AA9" w:rsidRDefault="009359C2" w:rsidP="00C52AA9">
            <w:pPr>
              <w:tabs>
                <w:tab w:val="left" w:pos="6889"/>
              </w:tabs>
              <w:spacing w:before="80" w:after="80"/>
              <w:jc w:val="center"/>
              <w:rPr>
                <w:b/>
                <w:color w:val="0070C0"/>
                <w:sz w:val="20"/>
                <w:szCs w:val="20"/>
                <w:lang w:val="ru-RU"/>
              </w:rPr>
            </w:pPr>
            <w:r w:rsidRPr="00C52AA9">
              <w:rPr>
                <w:b/>
                <w:color w:val="FFFFFF" w:themeColor="background1"/>
                <w:sz w:val="20"/>
                <w:szCs w:val="20"/>
                <w:lang w:val="ru-RU"/>
              </w:rPr>
              <w:t>Question(s)</w:t>
            </w:r>
          </w:p>
        </w:tc>
        <w:tc>
          <w:tcPr>
            <w:tcW w:w="3107" w:type="dxa"/>
            <w:shd w:val="clear" w:color="auto" w:fill="0F243E" w:themeFill="text2" w:themeFillShade="80"/>
            <w:vAlign w:val="center"/>
          </w:tcPr>
          <w:p w:rsidR="009359C2" w:rsidRPr="00C52AA9" w:rsidRDefault="009359C2" w:rsidP="00C52AA9">
            <w:pPr>
              <w:tabs>
                <w:tab w:val="left" w:pos="6889"/>
              </w:tabs>
              <w:spacing w:before="80" w:after="80"/>
              <w:jc w:val="center"/>
              <w:rPr>
                <w:b/>
                <w:color w:val="FFFFFF" w:themeColor="background1"/>
                <w:sz w:val="20"/>
                <w:szCs w:val="20"/>
                <w:lang w:val="ru-RU"/>
              </w:rPr>
            </w:pPr>
            <w:r w:rsidRPr="00C52AA9">
              <w:rPr>
                <w:b/>
                <w:color w:val="FFFFFF" w:themeColor="background1"/>
                <w:sz w:val="20"/>
                <w:szCs w:val="20"/>
                <w:lang w:val="ru-RU"/>
              </w:rPr>
              <w:t>Explanatory Notes</w:t>
            </w:r>
          </w:p>
        </w:tc>
        <w:tc>
          <w:tcPr>
            <w:tcW w:w="2556" w:type="dxa"/>
            <w:shd w:val="clear" w:color="auto" w:fill="0F243E" w:themeFill="text2" w:themeFillShade="80"/>
            <w:vAlign w:val="center"/>
          </w:tcPr>
          <w:p w:rsidR="009359C2" w:rsidRPr="00C52AA9" w:rsidRDefault="009359C2" w:rsidP="00C52AA9">
            <w:pPr>
              <w:tabs>
                <w:tab w:val="left" w:pos="6889"/>
              </w:tabs>
              <w:spacing w:before="80" w:after="80"/>
              <w:jc w:val="center"/>
              <w:rPr>
                <w:b/>
                <w:i/>
                <w:iCs/>
                <w:color w:val="FFFFFF" w:themeColor="background1"/>
                <w:sz w:val="20"/>
                <w:szCs w:val="20"/>
                <w:lang w:val="ru-RU"/>
              </w:rPr>
            </w:pPr>
            <w:r w:rsidRPr="00C52AA9">
              <w:rPr>
                <w:b/>
                <w:i/>
                <w:iCs/>
                <w:color w:val="FFFFFF" w:themeColor="background1"/>
                <w:sz w:val="20"/>
                <w:szCs w:val="20"/>
                <w:lang w:val="ru-RU"/>
              </w:rPr>
              <w:t>Example of Possible Responses</w:t>
            </w:r>
          </w:p>
        </w:tc>
      </w:tr>
      <w:tr w:rsidR="009359C2" w:rsidRPr="00C52AA9" w:rsidTr="00A11C40">
        <w:trPr>
          <w:jc w:val="center"/>
        </w:trPr>
        <w:tc>
          <w:tcPr>
            <w:tcW w:w="1696" w:type="dxa"/>
            <w:vMerge w:val="restart"/>
          </w:tcPr>
          <w:p w:rsidR="009359C2" w:rsidRPr="00C52AA9" w:rsidRDefault="009359C2" w:rsidP="00C52AA9">
            <w:pPr>
              <w:tabs>
                <w:tab w:val="left" w:pos="6889"/>
              </w:tabs>
              <w:spacing w:before="40" w:after="40"/>
              <w:rPr>
                <w:b/>
                <w:bCs/>
                <w:sz w:val="20"/>
                <w:szCs w:val="20"/>
                <w:lang w:val="ru-RU"/>
              </w:rPr>
            </w:pPr>
            <w:r w:rsidRPr="00C52AA9">
              <w:rPr>
                <w:b/>
                <w:bCs/>
                <w:sz w:val="20"/>
                <w:szCs w:val="20"/>
                <w:lang w:val="ru-RU"/>
              </w:rPr>
              <w:t>Source of disputes</w:t>
            </w: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1</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What are the 3 most common sources of disputes?</w:t>
            </w:r>
          </w:p>
        </w:tc>
        <w:tc>
          <w:tcPr>
            <w:tcW w:w="3107" w:type="dxa"/>
            <w:vMerge w:val="restart"/>
          </w:tcPr>
          <w:p w:rsidR="009359C2" w:rsidRPr="00EF28FA" w:rsidRDefault="009359C2" w:rsidP="00C52AA9">
            <w:pPr>
              <w:tabs>
                <w:tab w:val="left" w:pos="6889"/>
              </w:tabs>
              <w:spacing w:before="40" w:after="40"/>
              <w:rPr>
                <w:sz w:val="20"/>
                <w:szCs w:val="20"/>
              </w:rPr>
            </w:pPr>
            <w:r w:rsidRPr="00EF28FA">
              <w:rPr>
                <w:sz w:val="20"/>
                <w:szCs w:val="20"/>
              </w:rPr>
              <w:t>The questions under this focus area seek to gain insight into some of the main causes of disputes and which services or processes they emanate from.</w:t>
            </w:r>
          </w:p>
        </w:tc>
        <w:tc>
          <w:tcPr>
            <w:tcW w:w="2556" w:type="dxa"/>
          </w:tcPr>
          <w:p w:rsidR="009359C2" w:rsidRPr="00C52AA9" w:rsidRDefault="009359C2" w:rsidP="00C52AA9">
            <w:pPr>
              <w:pStyle w:val="ListParagraph"/>
              <w:numPr>
                <w:ilvl w:val="0"/>
                <w:numId w:val="29"/>
              </w:numPr>
              <w:tabs>
                <w:tab w:val="left" w:pos="6889"/>
              </w:tabs>
              <w:spacing w:before="40" w:after="40"/>
              <w:ind w:left="336" w:hanging="384"/>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Discrepancies on invoices for international interconnection settlements?</w:t>
            </w:r>
          </w:p>
          <w:p w:rsidR="009359C2" w:rsidRPr="00EF28FA" w:rsidRDefault="009359C2" w:rsidP="00C52AA9">
            <w:pPr>
              <w:pStyle w:val="ListParagraph"/>
              <w:numPr>
                <w:ilvl w:val="0"/>
                <w:numId w:val="29"/>
              </w:numPr>
              <w:tabs>
                <w:tab w:val="left" w:pos="6889"/>
              </w:tabs>
              <w:spacing w:before="40" w:after="40"/>
              <w:ind w:left="336"/>
              <w:rPr>
                <w:rFonts w:asciiTheme="minorHAnsi" w:hAnsiTheme="minorHAnsi"/>
                <w:i/>
                <w:iCs/>
                <w:color w:val="808080" w:themeColor="background1" w:themeShade="80"/>
                <w:sz w:val="20"/>
                <w:szCs w:val="20"/>
              </w:rPr>
            </w:pPr>
            <w:r w:rsidRPr="00EF28FA">
              <w:rPr>
                <w:rFonts w:asciiTheme="minorHAnsi" w:hAnsiTheme="minorHAnsi"/>
                <w:i/>
                <w:iCs/>
                <w:color w:val="808080" w:themeColor="background1" w:themeShade="80"/>
                <w:sz w:val="20"/>
                <w:szCs w:val="20"/>
              </w:rPr>
              <w:t>Application of wrong AA14 rates for IOT in International mobile roaming?</w:t>
            </w:r>
          </w:p>
          <w:p w:rsidR="009359C2" w:rsidRPr="00EF28FA" w:rsidRDefault="009359C2" w:rsidP="00C52AA9">
            <w:pPr>
              <w:pStyle w:val="ListParagraph"/>
              <w:numPr>
                <w:ilvl w:val="0"/>
                <w:numId w:val="29"/>
              </w:numPr>
              <w:tabs>
                <w:tab w:val="left" w:pos="6889"/>
              </w:tabs>
              <w:spacing w:before="40" w:after="40"/>
              <w:ind w:left="336"/>
              <w:rPr>
                <w:rFonts w:asciiTheme="minorHAnsi" w:hAnsiTheme="minorHAnsi"/>
                <w:i/>
                <w:iCs/>
                <w:color w:val="808080" w:themeColor="background1" w:themeShade="80"/>
                <w:sz w:val="20"/>
                <w:szCs w:val="20"/>
              </w:rPr>
            </w:pPr>
            <w:r w:rsidRPr="00EF28FA">
              <w:rPr>
                <w:rFonts w:asciiTheme="minorHAnsi" w:hAnsiTheme="minorHAnsi"/>
                <w:i/>
                <w:iCs/>
                <w:color w:val="808080" w:themeColor="background1" w:themeShade="80"/>
                <w:sz w:val="20"/>
                <w:szCs w:val="20"/>
              </w:rPr>
              <w:t>Poor maintenance of reference data and application of different cut off dates?</w:t>
            </w:r>
          </w:p>
        </w:tc>
      </w:tr>
      <w:tr w:rsidR="009359C2" w:rsidRPr="00C52AA9" w:rsidTr="00A11C40">
        <w:trPr>
          <w:jc w:val="center"/>
        </w:trPr>
        <w:tc>
          <w:tcPr>
            <w:tcW w:w="1696" w:type="dxa"/>
            <w:vMerge/>
          </w:tcPr>
          <w:p w:rsidR="009359C2" w:rsidRPr="00EF28FA" w:rsidRDefault="009359C2" w:rsidP="00C52AA9">
            <w:pPr>
              <w:tabs>
                <w:tab w:val="left" w:pos="6889"/>
              </w:tabs>
              <w:spacing w:before="40" w:after="40"/>
              <w:rPr>
                <w:sz w:val="20"/>
                <w:szCs w:val="20"/>
              </w:rPr>
            </w:pP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2</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What services are more susceptible to disputes?</w:t>
            </w:r>
          </w:p>
        </w:tc>
        <w:tc>
          <w:tcPr>
            <w:tcW w:w="3107" w:type="dxa"/>
            <w:vMerge/>
          </w:tcPr>
          <w:p w:rsidR="009359C2" w:rsidRPr="00EF28FA" w:rsidRDefault="009359C2" w:rsidP="00C52AA9">
            <w:pPr>
              <w:tabs>
                <w:tab w:val="left" w:pos="6889"/>
              </w:tabs>
              <w:spacing w:before="40" w:after="40"/>
              <w:rPr>
                <w:sz w:val="20"/>
                <w:szCs w:val="20"/>
              </w:rPr>
            </w:pPr>
          </w:p>
        </w:tc>
        <w:tc>
          <w:tcPr>
            <w:tcW w:w="2556" w:type="dxa"/>
          </w:tcPr>
          <w:p w:rsidR="009359C2" w:rsidRPr="00C52AA9" w:rsidRDefault="009359C2" w:rsidP="00C52AA9">
            <w:pPr>
              <w:pStyle w:val="ListParagraph"/>
              <w:numPr>
                <w:ilvl w:val="0"/>
                <w:numId w:val="30"/>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Termination?</w:t>
            </w:r>
          </w:p>
          <w:p w:rsidR="009359C2" w:rsidRPr="00C52AA9" w:rsidRDefault="009359C2" w:rsidP="00C52AA9">
            <w:pPr>
              <w:pStyle w:val="ListParagraph"/>
              <w:numPr>
                <w:ilvl w:val="0"/>
                <w:numId w:val="30"/>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Mobile Roaming?</w:t>
            </w:r>
          </w:p>
          <w:p w:rsidR="009359C2" w:rsidRPr="00C52AA9" w:rsidRDefault="009359C2" w:rsidP="00C52AA9">
            <w:pPr>
              <w:pStyle w:val="ListParagraph"/>
              <w:numPr>
                <w:ilvl w:val="0"/>
                <w:numId w:val="30"/>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Internet Connectivity?</w:t>
            </w:r>
          </w:p>
        </w:tc>
      </w:tr>
      <w:tr w:rsidR="009359C2" w:rsidRPr="00C52AA9" w:rsidTr="00A11C40">
        <w:trPr>
          <w:jc w:val="center"/>
        </w:trPr>
        <w:tc>
          <w:tcPr>
            <w:tcW w:w="1696" w:type="dxa"/>
            <w:vMerge w:val="restart"/>
          </w:tcPr>
          <w:p w:rsidR="009359C2" w:rsidRPr="00C52AA9" w:rsidRDefault="009359C2" w:rsidP="00C52AA9">
            <w:pPr>
              <w:tabs>
                <w:tab w:val="left" w:pos="6889"/>
              </w:tabs>
              <w:spacing w:before="40" w:after="40"/>
              <w:rPr>
                <w:b/>
                <w:bCs/>
                <w:sz w:val="20"/>
                <w:szCs w:val="20"/>
                <w:lang w:val="ru-RU"/>
              </w:rPr>
            </w:pPr>
            <w:r w:rsidRPr="00C52AA9">
              <w:rPr>
                <w:b/>
                <w:bCs/>
                <w:sz w:val="20"/>
                <w:szCs w:val="20"/>
                <w:lang w:val="ru-RU"/>
              </w:rPr>
              <w:t>Future sources of disputes</w:t>
            </w: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3</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How has the dispute process evolved over the years?</w:t>
            </w:r>
          </w:p>
        </w:tc>
        <w:tc>
          <w:tcPr>
            <w:tcW w:w="3107" w:type="dxa"/>
            <w:vMerge w:val="restart"/>
          </w:tcPr>
          <w:p w:rsidR="009359C2" w:rsidRPr="00EF28FA" w:rsidRDefault="009359C2" w:rsidP="00C52AA9">
            <w:pPr>
              <w:tabs>
                <w:tab w:val="left" w:pos="6889"/>
              </w:tabs>
              <w:spacing w:before="40" w:after="40"/>
              <w:rPr>
                <w:sz w:val="20"/>
                <w:szCs w:val="20"/>
              </w:rPr>
            </w:pPr>
            <w:r w:rsidRPr="00EF28FA">
              <w:rPr>
                <w:sz w:val="20"/>
                <w:szCs w:val="20"/>
              </w:rPr>
              <w:t>Responses to questions under this focus area should address the changes in methods and processes for handling disputes over the years, if any. It attempts to elicit thoughts and consideration over where dispute resolution started, where it is today and where it is likely to go in future. It is important to consider whether 5 years from today we will still be dealing with the same type of disputes or whether there will be new services and transactions that are likely to be more susceptible to disputes.</w:t>
            </w:r>
          </w:p>
        </w:tc>
        <w:tc>
          <w:tcPr>
            <w:tcW w:w="2556" w:type="dxa"/>
          </w:tcPr>
          <w:p w:rsidR="009359C2" w:rsidRPr="00EF28FA" w:rsidRDefault="009359C2" w:rsidP="00C52AA9">
            <w:pPr>
              <w:tabs>
                <w:tab w:val="left" w:pos="6889"/>
              </w:tabs>
              <w:spacing w:before="40" w:after="40"/>
              <w:rPr>
                <w:i/>
                <w:iCs/>
                <w:color w:val="808080" w:themeColor="background1" w:themeShade="80"/>
                <w:sz w:val="20"/>
                <w:szCs w:val="20"/>
              </w:rPr>
            </w:pPr>
            <w:r w:rsidRPr="00EF28FA">
              <w:rPr>
                <w:i/>
                <w:iCs/>
                <w:color w:val="808080" w:themeColor="background1" w:themeShade="80"/>
                <w:sz w:val="20"/>
                <w:szCs w:val="20"/>
              </w:rPr>
              <w:t>Are there more efficient systems/tools that aid in the verification and validation process?</w:t>
            </w:r>
          </w:p>
        </w:tc>
      </w:tr>
      <w:tr w:rsidR="009359C2" w:rsidRPr="00C52AA9" w:rsidTr="00A11C40">
        <w:trPr>
          <w:jc w:val="center"/>
        </w:trPr>
        <w:tc>
          <w:tcPr>
            <w:tcW w:w="1696" w:type="dxa"/>
            <w:vMerge/>
          </w:tcPr>
          <w:p w:rsidR="009359C2" w:rsidRPr="00EF28FA" w:rsidRDefault="009359C2" w:rsidP="00C52AA9">
            <w:pPr>
              <w:tabs>
                <w:tab w:val="left" w:pos="6889"/>
              </w:tabs>
              <w:spacing w:before="40" w:after="40"/>
              <w:rPr>
                <w:sz w:val="20"/>
                <w:szCs w:val="20"/>
              </w:rPr>
            </w:pP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4</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What are the future sources of disputes likely to be?</w:t>
            </w:r>
          </w:p>
        </w:tc>
        <w:tc>
          <w:tcPr>
            <w:tcW w:w="3107" w:type="dxa"/>
            <w:vMerge/>
          </w:tcPr>
          <w:p w:rsidR="009359C2" w:rsidRPr="00EF28FA" w:rsidRDefault="009359C2" w:rsidP="00C52AA9">
            <w:pPr>
              <w:tabs>
                <w:tab w:val="left" w:pos="6889"/>
              </w:tabs>
              <w:spacing w:before="40" w:after="40"/>
              <w:rPr>
                <w:sz w:val="20"/>
                <w:szCs w:val="20"/>
              </w:rPr>
            </w:pPr>
          </w:p>
        </w:tc>
        <w:tc>
          <w:tcPr>
            <w:tcW w:w="2556" w:type="dxa"/>
          </w:tcPr>
          <w:p w:rsidR="009359C2" w:rsidRPr="00EF28FA" w:rsidRDefault="009359C2" w:rsidP="00C52AA9">
            <w:pPr>
              <w:tabs>
                <w:tab w:val="left" w:pos="6889"/>
              </w:tabs>
              <w:spacing w:before="40" w:after="40"/>
              <w:rPr>
                <w:i/>
                <w:iCs/>
                <w:color w:val="808080" w:themeColor="background1" w:themeShade="80"/>
                <w:sz w:val="20"/>
                <w:szCs w:val="20"/>
              </w:rPr>
            </w:pPr>
            <w:r w:rsidRPr="00EF28FA">
              <w:rPr>
                <w:i/>
                <w:iCs/>
                <w:color w:val="808080" w:themeColor="background1" w:themeShade="80"/>
                <w:sz w:val="20"/>
                <w:szCs w:val="20"/>
              </w:rPr>
              <w:t>Discrepancies arising from M2M roaming?</w:t>
            </w:r>
          </w:p>
        </w:tc>
      </w:tr>
      <w:tr w:rsidR="009359C2" w:rsidRPr="00C52AA9" w:rsidTr="00A11C40">
        <w:trPr>
          <w:jc w:val="center"/>
        </w:trPr>
        <w:tc>
          <w:tcPr>
            <w:tcW w:w="1696" w:type="dxa"/>
            <w:vMerge w:val="restart"/>
          </w:tcPr>
          <w:p w:rsidR="009359C2" w:rsidRPr="00EF28FA" w:rsidRDefault="009359C2" w:rsidP="00C52AA9">
            <w:pPr>
              <w:tabs>
                <w:tab w:val="left" w:pos="6889"/>
              </w:tabs>
              <w:spacing w:before="40" w:after="40"/>
              <w:rPr>
                <w:b/>
                <w:bCs/>
                <w:sz w:val="20"/>
                <w:szCs w:val="20"/>
              </w:rPr>
            </w:pPr>
            <w:r w:rsidRPr="00EF28FA">
              <w:rPr>
                <w:b/>
                <w:bCs/>
                <w:sz w:val="20"/>
                <w:szCs w:val="20"/>
              </w:rPr>
              <w:t xml:space="preserve">Scope of dispute resolution procedures </w:t>
            </w: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5</w:t>
            </w:r>
          </w:p>
        </w:tc>
        <w:tc>
          <w:tcPr>
            <w:tcW w:w="1996" w:type="dxa"/>
          </w:tcPr>
          <w:p w:rsidR="009359C2" w:rsidRPr="00C52AA9" w:rsidRDefault="009359C2" w:rsidP="00C52AA9">
            <w:pPr>
              <w:tabs>
                <w:tab w:val="left" w:pos="6889"/>
              </w:tabs>
              <w:spacing w:before="40" w:after="40"/>
              <w:rPr>
                <w:b/>
                <w:bCs/>
                <w:color w:val="0070C0"/>
                <w:sz w:val="20"/>
                <w:szCs w:val="20"/>
                <w:lang w:val="ru-RU" w:eastAsia="zh-CN"/>
              </w:rPr>
            </w:pPr>
            <w:r w:rsidRPr="00EF28FA">
              <w:rPr>
                <w:b/>
                <w:bCs/>
                <w:color w:val="0070C0"/>
                <w:sz w:val="20"/>
                <w:szCs w:val="20"/>
              </w:rPr>
              <w:t>Is there need to update the Dispute Management Guidelines contained in</w:t>
            </w:r>
            <w:hyperlink r:id="rId12" w:history="1">
              <w:r w:rsidRPr="00EF28FA">
                <w:rPr>
                  <w:rStyle w:val="Hyperlink"/>
                  <w:b/>
                  <w:bCs/>
                  <w:sz w:val="20"/>
                  <w:szCs w:val="20"/>
                </w:rPr>
                <w:t xml:space="preserve"> </w:t>
              </w:r>
              <w:r w:rsidRPr="00EF28FA">
                <w:rPr>
                  <w:rStyle w:val="Hyperlink"/>
                  <w:b/>
                  <w:bCs/>
                  <w:sz w:val="20"/>
                  <w:szCs w:val="20"/>
                  <w:lang w:eastAsia="zh-CN"/>
                </w:rPr>
                <w:t xml:space="preserve">Rec. </w:t>
              </w:r>
              <w:r w:rsidRPr="00C52AA9">
                <w:rPr>
                  <w:rStyle w:val="Hyperlink"/>
                  <w:b/>
                  <w:bCs/>
                  <w:sz w:val="20"/>
                  <w:szCs w:val="20"/>
                  <w:lang w:val="ru-RU" w:eastAsia="zh-CN"/>
                </w:rPr>
                <w:t xml:space="preserve">ITU-T </w:t>
              </w:r>
              <w:r w:rsidRPr="00C52AA9">
                <w:rPr>
                  <w:rStyle w:val="Hyperlink"/>
                  <w:b/>
                  <w:bCs/>
                  <w:sz w:val="20"/>
                  <w:szCs w:val="20"/>
                  <w:lang w:val="ru-RU" w:eastAsia="zh-CN"/>
                </w:rPr>
                <w:lastRenderedPageBreak/>
                <w:t>D.170/Suppl.1 (05/2010)</w:t>
              </w:r>
              <w:r w:rsidRPr="00C52AA9">
                <w:rPr>
                  <w:rStyle w:val="Hyperlink"/>
                  <w:b/>
                  <w:bCs/>
                  <w:color w:val="0070C0"/>
                  <w:sz w:val="20"/>
                  <w:szCs w:val="20"/>
                  <w:lang w:val="ru-RU" w:eastAsia="zh-CN"/>
                </w:rPr>
                <w:t>?</w:t>
              </w:r>
            </w:hyperlink>
          </w:p>
        </w:tc>
        <w:tc>
          <w:tcPr>
            <w:tcW w:w="3107" w:type="dxa"/>
            <w:vMerge w:val="restart"/>
          </w:tcPr>
          <w:p w:rsidR="009359C2" w:rsidRPr="00EF28FA" w:rsidRDefault="009359C2" w:rsidP="00C52AA9">
            <w:pPr>
              <w:tabs>
                <w:tab w:val="left" w:pos="6889"/>
              </w:tabs>
              <w:spacing w:before="40" w:after="40"/>
              <w:rPr>
                <w:sz w:val="20"/>
                <w:szCs w:val="20"/>
              </w:rPr>
            </w:pPr>
            <w:r w:rsidRPr="00EF28FA">
              <w:rPr>
                <w:sz w:val="20"/>
                <w:szCs w:val="20"/>
              </w:rPr>
              <w:lastRenderedPageBreak/>
              <w:t xml:space="preserve">Supplements 1 and 2 on Dispute Management Guidelines and Dispute Process Guidelines were developed in 2010. From 2010 to date, there have been significant </w:t>
            </w:r>
            <w:r w:rsidRPr="00EF28FA">
              <w:rPr>
                <w:sz w:val="20"/>
                <w:szCs w:val="20"/>
              </w:rPr>
              <w:lastRenderedPageBreak/>
              <w:t xml:space="preserve">developments in the ICT Sector not only in terms of technological advancement but also changes in policy and regulatory frameworks. In this regard, there may be need to update certain aspects of these supplements in order to ensure that they reflect current market conditions. There may also be need to widen the scope of the existing dispute management and process guidelines. </w:t>
            </w:r>
          </w:p>
        </w:tc>
        <w:tc>
          <w:tcPr>
            <w:tcW w:w="2556" w:type="dxa"/>
          </w:tcPr>
          <w:p w:rsidR="009359C2" w:rsidRPr="00C52AA9" w:rsidRDefault="009359C2" w:rsidP="00C52AA9">
            <w:pPr>
              <w:tabs>
                <w:tab w:val="left" w:pos="6889"/>
              </w:tabs>
              <w:spacing w:before="40" w:after="40"/>
              <w:rPr>
                <w:i/>
                <w:iCs/>
                <w:color w:val="808080" w:themeColor="background1" w:themeShade="80"/>
                <w:sz w:val="20"/>
                <w:szCs w:val="20"/>
                <w:lang w:val="ru-RU"/>
              </w:rPr>
            </w:pPr>
            <w:r w:rsidRPr="00EF28FA">
              <w:rPr>
                <w:i/>
                <w:iCs/>
                <w:color w:val="808080" w:themeColor="background1" w:themeShade="80"/>
                <w:sz w:val="20"/>
                <w:szCs w:val="20"/>
              </w:rPr>
              <w:lastRenderedPageBreak/>
              <w:t xml:space="preserve">The scope may need to be expanded to include broadband services. </w:t>
            </w:r>
            <w:r w:rsidRPr="00C52AA9">
              <w:rPr>
                <w:i/>
                <w:iCs/>
                <w:color w:val="808080" w:themeColor="background1" w:themeShade="80"/>
                <w:sz w:val="20"/>
                <w:szCs w:val="20"/>
                <w:lang w:val="ru-RU"/>
              </w:rPr>
              <w:t xml:space="preserve">These guidelines focus primarily on voice calls? </w:t>
            </w:r>
          </w:p>
        </w:tc>
      </w:tr>
      <w:tr w:rsidR="009359C2" w:rsidRPr="00C52AA9" w:rsidTr="00A11C40">
        <w:trPr>
          <w:jc w:val="center"/>
        </w:trPr>
        <w:tc>
          <w:tcPr>
            <w:tcW w:w="1696" w:type="dxa"/>
            <w:vMerge/>
          </w:tcPr>
          <w:p w:rsidR="009359C2" w:rsidRPr="00C52AA9" w:rsidRDefault="009359C2" w:rsidP="00C52AA9">
            <w:pPr>
              <w:tabs>
                <w:tab w:val="left" w:pos="6889"/>
              </w:tabs>
              <w:spacing w:before="40" w:after="40"/>
              <w:rPr>
                <w:sz w:val="20"/>
                <w:szCs w:val="20"/>
                <w:lang w:val="ru-RU"/>
              </w:rPr>
            </w:pP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6</w:t>
            </w:r>
          </w:p>
        </w:tc>
        <w:tc>
          <w:tcPr>
            <w:tcW w:w="1996" w:type="dxa"/>
          </w:tcPr>
          <w:p w:rsidR="009359C2" w:rsidRPr="00C52AA9" w:rsidRDefault="009359C2" w:rsidP="00C52AA9">
            <w:pPr>
              <w:spacing w:before="40" w:after="40"/>
              <w:rPr>
                <w:b/>
                <w:bCs/>
                <w:color w:val="0070C0"/>
                <w:sz w:val="20"/>
                <w:szCs w:val="20"/>
                <w:lang w:val="ru-RU" w:eastAsia="zh-CN"/>
              </w:rPr>
            </w:pPr>
            <w:r w:rsidRPr="00EF28FA">
              <w:rPr>
                <w:b/>
                <w:bCs/>
                <w:color w:val="0070C0"/>
                <w:sz w:val="20"/>
                <w:szCs w:val="20"/>
              </w:rPr>
              <w:t>Is there need to update the Dispute</w:t>
            </w:r>
            <w:r w:rsidRPr="00EF28FA">
              <w:rPr>
                <w:b/>
                <w:bCs/>
                <w:color w:val="0070C0"/>
                <w:sz w:val="20"/>
                <w:szCs w:val="20"/>
                <w:lang w:eastAsia="zh-CN"/>
              </w:rPr>
              <w:t xml:space="preserve"> Process Guidelines contained in </w:t>
            </w:r>
            <w:hyperlink r:id="rId13" w:history="1">
              <w:r w:rsidRPr="00EF28FA">
                <w:rPr>
                  <w:rStyle w:val="Hyperlink"/>
                  <w:b/>
                  <w:bCs/>
                  <w:sz w:val="20"/>
                  <w:szCs w:val="20"/>
                  <w:lang w:eastAsia="zh-CN"/>
                </w:rPr>
                <w:t xml:space="preserve">Rec. </w:t>
              </w:r>
              <w:r w:rsidRPr="00C52AA9">
                <w:rPr>
                  <w:rStyle w:val="Hyperlink"/>
                  <w:b/>
                  <w:bCs/>
                  <w:sz w:val="20"/>
                  <w:szCs w:val="20"/>
                  <w:lang w:val="ru-RU" w:eastAsia="zh-CN"/>
                </w:rPr>
                <w:t>ITU-T D.170/Suppl.2 (05/2010)</w:t>
              </w:r>
              <w:r w:rsidRPr="00C52AA9">
                <w:rPr>
                  <w:rStyle w:val="Hyperlink"/>
                  <w:b/>
                  <w:bCs/>
                  <w:color w:val="0070C0"/>
                  <w:sz w:val="20"/>
                  <w:szCs w:val="20"/>
                  <w:lang w:val="ru-RU" w:eastAsia="zh-CN"/>
                </w:rPr>
                <w:t>?</w:t>
              </w:r>
            </w:hyperlink>
          </w:p>
        </w:tc>
        <w:tc>
          <w:tcPr>
            <w:tcW w:w="3107" w:type="dxa"/>
            <w:vMerge/>
          </w:tcPr>
          <w:p w:rsidR="009359C2" w:rsidRPr="00C52AA9" w:rsidRDefault="009359C2" w:rsidP="00C52AA9">
            <w:pPr>
              <w:spacing w:before="40" w:after="40"/>
              <w:rPr>
                <w:sz w:val="20"/>
                <w:szCs w:val="20"/>
                <w:lang w:val="ru-RU"/>
              </w:rPr>
            </w:pPr>
          </w:p>
        </w:tc>
        <w:tc>
          <w:tcPr>
            <w:tcW w:w="2556" w:type="dxa"/>
          </w:tcPr>
          <w:p w:rsidR="009359C2" w:rsidRPr="00C52AA9" w:rsidRDefault="009359C2" w:rsidP="00C52AA9">
            <w:pPr>
              <w:spacing w:before="40" w:after="40"/>
              <w:jc w:val="center"/>
              <w:rPr>
                <w:sz w:val="20"/>
                <w:szCs w:val="20"/>
                <w:lang w:val="ru-RU"/>
              </w:rPr>
            </w:pPr>
          </w:p>
        </w:tc>
      </w:tr>
      <w:tr w:rsidR="009359C2" w:rsidRPr="00C52AA9" w:rsidTr="00A11C40">
        <w:trPr>
          <w:jc w:val="center"/>
        </w:trPr>
        <w:tc>
          <w:tcPr>
            <w:tcW w:w="1696" w:type="dxa"/>
            <w:vMerge/>
          </w:tcPr>
          <w:p w:rsidR="009359C2" w:rsidRPr="00C52AA9" w:rsidRDefault="009359C2" w:rsidP="00C52AA9">
            <w:pPr>
              <w:tabs>
                <w:tab w:val="left" w:pos="6889"/>
              </w:tabs>
              <w:spacing w:before="40" w:after="40"/>
              <w:rPr>
                <w:sz w:val="20"/>
                <w:szCs w:val="20"/>
                <w:lang w:val="ru-RU"/>
              </w:rPr>
            </w:pP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7</w:t>
            </w:r>
          </w:p>
        </w:tc>
        <w:tc>
          <w:tcPr>
            <w:tcW w:w="1996" w:type="dxa"/>
          </w:tcPr>
          <w:p w:rsidR="009359C2" w:rsidRPr="00EF28FA" w:rsidRDefault="009359C2" w:rsidP="00C52AA9">
            <w:pPr>
              <w:keepLines/>
              <w:tabs>
                <w:tab w:val="left" w:pos="6889"/>
              </w:tabs>
              <w:spacing w:before="40" w:after="40"/>
              <w:rPr>
                <w:b/>
                <w:bCs/>
                <w:color w:val="0070C0"/>
                <w:sz w:val="20"/>
                <w:szCs w:val="20"/>
              </w:rPr>
            </w:pPr>
            <w:r w:rsidRPr="00EF28FA">
              <w:rPr>
                <w:b/>
                <w:bCs/>
                <w:color w:val="0070C0"/>
                <w:sz w:val="20"/>
                <w:szCs w:val="20"/>
              </w:rPr>
              <w:t>What other areas need to be covered by dispute resolution procedures?</w:t>
            </w:r>
          </w:p>
        </w:tc>
        <w:tc>
          <w:tcPr>
            <w:tcW w:w="3107" w:type="dxa"/>
            <w:vMerge/>
          </w:tcPr>
          <w:p w:rsidR="009359C2" w:rsidRPr="00EF28FA" w:rsidRDefault="009359C2" w:rsidP="00C52AA9">
            <w:pPr>
              <w:tabs>
                <w:tab w:val="left" w:pos="6889"/>
              </w:tabs>
              <w:spacing w:before="40" w:after="40"/>
              <w:rPr>
                <w:sz w:val="20"/>
                <w:szCs w:val="20"/>
              </w:rPr>
            </w:pPr>
          </w:p>
        </w:tc>
        <w:tc>
          <w:tcPr>
            <w:tcW w:w="2556" w:type="dxa"/>
          </w:tcPr>
          <w:p w:rsidR="009359C2" w:rsidRPr="00EF28FA" w:rsidRDefault="009359C2" w:rsidP="00C52AA9">
            <w:pPr>
              <w:tabs>
                <w:tab w:val="left" w:pos="6889"/>
              </w:tabs>
              <w:spacing w:before="40" w:after="40"/>
              <w:rPr>
                <w:i/>
                <w:iCs/>
                <w:color w:val="808080" w:themeColor="background1" w:themeShade="80"/>
                <w:sz w:val="20"/>
                <w:szCs w:val="20"/>
              </w:rPr>
            </w:pPr>
            <w:r w:rsidRPr="00EF28FA">
              <w:rPr>
                <w:i/>
                <w:iCs/>
                <w:color w:val="808080" w:themeColor="background1" w:themeShade="80"/>
                <w:sz w:val="20"/>
                <w:szCs w:val="20"/>
              </w:rPr>
              <w:t xml:space="preserve">Access and co-location agreements for both passive and active infrastructure sharing?  </w:t>
            </w:r>
          </w:p>
        </w:tc>
      </w:tr>
      <w:tr w:rsidR="009359C2" w:rsidRPr="00C52AA9" w:rsidTr="00A11C40">
        <w:trPr>
          <w:jc w:val="center"/>
        </w:trPr>
        <w:tc>
          <w:tcPr>
            <w:tcW w:w="1696" w:type="dxa"/>
            <w:vMerge w:val="restart"/>
          </w:tcPr>
          <w:p w:rsidR="009359C2" w:rsidRPr="00EF28FA" w:rsidRDefault="009359C2" w:rsidP="00C52AA9">
            <w:pPr>
              <w:tabs>
                <w:tab w:val="left" w:pos="6889"/>
              </w:tabs>
              <w:spacing w:before="40" w:after="40"/>
              <w:rPr>
                <w:b/>
                <w:bCs/>
                <w:sz w:val="20"/>
                <w:szCs w:val="20"/>
              </w:rPr>
            </w:pPr>
            <w:r w:rsidRPr="00EF28FA">
              <w:rPr>
                <w:b/>
                <w:bCs/>
                <w:sz w:val="20"/>
                <w:szCs w:val="20"/>
              </w:rPr>
              <w:t>Dispute resolution mechanisms and procedures</w:t>
            </w: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8</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What dispute settlement mechanisms are you currently employing?</w:t>
            </w:r>
          </w:p>
        </w:tc>
        <w:tc>
          <w:tcPr>
            <w:tcW w:w="3107" w:type="dxa"/>
            <w:vMerge w:val="restart"/>
          </w:tcPr>
          <w:p w:rsidR="009359C2" w:rsidRPr="00EF28FA" w:rsidRDefault="009359C2" w:rsidP="00C52AA9">
            <w:pPr>
              <w:tabs>
                <w:tab w:val="left" w:pos="6889"/>
              </w:tabs>
              <w:spacing w:before="40" w:after="40"/>
              <w:rPr>
                <w:sz w:val="20"/>
                <w:szCs w:val="20"/>
              </w:rPr>
            </w:pPr>
            <w:r w:rsidRPr="00EF28FA">
              <w:rPr>
                <w:sz w:val="20"/>
                <w:szCs w:val="20"/>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p>
        </w:tc>
        <w:tc>
          <w:tcPr>
            <w:tcW w:w="2556" w:type="dxa"/>
          </w:tcPr>
          <w:p w:rsidR="009359C2" w:rsidRPr="00EF28FA" w:rsidRDefault="009359C2" w:rsidP="00C52AA9">
            <w:pPr>
              <w:tabs>
                <w:tab w:val="left" w:pos="6889"/>
              </w:tabs>
              <w:spacing w:before="40" w:after="40"/>
              <w:rPr>
                <w:i/>
                <w:iCs/>
                <w:color w:val="808080" w:themeColor="background1" w:themeShade="80"/>
                <w:sz w:val="20"/>
                <w:szCs w:val="20"/>
              </w:rPr>
            </w:pPr>
            <w:r w:rsidRPr="00EF28FA">
              <w:rPr>
                <w:i/>
                <w:iCs/>
                <w:color w:val="808080" w:themeColor="background1" w:themeShade="80"/>
                <w:sz w:val="20"/>
                <w:szCs w:val="20"/>
              </w:rPr>
              <w:t>Dispute management guidelines are embedded in all commercial agreements?</w:t>
            </w:r>
          </w:p>
        </w:tc>
      </w:tr>
      <w:tr w:rsidR="009359C2" w:rsidRPr="00C52AA9" w:rsidTr="00A11C40">
        <w:trPr>
          <w:jc w:val="center"/>
        </w:trPr>
        <w:tc>
          <w:tcPr>
            <w:tcW w:w="1696" w:type="dxa"/>
            <w:vMerge/>
          </w:tcPr>
          <w:p w:rsidR="009359C2" w:rsidRPr="00EF28FA" w:rsidRDefault="009359C2" w:rsidP="00C52AA9">
            <w:pPr>
              <w:tabs>
                <w:tab w:val="left" w:pos="6889"/>
              </w:tabs>
              <w:spacing w:before="40" w:after="40"/>
              <w:rPr>
                <w:sz w:val="20"/>
                <w:szCs w:val="20"/>
              </w:rPr>
            </w:pP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9</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What has been the most effective method to resolve disputes?</w:t>
            </w:r>
          </w:p>
        </w:tc>
        <w:tc>
          <w:tcPr>
            <w:tcW w:w="3107" w:type="dxa"/>
            <w:vMerge/>
          </w:tcPr>
          <w:p w:rsidR="009359C2" w:rsidRPr="00EF28FA" w:rsidRDefault="009359C2" w:rsidP="00C52AA9">
            <w:pPr>
              <w:tabs>
                <w:tab w:val="left" w:pos="6889"/>
              </w:tabs>
              <w:spacing w:before="40" w:after="40"/>
              <w:rPr>
                <w:sz w:val="20"/>
                <w:szCs w:val="20"/>
              </w:rPr>
            </w:pPr>
          </w:p>
        </w:tc>
        <w:tc>
          <w:tcPr>
            <w:tcW w:w="2556" w:type="dxa"/>
          </w:tcPr>
          <w:p w:rsidR="009359C2" w:rsidRPr="00EF28FA" w:rsidRDefault="009359C2" w:rsidP="00C52AA9">
            <w:pPr>
              <w:tabs>
                <w:tab w:val="left" w:pos="6889"/>
              </w:tabs>
              <w:spacing w:before="40" w:after="40"/>
              <w:rPr>
                <w:i/>
                <w:iCs/>
                <w:color w:val="808080" w:themeColor="background1" w:themeShade="80"/>
                <w:sz w:val="20"/>
                <w:szCs w:val="20"/>
              </w:rPr>
            </w:pPr>
            <w:r w:rsidRPr="00EF28FA">
              <w:rPr>
                <w:i/>
                <w:iCs/>
                <w:color w:val="808080" w:themeColor="background1" w:themeShade="80"/>
                <w:sz w:val="20"/>
                <w:szCs w:val="20"/>
              </w:rPr>
              <w:t>Use of standard templates and forms to ensure that all relevant information is available?</w:t>
            </w:r>
          </w:p>
        </w:tc>
      </w:tr>
      <w:tr w:rsidR="009359C2" w:rsidRPr="00C52AA9" w:rsidTr="00A11C40">
        <w:trPr>
          <w:jc w:val="center"/>
        </w:trPr>
        <w:tc>
          <w:tcPr>
            <w:tcW w:w="1696" w:type="dxa"/>
          </w:tcPr>
          <w:p w:rsidR="009359C2" w:rsidRPr="00C52AA9" w:rsidRDefault="009359C2" w:rsidP="00C52AA9">
            <w:pPr>
              <w:tabs>
                <w:tab w:val="left" w:pos="6889"/>
              </w:tabs>
              <w:spacing w:before="40" w:after="40"/>
              <w:rPr>
                <w:b/>
                <w:bCs/>
                <w:sz w:val="20"/>
                <w:szCs w:val="20"/>
                <w:lang w:val="ru-RU"/>
              </w:rPr>
            </w:pPr>
            <w:r w:rsidRPr="00C52AA9">
              <w:rPr>
                <w:b/>
                <w:bCs/>
                <w:sz w:val="20"/>
                <w:szCs w:val="20"/>
                <w:lang w:val="ru-RU"/>
              </w:rPr>
              <w:t>Technological advancement</w:t>
            </w:r>
          </w:p>
        </w:tc>
        <w:tc>
          <w:tcPr>
            <w:tcW w:w="567" w:type="dxa"/>
          </w:tcPr>
          <w:p w:rsidR="009359C2" w:rsidRPr="00C52AA9" w:rsidRDefault="009359C2" w:rsidP="00C52AA9">
            <w:pPr>
              <w:tabs>
                <w:tab w:val="left" w:pos="6889"/>
              </w:tabs>
              <w:spacing w:before="40" w:after="40"/>
              <w:rPr>
                <w:color w:val="0070C0"/>
                <w:sz w:val="20"/>
                <w:szCs w:val="20"/>
                <w:lang w:val="ru-RU"/>
              </w:rPr>
            </w:pPr>
            <w:r w:rsidRPr="00C52AA9">
              <w:rPr>
                <w:color w:val="0070C0"/>
                <w:sz w:val="20"/>
                <w:szCs w:val="20"/>
                <w:lang w:val="ru-RU"/>
              </w:rPr>
              <w:t>10</w:t>
            </w:r>
          </w:p>
        </w:tc>
        <w:tc>
          <w:tcPr>
            <w:tcW w:w="1996" w:type="dxa"/>
          </w:tcPr>
          <w:p w:rsidR="009359C2" w:rsidRPr="00EF28FA" w:rsidRDefault="009359C2" w:rsidP="00C52AA9">
            <w:pPr>
              <w:tabs>
                <w:tab w:val="left" w:pos="6889"/>
              </w:tabs>
              <w:spacing w:before="40" w:after="40"/>
              <w:rPr>
                <w:b/>
                <w:bCs/>
                <w:color w:val="0070C0"/>
                <w:sz w:val="20"/>
                <w:szCs w:val="20"/>
              </w:rPr>
            </w:pPr>
            <w:r w:rsidRPr="00EF28FA">
              <w:rPr>
                <w:b/>
                <w:bCs/>
                <w:color w:val="0070C0"/>
                <w:sz w:val="20"/>
                <w:szCs w:val="20"/>
              </w:rPr>
              <w:t>Are there technological advances or tools that can be used to prevent or resolve disputes more efficiently?</w:t>
            </w:r>
          </w:p>
        </w:tc>
        <w:tc>
          <w:tcPr>
            <w:tcW w:w="3107" w:type="dxa"/>
          </w:tcPr>
          <w:p w:rsidR="009359C2" w:rsidRPr="00EF28FA" w:rsidRDefault="009359C2" w:rsidP="00C52AA9">
            <w:pPr>
              <w:tabs>
                <w:tab w:val="left" w:pos="6889"/>
              </w:tabs>
              <w:spacing w:before="40" w:after="40"/>
              <w:rPr>
                <w:sz w:val="20"/>
                <w:szCs w:val="20"/>
              </w:rPr>
            </w:pPr>
            <w:r w:rsidRPr="00EF28FA">
              <w:rPr>
                <w:sz w:val="20"/>
                <w:szCs w:val="20"/>
              </w:rPr>
              <w:t>This question aims to explore whether there are any automated tools or systems that are being employed that are helping to prevent or resolve disputes.</w:t>
            </w:r>
          </w:p>
        </w:tc>
        <w:tc>
          <w:tcPr>
            <w:tcW w:w="2556" w:type="dxa"/>
          </w:tcPr>
          <w:p w:rsidR="009359C2" w:rsidRPr="00EF28FA" w:rsidRDefault="009359C2" w:rsidP="00C52AA9">
            <w:pPr>
              <w:pStyle w:val="ListParagraph"/>
              <w:numPr>
                <w:ilvl w:val="0"/>
                <w:numId w:val="31"/>
              </w:numPr>
              <w:tabs>
                <w:tab w:val="left" w:pos="6889"/>
              </w:tabs>
              <w:spacing w:before="40" w:after="40"/>
              <w:ind w:left="318"/>
              <w:rPr>
                <w:rFonts w:asciiTheme="minorHAnsi" w:hAnsiTheme="minorHAnsi"/>
                <w:i/>
                <w:iCs/>
                <w:color w:val="808080" w:themeColor="background1" w:themeShade="80"/>
                <w:sz w:val="20"/>
                <w:szCs w:val="20"/>
              </w:rPr>
            </w:pPr>
            <w:r w:rsidRPr="00EF28FA">
              <w:rPr>
                <w:rFonts w:asciiTheme="minorHAnsi" w:hAnsiTheme="minorHAnsi"/>
                <w:i/>
                <w:iCs/>
                <w:color w:val="808080" w:themeColor="background1" w:themeShade="80"/>
                <w:sz w:val="20"/>
                <w:szCs w:val="20"/>
              </w:rPr>
              <w:t>Billing and revenue assurance systems?</w:t>
            </w:r>
          </w:p>
          <w:p w:rsidR="009359C2" w:rsidRPr="00C52AA9" w:rsidRDefault="009359C2" w:rsidP="00C52AA9">
            <w:pPr>
              <w:pStyle w:val="ListParagraph"/>
              <w:numPr>
                <w:ilvl w:val="0"/>
                <w:numId w:val="31"/>
              </w:numPr>
              <w:tabs>
                <w:tab w:val="left" w:pos="6889"/>
              </w:tabs>
              <w:spacing w:before="40" w:after="40"/>
              <w:ind w:left="318"/>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CDR Analyzers?</w:t>
            </w:r>
          </w:p>
        </w:tc>
      </w:tr>
    </w:tbl>
    <w:p w:rsidR="009359C2" w:rsidRPr="00C52AA9" w:rsidRDefault="00C52AA9" w:rsidP="00C52AA9">
      <w:pPr>
        <w:spacing w:before="480"/>
        <w:jc w:val="center"/>
        <w:rPr>
          <w:lang w:val="ru-RU"/>
        </w:rPr>
      </w:pPr>
      <w:r w:rsidRPr="00C52AA9">
        <w:rPr>
          <w:lang w:val="ru-RU"/>
        </w:rPr>
        <w:t>______________</w:t>
      </w:r>
    </w:p>
    <w:sectPr w:rsidR="009359C2" w:rsidRPr="00C52AA9" w:rsidSect="00297434">
      <w:headerReference w:type="default" r:id="rId14"/>
      <w:footerReference w:type="default" r:id="rId15"/>
      <w:footerReference w:type="first" r:id="rId16"/>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21" w:rsidRDefault="00F27D21">
      <w:r>
        <w:separator/>
      </w:r>
    </w:p>
  </w:endnote>
  <w:endnote w:type="continuationSeparator" w:id="0">
    <w:p w:rsidR="00F27D21" w:rsidRDefault="00F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Pr="00EF28FA" w:rsidRDefault="00EF28FA" w:rsidP="00EF28FA">
    <w:pPr>
      <w:pStyle w:val="Footer"/>
      <w:rPr>
        <w:szCs w:val="16"/>
        <w:lang w:val="fr-CH"/>
      </w:rPr>
    </w:pPr>
    <w:r w:rsidRPr="00DE714A">
      <w:rPr>
        <w:szCs w:val="16"/>
        <w:lang w:val="fr-CH"/>
      </w:rPr>
      <w:t>ITU-T\BUREAU\CIRC\207</w:t>
    </w:r>
    <w:r>
      <w:rPr>
        <w:szCs w:val="16"/>
        <w:lang w:val="fr-CH"/>
      </w:rPr>
      <w:t>R</w:t>
    </w:r>
    <w:r w:rsidRPr="00DE714A">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96" w:rsidRPr="0068416E" w:rsidRDefault="00F27D21" w:rsidP="00D05D96">
    <w:pPr>
      <w:pStyle w:val="FirstFooter"/>
      <w:spacing w:before="0" w:line="240" w:lineRule="auto"/>
      <w:ind w:left="-397" w:right="-397"/>
      <w:jc w:val="center"/>
      <w:rPr>
        <w:sz w:val="18"/>
        <w:szCs w:val="18"/>
        <w:u w:val="single"/>
        <w:lang w:val="fr-CH"/>
      </w:rPr>
    </w:pPr>
    <w:r w:rsidRPr="0068416E">
      <w:rPr>
        <w:sz w:val="18"/>
        <w:szCs w:val="18"/>
        <w:lang w:val="fr-CH"/>
      </w:rPr>
      <w:t>International Telecommunication Union • Place</w:t>
    </w:r>
    <w:r w:rsidR="00D05D96" w:rsidRPr="0068416E">
      <w:rPr>
        <w:sz w:val="18"/>
        <w:szCs w:val="18"/>
        <w:lang w:val="fr-CH"/>
      </w:rPr>
      <w:t xml:space="preserve"> des Nations, CH</w:t>
    </w:r>
    <w:r w:rsidR="00D05D96" w:rsidRPr="0068416E">
      <w:rPr>
        <w:sz w:val="18"/>
        <w:szCs w:val="18"/>
        <w:lang w:val="fr-CH"/>
      </w:rPr>
      <w:noBreakHyphen/>
      <w:t>1211 Geneva 20 •</w:t>
    </w:r>
    <w:r w:rsidRPr="0068416E">
      <w:rPr>
        <w:sz w:val="18"/>
        <w:szCs w:val="18"/>
        <w:lang w:val="fr-CH"/>
      </w:rPr>
      <w:t xml:space="preserve"> Switzerland </w:t>
    </w:r>
    <w:r w:rsidRPr="0068416E">
      <w:rPr>
        <w:sz w:val="18"/>
        <w:szCs w:val="18"/>
        <w:lang w:val="fr-CH"/>
      </w:rPr>
      <w:br/>
    </w:r>
    <w:r w:rsidRPr="0068416E">
      <w:rPr>
        <w:sz w:val="18"/>
        <w:szCs w:val="18"/>
        <w:lang w:val="ru-RU"/>
      </w:rPr>
      <w:t>Тел.</w:t>
    </w:r>
    <w:r w:rsidRPr="0068416E">
      <w:rPr>
        <w:sz w:val="18"/>
        <w:szCs w:val="18"/>
        <w:lang w:val="fr-CH"/>
      </w:rPr>
      <w:t xml:space="preserve">: +41 22 730 5111 • </w:t>
    </w:r>
    <w:r w:rsidRPr="0068416E">
      <w:rPr>
        <w:sz w:val="18"/>
        <w:szCs w:val="18"/>
        <w:lang w:val="ru-RU"/>
      </w:rPr>
      <w:t>Факс</w:t>
    </w:r>
    <w:r w:rsidRPr="0068416E">
      <w:rPr>
        <w:sz w:val="18"/>
        <w:szCs w:val="18"/>
        <w:lang w:val="fr-CH"/>
      </w:rPr>
      <w:t>: +41 22 733 7256</w:t>
    </w:r>
    <w:r w:rsidR="00D05D96" w:rsidRPr="0068416E">
      <w:rPr>
        <w:sz w:val="18"/>
        <w:szCs w:val="18"/>
        <w:lang w:val="ru-RU"/>
      </w:rPr>
      <w:t xml:space="preserve"> </w:t>
    </w:r>
    <w:r w:rsidR="00D05D96" w:rsidRPr="0068416E">
      <w:rPr>
        <w:sz w:val="18"/>
        <w:szCs w:val="18"/>
        <w:lang w:val="fr-CH"/>
      </w:rPr>
      <w:t xml:space="preserve">• </w:t>
    </w:r>
    <w:r w:rsidRPr="0068416E">
      <w:rPr>
        <w:sz w:val="18"/>
        <w:szCs w:val="18"/>
        <w:lang w:val="ru-RU"/>
      </w:rPr>
      <w:t>Эл. почта</w:t>
    </w:r>
    <w:r w:rsidRPr="0068416E">
      <w:rPr>
        <w:sz w:val="18"/>
        <w:szCs w:val="18"/>
        <w:lang w:val="fr-CH"/>
      </w:rPr>
      <w:t xml:space="preserve">: </w:t>
    </w:r>
    <w:hyperlink r:id="rId1" w:history="1">
      <w:r w:rsidRPr="0068416E">
        <w:rPr>
          <w:rStyle w:val="Hyperlink"/>
          <w:sz w:val="18"/>
          <w:szCs w:val="18"/>
          <w:lang w:val="fr-CH"/>
        </w:rPr>
        <w:t>itumail@itu.int</w:t>
      </w:r>
    </w:hyperlink>
    <w:r w:rsidRPr="0068416E">
      <w:rPr>
        <w:sz w:val="18"/>
        <w:szCs w:val="18"/>
        <w:lang w:val="fr-CH"/>
      </w:rPr>
      <w:t xml:space="preserve"> • </w:t>
    </w:r>
    <w:hyperlink r:id="rId2" w:history="1">
      <w:r w:rsidRPr="0068416E">
        <w:rPr>
          <w:rStyle w:val="Hyperlink"/>
          <w:sz w:val="18"/>
          <w:szCs w:val="18"/>
          <w:lang w:val="fr-CH"/>
        </w:rPr>
        <w:t>www.itu.int</w:t>
      </w:r>
    </w:hyperlink>
    <w:r w:rsidRPr="0068416E">
      <w:rPr>
        <w:color w:val="0000FF"/>
        <w:sz w:val="18"/>
        <w:szCs w:val="18"/>
        <w:lang w:val="fr-CH"/>
      </w:rPr>
      <w:t xml:space="preserve"> </w:t>
    </w:r>
    <w:r w:rsidR="00D05D96" w:rsidRPr="0068416E">
      <w:rPr>
        <w:sz w:val="18"/>
        <w:szCs w:val="18"/>
        <w:lang w:val="fr-CH"/>
      </w:rPr>
      <w:t xml:space="preserve">• </w:t>
    </w:r>
    <w:hyperlink r:id="rId3" w:history="1">
      <w:r w:rsidR="00D05D96" w:rsidRPr="0068416E">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21" w:rsidRDefault="00F27D21">
      <w:r>
        <w:separator/>
      </w:r>
    </w:p>
  </w:footnote>
  <w:footnote w:type="continuationSeparator" w:id="0">
    <w:p w:rsidR="00F27D21" w:rsidRDefault="00F27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Default="00F27D21">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75D8">
          <w:rPr>
            <w:noProof/>
          </w:rPr>
          <w:t>2</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AED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C5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89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27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F0B2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1CC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5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45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83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086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6"/>
  </w:num>
  <w:num w:numId="3">
    <w:abstractNumId w:val="30"/>
  </w:num>
  <w:num w:numId="4">
    <w:abstractNumId w:val="13"/>
  </w:num>
  <w:num w:numId="5">
    <w:abstractNumId w:val="24"/>
  </w:num>
  <w:num w:numId="6">
    <w:abstractNumId w:val="12"/>
  </w:num>
  <w:num w:numId="7">
    <w:abstractNumId w:val="27"/>
  </w:num>
  <w:num w:numId="8">
    <w:abstractNumId w:val="20"/>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6"/>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62E38"/>
    <w:rsid w:val="000720FA"/>
    <w:rsid w:val="00082B7B"/>
    <w:rsid w:val="00095EA0"/>
    <w:rsid w:val="000C2147"/>
    <w:rsid w:val="000C7D98"/>
    <w:rsid w:val="00103310"/>
    <w:rsid w:val="00112CD6"/>
    <w:rsid w:val="00115B49"/>
    <w:rsid w:val="001629DC"/>
    <w:rsid w:val="001B4A74"/>
    <w:rsid w:val="001D261C"/>
    <w:rsid w:val="001F0165"/>
    <w:rsid w:val="00205108"/>
    <w:rsid w:val="00207341"/>
    <w:rsid w:val="0025701E"/>
    <w:rsid w:val="0026232A"/>
    <w:rsid w:val="002736E9"/>
    <w:rsid w:val="002773B1"/>
    <w:rsid w:val="00297434"/>
    <w:rsid w:val="002A5E04"/>
    <w:rsid w:val="002B37F9"/>
    <w:rsid w:val="002C552E"/>
    <w:rsid w:val="002D06B7"/>
    <w:rsid w:val="002D26FD"/>
    <w:rsid w:val="002E4C41"/>
    <w:rsid w:val="00314B2D"/>
    <w:rsid w:val="00323296"/>
    <w:rsid w:val="0033434F"/>
    <w:rsid w:val="00337770"/>
    <w:rsid w:val="00337F1C"/>
    <w:rsid w:val="00340304"/>
    <w:rsid w:val="00360D8C"/>
    <w:rsid w:val="003759D0"/>
    <w:rsid w:val="003906BF"/>
    <w:rsid w:val="003F5B77"/>
    <w:rsid w:val="00400CEF"/>
    <w:rsid w:val="00403C87"/>
    <w:rsid w:val="004167E6"/>
    <w:rsid w:val="0041688E"/>
    <w:rsid w:val="00444B73"/>
    <w:rsid w:val="00455EFA"/>
    <w:rsid w:val="0045726D"/>
    <w:rsid w:val="00461969"/>
    <w:rsid w:val="004650C7"/>
    <w:rsid w:val="00475A27"/>
    <w:rsid w:val="00495F13"/>
    <w:rsid w:val="004A0D07"/>
    <w:rsid w:val="004C5268"/>
    <w:rsid w:val="004E01AE"/>
    <w:rsid w:val="004E46B0"/>
    <w:rsid w:val="004E75D8"/>
    <w:rsid w:val="004E7F53"/>
    <w:rsid w:val="004F48F0"/>
    <w:rsid w:val="00514426"/>
    <w:rsid w:val="00547C89"/>
    <w:rsid w:val="005928AA"/>
    <w:rsid w:val="005A3201"/>
    <w:rsid w:val="005D044D"/>
    <w:rsid w:val="005E616E"/>
    <w:rsid w:val="005F2867"/>
    <w:rsid w:val="005F761F"/>
    <w:rsid w:val="006139B2"/>
    <w:rsid w:val="00624739"/>
    <w:rsid w:val="00625BAF"/>
    <w:rsid w:val="00636D90"/>
    <w:rsid w:val="006555F5"/>
    <w:rsid w:val="006777D5"/>
    <w:rsid w:val="0068416E"/>
    <w:rsid w:val="00690DB4"/>
    <w:rsid w:val="006B0FB6"/>
    <w:rsid w:val="006B1E6B"/>
    <w:rsid w:val="006C444C"/>
    <w:rsid w:val="006F1984"/>
    <w:rsid w:val="00701561"/>
    <w:rsid w:val="0071361F"/>
    <w:rsid w:val="00717255"/>
    <w:rsid w:val="00726FFA"/>
    <w:rsid w:val="0073537C"/>
    <w:rsid w:val="00741C5B"/>
    <w:rsid w:val="0074299E"/>
    <w:rsid w:val="00744B3C"/>
    <w:rsid w:val="0074689D"/>
    <w:rsid w:val="00751BDC"/>
    <w:rsid w:val="00753F18"/>
    <w:rsid w:val="00763FF3"/>
    <w:rsid w:val="007749F3"/>
    <w:rsid w:val="007752C4"/>
    <w:rsid w:val="0079397B"/>
    <w:rsid w:val="007D0BFA"/>
    <w:rsid w:val="007D4F1A"/>
    <w:rsid w:val="007D665C"/>
    <w:rsid w:val="00803BC4"/>
    <w:rsid w:val="00826CB4"/>
    <w:rsid w:val="00831FDC"/>
    <w:rsid w:val="00832A5A"/>
    <w:rsid w:val="0084602B"/>
    <w:rsid w:val="00852337"/>
    <w:rsid w:val="00867192"/>
    <w:rsid w:val="00871131"/>
    <w:rsid w:val="00894719"/>
    <w:rsid w:val="008B0BD9"/>
    <w:rsid w:val="008C5C0E"/>
    <w:rsid w:val="008C630B"/>
    <w:rsid w:val="008C7044"/>
    <w:rsid w:val="008D09D6"/>
    <w:rsid w:val="008E0925"/>
    <w:rsid w:val="008F5FAF"/>
    <w:rsid w:val="009166E1"/>
    <w:rsid w:val="009344BF"/>
    <w:rsid w:val="009359C2"/>
    <w:rsid w:val="009469D2"/>
    <w:rsid w:val="00954B9E"/>
    <w:rsid w:val="00974E5E"/>
    <w:rsid w:val="009908A0"/>
    <w:rsid w:val="009979B5"/>
    <w:rsid w:val="009A2C9B"/>
    <w:rsid w:val="009A4485"/>
    <w:rsid w:val="009B6144"/>
    <w:rsid w:val="00A16F08"/>
    <w:rsid w:val="00A21DD2"/>
    <w:rsid w:val="00A32FD5"/>
    <w:rsid w:val="00A532FC"/>
    <w:rsid w:val="00A563C7"/>
    <w:rsid w:val="00A57977"/>
    <w:rsid w:val="00A654CA"/>
    <w:rsid w:val="00A66C90"/>
    <w:rsid w:val="00A8170F"/>
    <w:rsid w:val="00A87822"/>
    <w:rsid w:val="00A91EB5"/>
    <w:rsid w:val="00AB6C9D"/>
    <w:rsid w:val="00AD3D11"/>
    <w:rsid w:val="00AD62EA"/>
    <w:rsid w:val="00AF2B53"/>
    <w:rsid w:val="00AF4E59"/>
    <w:rsid w:val="00B34D84"/>
    <w:rsid w:val="00B467F0"/>
    <w:rsid w:val="00B54B88"/>
    <w:rsid w:val="00B82364"/>
    <w:rsid w:val="00BC33B4"/>
    <w:rsid w:val="00BF2B54"/>
    <w:rsid w:val="00BF68F5"/>
    <w:rsid w:val="00C13A79"/>
    <w:rsid w:val="00C20FE5"/>
    <w:rsid w:val="00C22D6C"/>
    <w:rsid w:val="00C52AA9"/>
    <w:rsid w:val="00C5792C"/>
    <w:rsid w:val="00C60E38"/>
    <w:rsid w:val="00C623F1"/>
    <w:rsid w:val="00C73DFC"/>
    <w:rsid w:val="00CE6BD1"/>
    <w:rsid w:val="00D05D96"/>
    <w:rsid w:val="00D209A2"/>
    <w:rsid w:val="00D22C75"/>
    <w:rsid w:val="00D407BA"/>
    <w:rsid w:val="00D47122"/>
    <w:rsid w:val="00D577B0"/>
    <w:rsid w:val="00D64809"/>
    <w:rsid w:val="00D83022"/>
    <w:rsid w:val="00D911F5"/>
    <w:rsid w:val="00DA1127"/>
    <w:rsid w:val="00DC6716"/>
    <w:rsid w:val="00DD2CE8"/>
    <w:rsid w:val="00DE0985"/>
    <w:rsid w:val="00DE5455"/>
    <w:rsid w:val="00DF012B"/>
    <w:rsid w:val="00DF109B"/>
    <w:rsid w:val="00E07386"/>
    <w:rsid w:val="00E14A1A"/>
    <w:rsid w:val="00E17F1A"/>
    <w:rsid w:val="00E45C46"/>
    <w:rsid w:val="00E473CE"/>
    <w:rsid w:val="00E645B4"/>
    <w:rsid w:val="00EB24FD"/>
    <w:rsid w:val="00EC5E44"/>
    <w:rsid w:val="00EE4334"/>
    <w:rsid w:val="00EF273F"/>
    <w:rsid w:val="00EF28FA"/>
    <w:rsid w:val="00F15118"/>
    <w:rsid w:val="00F205F5"/>
    <w:rsid w:val="00F27D21"/>
    <w:rsid w:val="00F342E5"/>
    <w:rsid w:val="00F62566"/>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D.170-201005-I!Sup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T-REC-D.170-201005-I!Sup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63AC-EE57-470C-AB2A-02559C11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0</TotalTime>
  <Pages>4</Pages>
  <Words>941</Words>
  <Characters>5711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6639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Bettini, Nadine</cp:lastModifiedBy>
  <cp:revision>2</cp:revision>
  <cp:lastPrinted>2016-04-05T14:09:00Z</cp:lastPrinted>
  <dcterms:created xsi:type="dcterms:W3CDTF">2016-04-06T06:56:00Z</dcterms:created>
  <dcterms:modified xsi:type="dcterms:W3CDTF">2016-04-06T06:56:00Z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