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843"/>
      </w:tblGrid>
      <w:tr w:rsidR="006F2AFE" w:rsidRPr="00BF6B9B" w:rsidTr="006F2AFE">
        <w:trPr>
          <w:cantSplit/>
          <w:trHeight w:val="15"/>
        </w:trPr>
        <w:tc>
          <w:tcPr>
            <w:tcW w:w="1418" w:type="dxa"/>
            <w:vAlign w:val="center"/>
          </w:tcPr>
          <w:p w:rsidR="006F2AFE" w:rsidRPr="00BF6B9B" w:rsidRDefault="006F2AFE" w:rsidP="006F2AFE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2"/>
                <w:highlight w:val="cyan"/>
              </w:rPr>
            </w:pPr>
            <w:r w:rsidRPr="00BF6B9B">
              <w:rPr>
                <w:noProof/>
                <w:sz w:val="22"/>
                <w:highlight w:val="cyan"/>
                <w:lang w:val="en-US" w:eastAsia="zh-CN"/>
              </w:rPr>
              <w:drawing>
                <wp:inline distT="0" distB="0" distL="0" distR="0" wp14:anchorId="2CBEBCA4" wp14:editId="2C57A543">
                  <wp:extent cx="735373" cy="81915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786" cy="83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Mar>
              <w:left w:w="142" w:type="dxa"/>
              <w:right w:w="57" w:type="dxa"/>
            </w:tcMar>
            <w:vAlign w:val="center"/>
          </w:tcPr>
          <w:p w:rsidR="006F2AFE" w:rsidRPr="00BF6B9B" w:rsidRDefault="006F2AFE" w:rsidP="006F2AF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="Calibri" w:eastAsia="SimSun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 w:rsidRPr="00BF6B9B">
              <w:rPr>
                <w:rFonts w:ascii="Calibri" w:eastAsia="SimSun" w:hAnsi="Calibri" w:cs="Times New Roman Bold"/>
                <w:b/>
                <w:bCs/>
                <w:smallCaps/>
                <w:sz w:val="36"/>
                <w:szCs w:val="36"/>
                <w:lang w:eastAsia="zh-CN"/>
              </w:rPr>
              <w:t>Unión Internacional de Telecomunicaciones</w:t>
            </w:r>
          </w:p>
          <w:p w:rsidR="006F2AFE" w:rsidRPr="00BF6B9B" w:rsidRDefault="006F2AFE" w:rsidP="006F2AF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="Verdana" w:eastAsia="SimSun" w:hAnsi="Verdana" w:cs="Times New Roman Bold"/>
                <w:smallCaps/>
                <w:color w:val="FFFFFF"/>
                <w:sz w:val="26"/>
                <w:szCs w:val="26"/>
                <w:lang w:eastAsia="zh-CN"/>
              </w:rPr>
            </w:pPr>
            <w:r w:rsidRPr="00BF6B9B">
              <w:rPr>
                <w:rFonts w:ascii="Calibri" w:eastAsia="SimSun" w:hAnsi="Calibri" w:cs="Times New Roman Bold"/>
                <w:b/>
                <w:bCs/>
                <w:iCs/>
                <w:smallCaps/>
                <w:sz w:val="28"/>
                <w:szCs w:val="28"/>
                <w:lang w:eastAsia="zh-CN"/>
              </w:rPr>
              <w:t>Oficina de Normalización de las Telecomunicaciones</w:t>
            </w:r>
          </w:p>
        </w:tc>
        <w:tc>
          <w:tcPr>
            <w:tcW w:w="1843" w:type="dxa"/>
            <w:vAlign w:val="center"/>
          </w:tcPr>
          <w:p w:rsidR="006F2AFE" w:rsidRPr="00BF6B9B" w:rsidRDefault="006F2AFE" w:rsidP="006F2AF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rPr>
                <w:rFonts w:ascii="Verdana" w:eastAsia="SimSun" w:hAnsi="Verdana" w:cs="Arial"/>
                <w:color w:val="FFFFFF"/>
                <w:sz w:val="26"/>
                <w:szCs w:val="26"/>
                <w:lang w:eastAsia="zh-CN"/>
              </w:rPr>
            </w:pPr>
            <w:r w:rsidRPr="00BF6B9B">
              <w:rPr>
                <w:rFonts w:ascii="Verdana" w:eastAsia="SimSun" w:hAnsi="Verdana" w:cs="Arial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396BD255" wp14:editId="7870DC4B">
                  <wp:extent cx="818984" cy="735351"/>
                  <wp:effectExtent l="0" t="0" r="635" b="7620"/>
                  <wp:docPr id="3" name="Picture 3" descr="C:\Users\fikrat\Desktop\ITU-T60_blue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ikrat\Desktop\ITU-T60_blue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24" cy="74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772" w:rsidRPr="00D1620B" w:rsidRDefault="00C34772" w:rsidP="00D1620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240"/>
        <w:rPr>
          <w:rFonts w:asciiTheme="minorHAnsi" w:hAnsiTheme="minorHAnsi"/>
        </w:rPr>
      </w:pPr>
      <w:r w:rsidRPr="00BF6B9B">
        <w:tab/>
      </w:r>
      <w:r w:rsidRPr="00D1620B">
        <w:rPr>
          <w:rFonts w:asciiTheme="minorHAnsi" w:hAnsiTheme="minorHAnsi"/>
        </w:rPr>
        <w:t xml:space="preserve">Ginebra, </w:t>
      </w:r>
      <w:r w:rsidR="006F2AFE" w:rsidRPr="00D1620B">
        <w:rPr>
          <w:rFonts w:asciiTheme="minorHAnsi" w:hAnsiTheme="minorHAnsi"/>
        </w:rPr>
        <w:t>21</w:t>
      </w:r>
      <w:r w:rsidR="00065EEB" w:rsidRPr="00D1620B">
        <w:rPr>
          <w:rFonts w:asciiTheme="minorHAnsi" w:hAnsiTheme="minorHAnsi"/>
        </w:rPr>
        <w:t xml:space="preserve"> de </w:t>
      </w:r>
      <w:r w:rsidR="006F2AFE" w:rsidRPr="00D1620B">
        <w:rPr>
          <w:rFonts w:asciiTheme="minorHAnsi" w:hAnsiTheme="minorHAnsi"/>
        </w:rPr>
        <w:t>marzo</w:t>
      </w:r>
      <w:r w:rsidR="00065EEB" w:rsidRPr="00D1620B">
        <w:rPr>
          <w:rFonts w:asciiTheme="minorHAnsi" w:hAnsiTheme="minorHAnsi"/>
        </w:rPr>
        <w:t xml:space="preserve"> de 201</w:t>
      </w:r>
      <w:r w:rsidR="006F2AFE" w:rsidRPr="00D1620B">
        <w:rPr>
          <w:rFonts w:asciiTheme="minorHAnsi" w:hAnsiTheme="minorHAnsi"/>
        </w:rPr>
        <w:t>6</w:t>
      </w:r>
    </w:p>
    <w:p w:rsidR="00C34772" w:rsidRPr="00D1620B" w:rsidRDefault="00C34772" w:rsidP="00303D62">
      <w:pPr>
        <w:spacing w:before="0"/>
        <w:rPr>
          <w:rFonts w:asciiTheme="minorHAnsi" w:hAnsiTheme="minorHAnsi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884"/>
        <w:gridCol w:w="5329"/>
      </w:tblGrid>
      <w:tr w:rsidR="00C34772" w:rsidRPr="00D1620B" w:rsidTr="00303D62">
        <w:trPr>
          <w:cantSplit/>
          <w:trHeight w:val="340"/>
        </w:trPr>
        <w:tc>
          <w:tcPr>
            <w:tcW w:w="993" w:type="dxa"/>
          </w:tcPr>
          <w:p w:rsidR="00C34772" w:rsidRPr="00D1620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  <w:r w:rsidRPr="00D1620B">
              <w:rPr>
                <w:rFonts w:asciiTheme="minorHAnsi" w:hAnsiTheme="minorHAnsi"/>
                <w:sz w:val="22"/>
              </w:rPr>
              <w:t>Ref.:</w:t>
            </w:r>
          </w:p>
          <w:p w:rsidR="00C34772" w:rsidRPr="00D1620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</w:p>
          <w:p w:rsidR="00C34772" w:rsidRPr="00D1620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</w:p>
        </w:tc>
        <w:tc>
          <w:tcPr>
            <w:tcW w:w="3884" w:type="dxa"/>
          </w:tcPr>
          <w:p w:rsidR="00C34772" w:rsidRPr="00D1620B" w:rsidRDefault="00065EEB" w:rsidP="006F2AF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  <w:r w:rsidRPr="00D1620B">
              <w:rPr>
                <w:rFonts w:asciiTheme="minorHAnsi" w:hAnsiTheme="minorHAnsi"/>
                <w:b/>
              </w:rPr>
              <w:t>Circular TSB 2</w:t>
            </w:r>
            <w:r w:rsidR="006F2AFE" w:rsidRPr="00D1620B">
              <w:rPr>
                <w:rFonts w:asciiTheme="minorHAnsi" w:hAnsiTheme="minorHAnsi"/>
                <w:b/>
              </w:rPr>
              <w:t>01</w:t>
            </w:r>
          </w:p>
          <w:p w:rsidR="00C34772" w:rsidRPr="00D1620B" w:rsidRDefault="00065EEB" w:rsidP="006F2AF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</w:rPr>
            </w:pPr>
            <w:r w:rsidRPr="00D1620B">
              <w:rPr>
                <w:rFonts w:asciiTheme="minorHAnsi" w:hAnsiTheme="minorHAnsi"/>
              </w:rPr>
              <w:t>COM 15/</w:t>
            </w:r>
            <w:r w:rsidR="006F2AFE" w:rsidRPr="00D1620B">
              <w:rPr>
                <w:rFonts w:asciiTheme="minorHAnsi" w:hAnsiTheme="minorHAnsi"/>
              </w:rPr>
              <w:t>HO</w:t>
            </w:r>
          </w:p>
          <w:p w:rsidR="00C34772" w:rsidRPr="00D1620B" w:rsidRDefault="00C34772" w:rsidP="004F4AD7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</w:tc>
        <w:tc>
          <w:tcPr>
            <w:tcW w:w="5329" w:type="dxa"/>
          </w:tcPr>
          <w:p w:rsidR="00C34772" w:rsidRPr="00D1620B" w:rsidRDefault="00C34772" w:rsidP="004F4AD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Theme="minorHAnsi" w:hAnsiTheme="minorHAnsi"/>
              </w:rPr>
            </w:pPr>
            <w:bookmarkStart w:id="0" w:name="Addressee_S"/>
            <w:bookmarkEnd w:id="0"/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 las Administraciones de los Estados Miembros</w:t>
            </w:r>
            <w:r w:rsidR="004F4AD7" w:rsidRPr="00D1620B">
              <w:rPr>
                <w:rFonts w:asciiTheme="minorHAnsi" w:hAnsiTheme="minorHAnsi"/>
              </w:rPr>
              <w:br/>
            </w:r>
            <w:r w:rsidRPr="00D1620B">
              <w:rPr>
                <w:rFonts w:asciiTheme="minorHAnsi" w:hAnsiTheme="minorHAnsi"/>
              </w:rPr>
              <w:t>de la Unión</w:t>
            </w:r>
          </w:p>
        </w:tc>
      </w:tr>
      <w:tr w:rsidR="00C34772" w:rsidRPr="00D1620B" w:rsidTr="00303D62">
        <w:trPr>
          <w:cantSplit/>
        </w:trPr>
        <w:tc>
          <w:tcPr>
            <w:tcW w:w="993" w:type="dxa"/>
          </w:tcPr>
          <w:p w:rsidR="004F4AD7" w:rsidRPr="00D1620B" w:rsidRDefault="004F4AD7" w:rsidP="00303D6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</w:p>
          <w:p w:rsidR="004F4AD7" w:rsidRPr="00D1620B" w:rsidRDefault="004F4AD7" w:rsidP="00303D6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  <w:r w:rsidRPr="00D1620B">
              <w:rPr>
                <w:rFonts w:asciiTheme="minorHAnsi" w:hAnsiTheme="minorHAnsi"/>
                <w:sz w:val="22"/>
              </w:rPr>
              <w:t>Tel.:</w:t>
            </w:r>
            <w:r w:rsidRPr="00D1620B">
              <w:rPr>
                <w:rFonts w:asciiTheme="minorHAnsi" w:hAnsiTheme="minorHAnsi"/>
                <w:sz w:val="22"/>
              </w:rPr>
              <w:br/>
              <w:t>Fax:</w:t>
            </w:r>
          </w:p>
          <w:p w:rsidR="00C34772" w:rsidRPr="00D1620B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  <w:r w:rsidRPr="00D1620B">
              <w:rPr>
                <w:rFonts w:asciiTheme="minorHAnsi" w:hAnsiTheme="minorHAnsi"/>
                <w:sz w:val="22"/>
              </w:rPr>
              <w:t>Correo-e:</w:t>
            </w:r>
          </w:p>
        </w:tc>
        <w:tc>
          <w:tcPr>
            <w:tcW w:w="3884" w:type="dxa"/>
          </w:tcPr>
          <w:p w:rsidR="004F4AD7" w:rsidRPr="00D1620B" w:rsidRDefault="004F4AD7" w:rsidP="00303D62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  <w:p w:rsidR="004F4AD7" w:rsidRPr="00D1620B" w:rsidRDefault="004F4AD7" w:rsidP="006F2AFE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 xml:space="preserve">+41 22 730 </w:t>
            </w:r>
            <w:r w:rsidR="006F2AFE" w:rsidRPr="00D1620B">
              <w:rPr>
                <w:rFonts w:asciiTheme="minorHAnsi" w:hAnsiTheme="minorHAnsi"/>
              </w:rPr>
              <w:t>6356</w:t>
            </w:r>
            <w:r w:rsidRPr="00D1620B">
              <w:rPr>
                <w:rFonts w:asciiTheme="minorHAnsi" w:hAnsiTheme="minorHAnsi"/>
              </w:rPr>
              <w:br/>
              <w:t>+41 22 730 5853</w:t>
            </w:r>
          </w:p>
          <w:p w:rsidR="00C34772" w:rsidRPr="00D1620B" w:rsidRDefault="00B46721" w:rsidP="00303D62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  <w:hyperlink r:id="rId10" w:history="1">
              <w:r w:rsidR="00B05789" w:rsidRPr="00D1620B">
                <w:rPr>
                  <w:rStyle w:val="Hyperlink"/>
                  <w:rFonts w:asciiTheme="minorHAnsi" w:hAnsiTheme="minorHAnsi"/>
                </w:rPr>
                <w:t>tsbsg15@itu.int</w:t>
              </w:r>
            </w:hyperlink>
            <w:r w:rsidR="00C34772" w:rsidRPr="00D1620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329" w:type="dxa"/>
          </w:tcPr>
          <w:p w:rsidR="00C34772" w:rsidRPr="00D1620B" w:rsidRDefault="00C34772" w:rsidP="004F4AD7">
            <w:pPr>
              <w:tabs>
                <w:tab w:val="left" w:pos="4111"/>
              </w:tabs>
              <w:spacing w:before="240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  <w:b/>
              </w:rPr>
              <w:t>Copia</w:t>
            </w:r>
            <w:r w:rsidRPr="00D1620B">
              <w:rPr>
                <w:rFonts w:asciiTheme="minorHAnsi" w:hAnsiTheme="minorHAnsi"/>
              </w:rPr>
              <w:t>:</w:t>
            </w:r>
          </w:p>
          <w:p w:rsidR="00C34772" w:rsidRPr="00D1620B" w:rsidRDefault="00C34772" w:rsidP="006F2AF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 los Miembros de Sector</w:t>
            </w:r>
            <w:r w:rsidR="006F2AFE" w:rsidRPr="00D1620B">
              <w:rPr>
                <w:rFonts w:asciiTheme="minorHAnsi" w:hAnsiTheme="minorHAnsi"/>
              </w:rPr>
              <w:t xml:space="preserve"> del</w:t>
            </w:r>
            <w:r w:rsidRPr="00D1620B">
              <w:rPr>
                <w:rFonts w:asciiTheme="minorHAnsi" w:hAnsiTheme="minorHAnsi"/>
              </w:rPr>
              <w:t xml:space="preserve"> UIT</w:t>
            </w:r>
            <w:r w:rsidRPr="00D1620B">
              <w:rPr>
                <w:rFonts w:asciiTheme="minorHAnsi" w:hAnsiTheme="minorHAnsi"/>
              </w:rPr>
              <w:noBreakHyphen/>
              <w:t>T;</w:t>
            </w:r>
          </w:p>
          <w:p w:rsidR="00C34772" w:rsidRPr="00D1620B" w:rsidRDefault="00C34772" w:rsidP="006F2AF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 los Asociados del UIT</w:t>
            </w:r>
            <w:r w:rsidRPr="00D1620B">
              <w:rPr>
                <w:rFonts w:asciiTheme="minorHAnsi" w:hAnsiTheme="minorHAnsi"/>
              </w:rPr>
              <w:noBreakHyphen/>
              <w:t>T;</w:t>
            </w:r>
          </w:p>
          <w:p w:rsidR="006F2AFE" w:rsidRPr="00D1620B" w:rsidRDefault="006F2AFE" w:rsidP="006F2AFE">
            <w:pPr>
              <w:tabs>
                <w:tab w:val="clear" w:pos="794"/>
                <w:tab w:val="left" w:pos="226"/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 las Instituciones Académicas de la UIT;</w:t>
            </w:r>
          </w:p>
          <w:p w:rsidR="00C34772" w:rsidRPr="00D1620B" w:rsidRDefault="00C34772" w:rsidP="00684879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Al Presidente y a los Vicepresidentes de la</w:t>
            </w:r>
            <w:r w:rsidRPr="00D1620B">
              <w:rPr>
                <w:rFonts w:asciiTheme="minorHAnsi" w:hAnsiTheme="minorHAnsi"/>
              </w:rPr>
              <w:br/>
            </w:r>
            <w:r w:rsidR="00065EEB" w:rsidRPr="00D1620B">
              <w:rPr>
                <w:rFonts w:asciiTheme="minorHAnsi" w:hAnsiTheme="minorHAnsi"/>
              </w:rPr>
              <w:t>Comisión de Estudio 15</w:t>
            </w:r>
            <w:r w:rsidRPr="00D1620B">
              <w:rPr>
                <w:rFonts w:asciiTheme="minorHAnsi" w:hAnsiTheme="minorHAnsi"/>
              </w:rPr>
              <w:t>;</w:t>
            </w:r>
          </w:p>
          <w:p w:rsidR="00C34772" w:rsidRPr="00D1620B" w:rsidRDefault="00C34772" w:rsidP="00D65C27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Al Director de la Oficina de Desarrollo de las Telecomunicaciones;</w:t>
            </w:r>
          </w:p>
          <w:p w:rsidR="00C34772" w:rsidRPr="00D1620B" w:rsidRDefault="00C34772" w:rsidP="00D65C27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D1620B">
              <w:rPr>
                <w:rFonts w:asciiTheme="minorHAnsi" w:hAnsiTheme="minorHAnsi"/>
              </w:rPr>
              <w:t>-</w:t>
            </w:r>
            <w:r w:rsidRPr="00D1620B">
              <w:rPr>
                <w:rFonts w:asciiTheme="minorHAnsi" w:hAnsiTheme="minorHAnsi"/>
              </w:rPr>
              <w:tab/>
              <w:t>Al Director de la Oficina de Radiocomunicaciones</w:t>
            </w:r>
          </w:p>
        </w:tc>
      </w:tr>
    </w:tbl>
    <w:p w:rsidR="00C34772" w:rsidRPr="00D1620B" w:rsidRDefault="00C34772" w:rsidP="004F4AD7">
      <w:pPr>
        <w:spacing w:before="0"/>
        <w:rPr>
          <w:rFonts w:asciiTheme="minorHAnsi" w:hAnsiTheme="minorHAnsi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7497"/>
      </w:tblGrid>
      <w:tr w:rsidR="00C34772" w:rsidRPr="00D1620B" w:rsidTr="006844D3">
        <w:trPr>
          <w:cantSplit/>
        </w:trPr>
        <w:tc>
          <w:tcPr>
            <w:tcW w:w="1000" w:type="dxa"/>
          </w:tcPr>
          <w:p w:rsidR="00C34772" w:rsidRPr="00D1620B" w:rsidRDefault="00C34772" w:rsidP="00AC4CF1">
            <w:pPr>
              <w:tabs>
                <w:tab w:val="left" w:pos="4111"/>
              </w:tabs>
              <w:spacing w:before="10" w:line="480" w:lineRule="auto"/>
              <w:ind w:left="57"/>
              <w:rPr>
                <w:rFonts w:asciiTheme="minorHAnsi" w:hAnsiTheme="minorHAnsi"/>
                <w:sz w:val="22"/>
              </w:rPr>
            </w:pPr>
            <w:r w:rsidRPr="002B2775">
              <w:rPr>
                <w:rFonts w:asciiTheme="minorHAnsi" w:hAnsiTheme="minorHAnsi"/>
                <w:szCs w:val="22"/>
              </w:rPr>
              <w:t>Asunto:</w:t>
            </w:r>
          </w:p>
        </w:tc>
        <w:tc>
          <w:tcPr>
            <w:tcW w:w="7497" w:type="dxa"/>
          </w:tcPr>
          <w:p w:rsidR="00C34772" w:rsidRPr="00D1620B" w:rsidRDefault="003C20F3" w:rsidP="006F2AFE">
            <w:pPr>
              <w:tabs>
                <w:tab w:val="left" w:pos="4111"/>
              </w:tabs>
              <w:spacing w:before="0" w:line="480" w:lineRule="auto"/>
              <w:rPr>
                <w:rFonts w:asciiTheme="minorHAnsi" w:hAnsiTheme="minorHAnsi"/>
                <w:b/>
              </w:rPr>
            </w:pPr>
            <w:r w:rsidRPr="00D1620B">
              <w:rPr>
                <w:rFonts w:asciiTheme="minorHAnsi" w:hAnsiTheme="minorHAnsi"/>
                <w:b/>
              </w:rPr>
              <w:t xml:space="preserve">Aprobación de </w:t>
            </w:r>
            <w:r w:rsidR="006F2AFE" w:rsidRPr="00D1620B">
              <w:rPr>
                <w:rFonts w:asciiTheme="minorHAnsi" w:hAnsiTheme="minorHAnsi"/>
                <w:b/>
              </w:rPr>
              <w:t xml:space="preserve">la Enmienda 1 a la Recomendación </w:t>
            </w:r>
            <w:r w:rsidRPr="00D1620B">
              <w:rPr>
                <w:rFonts w:asciiTheme="minorHAnsi" w:hAnsiTheme="minorHAnsi"/>
                <w:b/>
              </w:rPr>
              <w:t>UIT</w:t>
            </w:r>
            <w:r w:rsidRPr="00D1620B">
              <w:rPr>
                <w:rFonts w:asciiTheme="minorHAnsi" w:hAnsiTheme="minorHAnsi"/>
                <w:b/>
              </w:rPr>
              <w:noBreakHyphen/>
            </w:r>
            <w:r w:rsidR="00AC4CF1" w:rsidRPr="00D1620B">
              <w:rPr>
                <w:rFonts w:asciiTheme="minorHAnsi" w:hAnsiTheme="minorHAnsi"/>
                <w:b/>
              </w:rPr>
              <w:t>T G.9964</w:t>
            </w:r>
            <w:r w:rsidR="006F2AFE" w:rsidRPr="00D1620B">
              <w:rPr>
                <w:rFonts w:asciiTheme="minorHAnsi" w:hAnsiTheme="minorHAnsi"/>
                <w:b/>
              </w:rPr>
              <w:t xml:space="preserve"> (2011)</w:t>
            </w:r>
          </w:p>
        </w:tc>
      </w:tr>
    </w:tbl>
    <w:p w:rsidR="00C34772" w:rsidRPr="00D1620B" w:rsidRDefault="00C34772" w:rsidP="00C174B7">
      <w:pPr>
        <w:pStyle w:val="Normalaftertitle"/>
        <w:spacing w:before="120"/>
        <w:rPr>
          <w:rFonts w:asciiTheme="minorHAnsi" w:hAnsiTheme="minorHAnsi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D1620B">
        <w:rPr>
          <w:rFonts w:asciiTheme="minorHAnsi" w:hAnsiTheme="minorHAnsi"/>
        </w:rPr>
        <w:t>Muy Señora mía/Muy Señor mío:</w:t>
      </w:r>
    </w:p>
    <w:p w:rsidR="008E2107" w:rsidRPr="00D1620B" w:rsidRDefault="00AC4CF1" w:rsidP="006F2AFE">
      <w:pPr>
        <w:rPr>
          <w:rFonts w:asciiTheme="minorHAnsi" w:hAnsiTheme="minorHAnsi"/>
          <w:bCs/>
        </w:rPr>
      </w:pPr>
      <w:r w:rsidRPr="00D1620B">
        <w:rPr>
          <w:rFonts w:asciiTheme="minorHAnsi" w:hAnsiTheme="minorHAnsi"/>
          <w:bCs/>
        </w:rPr>
        <w:t>1</w:t>
      </w:r>
      <w:r w:rsidRPr="00D1620B">
        <w:rPr>
          <w:rFonts w:asciiTheme="minorHAnsi" w:hAnsiTheme="minorHAnsi"/>
          <w:bCs/>
        </w:rPr>
        <w:tab/>
      </w:r>
      <w:r w:rsidR="0065546B" w:rsidRPr="00D1620B">
        <w:rPr>
          <w:rFonts w:asciiTheme="minorHAnsi" w:hAnsiTheme="minorHAnsi"/>
          <w:bCs/>
        </w:rPr>
        <w:t xml:space="preserve">Como continuación de la Circular </w:t>
      </w:r>
      <w:r w:rsidRPr="00D1620B">
        <w:rPr>
          <w:rFonts w:asciiTheme="minorHAnsi" w:hAnsiTheme="minorHAnsi"/>
          <w:bCs/>
        </w:rPr>
        <w:t xml:space="preserve">TSB </w:t>
      </w:r>
      <w:r w:rsidR="006F2AFE" w:rsidRPr="00D1620B">
        <w:rPr>
          <w:rFonts w:asciiTheme="minorHAnsi" w:hAnsiTheme="minorHAnsi"/>
          <w:bCs/>
        </w:rPr>
        <w:t>165</w:t>
      </w:r>
      <w:r w:rsidRPr="00D1620B">
        <w:rPr>
          <w:rFonts w:asciiTheme="minorHAnsi" w:hAnsiTheme="minorHAnsi"/>
          <w:bCs/>
        </w:rPr>
        <w:t xml:space="preserve"> </w:t>
      </w:r>
      <w:r w:rsidR="0065546B" w:rsidRPr="00D1620B">
        <w:rPr>
          <w:rFonts w:asciiTheme="minorHAnsi" w:hAnsiTheme="minorHAnsi"/>
          <w:bCs/>
        </w:rPr>
        <w:t>del</w:t>
      </w:r>
      <w:r w:rsidRPr="00D1620B">
        <w:rPr>
          <w:rFonts w:asciiTheme="minorHAnsi" w:hAnsiTheme="minorHAnsi"/>
          <w:bCs/>
        </w:rPr>
        <w:t xml:space="preserve"> </w:t>
      </w:r>
      <w:r w:rsidR="006F2AFE" w:rsidRPr="00D1620B">
        <w:rPr>
          <w:rFonts w:asciiTheme="minorHAnsi" w:hAnsiTheme="minorHAnsi"/>
          <w:bCs/>
        </w:rPr>
        <w:t>16</w:t>
      </w:r>
      <w:r w:rsidRPr="00D1620B">
        <w:rPr>
          <w:rFonts w:asciiTheme="minorHAnsi" w:hAnsiTheme="minorHAnsi"/>
          <w:bCs/>
        </w:rPr>
        <w:t xml:space="preserve"> </w:t>
      </w:r>
      <w:r w:rsidR="0065546B" w:rsidRPr="00D1620B">
        <w:rPr>
          <w:rFonts w:asciiTheme="minorHAnsi" w:hAnsiTheme="minorHAnsi"/>
          <w:bCs/>
        </w:rPr>
        <w:t>de ju</w:t>
      </w:r>
      <w:r w:rsidR="006F2AFE" w:rsidRPr="00D1620B">
        <w:rPr>
          <w:rFonts w:asciiTheme="minorHAnsi" w:hAnsiTheme="minorHAnsi"/>
          <w:bCs/>
        </w:rPr>
        <w:t>l</w:t>
      </w:r>
      <w:r w:rsidR="0065546B" w:rsidRPr="00D1620B">
        <w:rPr>
          <w:rFonts w:asciiTheme="minorHAnsi" w:hAnsiTheme="minorHAnsi"/>
          <w:bCs/>
        </w:rPr>
        <w:t xml:space="preserve">io </w:t>
      </w:r>
      <w:r w:rsidR="006F2AFE" w:rsidRPr="00D1620B">
        <w:rPr>
          <w:rFonts w:asciiTheme="minorHAnsi" w:hAnsiTheme="minorHAnsi"/>
          <w:bCs/>
        </w:rPr>
        <w:t xml:space="preserve">de 2015, </w:t>
      </w:r>
      <w:r w:rsidR="0065546B" w:rsidRPr="00D1620B">
        <w:rPr>
          <w:rFonts w:asciiTheme="minorHAnsi" w:hAnsiTheme="minorHAnsi"/>
          <w:bCs/>
        </w:rPr>
        <w:t xml:space="preserve">le informo por la presente que </w:t>
      </w:r>
      <w:r w:rsidR="006F2AFE" w:rsidRPr="00D1620B">
        <w:rPr>
          <w:rFonts w:asciiTheme="minorHAnsi" w:hAnsiTheme="minorHAnsi"/>
          <w:bCs/>
        </w:rPr>
        <w:t>27</w:t>
      </w:r>
      <w:r w:rsidR="0065546B" w:rsidRPr="00D1620B">
        <w:rPr>
          <w:rFonts w:asciiTheme="minorHAnsi" w:hAnsiTheme="minorHAnsi"/>
          <w:bCs/>
        </w:rPr>
        <w:t xml:space="preserve"> Estados Miembros que participaron en la última re</w:t>
      </w:r>
      <w:r w:rsidR="00D65C27" w:rsidRPr="00D1620B">
        <w:rPr>
          <w:rFonts w:asciiTheme="minorHAnsi" w:hAnsiTheme="minorHAnsi"/>
          <w:bCs/>
        </w:rPr>
        <w:t>unión de la Comisión de Estudio </w:t>
      </w:r>
      <w:r w:rsidR="0065546B" w:rsidRPr="00D1620B">
        <w:rPr>
          <w:rFonts w:asciiTheme="minorHAnsi" w:hAnsiTheme="minorHAnsi"/>
          <w:bCs/>
        </w:rPr>
        <w:t xml:space="preserve">15 </w:t>
      </w:r>
      <w:r w:rsidR="0065546B" w:rsidRPr="00D1620B">
        <w:rPr>
          <w:rFonts w:asciiTheme="minorHAnsi" w:hAnsiTheme="minorHAnsi"/>
          <w:b/>
        </w:rPr>
        <w:t>aprobaron</w:t>
      </w:r>
      <w:r w:rsidR="0065546B" w:rsidRPr="00D1620B">
        <w:rPr>
          <w:rFonts w:asciiTheme="minorHAnsi" w:hAnsiTheme="minorHAnsi"/>
          <w:bCs/>
        </w:rPr>
        <w:t xml:space="preserve"> </w:t>
      </w:r>
      <w:r w:rsidR="006F2AFE" w:rsidRPr="00D1620B">
        <w:rPr>
          <w:rFonts w:asciiTheme="minorHAnsi" w:hAnsiTheme="minorHAnsi"/>
          <w:bCs/>
        </w:rPr>
        <w:t>el</w:t>
      </w:r>
      <w:r w:rsidR="0065546B" w:rsidRPr="00D1620B">
        <w:rPr>
          <w:rFonts w:asciiTheme="minorHAnsi" w:hAnsiTheme="minorHAnsi"/>
          <w:bCs/>
        </w:rPr>
        <w:t xml:space="preserve"> texto de</w:t>
      </w:r>
      <w:r w:rsidR="006F2AFE" w:rsidRPr="00D1620B">
        <w:rPr>
          <w:rFonts w:asciiTheme="minorHAnsi" w:hAnsiTheme="minorHAnsi"/>
          <w:bCs/>
        </w:rPr>
        <w:t>l</w:t>
      </w:r>
      <w:r w:rsidR="0065546B" w:rsidRPr="00D1620B">
        <w:rPr>
          <w:rFonts w:asciiTheme="minorHAnsi" w:hAnsiTheme="minorHAnsi"/>
          <w:bCs/>
        </w:rPr>
        <w:t xml:space="preserve"> proyecto de </w:t>
      </w:r>
      <w:r w:rsidR="006F2AFE" w:rsidRPr="00D1620B">
        <w:rPr>
          <w:rFonts w:asciiTheme="minorHAnsi" w:hAnsiTheme="minorHAnsi"/>
          <w:bCs/>
        </w:rPr>
        <w:t>Enmienda 1 a la</w:t>
      </w:r>
      <w:r w:rsidR="0065546B" w:rsidRPr="00D1620B">
        <w:rPr>
          <w:rFonts w:asciiTheme="minorHAnsi" w:hAnsiTheme="minorHAnsi"/>
          <w:bCs/>
        </w:rPr>
        <w:t xml:space="preserve"> Recomendación UIT</w:t>
      </w:r>
      <w:r w:rsidRPr="00D1620B">
        <w:rPr>
          <w:rFonts w:asciiTheme="minorHAnsi" w:hAnsiTheme="minorHAnsi"/>
          <w:bCs/>
        </w:rPr>
        <w:t xml:space="preserve">-T G.9964 </w:t>
      </w:r>
      <w:r w:rsidR="006F2AFE" w:rsidRPr="00D1620B">
        <w:rPr>
          <w:rFonts w:asciiTheme="minorHAnsi" w:hAnsiTheme="minorHAnsi"/>
          <w:bCs/>
        </w:rPr>
        <w:t xml:space="preserve">(2011) </w:t>
      </w:r>
      <w:r w:rsidRPr="00D1620B">
        <w:rPr>
          <w:rFonts w:asciiTheme="minorHAnsi" w:hAnsiTheme="minorHAnsi"/>
          <w:bCs/>
        </w:rPr>
        <w:t>dur</w:t>
      </w:r>
      <w:r w:rsidR="0065546B" w:rsidRPr="00D1620B">
        <w:rPr>
          <w:rFonts w:asciiTheme="minorHAnsi" w:hAnsiTheme="minorHAnsi"/>
          <w:bCs/>
        </w:rPr>
        <w:t>ante su Ses</w:t>
      </w:r>
      <w:r w:rsidR="009973E1" w:rsidRPr="00D1620B">
        <w:rPr>
          <w:rFonts w:asciiTheme="minorHAnsi" w:hAnsiTheme="minorHAnsi"/>
          <w:bCs/>
        </w:rPr>
        <w:t xml:space="preserve">ión Plenaria celebrada el </w:t>
      </w:r>
      <w:r w:rsidR="006F2AFE" w:rsidRPr="00D1620B">
        <w:rPr>
          <w:rFonts w:asciiTheme="minorHAnsi" w:hAnsiTheme="minorHAnsi"/>
          <w:bCs/>
        </w:rPr>
        <w:t>2</w:t>
      </w:r>
      <w:r w:rsidR="009973E1" w:rsidRPr="00D1620B">
        <w:rPr>
          <w:rFonts w:asciiTheme="minorHAnsi" w:hAnsiTheme="minorHAnsi"/>
          <w:bCs/>
        </w:rPr>
        <w:t>6 de </w:t>
      </w:r>
      <w:r w:rsidR="006F2AFE" w:rsidRPr="00D1620B">
        <w:rPr>
          <w:rFonts w:asciiTheme="minorHAnsi" w:hAnsiTheme="minorHAnsi"/>
          <w:bCs/>
        </w:rPr>
        <w:t>febrero</w:t>
      </w:r>
      <w:r w:rsidR="0065546B" w:rsidRPr="00D1620B">
        <w:rPr>
          <w:rFonts w:asciiTheme="minorHAnsi" w:hAnsiTheme="minorHAnsi"/>
          <w:bCs/>
        </w:rPr>
        <w:t xml:space="preserve"> de 201</w:t>
      </w:r>
      <w:r w:rsidR="006F2AFE" w:rsidRPr="00D1620B">
        <w:rPr>
          <w:rFonts w:asciiTheme="minorHAnsi" w:hAnsiTheme="minorHAnsi"/>
          <w:bCs/>
        </w:rPr>
        <w:t>6</w:t>
      </w:r>
      <w:r w:rsidR="0065546B" w:rsidRPr="00D1620B">
        <w:rPr>
          <w:rFonts w:asciiTheme="minorHAnsi" w:hAnsiTheme="minorHAnsi"/>
          <w:bCs/>
        </w:rPr>
        <w:t>.</w:t>
      </w:r>
    </w:p>
    <w:p w:rsidR="00AC4CF1" w:rsidRPr="00D1620B" w:rsidRDefault="00AC4CF1" w:rsidP="006F2AFE">
      <w:pPr>
        <w:rPr>
          <w:rFonts w:asciiTheme="minorHAnsi" w:hAnsiTheme="minorHAnsi"/>
          <w:bCs/>
        </w:rPr>
      </w:pPr>
      <w:r w:rsidRPr="00D1620B">
        <w:rPr>
          <w:rFonts w:asciiTheme="minorHAnsi" w:hAnsiTheme="minorHAnsi"/>
          <w:bCs/>
        </w:rPr>
        <w:t>2</w:t>
      </w:r>
      <w:r w:rsidRPr="00D1620B">
        <w:rPr>
          <w:rFonts w:asciiTheme="minorHAnsi" w:hAnsiTheme="minorHAnsi"/>
          <w:bCs/>
        </w:rPr>
        <w:tab/>
      </w:r>
      <w:r w:rsidR="006F2AFE" w:rsidRPr="00D1620B">
        <w:rPr>
          <w:rFonts w:asciiTheme="minorHAnsi" w:hAnsiTheme="minorHAnsi"/>
          <w:bCs/>
        </w:rPr>
        <w:t>El título de la enmie</w:t>
      </w:r>
      <w:r w:rsidR="00D65C27" w:rsidRPr="00D1620B">
        <w:rPr>
          <w:rFonts w:asciiTheme="minorHAnsi" w:hAnsiTheme="minorHAnsi"/>
          <w:bCs/>
        </w:rPr>
        <w:t>nda aprobada es:</w:t>
      </w:r>
    </w:p>
    <w:p w:rsidR="008E2107" w:rsidRPr="00D1620B" w:rsidRDefault="008E2107" w:rsidP="006F2AFE">
      <w:pPr>
        <w:pStyle w:val="enumlev1"/>
        <w:rPr>
          <w:rFonts w:asciiTheme="minorHAnsi" w:hAnsiTheme="minorHAnsi"/>
          <w:i/>
          <w:iCs/>
        </w:rPr>
      </w:pPr>
      <w:r w:rsidRPr="00D1620B">
        <w:rPr>
          <w:rFonts w:asciiTheme="minorHAnsi" w:hAnsiTheme="minorHAnsi"/>
        </w:rPr>
        <w:t>–</w:t>
      </w:r>
      <w:r w:rsidRPr="00D1620B">
        <w:rPr>
          <w:rFonts w:asciiTheme="minorHAnsi" w:hAnsiTheme="minorHAnsi"/>
        </w:rPr>
        <w:tab/>
      </w:r>
      <w:r w:rsidR="006F2AFE" w:rsidRPr="00D1620B">
        <w:rPr>
          <w:rFonts w:asciiTheme="minorHAnsi" w:hAnsiTheme="minorHAnsi"/>
          <w:b/>
          <w:bCs/>
        </w:rPr>
        <w:t xml:space="preserve">Enmienda 1 a la </w:t>
      </w:r>
      <w:r w:rsidRPr="00D1620B">
        <w:rPr>
          <w:rFonts w:asciiTheme="minorHAnsi" w:hAnsiTheme="minorHAnsi"/>
          <w:b/>
          <w:bCs/>
        </w:rPr>
        <w:t>Recomendación UIT-T G.9964</w:t>
      </w:r>
      <w:r w:rsidR="0065546B" w:rsidRPr="00D1620B">
        <w:rPr>
          <w:rFonts w:asciiTheme="minorHAnsi" w:hAnsiTheme="minorHAnsi"/>
          <w:b/>
          <w:bCs/>
        </w:rPr>
        <w:t xml:space="preserve"> (2011)</w:t>
      </w:r>
      <w:r w:rsidRPr="00D1620B">
        <w:rPr>
          <w:rFonts w:asciiTheme="minorHAnsi" w:hAnsiTheme="minorHAnsi"/>
        </w:rPr>
        <w:t xml:space="preserve">, </w:t>
      </w:r>
      <w:r w:rsidRPr="00D1620B">
        <w:rPr>
          <w:rFonts w:asciiTheme="minorHAnsi" w:hAnsiTheme="minorHAnsi"/>
          <w:i/>
          <w:iCs/>
        </w:rPr>
        <w:t xml:space="preserve">Transceptores unificados para la red alámbrica residencial de alta velocidad – Especificación de </w:t>
      </w:r>
      <w:r w:rsidR="006F2AFE" w:rsidRPr="00D1620B">
        <w:rPr>
          <w:rFonts w:asciiTheme="minorHAnsi" w:hAnsiTheme="minorHAnsi"/>
          <w:i/>
          <w:iCs/>
        </w:rPr>
        <w:t>la densidad de potencia espectral: Enmienda 1</w:t>
      </w:r>
      <w:r w:rsidR="00D65C27" w:rsidRPr="00D1620B">
        <w:rPr>
          <w:rFonts w:asciiTheme="minorHAnsi" w:hAnsiTheme="minorHAnsi"/>
          <w:i/>
          <w:iCs/>
        </w:rPr>
        <w:t>.</w:t>
      </w:r>
    </w:p>
    <w:p w:rsidR="00AC4CF1" w:rsidRPr="00D1620B" w:rsidRDefault="00AC4CF1" w:rsidP="00753BE0">
      <w:pPr>
        <w:rPr>
          <w:rFonts w:asciiTheme="minorHAnsi" w:hAnsiTheme="minorHAnsi"/>
        </w:rPr>
      </w:pPr>
      <w:r w:rsidRPr="00D1620B">
        <w:rPr>
          <w:rFonts w:asciiTheme="minorHAnsi" w:hAnsiTheme="minorHAnsi"/>
        </w:rPr>
        <w:t>3</w:t>
      </w:r>
      <w:r w:rsidRPr="00D1620B">
        <w:rPr>
          <w:rFonts w:asciiTheme="minorHAnsi" w:hAnsiTheme="minorHAnsi"/>
        </w:rPr>
        <w:tab/>
        <w:t>Puede accederse en línea a la información disponible sobre patentes</w:t>
      </w:r>
      <w:r w:rsidR="002B2775">
        <w:rPr>
          <w:rFonts w:asciiTheme="minorHAnsi" w:hAnsiTheme="minorHAnsi"/>
        </w:rPr>
        <w:t xml:space="preserve"> a través del sitio web del UIT-</w:t>
      </w:r>
      <w:r w:rsidRPr="00D1620B">
        <w:rPr>
          <w:rFonts w:asciiTheme="minorHAnsi" w:hAnsiTheme="minorHAnsi"/>
        </w:rPr>
        <w:t>T.</w:t>
      </w:r>
    </w:p>
    <w:p w:rsidR="00AC4CF1" w:rsidRPr="00D1620B" w:rsidRDefault="00AC4CF1" w:rsidP="00753BE0">
      <w:pPr>
        <w:rPr>
          <w:rFonts w:asciiTheme="minorHAnsi" w:hAnsiTheme="minorHAnsi"/>
        </w:rPr>
      </w:pPr>
      <w:r w:rsidRPr="00D1620B">
        <w:rPr>
          <w:rFonts w:asciiTheme="minorHAnsi" w:hAnsiTheme="minorHAnsi"/>
        </w:rPr>
        <w:t>4</w:t>
      </w:r>
      <w:r w:rsidRPr="00D1620B">
        <w:rPr>
          <w:rFonts w:asciiTheme="minorHAnsi" w:hAnsiTheme="minorHAnsi"/>
        </w:rPr>
        <w:tab/>
      </w:r>
      <w:r w:rsidR="006F2AFE" w:rsidRPr="00D1620B">
        <w:rPr>
          <w:rFonts w:asciiTheme="minorHAnsi" w:hAnsiTheme="minorHAnsi"/>
        </w:rPr>
        <w:t xml:space="preserve">El texto de la Enmienda prepublicada </w:t>
      </w:r>
      <w:r w:rsidRPr="00D1620B">
        <w:rPr>
          <w:rFonts w:asciiTheme="minorHAnsi" w:hAnsiTheme="minorHAnsi"/>
        </w:rPr>
        <w:t>pronto estará disponible en el sitio web del UIT-T.</w:t>
      </w:r>
    </w:p>
    <w:p w:rsidR="008E2107" w:rsidRPr="00D1620B" w:rsidRDefault="00AC4CF1" w:rsidP="00753BE0">
      <w:pPr>
        <w:rPr>
          <w:rFonts w:asciiTheme="minorHAnsi" w:hAnsiTheme="minorHAnsi"/>
        </w:rPr>
      </w:pPr>
      <w:r w:rsidRPr="00D1620B">
        <w:rPr>
          <w:rFonts w:asciiTheme="minorHAnsi" w:hAnsiTheme="minorHAnsi"/>
        </w:rPr>
        <w:t>5</w:t>
      </w:r>
      <w:r w:rsidRPr="00D1620B">
        <w:rPr>
          <w:rFonts w:asciiTheme="minorHAnsi" w:hAnsiTheme="minorHAnsi"/>
        </w:rPr>
        <w:tab/>
        <w:t xml:space="preserve">La UIT publicará lo antes posible </w:t>
      </w:r>
      <w:r w:rsidR="006F2AFE" w:rsidRPr="00D1620B">
        <w:rPr>
          <w:rFonts w:asciiTheme="minorHAnsi" w:hAnsiTheme="minorHAnsi"/>
        </w:rPr>
        <w:t>el</w:t>
      </w:r>
      <w:r w:rsidRPr="00D1620B">
        <w:rPr>
          <w:rFonts w:asciiTheme="minorHAnsi" w:hAnsiTheme="minorHAnsi"/>
        </w:rPr>
        <w:t xml:space="preserve"> texto de esta</w:t>
      </w:r>
      <w:r w:rsidR="006F2AFE" w:rsidRPr="00D1620B">
        <w:rPr>
          <w:rFonts w:asciiTheme="minorHAnsi" w:hAnsiTheme="minorHAnsi"/>
        </w:rPr>
        <w:t xml:space="preserve"> Enmienda</w:t>
      </w:r>
      <w:r w:rsidRPr="00D1620B">
        <w:rPr>
          <w:rFonts w:asciiTheme="minorHAnsi" w:hAnsiTheme="minorHAnsi"/>
        </w:rPr>
        <w:t>.</w:t>
      </w:r>
    </w:p>
    <w:p w:rsidR="008F124C" w:rsidRDefault="008F124C" w:rsidP="00201C57">
      <w:pPr>
        <w:rPr>
          <w:rFonts w:asciiTheme="minorHAnsi" w:hAnsiTheme="minorHAnsi"/>
        </w:rPr>
      </w:pPr>
      <w:bookmarkStart w:id="4" w:name="_GoBack"/>
      <w:bookmarkEnd w:id="4"/>
      <w:r w:rsidRPr="00D1620B">
        <w:rPr>
          <w:rFonts w:asciiTheme="minorHAnsi" w:hAnsiTheme="minorHAnsi"/>
        </w:rPr>
        <w:t>Atentamente</w:t>
      </w:r>
      <w:r w:rsidR="00201C57" w:rsidRPr="00D1620B">
        <w:rPr>
          <w:rFonts w:asciiTheme="minorHAnsi" w:hAnsiTheme="minorHAnsi"/>
        </w:rPr>
        <w:t>.</w:t>
      </w:r>
    </w:p>
    <w:p w:rsidR="002B2775" w:rsidRPr="00D1620B" w:rsidRDefault="002B2775" w:rsidP="00201C57">
      <w:pPr>
        <w:rPr>
          <w:rFonts w:asciiTheme="minorHAnsi" w:hAnsiTheme="minorHAnsi"/>
        </w:rPr>
      </w:pPr>
    </w:p>
    <w:p w:rsidR="008F124C" w:rsidRPr="00D1620B" w:rsidRDefault="008F124C" w:rsidP="002B2775">
      <w:pPr>
        <w:spacing w:before="600"/>
        <w:ind w:right="91"/>
        <w:rPr>
          <w:rFonts w:asciiTheme="minorHAnsi" w:hAnsiTheme="minorHAnsi"/>
        </w:rPr>
      </w:pPr>
      <w:r w:rsidRPr="00D1620B">
        <w:rPr>
          <w:rFonts w:asciiTheme="minorHAnsi" w:hAnsiTheme="minorHAnsi"/>
        </w:rPr>
        <w:t>Chaesub Lee</w:t>
      </w:r>
      <w:r w:rsidR="00C34772" w:rsidRPr="00D1620B">
        <w:rPr>
          <w:rFonts w:asciiTheme="minorHAnsi" w:hAnsiTheme="minorHAnsi"/>
        </w:rPr>
        <w:br/>
        <w:t>Director de la Oficina de</w:t>
      </w:r>
      <w:r w:rsidR="00C34772" w:rsidRPr="00D1620B">
        <w:rPr>
          <w:rFonts w:asciiTheme="minorHAnsi" w:hAnsiTheme="minorHAnsi"/>
        </w:rPr>
        <w:br/>
        <w:t>Normalización de las Telecomunicaciones</w:t>
      </w:r>
    </w:p>
    <w:p w:rsidR="008F124C" w:rsidRPr="00D1620B" w:rsidRDefault="008F124C" w:rsidP="00D1620B">
      <w:pPr>
        <w:spacing w:before="480"/>
        <w:ind w:right="91"/>
        <w:rPr>
          <w:rFonts w:asciiTheme="minorHAnsi" w:hAnsiTheme="minorHAnsi"/>
          <w:b/>
          <w:bCs/>
        </w:rPr>
      </w:pPr>
      <w:r w:rsidRPr="00D1620B">
        <w:rPr>
          <w:rFonts w:asciiTheme="minorHAnsi" w:hAnsiTheme="minorHAnsi"/>
          <w:b/>
          <w:bCs/>
        </w:rPr>
        <w:t>Anexo: 1</w:t>
      </w:r>
    </w:p>
    <w:p w:rsidR="008F124C" w:rsidRPr="00D1620B" w:rsidRDefault="008F124C" w:rsidP="000C1F62">
      <w:pPr>
        <w:pStyle w:val="Annex"/>
        <w:rPr>
          <w:rFonts w:asciiTheme="minorHAnsi" w:hAnsiTheme="minorHAnsi"/>
        </w:rPr>
      </w:pPr>
      <w:r w:rsidRPr="00D1620B">
        <w:rPr>
          <w:rFonts w:asciiTheme="minorHAnsi" w:hAnsiTheme="minorHAnsi"/>
        </w:rPr>
        <w:lastRenderedPageBreak/>
        <w:t>ANEXO 1</w:t>
      </w:r>
      <w:r w:rsidR="000C1F62" w:rsidRPr="00D1620B">
        <w:rPr>
          <w:rFonts w:asciiTheme="minorHAnsi" w:hAnsiTheme="minorHAnsi"/>
        </w:rPr>
        <w:br/>
      </w:r>
      <w:r w:rsidRPr="00D1620B">
        <w:rPr>
          <w:rFonts w:asciiTheme="minorHAnsi" w:hAnsiTheme="minorHAnsi"/>
        </w:rPr>
        <w:t>(</w:t>
      </w:r>
      <w:r w:rsidR="00DE57A3" w:rsidRPr="00D1620B">
        <w:rPr>
          <w:rFonts w:asciiTheme="minorHAnsi" w:hAnsiTheme="minorHAnsi"/>
          <w:caps w:val="0"/>
        </w:rPr>
        <w:t xml:space="preserve">a la Circular </w:t>
      </w:r>
      <w:r w:rsidRPr="00D1620B">
        <w:rPr>
          <w:rFonts w:asciiTheme="minorHAnsi" w:hAnsiTheme="minorHAnsi"/>
        </w:rPr>
        <w:t>TSB 201)</w:t>
      </w:r>
    </w:p>
    <w:p w:rsidR="008F124C" w:rsidRPr="00D1620B" w:rsidRDefault="008F124C" w:rsidP="000C1F62">
      <w:pPr>
        <w:pStyle w:val="AnnexTitle"/>
        <w:rPr>
          <w:rFonts w:asciiTheme="minorHAnsi" w:hAnsiTheme="minorHAnsi" w:cstheme="majorBidi"/>
          <w:bCs/>
          <w:szCs w:val="24"/>
        </w:rPr>
      </w:pPr>
      <w:r w:rsidRPr="00D1620B">
        <w:rPr>
          <w:rFonts w:asciiTheme="minorHAnsi" w:hAnsiTheme="minorHAnsi" w:cstheme="majorBidi"/>
          <w:bCs/>
          <w:szCs w:val="24"/>
        </w:rPr>
        <w:t>Resumen de la Enmienda 1 a la Recomendación UIT-T G.9964 (2011)</w:t>
      </w:r>
    </w:p>
    <w:p w:rsidR="008F124C" w:rsidRPr="00D1620B" w:rsidRDefault="008F124C" w:rsidP="00E35B9C">
      <w:pPr>
        <w:pStyle w:val="headingb"/>
        <w:rPr>
          <w:rFonts w:asciiTheme="minorHAnsi" w:hAnsiTheme="minorHAnsi"/>
        </w:rPr>
      </w:pPr>
      <w:r w:rsidRPr="00D1620B">
        <w:rPr>
          <w:rFonts w:asciiTheme="minorHAnsi" w:hAnsiTheme="minorHAnsi"/>
        </w:rPr>
        <w:t>Resumen de la Enmienda 1 a la Recomendación UIT-T G.9964 (2011)</w:t>
      </w:r>
    </w:p>
    <w:p w:rsidR="008F124C" w:rsidRPr="00D1620B" w:rsidRDefault="008F124C" w:rsidP="008F124C">
      <w:pPr>
        <w:ind w:right="91"/>
        <w:rPr>
          <w:rFonts w:asciiTheme="minorHAnsi" w:hAnsiTheme="minorHAnsi"/>
        </w:rPr>
      </w:pPr>
      <w:r w:rsidRPr="00D1620B">
        <w:rPr>
          <w:rFonts w:asciiTheme="minorHAnsi" w:hAnsiTheme="minorHAnsi"/>
        </w:rPr>
        <w:t>La Enmienda 1 a la Recomendación UIT-T G.9964 (2011) añade el soporte para un nuevo perfil de cable coaxial de banda base de 200 MHz.</w:t>
      </w:r>
    </w:p>
    <w:p w:rsidR="00E35B9C" w:rsidRPr="00D1620B" w:rsidRDefault="00E35B9C" w:rsidP="0032202E">
      <w:pPr>
        <w:pStyle w:val="Reasons"/>
        <w:rPr>
          <w:rFonts w:asciiTheme="minorHAnsi" w:hAnsiTheme="minorHAnsi"/>
          <w:lang w:val="es-ES_tradnl"/>
        </w:rPr>
      </w:pPr>
    </w:p>
    <w:p w:rsidR="008F124C" w:rsidRPr="00D1620B" w:rsidRDefault="00E35B9C" w:rsidP="00E35B9C">
      <w:pPr>
        <w:jc w:val="center"/>
        <w:rPr>
          <w:rFonts w:asciiTheme="minorHAnsi" w:hAnsiTheme="minorHAnsi"/>
        </w:rPr>
      </w:pPr>
      <w:r w:rsidRPr="00D1620B">
        <w:rPr>
          <w:rFonts w:asciiTheme="minorHAnsi" w:hAnsiTheme="minorHAnsi"/>
        </w:rPr>
        <w:t>______________</w:t>
      </w:r>
    </w:p>
    <w:sectPr w:rsidR="008F124C" w:rsidRPr="00D1620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FE" w:rsidRDefault="006F2AFE">
      <w:r>
        <w:separator/>
      </w:r>
    </w:p>
  </w:endnote>
  <w:endnote w:type="continuationSeparator" w:id="0">
    <w:p w:rsidR="006F2AFE" w:rsidRDefault="006F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57" w:rsidRPr="00D1620B" w:rsidRDefault="00D1620B" w:rsidP="00D1620B">
    <w:pPr>
      <w:pStyle w:val="Footer"/>
      <w:tabs>
        <w:tab w:val="clear" w:pos="5954"/>
        <w:tab w:val="left" w:pos="5529"/>
      </w:tabs>
      <w:rPr>
        <w:rFonts w:asciiTheme="minorHAnsi" w:hAnsiTheme="minorHAnsi"/>
        <w:sz w:val="16"/>
        <w:szCs w:val="16"/>
        <w:lang w:val="fr-CH"/>
      </w:rPr>
    </w:pPr>
    <w:r w:rsidRPr="00D1620B">
      <w:rPr>
        <w:rFonts w:asciiTheme="minorHAnsi" w:hAnsiTheme="minorHAnsi"/>
        <w:sz w:val="16"/>
        <w:szCs w:val="16"/>
        <w:lang w:val="fr-CH"/>
      </w:rPr>
      <w:t>ITU-T\BUREAU\CIRC\201S.DOC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C57" w:rsidRPr="00D1620B" w:rsidRDefault="00201C57" w:rsidP="00D1620B">
    <w:pPr>
      <w:pStyle w:val="FirstFooter"/>
      <w:ind w:left="-397" w:right="-397"/>
      <w:jc w:val="center"/>
      <w:rPr>
        <w:rFonts w:asciiTheme="minorHAnsi" w:hAnsiTheme="minorHAnsi"/>
        <w:color w:val="3E8EDE"/>
        <w:szCs w:val="18"/>
      </w:rPr>
    </w:pPr>
    <w:r w:rsidRPr="00D1620B">
      <w:rPr>
        <w:rFonts w:asciiTheme="minorHAnsi" w:hAnsiTheme="minorHAnsi"/>
        <w:szCs w:val="18"/>
      </w:rPr>
      <w:t>Unión Internacional de Telecomu</w:t>
    </w:r>
    <w:r w:rsidR="008A6529">
      <w:rPr>
        <w:rFonts w:asciiTheme="minorHAnsi" w:hAnsiTheme="minorHAnsi"/>
        <w:szCs w:val="18"/>
      </w:rPr>
      <w:t xml:space="preserve">nicaciones • Place des </w:t>
    </w:r>
    <w:proofErr w:type="spellStart"/>
    <w:r w:rsidR="008A6529">
      <w:rPr>
        <w:rFonts w:asciiTheme="minorHAnsi" w:hAnsiTheme="minorHAnsi"/>
        <w:szCs w:val="18"/>
      </w:rPr>
      <w:t>Nations</w:t>
    </w:r>
    <w:proofErr w:type="spellEnd"/>
    <w:r w:rsidR="008A6529">
      <w:rPr>
        <w:rFonts w:asciiTheme="minorHAnsi" w:hAnsiTheme="minorHAnsi"/>
        <w:szCs w:val="18"/>
      </w:rPr>
      <w:t xml:space="preserve"> </w:t>
    </w:r>
    <w:r w:rsidR="008A6529" w:rsidRPr="00D1620B">
      <w:rPr>
        <w:rFonts w:asciiTheme="minorHAnsi" w:hAnsiTheme="minorHAnsi"/>
        <w:szCs w:val="18"/>
      </w:rPr>
      <w:t>•</w:t>
    </w:r>
    <w:r w:rsidR="008A6529">
      <w:rPr>
        <w:rFonts w:asciiTheme="minorHAnsi" w:hAnsiTheme="minorHAnsi"/>
        <w:szCs w:val="18"/>
      </w:rPr>
      <w:t xml:space="preserve"> CH</w:t>
    </w:r>
    <w:r w:rsidR="008A6529">
      <w:rPr>
        <w:rFonts w:asciiTheme="minorHAnsi" w:hAnsiTheme="minorHAnsi"/>
        <w:szCs w:val="18"/>
      </w:rPr>
      <w:noBreakHyphen/>
      <w:t xml:space="preserve">1211 Ginebra 20 </w:t>
    </w:r>
    <w:r w:rsidR="008A6529" w:rsidRPr="00D1620B">
      <w:rPr>
        <w:rFonts w:asciiTheme="minorHAnsi" w:hAnsiTheme="minorHAnsi"/>
        <w:szCs w:val="18"/>
      </w:rPr>
      <w:t>•</w:t>
    </w:r>
    <w:r w:rsidRPr="00D1620B">
      <w:rPr>
        <w:rFonts w:asciiTheme="minorHAnsi" w:hAnsiTheme="minorHAnsi"/>
        <w:szCs w:val="18"/>
      </w:rPr>
      <w:t xml:space="preserve"> Suiza </w:t>
    </w:r>
    <w:r w:rsidRPr="00D1620B">
      <w:rPr>
        <w:rFonts w:asciiTheme="minorHAnsi" w:hAnsiTheme="minorHAnsi"/>
        <w:szCs w:val="18"/>
      </w:rPr>
      <w:br/>
      <w:t xml:space="preserve">Tel.: +41 22 730 5111 • Fax: +41 22 733 7256 • Correo-e: </w:t>
    </w:r>
    <w:hyperlink r:id="rId1" w:history="1">
      <w:r w:rsidRPr="008A6529">
        <w:rPr>
          <w:rFonts w:asciiTheme="minorHAnsi" w:hAnsiTheme="minorHAnsi"/>
          <w:color w:val="0000FF"/>
          <w:szCs w:val="18"/>
          <w:u w:val="single"/>
        </w:rPr>
        <w:t>itumail@itu.int</w:t>
      </w:r>
    </w:hyperlink>
    <w:r w:rsidRPr="008A6529">
      <w:rPr>
        <w:rFonts w:asciiTheme="minorHAnsi" w:hAnsiTheme="minorHAnsi"/>
        <w:color w:val="0000FF"/>
        <w:szCs w:val="18"/>
      </w:rPr>
      <w:t xml:space="preserve"> </w:t>
    </w:r>
    <w:r w:rsidRPr="008A6529">
      <w:rPr>
        <w:rFonts w:asciiTheme="minorHAnsi" w:hAnsiTheme="minorHAnsi"/>
        <w:szCs w:val="18"/>
      </w:rPr>
      <w:t>•</w:t>
    </w:r>
    <w:r w:rsidRPr="008A6529">
      <w:rPr>
        <w:rFonts w:asciiTheme="minorHAnsi" w:hAnsiTheme="minorHAnsi"/>
        <w:color w:val="0000FF"/>
        <w:szCs w:val="18"/>
      </w:rPr>
      <w:t xml:space="preserve"> </w:t>
    </w:r>
    <w:hyperlink r:id="rId2" w:history="1">
      <w:r w:rsidRPr="008A6529">
        <w:rPr>
          <w:rFonts w:asciiTheme="minorHAnsi" w:hAnsiTheme="minorHAnsi"/>
          <w:color w:val="0000FF"/>
          <w:szCs w:val="18"/>
          <w:u w:val="single"/>
        </w:rPr>
        <w:t>www.itu.int</w:t>
      </w:r>
    </w:hyperlink>
    <w:r w:rsidRPr="008A6529">
      <w:rPr>
        <w:rFonts w:asciiTheme="minorHAnsi" w:hAnsiTheme="minorHAnsi"/>
        <w:color w:val="0000FF"/>
        <w:szCs w:val="18"/>
      </w:rPr>
      <w:t xml:space="preserve"> </w:t>
    </w:r>
    <w:r w:rsidRPr="008A6529">
      <w:rPr>
        <w:rFonts w:asciiTheme="minorHAnsi" w:hAnsiTheme="minorHAnsi"/>
        <w:szCs w:val="18"/>
      </w:rPr>
      <w:t>•</w:t>
    </w:r>
    <w:r w:rsidRPr="008A6529">
      <w:rPr>
        <w:rFonts w:asciiTheme="minorHAnsi" w:hAnsiTheme="minorHAnsi"/>
        <w:color w:val="0000FF"/>
        <w:szCs w:val="18"/>
      </w:rPr>
      <w:t xml:space="preserve"> </w:t>
    </w:r>
    <w:hyperlink r:id="rId3" w:history="1">
      <w:r w:rsidRPr="008A6529">
        <w:rPr>
          <w:rFonts w:asciiTheme="minorHAnsi" w:hAnsiTheme="minorHAnsi"/>
          <w:color w:val="0000FF"/>
          <w:szCs w:val="18"/>
          <w:u w:val="single"/>
        </w:rPr>
        <w:t>CCITT/ITU-T 60 years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FE" w:rsidRDefault="006F2AFE">
      <w:r>
        <w:t>____________________</w:t>
      </w:r>
    </w:p>
  </w:footnote>
  <w:footnote w:type="continuationSeparator" w:id="0">
    <w:p w:rsidR="006F2AFE" w:rsidRDefault="006F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AFE" w:rsidRPr="00303D62" w:rsidRDefault="005E5BB2">
    <w:pPr>
      <w:pStyle w:val="Header"/>
      <w:rPr>
        <w:sz w:val="18"/>
        <w:szCs w:val="18"/>
      </w:rPr>
    </w:pPr>
    <w:r>
      <w:rPr>
        <w:rStyle w:val="PageNumber"/>
        <w:sz w:val="18"/>
        <w:szCs w:val="18"/>
      </w:rPr>
      <w:t xml:space="preserve">- </w:t>
    </w:r>
    <w:r w:rsidR="006F2AFE" w:rsidRPr="00303D62">
      <w:rPr>
        <w:rStyle w:val="PageNumber"/>
        <w:sz w:val="18"/>
        <w:szCs w:val="18"/>
      </w:rPr>
      <w:fldChar w:fldCharType="begin"/>
    </w:r>
    <w:r w:rsidR="006F2AFE" w:rsidRPr="00303D62">
      <w:rPr>
        <w:rStyle w:val="PageNumber"/>
        <w:sz w:val="18"/>
        <w:szCs w:val="18"/>
      </w:rPr>
      <w:instrText xml:space="preserve"> PAGE </w:instrText>
    </w:r>
    <w:r w:rsidR="006F2AFE" w:rsidRPr="00303D62">
      <w:rPr>
        <w:rStyle w:val="PageNumber"/>
        <w:sz w:val="18"/>
        <w:szCs w:val="18"/>
      </w:rPr>
      <w:fldChar w:fldCharType="separate"/>
    </w:r>
    <w:r w:rsidR="00B46721">
      <w:rPr>
        <w:rStyle w:val="PageNumber"/>
        <w:noProof/>
        <w:sz w:val="18"/>
        <w:szCs w:val="18"/>
      </w:rPr>
      <w:t>2</w:t>
    </w:r>
    <w:r w:rsidR="006F2AFE" w:rsidRPr="00303D6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FC1853D-191E-4AB7-A166-C56B85AA0538}"/>
    <w:docVar w:name="dgnword-eventsink" w:val="25417928"/>
  </w:docVars>
  <w:rsids>
    <w:rsidRoot w:val="009C0033"/>
    <w:rsid w:val="00002529"/>
    <w:rsid w:val="00065EEB"/>
    <w:rsid w:val="000A5DDC"/>
    <w:rsid w:val="000C1F62"/>
    <w:rsid w:val="000C382F"/>
    <w:rsid w:val="00107BF1"/>
    <w:rsid w:val="001173CC"/>
    <w:rsid w:val="001A54CC"/>
    <w:rsid w:val="001C7EF3"/>
    <w:rsid w:val="00201C57"/>
    <w:rsid w:val="00230894"/>
    <w:rsid w:val="00257FB4"/>
    <w:rsid w:val="002B2775"/>
    <w:rsid w:val="00303D62"/>
    <w:rsid w:val="003312A5"/>
    <w:rsid w:val="00335367"/>
    <w:rsid w:val="00370C2D"/>
    <w:rsid w:val="003C20F3"/>
    <w:rsid w:val="003D1E8D"/>
    <w:rsid w:val="003D673B"/>
    <w:rsid w:val="003F2855"/>
    <w:rsid w:val="00401C20"/>
    <w:rsid w:val="00441A79"/>
    <w:rsid w:val="00476A37"/>
    <w:rsid w:val="004C4144"/>
    <w:rsid w:val="004F4AD7"/>
    <w:rsid w:val="005B2EAD"/>
    <w:rsid w:val="005E5BB2"/>
    <w:rsid w:val="0065546B"/>
    <w:rsid w:val="006844D3"/>
    <w:rsid w:val="00684879"/>
    <w:rsid w:val="006969B4"/>
    <w:rsid w:val="006F2AFE"/>
    <w:rsid w:val="0070381D"/>
    <w:rsid w:val="00716588"/>
    <w:rsid w:val="00735892"/>
    <w:rsid w:val="00753BE0"/>
    <w:rsid w:val="00781E2A"/>
    <w:rsid w:val="007A1400"/>
    <w:rsid w:val="007A6C24"/>
    <w:rsid w:val="007A7F93"/>
    <w:rsid w:val="008258C2"/>
    <w:rsid w:val="008505BD"/>
    <w:rsid w:val="00850C78"/>
    <w:rsid w:val="00853A85"/>
    <w:rsid w:val="008A6529"/>
    <w:rsid w:val="008B3D93"/>
    <w:rsid w:val="008C17AD"/>
    <w:rsid w:val="008D02CD"/>
    <w:rsid w:val="008E2107"/>
    <w:rsid w:val="008F124C"/>
    <w:rsid w:val="00947A57"/>
    <w:rsid w:val="0095172A"/>
    <w:rsid w:val="00993A7B"/>
    <w:rsid w:val="009973E1"/>
    <w:rsid w:val="009A0BA0"/>
    <w:rsid w:val="009C0033"/>
    <w:rsid w:val="009C31CC"/>
    <w:rsid w:val="009E6A59"/>
    <w:rsid w:val="00A514FA"/>
    <w:rsid w:val="00A54E47"/>
    <w:rsid w:val="00AA0D91"/>
    <w:rsid w:val="00AC4CF1"/>
    <w:rsid w:val="00AE2581"/>
    <w:rsid w:val="00AE7093"/>
    <w:rsid w:val="00B05789"/>
    <w:rsid w:val="00B422BC"/>
    <w:rsid w:val="00B43F77"/>
    <w:rsid w:val="00B46721"/>
    <w:rsid w:val="00B55A3E"/>
    <w:rsid w:val="00B71CE0"/>
    <w:rsid w:val="00B95F0A"/>
    <w:rsid w:val="00B96180"/>
    <w:rsid w:val="00BD4BFB"/>
    <w:rsid w:val="00BF6B9B"/>
    <w:rsid w:val="00C174B7"/>
    <w:rsid w:val="00C17AC0"/>
    <w:rsid w:val="00C226D2"/>
    <w:rsid w:val="00C34772"/>
    <w:rsid w:val="00C40E1B"/>
    <w:rsid w:val="00C5465A"/>
    <w:rsid w:val="00C62093"/>
    <w:rsid w:val="00CB3EA7"/>
    <w:rsid w:val="00D1142B"/>
    <w:rsid w:val="00D1620B"/>
    <w:rsid w:val="00D54642"/>
    <w:rsid w:val="00D65C27"/>
    <w:rsid w:val="00D804D3"/>
    <w:rsid w:val="00DD77C9"/>
    <w:rsid w:val="00DE57A3"/>
    <w:rsid w:val="00E35B9C"/>
    <w:rsid w:val="00E4709C"/>
    <w:rsid w:val="00E839B0"/>
    <w:rsid w:val="00E87019"/>
    <w:rsid w:val="00E92C09"/>
    <w:rsid w:val="00EB3661"/>
    <w:rsid w:val="00EB580D"/>
    <w:rsid w:val="00F01BEF"/>
    <w:rsid w:val="00F6461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D4948854-A727-4D7A-B4F7-C0C58535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65546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46B"/>
    <w:rPr>
      <w:rFonts w:ascii="Tahoma" w:hAnsi="Tahoma" w:cs="Tahoma"/>
      <w:sz w:val="16"/>
      <w:szCs w:val="16"/>
      <w:lang w:val="es-ES_tradnl" w:eastAsia="en-US"/>
    </w:rPr>
  </w:style>
  <w:style w:type="paragraph" w:customStyle="1" w:styleId="Reasons">
    <w:name w:val="Reasons"/>
    <w:basedOn w:val="Normal"/>
    <w:qFormat/>
    <w:rsid w:val="00E35B9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sbsg15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al\AppData\Roaming\Microsoft\Templates\PS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E98A9-92F5-4EF3-BD2F-A1397376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PS_TSBCIRC1.dotm</Template>
  <TotalTime>43</TotalTime>
  <Pages>2</Pages>
  <Words>327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1991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tello</dc:creator>
  <cp:keywords/>
  <dc:description/>
  <cp:lastModifiedBy>Osvath, Alexandra</cp:lastModifiedBy>
  <cp:revision>23</cp:revision>
  <cp:lastPrinted>2016-03-30T08:31:00Z</cp:lastPrinted>
  <dcterms:created xsi:type="dcterms:W3CDTF">2016-03-29T08:16:00Z</dcterms:created>
  <dcterms:modified xsi:type="dcterms:W3CDTF">2016-03-30T08:31:00Z</dcterms:modified>
</cp:coreProperties>
</file>