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276"/>
        <w:gridCol w:w="4111"/>
        <w:gridCol w:w="4394"/>
      </w:tblGrid>
      <w:tr w:rsidR="00421597" w:rsidRPr="006C1461" w:rsidTr="009C7328">
        <w:trPr>
          <w:cantSplit/>
          <w:trHeight w:val="80"/>
        </w:trPr>
        <w:tc>
          <w:tcPr>
            <w:tcW w:w="5387" w:type="dxa"/>
            <w:gridSpan w:val="2"/>
            <w:vAlign w:val="center"/>
          </w:tcPr>
          <w:p w:rsidR="00421597" w:rsidRPr="006C1461" w:rsidRDefault="00421597" w:rsidP="009C7328">
            <w:pPr>
              <w:pStyle w:val="Tabletext"/>
              <w:jc w:val="right"/>
              <w:rPr>
                <w:rFonts w:eastAsiaTheme="minorEastAsia"/>
                <w:szCs w:val="24"/>
                <w:lang w:val="ru-RU"/>
              </w:rPr>
            </w:pPr>
          </w:p>
        </w:tc>
        <w:tc>
          <w:tcPr>
            <w:tcW w:w="4394" w:type="dxa"/>
            <w:vAlign w:val="center"/>
          </w:tcPr>
          <w:p w:rsidR="00421597" w:rsidRPr="006C1461" w:rsidRDefault="00421597" w:rsidP="009C7328">
            <w:pPr>
              <w:pStyle w:val="Tabletext"/>
              <w:spacing w:before="480" w:after="120"/>
              <w:rPr>
                <w:rFonts w:eastAsiaTheme="minorEastAsia"/>
                <w:szCs w:val="24"/>
              </w:rPr>
            </w:pPr>
            <w:r w:rsidRPr="006C1461">
              <w:rPr>
                <w:rFonts w:eastAsiaTheme="minorEastAsia"/>
                <w:szCs w:val="24"/>
                <w:lang w:eastAsia="zh-CN"/>
              </w:rPr>
              <w:t>2016</w:t>
            </w:r>
            <w:r w:rsidRPr="006C1461">
              <w:rPr>
                <w:rFonts w:eastAsiaTheme="minorEastAsia"/>
                <w:szCs w:val="24"/>
                <w:lang w:eastAsia="zh-CN"/>
              </w:rPr>
              <w:t>年</w:t>
            </w:r>
            <w:r w:rsidRPr="006C1461">
              <w:rPr>
                <w:rFonts w:eastAsiaTheme="minorEastAsia"/>
                <w:szCs w:val="24"/>
                <w:lang w:eastAsia="zh-CN"/>
              </w:rPr>
              <w:t>1</w:t>
            </w:r>
            <w:r w:rsidRPr="006C1461">
              <w:rPr>
                <w:rFonts w:eastAsiaTheme="minorEastAsia"/>
                <w:szCs w:val="24"/>
                <w:lang w:eastAsia="zh-CN"/>
              </w:rPr>
              <w:t>月</w:t>
            </w:r>
            <w:r w:rsidRPr="006C1461">
              <w:rPr>
                <w:rFonts w:eastAsiaTheme="minorEastAsia"/>
                <w:szCs w:val="24"/>
                <w:lang w:eastAsia="zh-CN"/>
              </w:rPr>
              <w:t>22</w:t>
            </w:r>
            <w:r w:rsidRPr="006C1461">
              <w:rPr>
                <w:rFonts w:eastAsiaTheme="minorEastAsia"/>
                <w:szCs w:val="24"/>
                <w:lang w:eastAsia="zh-CN"/>
              </w:rPr>
              <w:t>日，日内瓦</w:t>
            </w:r>
          </w:p>
        </w:tc>
      </w:tr>
      <w:tr w:rsidR="00421597" w:rsidRPr="006C1461" w:rsidTr="0031778A">
        <w:trPr>
          <w:cantSplit/>
          <w:trHeight w:val="835"/>
        </w:trPr>
        <w:tc>
          <w:tcPr>
            <w:tcW w:w="1276" w:type="dxa"/>
          </w:tcPr>
          <w:p w:rsidR="00421597" w:rsidRPr="006C1461" w:rsidRDefault="0031778A" w:rsidP="009C7328">
            <w:pPr>
              <w:pStyle w:val="Tabletext"/>
              <w:spacing w:before="0" w:after="0"/>
              <w:rPr>
                <w:rFonts w:eastAsiaTheme="minorEastAsia"/>
                <w:szCs w:val="24"/>
              </w:rPr>
            </w:pPr>
            <w:bookmarkStart w:id="0" w:name="Adress_E" w:colFirst="2" w:colLast="2"/>
            <w:proofErr w:type="spellStart"/>
            <w:r w:rsidRPr="006C1461">
              <w:rPr>
                <w:rFonts w:eastAsiaTheme="minorEastAsia"/>
                <w:szCs w:val="24"/>
                <w:lang w:eastAsia="zh-CN"/>
              </w:rPr>
              <w:t>文号</w:t>
            </w:r>
            <w:proofErr w:type="spellEnd"/>
            <w:r w:rsidRPr="006C1461">
              <w:rPr>
                <w:rFonts w:eastAsiaTheme="minorEastAsia"/>
                <w:szCs w:val="24"/>
                <w:lang w:eastAsia="zh-CN"/>
              </w:rPr>
              <w:t>：</w:t>
            </w:r>
          </w:p>
        </w:tc>
        <w:tc>
          <w:tcPr>
            <w:tcW w:w="4111" w:type="dxa"/>
          </w:tcPr>
          <w:p w:rsidR="00421597" w:rsidRPr="006C1461" w:rsidRDefault="0031778A" w:rsidP="009C7328">
            <w:pPr>
              <w:pStyle w:val="Tabletext"/>
              <w:spacing w:before="0" w:after="0"/>
              <w:rPr>
                <w:rFonts w:eastAsiaTheme="minorEastAsia"/>
                <w:b/>
                <w:bCs/>
                <w:szCs w:val="24"/>
                <w:lang w:eastAsia="zh-CN"/>
              </w:rPr>
            </w:pPr>
            <w:r w:rsidRPr="006C1461">
              <w:rPr>
                <w:rFonts w:eastAsiaTheme="minorEastAsia"/>
                <w:b/>
                <w:szCs w:val="24"/>
                <w:lang w:eastAsia="zh-CN"/>
              </w:rPr>
              <w:t>电信标准化局第</w:t>
            </w:r>
            <w:r w:rsidRPr="006C1461">
              <w:rPr>
                <w:rFonts w:eastAsiaTheme="minorEastAsia"/>
                <w:b/>
                <w:szCs w:val="24"/>
                <w:lang w:eastAsia="zh-CN"/>
              </w:rPr>
              <w:t>194</w:t>
            </w:r>
            <w:r w:rsidRPr="006C1461">
              <w:rPr>
                <w:rFonts w:eastAsiaTheme="minorEastAsia"/>
                <w:b/>
                <w:szCs w:val="24"/>
                <w:lang w:eastAsia="zh-CN"/>
              </w:rPr>
              <w:t>号通函</w:t>
            </w:r>
          </w:p>
        </w:tc>
        <w:tc>
          <w:tcPr>
            <w:tcW w:w="4394" w:type="dxa"/>
            <w:vMerge w:val="restart"/>
          </w:tcPr>
          <w:p w:rsidR="00421597" w:rsidRPr="006C1461" w:rsidRDefault="0031778A" w:rsidP="009C7328">
            <w:pPr>
              <w:tabs>
                <w:tab w:val="left" w:pos="284"/>
              </w:tabs>
              <w:spacing w:before="0"/>
              <w:ind w:left="284" w:hanging="284"/>
              <w:rPr>
                <w:rFonts w:eastAsiaTheme="minorEastAsia"/>
                <w:lang w:eastAsia="zh-CN"/>
              </w:rPr>
            </w:pPr>
            <w:r w:rsidRPr="006C1461">
              <w:rPr>
                <w:rFonts w:eastAsiaTheme="minorEastAsia"/>
                <w:lang w:eastAsia="zh-CN"/>
              </w:rPr>
              <w:t>-</w:t>
            </w:r>
            <w:r w:rsidRPr="006C1461">
              <w:rPr>
                <w:rFonts w:eastAsiaTheme="minorEastAsia"/>
                <w:lang w:eastAsia="zh-CN"/>
              </w:rPr>
              <w:tab/>
            </w:r>
            <w:proofErr w:type="spellStart"/>
            <w:r w:rsidRPr="006C1461">
              <w:rPr>
                <w:rFonts w:eastAsiaTheme="minorEastAsia"/>
                <w:lang w:eastAsia="zh-CN"/>
              </w:rPr>
              <w:t>致国际电联各成员国主管部门</w:t>
            </w:r>
            <w:proofErr w:type="spellEnd"/>
            <w:r w:rsidRPr="006C1461">
              <w:rPr>
                <w:rFonts w:eastAsiaTheme="minorEastAsia"/>
                <w:lang w:eastAsia="zh-CN"/>
              </w:rPr>
              <w:t>；</w:t>
            </w:r>
          </w:p>
          <w:p w:rsidR="0031778A" w:rsidRPr="006C1461" w:rsidRDefault="0031778A" w:rsidP="009611B7">
            <w:pPr>
              <w:tabs>
                <w:tab w:val="left" w:pos="4111"/>
              </w:tabs>
              <w:spacing w:before="600"/>
              <w:rPr>
                <w:rFonts w:eastAsiaTheme="minorEastAsia"/>
                <w:b/>
                <w:lang w:eastAsia="zh-CN"/>
              </w:rPr>
            </w:pPr>
            <w:proofErr w:type="spellStart"/>
            <w:r w:rsidRPr="006C1461">
              <w:rPr>
                <w:rFonts w:eastAsiaTheme="minorEastAsia"/>
                <w:b/>
                <w:lang w:eastAsia="zh-CN"/>
              </w:rPr>
              <w:t>抄送</w:t>
            </w:r>
            <w:proofErr w:type="spellEnd"/>
            <w:r w:rsidRPr="006C1461">
              <w:rPr>
                <w:rFonts w:eastAsiaTheme="minorEastAsia"/>
                <w:b/>
                <w:lang w:eastAsia="zh-CN"/>
              </w:rPr>
              <w:t>：</w:t>
            </w:r>
          </w:p>
          <w:p w:rsidR="0031778A" w:rsidRPr="006C1461" w:rsidRDefault="0031778A" w:rsidP="0031778A">
            <w:pPr>
              <w:tabs>
                <w:tab w:val="clear" w:pos="794"/>
                <w:tab w:val="left" w:pos="511"/>
              </w:tabs>
              <w:spacing w:before="0"/>
              <w:ind w:left="283" w:hanging="283"/>
              <w:rPr>
                <w:rFonts w:eastAsiaTheme="minorEastAsia"/>
                <w:lang w:eastAsia="zh-CN"/>
              </w:rPr>
            </w:pPr>
            <w:r w:rsidRPr="006C1461">
              <w:rPr>
                <w:rFonts w:eastAsiaTheme="minorEastAsia"/>
                <w:lang w:eastAsia="zh-CN"/>
              </w:rPr>
              <w:t>-</w:t>
            </w:r>
            <w:r w:rsidRPr="006C1461">
              <w:rPr>
                <w:rFonts w:eastAsiaTheme="minorEastAsia"/>
                <w:lang w:eastAsia="zh-CN"/>
              </w:rPr>
              <w:tab/>
            </w:r>
            <w:proofErr w:type="spellStart"/>
            <w:r w:rsidRPr="006C1461">
              <w:rPr>
                <w:rFonts w:eastAsiaTheme="minorEastAsia"/>
                <w:lang w:eastAsia="zh-CN"/>
              </w:rPr>
              <w:t>致</w:t>
            </w:r>
            <w:r w:rsidRPr="006C1461">
              <w:rPr>
                <w:rFonts w:eastAsiaTheme="minorEastAsia"/>
                <w:lang w:eastAsia="zh-CN"/>
              </w:rPr>
              <w:t>ITU-T</w:t>
            </w:r>
            <w:r w:rsidRPr="006C1461">
              <w:rPr>
                <w:rFonts w:eastAsiaTheme="minorEastAsia"/>
                <w:lang w:eastAsia="zh-CN"/>
              </w:rPr>
              <w:t>部门成员</w:t>
            </w:r>
            <w:proofErr w:type="spellEnd"/>
            <w:r w:rsidRPr="006C1461">
              <w:rPr>
                <w:rFonts w:eastAsiaTheme="minorEastAsia"/>
                <w:lang w:eastAsia="zh-CN"/>
              </w:rPr>
              <w:t>；</w:t>
            </w:r>
          </w:p>
          <w:p w:rsidR="0031778A" w:rsidRPr="006C1461" w:rsidRDefault="0031778A" w:rsidP="0031778A">
            <w:pPr>
              <w:tabs>
                <w:tab w:val="clear" w:pos="794"/>
                <w:tab w:val="left" w:pos="511"/>
              </w:tabs>
              <w:spacing w:before="0"/>
              <w:ind w:left="283" w:hanging="283"/>
              <w:rPr>
                <w:rFonts w:eastAsiaTheme="minorEastAsia"/>
                <w:lang w:eastAsia="zh-CN"/>
              </w:rPr>
            </w:pPr>
            <w:r w:rsidRPr="006C1461">
              <w:rPr>
                <w:rFonts w:eastAsiaTheme="minorEastAsia"/>
                <w:lang w:eastAsia="zh-CN"/>
              </w:rPr>
              <w:t>-</w:t>
            </w:r>
            <w:r w:rsidRPr="006C1461">
              <w:rPr>
                <w:rFonts w:eastAsiaTheme="minorEastAsia"/>
                <w:lang w:eastAsia="zh-CN"/>
              </w:rPr>
              <w:tab/>
            </w:r>
            <w:proofErr w:type="spellStart"/>
            <w:r w:rsidRPr="006C1461">
              <w:rPr>
                <w:rFonts w:eastAsiaTheme="minorEastAsia"/>
                <w:lang w:eastAsia="zh-CN"/>
              </w:rPr>
              <w:t>致</w:t>
            </w:r>
            <w:r w:rsidRPr="006C1461">
              <w:rPr>
                <w:rFonts w:eastAsiaTheme="minorEastAsia"/>
                <w:lang w:eastAsia="zh-CN"/>
              </w:rPr>
              <w:t>ITU-T</w:t>
            </w:r>
            <w:r w:rsidRPr="006C1461">
              <w:rPr>
                <w:rFonts w:eastAsiaTheme="minorEastAsia"/>
                <w:lang w:eastAsia="zh-CN"/>
              </w:rPr>
              <w:t>部门准成员</w:t>
            </w:r>
            <w:proofErr w:type="spellEnd"/>
            <w:r w:rsidRPr="006C1461">
              <w:rPr>
                <w:rFonts w:eastAsiaTheme="minorEastAsia"/>
                <w:lang w:eastAsia="zh-CN"/>
              </w:rPr>
              <w:t>；</w:t>
            </w:r>
          </w:p>
          <w:p w:rsidR="0031778A" w:rsidRPr="006C1461" w:rsidRDefault="0031778A" w:rsidP="0031778A">
            <w:pPr>
              <w:tabs>
                <w:tab w:val="clear" w:pos="794"/>
                <w:tab w:val="left" w:pos="511"/>
              </w:tabs>
              <w:spacing w:before="0"/>
              <w:ind w:left="283" w:hanging="283"/>
              <w:rPr>
                <w:rFonts w:eastAsiaTheme="minorEastAsia"/>
                <w:lang w:eastAsia="zh-CN"/>
              </w:rPr>
            </w:pPr>
            <w:r w:rsidRPr="006C1461">
              <w:rPr>
                <w:rFonts w:eastAsiaTheme="minorEastAsia"/>
                <w:lang w:eastAsia="zh-CN"/>
              </w:rPr>
              <w:t>-</w:t>
            </w:r>
            <w:r w:rsidRPr="006C1461">
              <w:rPr>
                <w:rFonts w:eastAsiaTheme="minorEastAsia"/>
                <w:lang w:eastAsia="zh-CN"/>
              </w:rPr>
              <w:tab/>
            </w:r>
            <w:proofErr w:type="spellStart"/>
            <w:r w:rsidRPr="006C1461">
              <w:rPr>
                <w:rFonts w:eastAsiaTheme="minorEastAsia"/>
                <w:lang w:eastAsia="zh-CN"/>
              </w:rPr>
              <w:t>致国际电联学术成员</w:t>
            </w:r>
            <w:proofErr w:type="spellEnd"/>
            <w:r w:rsidRPr="006C1461">
              <w:rPr>
                <w:rFonts w:eastAsiaTheme="minorEastAsia"/>
                <w:lang w:eastAsia="zh-CN"/>
              </w:rPr>
              <w:t>；</w:t>
            </w:r>
          </w:p>
          <w:p w:rsidR="0031778A" w:rsidRPr="006C1461" w:rsidRDefault="0031778A" w:rsidP="0031778A">
            <w:pPr>
              <w:tabs>
                <w:tab w:val="clear" w:pos="794"/>
                <w:tab w:val="left" w:pos="511"/>
              </w:tabs>
              <w:spacing w:before="0"/>
              <w:ind w:left="283" w:hanging="283"/>
              <w:rPr>
                <w:rFonts w:eastAsiaTheme="minorEastAsia"/>
                <w:lang w:eastAsia="zh-CN"/>
              </w:rPr>
            </w:pPr>
            <w:r w:rsidRPr="006C1461">
              <w:rPr>
                <w:rFonts w:eastAsiaTheme="minorEastAsia"/>
                <w:lang w:eastAsia="zh-CN"/>
              </w:rPr>
              <w:t>-</w:t>
            </w:r>
            <w:r w:rsidRPr="006C1461">
              <w:rPr>
                <w:rFonts w:eastAsiaTheme="minorEastAsia"/>
                <w:lang w:eastAsia="zh-CN"/>
              </w:rPr>
              <w:tab/>
              <w:t>ITU-</w:t>
            </w:r>
            <w:proofErr w:type="spellStart"/>
            <w:r w:rsidRPr="006C1461">
              <w:rPr>
                <w:rFonts w:eastAsiaTheme="minorEastAsia"/>
                <w:lang w:eastAsia="zh-CN"/>
              </w:rPr>
              <w:t>T</w:t>
            </w:r>
            <w:r w:rsidRPr="006C1461">
              <w:rPr>
                <w:rFonts w:eastAsiaTheme="minorEastAsia"/>
                <w:lang w:eastAsia="zh-CN"/>
              </w:rPr>
              <w:t>各研究组正副主席</w:t>
            </w:r>
            <w:proofErr w:type="spellEnd"/>
            <w:r w:rsidRPr="006C1461">
              <w:rPr>
                <w:rFonts w:eastAsiaTheme="minorEastAsia"/>
                <w:lang w:eastAsia="zh-CN"/>
              </w:rPr>
              <w:t>；</w:t>
            </w:r>
          </w:p>
          <w:p w:rsidR="0031778A" w:rsidRPr="006C1461" w:rsidRDefault="0031778A" w:rsidP="0031778A">
            <w:pPr>
              <w:tabs>
                <w:tab w:val="clear" w:pos="794"/>
                <w:tab w:val="left" w:pos="511"/>
              </w:tabs>
              <w:spacing w:before="0"/>
              <w:ind w:left="283" w:hanging="283"/>
              <w:rPr>
                <w:rFonts w:eastAsiaTheme="minorEastAsia"/>
                <w:lang w:eastAsia="zh-CN"/>
              </w:rPr>
            </w:pPr>
            <w:r w:rsidRPr="006C1461">
              <w:rPr>
                <w:rFonts w:eastAsiaTheme="minorEastAsia"/>
                <w:lang w:eastAsia="zh-CN"/>
              </w:rPr>
              <w:t>-</w:t>
            </w:r>
            <w:r w:rsidRPr="006C1461">
              <w:rPr>
                <w:rFonts w:eastAsiaTheme="minorEastAsia"/>
                <w:lang w:eastAsia="zh-CN"/>
              </w:rPr>
              <w:tab/>
            </w:r>
            <w:proofErr w:type="spellStart"/>
            <w:r w:rsidRPr="006C1461">
              <w:rPr>
                <w:rFonts w:eastAsiaTheme="minorEastAsia"/>
                <w:lang w:eastAsia="zh-CN"/>
              </w:rPr>
              <w:t>电信发展局主任</w:t>
            </w:r>
            <w:proofErr w:type="spellEnd"/>
            <w:r w:rsidRPr="006C1461">
              <w:rPr>
                <w:rFonts w:eastAsiaTheme="minorEastAsia"/>
                <w:lang w:eastAsia="zh-CN"/>
              </w:rPr>
              <w:t>；</w:t>
            </w:r>
          </w:p>
          <w:p w:rsidR="0031778A" w:rsidRPr="006C1461" w:rsidRDefault="0031778A" w:rsidP="0031778A">
            <w:pPr>
              <w:tabs>
                <w:tab w:val="left" w:pos="284"/>
              </w:tabs>
              <w:spacing w:before="0"/>
              <w:ind w:left="284" w:hanging="284"/>
              <w:rPr>
                <w:rFonts w:eastAsiaTheme="minorEastAsia"/>
                <w:szCs w:val="24"/>
                <w:lang w:val="ru-RU" w:eastAsia="zh-CN"/>
              </w:rPr>
            </w:pPr>
            <w:r w:rsidRPr="006C1461">
              <w:rPr>
                <w:rFonts w:eastAsiaTheme="minorEastAsia"/>
                <w:lang w:eastAsia="zh-CN"/>
              </w:rPr>
              <w:t>-</w:t>
            </w:r>
            <w:r w:rsidRPr="006C1461">
              <w:rPr>
                <w:rFonts w:eastAsiaTheme="minorEastAsia"/>
                <w:lang w:eastAsia="zh-CN"/>
              </w:rPr>
              <w:tab/>
            </w:r>
            <w:proofErr w:type="spellStart"/>
            <w:r w:rsidRPr="006C1461">
              <w:rPr>
                <w:rFonts w:eastAsiaTheme="minorEastAsia"/>
                <w:lang w:eastAsia="zh-CN"/>
              </w:rPr>
              <w:t>无线电通信局主任</w:t>
            </w:r>
            <w:proofErr w:type="spellEnd"/>
          </w:p>
        </w:tc>
      </w:tr>
      <w:bookmarkEnd w:id="0"/>
      <w:tr w:rsidR="00421597" w:rsidRPr="006C1461" w:rsidTr="0031778A">
        <w:trPr>
          <w:cantSplit/>
          <w:trHeight w:val="221"/>
        </w:trPr>
        <w:tc>
          <w:tcPr>
            <w:tcW w:w="1276" w:type="dxa"/>
          </w:tcPr>
          <w:p w:rsidR="00421597" w:rsidRPr="006C1461" w:rsidRDefault="0031778A" w:rsidP="009C7328">
            <w:pPr>
              <w:pStyle w:val="Tabletext"/>
              <w:spacing w:before="0" w:after="0"/>
              <w:rPr>
                <w:rFonts w:eastAsiaTheme="minorEastAsia"/>
                <w:szCs w:val="24"/>
              </w:rPr>
            </w:pPr>
            <w:proofErr w:type="spellStart"/>
            <w:r w:rsidRPr="006C1461">
              <w:rPr>
                <w:rFonts w:eastAsiaTheme="minorEastAsia"/>
                <w:szCs w:val="24"/>
                <w:lang w:eastAsia="zh-CN"/>
              </w:rPr>
              <w:t>电话</w:t>
            </w:r>
            <w:proofErr w:type="spellEnd"/>
            <w:r w:rsidRPr="006C1461">
              <w:rPr>
                <w:rFonts w:eastAsiaTheme="minorEastAsia"/>
                <w:szCs w:val="24"/>
                <w:lang w:eastAsia="zh-CN"/>
              </w:rPr>
              <w:t>：</w:t>
            </w:r>
          </w:p>
        </w:tc>
        <w:tc>
          <w:tcPr>
            <w:tcW w:w="4111" w:type="dxa"/>
          </w:tcPr>
          <w:p w:rsidR="00421597" w:rsidRPr="006C1461" w:rsidRDefault="00421597" w:rsidP="009C7328">
            <w:pPr>
              <w:pStyle w:val="Tabletext"/>
              <w:spacing w:before="0" w:after="0"/>
              <w:rPr>
                <w:rFonts w:eastAsiaTheme="minorEastAsia"/>
                <w:b/>
                <w:szCs w:val="24"/>
              </w:rPr>
            </w:pPr>
            <w:r w:rsidRPr="006C1461">
              <w:rPr>
                <w:rFonts w:eastAsiaTheme="minorEastAsia"/>
                <w:szCs w:val="24"/>
              </w:rPr>
              <w:t>+41 22 730 5780</w:t>
            </w:r>
          </w:p>
        </w:tc>
        <w:tc>
          <w:tcPr>
            <w:tcW w:w="4394" w:type="dxa"/>
            <w:vMerge/>
          </w:tcPr>
          <w:p w:rsidR="00421597" w:rsidRPr="006C1461" w:rsidRDefault="00421597" w:rsidP="009C7328">
            <w:pPr>
              <w:tabs>
                <w:tab w:val="left" w:pos="284"/>
              </w:tabs>
              <w:spacing w:before="0"/>
              <w:ind w:left="284" w:hanging="284"/>
              <w:rPr>
                <w:rFonts w:eastAsiaTheme="minorEastAsia"/>
                <w:szCs w:val="24"/>
              </w:rPr>
            </w:pPr>
          </w:p>
        </w:tc>
      </w:tr>
      <w:tr w:rsidR="00421597" w:rsidRPr="006C1461" w:rsidTr="0031778A">
        <w:trPr>
          <w:cantSplit/>
          <w:trHeight w:val="282"/>
        </w:trPr>
        <w:tc>
          <w:tcPr>
            <w:tcW w:w="1276" w:type="dxa"/>
          </w:tcPr>
          <w:p w:rsidR="00421597" w:rsidRPr="006C1461" w:rsidRDefault="0031778A" w:rsidP="009C7328">
            <w:pPr>
              <w:pStyle w:val="Tabletext"/>
              <w:spacing w:before="0" w:after="0"/>
              <w:rPr>
                <w:rFonts w:eastAsiaTheme="minorEastAsia"/>
                <w:szCs w:val="24"/>
              </w:rPr>
            </w:pPr>
            <w:proofErr w:type="spellStart"/>
            <w:r w:rsidRPr="006C1461">
              <w:rPr>
                <w:rFonts w:eastAsiaTheme="minorEastAsia"/>
                <w:szCs w:val="24"/>
                <w:lang w:eastAsia="zh-CN"/>
              </w:rPr>
              <w:t>传真</w:t>
            </w:r>
            <w:proofErr w:type="spellEnd"/>
            <w:r w:rsidRPr="006C1461">
              <w:rPr>
                <w:rFonts w:eastAsiaTheme="minorEastAsia"/>
                <w:szCs w:val="24"/>
                <w:lang w:eastAsia="zh-CN"/>
              </w:rPr>
              <w:t>：</w:t>
            </w:r>
          </w:p>
        </w:tc>
        <w:tc>
          <w:tcPr>
            <w:tcW w:w="4111" w:type="dxa"/>
          </w:tcPr>
          <w:p w:rsidR="00421597" w:rsidRPr="006C1461" w:rsidRDefault="00421597" w:rsidP="009C7328">
            <w:pPr>
              <w:pStyle w:val="Tabletext"/>
              <w:spacing w:before="0" w:after="0"/>
              <w:rPr>
                <w:rFonts w:eastAsiaTheme="minorEastAsia"/>
                <w:b/>
                <w:szCs w:val="24"/>
              </w:rPr>
            </w:pPr>
            <w:r w:rsidRPr="006C1461">
              <w:rPr>
                <w:rFonts w:eastAsiaTheme="minorEastAsia"/>
                <w:szCs w:val="24"/>
              </w:rPr>
              <w:t>+41 22 730 5853</w:t>
            </w:r>
          </w:p>
        </w:tc>
        <w:tc>
          <w:tcPr>
            <w:tcW w:w="4394" w:type="dxa"/>
            <w:vMerge/>
          </w:tcPr>
          <w:p w:rsidR="00421597" w:rsidRPr="006C1461" w:rsidRDefault="00421597" w:rsidP="009C7328">
            <w:pPr>
              <w:tabs>
                <w:tab w:val="left" w:pos="284"/>
              </w:tabs>
              <w:spacing w:before="0"/>
              <w:ind w:left="284" w:hanging="284"/>
              <w:rPr>
                <w:rFonts w:eastAsiaTheme="minorEastAsia"/>
                <w:szCs w:val="24"/>
              </w:rPr>
            </w:pPr>
          </w:p>
        </w:tc>
      </w:tr>
      <w:tr w:rsidR="00421597" w:rsidRPr="006C1461" w:rsidTr="0031778A">
        <w:trPr>
          <w:cantSplit/>
          <w:trHeight w:val="1652"/>
        </w:trPr>
        <w:tc>
          <w:tcPr>
            <w:tcW w:w="1276" w:type="dxa"/>
          </w:tcPr>
          <w:p w:rsidR="00421597" w:rsidRPr="006C1461" w:rsidRDefault="0031778A" w:rsidP="00D17419">
            <w:pPr>
              <w:pStyle w:val="Tabletext"/>
              <w:spacing w:before="0" w:after="0"/>
              <w:rPr>
                <w:rFonts w:eastAsiaTheme="minorEastAsia"/>
                <w:szCs w:val="24"/>
                <w:lang w:val="ru-RU"/>
              </w:rPr>
            </w:pPr>
            <w:r w:rsidRPr="006C1461">
              <w:rPr>
                <w:rFonts w:eastAsiaTheme="minorEastAsia"/>
                <w:szCs w:val="24"/>
                <w:lang w:eastAsia="zh-CN"/>
              </w:rPr>
              <w:t>电子邮件：</w:t>
            </w:r>
          </w:p>
        </w:tc>
        <w:tc>
          <w:tcPr>
            <w:tcW w:w="4111" w:type="dxa"/>
          </w:tcPr>
          <w:p w:rsidR="00421597" w:rsidRPr="006C1461" w:rsidRDefault="00D17419" w:rsidP="009C7328">
            <w:pPr>
              <w:pStyle w:val="Tabletext"/>
              <w:spacing w:before="0" w:after="0"/>
              <w:rPr>
                <w:rFonts w:eastAsiaTheme="minorEastAsia"/>
                <w:szCs w:val="24"/>
                <w:lang w:val="ru-RU"/>
              </w:rPr>
            </w:pPr>
            <w:hyperlink r:id="rId6" w:history="1">
              <w:r w:rsidRPr="006C1461">
                <w:rPr>
                  <w:rStyle w:val="Hyperlink"/>
                  <w:rFonts w:eastAsiaTheme="minorEastAsia" w:cstheme="majorBidi"/>
                  <w:szCs w:val="24"/>
                  <w:lang w:eastAsia="zh-CN"/>
                </w:rPr>
                <w:t>conformity@itu.int</w:t>
              </w:r>
            </w:hyperlink>
          </w:p>
        </w:tc>
        <w:tc>
          <w:tcPr>
            <w:tcW w:w="4394" w:type="dxa"/>
            <w:vMerge/>
          </w:tcPr>
          <w:p w:rsidR="00421597" w:rsidRPr="006C1461" w:rsidRDefault="00421597" w:rsidP="009C7328">
            <w:pPr>
              <w:tabs>
                <w:tab w:val="clear" w:pos="794"/>
                <w:tab w:val="clear" w:pos="1191"/>
                <w:tab w:val="clear" w:pos="1588"/>
                <w:tab w:val="clear" w:pos="1985"/>
                <w:tab w:val="left" w:pos="284"/>
              </w:tabs>
              <w:spacing w:before="0"/>
              <w:ind w:left="284" w:hanging="284"/>
              <w:rPr>
                <w:rFonts w:eastAsiaTheme="minorEastAsia"/>
                <w:szCs w:val="24"/>
                <w:lang w:val="ru-RU"/>
              </w:rPr>
            </w:pPr>
          </w:p>
        </w:tc>
      </w:tr>
      <w:tr w:rsidR="00421597" w:rsidRPr="006C1461" w:rsidTr="0031778A">
        <w:trPr>
          <w:cantSplit/>
          <w:trHeight w:val="1133"/>
        </w:trPr>
        <w:tc>
          <w:tcPr>
            <w:tcW w:w="1276" w:type="dxa"/>
          </w:tcPr>
          <w:p w:rsidR="00421597" w:rsidRPr="006C1461" w:rsidRDefault="0031778A" w:rsidP="009C7328">
            <w:pPr>
              <w:spacing w:before="240"/>
              <w:rPr>
                <w:rFonts w:eastAsiaTheme="minorEastAsia"/>
                <w:szCs w:val="24"/>
                <w:lang w:val="ru-RU"/>
              </w:rPr>
            </w:pPr>
            <w:proofErr w:type="spellStart"/>
            <w:r w:rsidRPr="006C1461">
              <w:rPr>
                <w:rFonts w:eastAsiaTheme="minorEastAsia"/>
                <w:sz w:val="22"/>
                <w:lang w:eastAsia="zh-CN"/>
              </w:rPr>
              <w:t>事由</w:t>
            </w:r>
            <w:proofErr w:type="spellEnd"/>
            <w:r w:rsidRPr="006C1461">
              <w:rPr>
                <w:rFonts w:eastAsiaTheme="minorEastAsia"/>
                <w:sz w:val="22"/>
                <w:lang w:eastAsia="zh-CN"/>
              </w:rPr>
              <w:t>：</w:t>
            </w:r>
          </w:p>
        </w:tc>
        <w:tc>
          <w:tcPr>
            <w:tcW w:w="8505" w:type="dxa"/>
            <w:gridSpan w:val="2"/>
          </w:tcPr>
          <w:p w:rsidR="00421597" w:rsidRPr="006C1461" w:rsidRDefault="0031778A" w:rsidP="00192125">
            <w:pPr>
              <w:spacing w:before="240"/>
              <w:jc w:val="both"/>
              <w:rPr>
                <w:rFonts w:eastAsiaTheme="minorEastAsia"/>
                <w:b/>
                <w:bCs/>
                <w:szCs w:val="24"/>
                <w:lang w:val="ru-RU" w:eastAsia="zh-CN"/>
              </w:rPr>
            </w:pPr>
            <w:r w:rsidRPr="006C1461">
              <w:rPr>
                <w:rFonts w:eastAsiaTheme="minorEastAsia"/>
                <w:b/>
                <w:lang w:eastAsia="zh-CN"/>
              </w:rPr>
              <w:t>移动电话作为车载免提系统网关的性能评估</w:t>
            </w:r>
            <w:r w:rsidR="00192125" w:rsidRPr="006C1461">
              <w:rPr>
                <w:rFonts w:eastAsiaTheme="minorEastAsia"/>
                <w:b/>
                <w:lang w:eastAsia="zh-CN"/>
              </w:rPr>
              <w:t xml:space="preserve"> – </w:t>
            </w:r>
            <w:r w:rsidRPr="006C1461">
              <w:rPr>
                <w:rFonts w:eastAsiaTheme="minorEastAsia"/>
                <w:b/>
                <w:lang w:eastAsia="zh-CN"/>
              </w:rPr>
              <w:t>出席测试活动和按需测试的邀请</w:t>
            </w:r>
          </w:p>
        </w:tc>
      </w:tr>
    </w:tbl>
    <w:p w:rsidR="005A28CF" w:rsidRPr="00BA2799" w:rsidRDefault="005A28CF" w:rsidP="005A28CF">
      <w:pPr>
        <w:rPr>
          <w:rFonts w:eastAsiaTheme="minorEastAsia"/>
          <w:lang w:eastAsia="zh-CN"/>
        </w:rPr>
      </w:pPr>
      <w:proofErr w:type="spellStart"/>
      <w:r w:rsidRPr="00BA2799">
        <w:rPr>
          <w:rFonts w:eastAsiaTheme="minorEastAsia"/>
          <w:lang w:eastAsia="zh-CN"/>
        </w:rPr>
        <w:t>尊敬的先生</w:t>
      </w:r>
      <w:proofErr w:type="spellEnd"/>
      <w:r w:rsidRPr="00BA2799">
        <w:rPr>
          <w:rFonts w:eastAsiaTheme="minorEastAsia"/>
          <w:lang w:eastAsia="zh-CN"/>
        </w:rPr>
        <w:t>/</w:t>
      </w:r>
      <w:proofErr w:type="spellStart"/>
      <w:r w:rsidRPr="00BA2799">
        <w:rPr>
          <w:rFonts w:eastAsiaTheme="minorEastAsia"/>
          <w:lang w:eastAsia="zh-CN"/>
        </w:rPr>
        <w:t>女士</w:t>
      </w:r>
      <w:proofErr w:type="spellEnd"/>
      <w:r w:rsidRPr="00BA2799">
        <w:rPr>
          <w:rFonts w:eastAsiaTheme="minorEastAsia"/>
          <w:lang w:eastAsia="zh-CN"/>
        </w:rPr>
        <w:t>：</w:t>
      </w:r>
    </w:p>
    <w:p w:rsidR="005A28CF" w:rsidRPr="00BA2799" w:rsidRDefault="005A28CF" w:rsidP="006A3F26">
      <w:pPr>
        <w:ind w:firstLineChars="200" w:firstLine="480"/>
        <w:rPr>
          <w:rFonts w:eastAsiaTheme="minorEastAsia"/>
          <w:szCs w:val="24"/>
          <w:lang w:eastAsia="zh-CN"/>
        </w:rPr>
      </w:pPr>
      <w:r w:rsidRPr="00BA2799">
        <w:rPr>
          <w:rFonts w:eastAsiaTheme="minorEastAsia"/>
          <w:szCs w:val="24"/>
          <w:lang w:eastAsia="zh-CN"/>
        </w:rPr>
        <w:t>我谨邀请您出席国际电联第二次有关移动电话作为车载免提系统网关的性能评估的测试活动。这些测试将根据</w:t>
      </w:r>
      <w:r w:rsidRPr="00BA2799">
        <w:rPr>
          <w:rFonts w:eastAsiaTheme="minorEastAsia"/>
          <w:szCs w:val="24"/>
          <w:lang w:eastAsia="zh-CN"/>
        </w:rPr>
        <w:t xml:space="preserve">ITU-T </w:t>
      </w:r>
      <w:hyperlink r:id="rId7" w:history="1">
        <w:r w:rsidRPr="00BA2799">
          <w:rPr>
            <w:rStyle w:val="Hyperlink"/>
            <w:rFonts w:eastAsiaTheme="minorEastAsia"/>
            <w:szCs w:val="24"/>
            <w:lang w:eastAsia="zh-CN"/>
          </w:rPr>
          <w:t>P.1100</w:t>
        </w:r>
      </w:hyperlink>
      <w:r w:rsidRPr="00BA2799">
        <w:rPr>
          <w:rFonts w:eastAsiaTheme="minorEastAsia"/>
          <w:szCs w:val="24"/>
          <w:lang w:eastAsia="zh-CN"/>
        </w:rPr>
        <w:t>/</w:t>
      </w:r>
      <w:hyperlink r:id="rId8" w:history="1">
        <w:r w:rsidRPr="00BA2799">
          <w:rPr>
            <w:rStyle w:val="Hyperlink"/>
            <w:rFonts w:eastAsiaTheme="minorEastAsia"/>
            <w:szCs w:val="24"/>
            <w:lang w:eastAsia="zh-CN"/>
          </w:rPr>
          <w:t>P.1110</w:t>
        </w:r>
      </w:hyperlink>
      <w:r w:rsidRPr="00BA2799">
        <w:rPr>
          <w:rFonts w:eastAsiaTheme="minorEastAsia"/>
          <w:szCs w:val="24"/>
          <w:lang w:eastAsia="zh-CN"/>
        </w:rPr>
        <w:t>建议书</w:t>
      </w:r>
      <w:r w:rsidR="004D4E59" w:rsidRPr="00BA2799">
        <w:rPr>
          <w:rFonts w:eastAsiaTheme="minorEastAsia"/>
          <w:szCs w:val="24"/>
          <w:lang w:eastAsia="zh-CN"/>
        </w:rPr>
        <w:t>（</w:t>
      </w:r>
      <w:r w:rsidRPr="00BA2799">
        <w:rPr>
          <w:rFonts w:eastAsiaTheme="minorEastAsia"/>
          <w:color w:val="000000"/>
          <w:lang w:eastAsia="zh-CN"/>
        </w:rPr>
        <w:t>车辆中窄带和宽带免提通信</w:t>
      </w:r>
      <w:r w:rsidR="004D4E59" w:rsidRPr="00BA2799">
        <w:rPr>
          <w:rFonts w:eastAsiaTheme="minorEastAsia"/>
          <w:szCs w:val="24"/>
          <w:lang w:eastAsia="zh-CN"/>
        </w:rPr>
        <w:t>）</w:t>
      </w:r>
      <w:r w:rsidRPr="00BA2799">
        <w:rPr>
          <w:rFonts w:eastAsiaTheme="minorEastAsia"/>
          <w:szCs w:val="24"/>
          <w:lang w:eastAsia="zh-CN"/>
        </w:rPr>
        <w:t>进行。活动定于</w:t>
      </w:r>
      <w:r w:rsidRPr="00BA2799">
        <w:rPr>
          <w:rFonts w:eastAsiaTheme="minorEastAsia"/>
          <w:b/>
          <w:bCs/>
          <w:szCs w:val="24"/>
          <w:lang w:eastAsia="zh-CN"/>
        </w:rPr>
        <w:t>2016</w:t>
      </w:r>
      <w:r w:rsidRPr="00BA2799">
        <w:rPr>
          <w:rFonts w:eastAsiaTheme="minorEastAsia"/>
          <w:b/>
          <w:bCs/>
          <w:szCs w:val="24"/>
          <w:lang w:eastAsia="zh-CN"/>
        </w:rPr>
        <w:t>年</w:t>
      </w:r>
      <w:r w:rsidRPr="00BA2799">
        <w:rPr>
          <w:rFonts w:eastAsiaTheme="minorEastAsia"/>
          <w:b/>
          <w:bCs/>
          <w:szCs w:val="24"/>
          <w:lang w:eastAsia="zh-CN"/>
        </w:rPr>
        <w:t>5</w:t>
      </w:r>
      <w:r w:rsidR="006A3F26" w:rsidRPr="00BA2799">
        <w:rPr>
          <w:rFonts w:eastAsiaTheme="minorEastAsia"/>
          <w:b/>
          <w:bCs/>
          <w:szCs w:val="24"/>
          <w:lang w:eastAsia="zh-CN"/>
        </w:rPr>
        <w:t>月</w:t>
      </w:r>
      <w:r w:rsidRPr="00BA2799">
        <w:rPr>
          <w:rFonts w:eastAsiaTheme="minorEastAsia"/>
          <w:b/>
          <w:bCs/>
          <w:szCs w:val="24"/>
          <w:lang w:eastAsia="zh-CN"/>
        </w:rPr>
        <w:t>23-27</w:t>
      </w:r>
      <w:r w:rsidRPr="00BA2799">
        <w:rPr>
          <w:rFonts w:eastAsiaTheme="minorEastAsia"/>
          <w:b/>
          <w:bCs/>
          <w:szCs w:val="24"/>
          <w:lang w:eastAsia="zh-CN"/>
        </w:rPr>
        <w:t>日</w:t>
      </w:r>
      <w:r w:rsidRPr="00BA2799">
        <w:rPr>
          <w:rFonts w:eastAsiaTheme="minorEastAsia"/>
          <w:szCs w:val="24"/>
          <w:lang w:eastAsia="zh-CN"/>
        </w:rPr>
        <w:t>举行。活动的条款及参与费用见专门的</w:t>
      </w:r>
      <w:hyperlink r:id="rId9" w:history="1">
        <w:r w:rsidRPr="00BA2799">
          <w:rPr>
            <w:rStyle w:val="Hyperlink"/>
            <w:rFonts w:eastAsiaTheme="minorEastAsia"/>
            <w:szCs w:val="24"/>
            <w:lang w:val="en-US" w:eastAsia="zh-CN"/>
          </w:rPr>
          <w:t>网页</w:t>
        </w:r>
      </w:hyperlink>
      <w:r w:rsidRPr="00BA2799">
        <w:rPr>
          <w:rFonts w:eastAsiaTheme="minorEastAsia"/>
          <w:szCs w:val="24"/>
          <w:lang w:eastAsia="zh-CN"/>
        </w:rPr>
        <w:t>。</w:t>
      </w:r>
    </w:p>
    <w:p w:rsidR="005A28CF" w:rsidRPr="00BA2799" w:rsidRDefault="005A28CF" w:rsidP="00BB1430">
      <w:pPr>
        <w:ind w:firstLineChars="200" w:firstLine="480"/>
        <w:rPr>
          <w:rFonts w:eastAsiaTheme="minorEastAsia"/>
          <w:szCs w:val="24"/>
          <w:lang w:eastAsia="zh-CN"/>
        </w:rPr>
      </w:pPr>
      <w:r w:rsidRPr="00BA2799">
        <w:rPr>
          <w:rFonts w:eastAsiaTheme="minorEastAsia"/>
          <w:szCs w:val="24"/>
          <w:lang w:eastAsia="zh-CN"/>
        </w:rPr>
        <w:t>此项活动是</w:t>
      </w:r>
      <w:r w:rsidRPr="00BA2799">
        <w:rPr>
          <w:rFonts w:eastAsiaTheme="minorEastAsia"/>
          <w:szCs w:val="24"/>
          <w:lang w:eastAsia="zh-CN"/>
        </w:rPr>
        <w:t>2014</w:t>
      </w:r>
      <w:r w:rsidRPr="00BA2799">
        <w:rPr>
          <w:rFonts w:eastAsiaTheme="minorEastAsia"/>
          <w:szCs w:val="24"/>
          <w:lang w:eastAsia="zh-CN"/>
        </w:rPr>
        <w:t>年</w:t>
      </w:r>
      <w:r w:rsidRPr="00BA2799">
        <w:rPr>
          <w:rFonts w:eastAsiaTheme="minorEastAsia"/>
          <w:szCs w:val="24"/>
          <w:lang w:eastAsia="zh-CN"/>
        </w:rPr>
        <w:t>5</w:t>
      </w:r>
      <w:r w:rsidRPr="00BA2799">
        <w:rPr>
          <w:rFonts w:eastAsiaTheme="minorEastAsia"/>
          <w:szCs w:val="24"/>
          <w:lang w:eastAsia="zh-CN"/>
        </w:rPr>
        <w:t>月第一次</w:t>
      </w:r>
      <w:r w:rsidRPr="00BA2799">
        <w:rPr>
          <w:rFonts w:eastAsiaTheme="minorEastAsia"/>
        </w:rPr>
        <w:fldChar w:fldCharType="begin"/>
      </w:r>
      <w:r w:rsidRPr="00BA2799">
        <w:rPr>
          <w:rFonts w:eastAsiaTheme="minorEastAsia"/>
          <w:lang w:eastAsia="zh-CN"/>
        </w:rPr>
        <w:instrText xml:space="preserve"> HYPERLINK "http://www.itu.int/en/ITU-T/C-I/Pages/test_event_Feb14.aspx" </w:instrText>
      </w:r>
      <w:r w:rsidRPr="00BA2799">
        <w:rPr>
          <w:rFonts w:eastAsiaTheme="minorEastAsia"/>
        </w:rPr>
        <w:fldChar w:fldCharType="separate"/>
      </w:r>
      <w:r w:rsidRPr="00BA2799">
        <w:rPr>
          <w:rStyle w:val="Hyperlink"/>
          <w:rFonts w:eastAsiaTheme="minorEastAsia"/>
          <w:szCs w:val="24"/>
          <w:lang w:val="en-US" w:eastAsia="zh-CN"/>
        </w:rPr>
        <w:t>国际电联测试活动</w:t>
      </w:r>
      <w:r w:rsidRPr="00BA2799">
        <w:rPr>
          <w:rStyle w:val="Hyperlink"/>
          <w:rFonts w:eastAsiaTheme="minorEastAsia"/>
          <w:szCs w:val="24"/>
          <w:lang w:val="en-US" w:eastAsia="zh-CN"/>
        </w:rPr>
        <w:fldChar w:fldCharType="end"/>
      </w:r>
      <w:r w:rsidRPr="00BA2799">
        <w:rPr>
          <w:rFonts w:eastAsiaTheme="minorEastAsia"/>
          <w:szCs w:val="24"/>
          <w:lang w:eastAsia="zh-CN"/>
        </w:rPr>
        <w:t>的延续，那次活动得到了媒体的很大关注，在参与者</w:t>
      </w:r>
      <w:r w:rsidR="004D4E59" w:rsidRPr="00BA2799">
        <w:rPr>
          <w:rFonts w:eastAsiaTheme="minorEastAsia"/>
          <w:szCs w:val="24"/>
          <w:lang w:eastAsia="zh-CN"/>
        </w:rPr>
        <w:t>（</w:t>
      </w:r>
      <w:r w:rsidRPr="00BA2799">
        <w:rPr>
          <w:rFonts w:eastAsiaTheme="minorEastAsia"/>
          <w:szCs w:val="24"/>
          <w:lang w:eastAsia="zh-CN"/>
        </w:rPr>
        <w:t>博世、奔驰、雷诺、沃尔沃和丰田等</w:t>
      </w:r>
      <w:r w:rsidR="004D4E59" w:rsidRPr="00BA2799">
        <w:rPr>
          <w:rFonts w:eastAsiaTheme="minorEastAsia"/>
          <w:szCs w:val="24"/>
          <w:lang w:eastAsia="zh-CN"/>
        </w:rPr>
        <w:t>）</w:t>
      </w:r>
      <w:r w:rsidRPr="00BA2799">
        <w:rPr>
          <w:rFonts w:eastAsiaTheme="minorEastAsia"/>
          <w:szCs w:val="24"/>
          <w:lang w:eastAsia="zh-CN"/>
        </w:rPr>
        <w:t>中引起了很大反响。对参加测试活动的企业提供的约</w:t>
      </w:r>
      <w:r w:rsidRPr="00BA2799">
        <w:rPr>
          <w:rFonts w:eastAsiaTheme="minorEastAsia"/>
          <w:szCs w:val="24"/>
          <w:lang w:eastAsia="zh-CN"/>
        </w:rPr>
        <w:t>50</w:t>
      </w:r>
      <w:r w:rsidRPr="00BA2799">
        <w:rPr>
          <w:rFonts w:eastAsiaTheme="minorEastAsia"/>
          <w:szCs w:val="24"/>
          <w:lang w:eastAsia="zh-CN"/>
        </w:rPr>
        <w:t>部顶级电话进行了测试</w:t>
      </w:r>
      <w:r w:rsidR="004D4E59" w:rsidRPr="00BA2799">
        <w:rPr>
          <w:rFonts w:eastAsiaTheme="minorEastAsia"/>
          <w:szCs w:val="24"/>
          <w:lang w:eastAsia="zh-CN"/>
        </w:rPr>
        <w:t>（</w:t>
      </w:r>
      <w:hyperlink r:id="rId10" w:anchor=".VnLHUrYrLmE" w:history="1">
        <w:r w:rsidRPr="00BA2799">
          <w:rPr>
            <w:rStyle w:val="Hyperlink"/>
            <w:rFonts w:eastAsiaTheme="minorEastAsia"/>
            <w:szCs w:val="24"/>
            <w:lang w:val="en-US" w:eastAsia="zh-CN"/>
          </w:rPr>
          <w:t>新闻网志</w:t>
        </w:r>
      </w:hyperlink>
      <w:r w:rsidR="004D4E59" w:rsidRPr="00BA2799">
        <w:rPr>
          <w:rFonts w:eastAsiaTheme="minorEastAsia"/>
          <w:szCs w:val="24"/>
          <w:lang w:eastAsia="zh-CN"/>
        </w:rPr>
        <w:t>）</w:t>
      </w:r>
      <w:r w:rsidRPr="00BA2799">
        <w:rPr>
          <w:rFonts w:eastAsiaTheme="minorEastAsia"/>
          <w:szCs w:val="24"/>
          <w:lang w:eastAsia="zh-CN"/>
        </w:rPr>
        <w:t>。</w:t>
      </w:r>
    </w:p>
    <w:p w:rsidR="005A28CF" w:rsidRPr="00BA2799" w:rsidRDefault="005A28CF" w:rsidP="00BB1430">
      <w:pPr>
        <w:ind w:firstLineChars="200" w:firstLine="480"/>
        <w:rPr>
          <w:rFonts w:eastAsiaTheme="minorEastAsia"/>
          <w:szCs w:val="24"/>
          <w:lang w:eastAsia="zh-CN"/>
        </w:rPr>
      </w:pPr>
      <w:r w:rsidRPr="00BA2799">
        <w:rPr>
          <w:rFonts w:eastAsiaTheme="minorEastAsia"/>
          <w:szCs w:val="24"/>
          <w:lang w:eastAsia="zh-CN"/>
        </w:rPr>
        <w:t>除可允许生产厂商对其移动电话进行改进的技术分析外，这项测试活动还为生产厂商或网络提供商提供了对移动电话进行评优的机会。成功通过测试的电话将列入</w:t>
      </w:r>
      <w:r w:rsidR="00695DF5" w:rsidRPr="00695DF5">
        <w:rPr>
          <w:rFonts w:ascii="SimSun" w:eastAsia="SimSun" w:hAnsi="SimSun"/>
          <w:szCs w:val="24"/>
          <w:lang w:eastAsia="zh-CN"/>
        </w:rPr>
        <w:t>“</w:t>
      </w:r>
      <w:r w:rsidRPr="00BA2799">
        <w:rPr>
          <w:rFonts w:eastAsiaTheme="minorEastAsia"/>
          <w:szCs w:val="24"/>
          <w:lang w:eastAsia="zh-CN"/>
        </w:rPr>
        <w:t>优秀产品榜</w:t>
      </w:r>
      <w:r w:rsidR="00695DF5" w:rsidRPr="00695DF5">
        <w:rPr>
          <w:rFonts w:ascii="SimSun" w:eastAsia="SimSun" w:hAnsi="SimSun"/>
          <w:szCs w:val="24"/>
          <w:lang w:eastAsia="zh-CN"/>
        </w:rPr>
        <w:t>”</w:t>
      </w:r>
      <w:r w:rsidR="004D4E59" w:rsidRPr="00BA2799">
        <w:rPr>
          <w:rFonts w:eastAsiaTheme="minorEastAsia"/>
          <w:szCs w:val="24"/>
          <w:lang w:eastAsia="zh-CN"/>
        </w:rPr>
        <w:t>（</w:t>
      </w:r>
      <w:hyperlink r:id="rId11" w:history="1">
        <w:r w:rsidRPr="00BA2799">
          <w:rPr>
            <w:rStyle w:val="Hyperlink"/>
            <w:rFonts w:eastAsiaTheme="minorEastAsia"/>
            <w:szCs w:val="24"/>
            <w:lang w:val="en-US" w:eastAsia="zh-CN"/>
          </w:rPr>
          <w:t>http://itu.int/go/phone_whitelist</w:t>
        </w:r>
      </w:hyperlink>
      <w:r w:rsidR="004D4E59" w:rsidRPr="00BA2799">
        <w:rPr>
          <w:rFonts w:eastAsiaTheme="minorEastAsia"/>
          <w:szCs w:val="24"/>
          <w:lang w:eastAsia="zh-CN"/>
        </w:rPr>
        <w:t>）</w:t>
      </w:r>
      <w:r w:rsidRPr="00BA2799">
        <w:rPr>
          <w:rFonts w:eastAsiaTheme="minorEastAsia"/>
          <w:szCs w:val="24"/>
          <w:lang w:eastAsia="zh-CN"/>
        </w:rPr>
        <w:t>中。此电话清单可根据测试活动的结果与车载免提系统一起推荐使用，因此可为消费者做出购买决定或汽车生产厂商提出建议时提供指导。</w:t>
      </w:r>
    </w:p>
    <w:p w:rsidR="005A28CF" w:rsidRPr="00BA2799" w:rsidRDefault="005A28CF" w:rsidP="00BB1430">
      <w:pPr>
        <w:ind w:firstLineChars="200" w:firstLine="480"/>
        <w:rPr>
          <w:rFonts w:eastAsiaTheme="minorEastAsia"/>
          <w:szCs w:val="24"/>
          <w:lang w:eastAsia="zh-CN"/>
        </w:rPr>
      </w:pPr>
      <w:r w:rsidRPr="00BA2799">
        <w:rPr>
          <w:rFonts w:eastAsiaTheme="minorEastAsia"/>
          <w:szCs w:val="24"/>
          <w:lang w:eastAsia="zh-CN"/>
        </w:rPr>
        <w:t>此外，从现在起将提供按需测试。按需测试是生产商和提供商测试设备，将其设备列入</w:t>
      </w:r>
      <w:r w:rsidR="00695DF5" w:rsidRPr="00695DF5">
        <w:rPr>
          <w:rFonts w:ascii="SimSun" w:eastAsia="SimSun" w:hAnsi="SimSun"/>
          <w:szCs w:val="24"/>
          <w:lang w:eastAsia="zh-CN"/>
        </w:rPr>
        <w:t>“</w:t>
      </w:r>
      <w:r w:rsidRPr="00BA2799">
        <w:rPr>
          <w:rFonts w:eastAsiaTheme="minorEastAsia"/>
          <w:szCs w:val="24"/>
          <w:lang w:eastAsia="zh-CN"/>
        </w:rPr>
        <w:t>优秀产品榜</w:t>
      </w:r>
      <w:r w:rsidR="00695DF5" w:rsidRPr="00695DF5">
        <w:rPr>
          <w:rFonts w:ascii="SimSun" w:eastAsia="SimSun" w:hAnsi="SimSun"/>
          <w:szCs w:val="24"/>
          <w:lang w:eastAsia="zh-CN"/>
        </w:rPr>
        <w:t>”</w:t>
      </w:r>
      <w:r w:rsidRPr="00BA2799">
        <w:rPr>
          <w:rFonts w:eastAsiaTheme="minorEastAsia"/>
          <w:szCs w:val="24"/>
          <w:lang w:eastAsia="zh-CN"/>
        </w:rPr>
        <w:t>的一个额外机遇。国际电联可协调按需测试在任意时刻开展，并可与新电话产品的开发周期保持同步。</w:t>
      </w:r>
    </w:p>
    <w:p w:rsidR="005A28CF" w:rsidRDefault="005A28CF" w:rsidP="00BB1430">
      <w:pPr>
        <w:ind w:firstLineChars="200" w:firstLine="480"/>
        <w:rPr>
          <w:rFonts w:eastAsiaTheme="minorEastAsia"/>
          <w:lang w:eastAsia="zh-CN"/>
        </w:rPr>
      </w:pPr>
      <w:r w:rsidRPr="00BA2799">
        <w:rPr>
          <w:rFonts w:eastAsiaTheme="minorEastAsia"/>
          <w:lang w:eastAsia="zh-CN"/>
        </w:rPr>
        <w:t>如您有意参加第二次测试活动或按需测试，请在</w:t>
      </w:r>
      <w:r w:rsidRPr="00BA2799">
        <w:rPr>
          <w:rFonts w:eastAsiaTheme="minorEastAsia"/>
          <w:b/>
          <w:bCs/>
          <w:lang w:eastAsia="zh-CN"/>
        </w:rPr>
        <w:t>2016</w:t>
      </w:r>
      <w:r w:rsidRPr="00BA2799">
        <w:rPr>
          <w:rFonts w:eastAsiaTheme="minorEastAsia"/>
          <w:b/>
          <w:bCs/>
          <w:lang w:eastAsia="zh-CN"/>
        </w:rPr>
        <w:t>年</w:t>
      </w:r>
      <w:r w:rsidRPr="00BA2799">
        <w:rPr>
          <w:rFonts w:eastAsiaTheme="minorEastAsia"/>
          <w:b/>
          <w:bCs/>
          <w:lang w:eastAsia="zh-CN"/>
        </w:rPr>
        <w:t>3</w:t>
      </w:r>
      <w:r w:rsidRPr="00BA2799">
        <w:rPr>
          <w:rFonts w:eastAsiaTheme="minorEastAsia"/>
          <w:b/>
          <w:bCs/>
          <w:lang w:eastAsia="zh-CN"/>
        </w:rPr>
        <w:t>月</w:t>
      </w:r>
      <w:r w:rsidRPr="00BA2799">
        <w:rPr>
          <w:rFonts w:eastAsiaTheme="minorEastAsia"/>
          <w:b/>
          <w:bCs/>
          <w:lang w:eastAsia="zh-CN"/>
        </w:rPr>
        <w:t>15</w:t>
      </w:r>
      <w:r w:rsidRPr="00BA2799">
        <w:rPr>
          <w:rFonts w:eastAsiaTheme="minorEastAsia"/>
          <w:b/>
          <w:bCs/>
          <w:lang w:eastAsia="zh-CN"/>
        </w:rPr>
        <w:t>日</w:t>
      </w:r>
      <w:r w:rsidRPr="00BA2799">
        <w:rPr>
          <w:rFonts w:eastAsiaTheme="minorEastAsia"/>
          <w:lang w:eastAsia="zh-CN"/>
        </w:rPr>
        <w:t>之前与</w:t>
      </w:r>
      <w:hyperlink r:id="rId12" w:history="1">
        <w:r w:rsidRPr="00BA2799">
          <w:rPr>
            <w:rStyle w:val="Hyperlink"/>
            <w:rFonts w:eastAsiaTheme="minorEastAsia"/>
            <w:szCs w:val="24"/>
            <w:lang w:val="en-US"/>
          </w:rPr>
          <w:t>conformity@itu.int</w:t>
        </w:r>
      </w:hyperlink>
      <w:r w:rsidRPr="00BA2799">
        <w:rPr>
          <w:rFonts w:eastAsiaTheme="minorEastAsia"/>
          <w:lang w:eastAsia="zh-CN"/>
        </w:rPr>
        <w:t>联系。</w:t>
      </w:r>
    </w:p>
    <w:p w:rsidR="009B5CD8" w:rsidRPr="009B5CD8" w:rsidRDefault="009B5CD8" w:rsidP="00BB1430">
      <w:pPr>
        <w:ind w:firstLineChars="200" w:firstLine="480"/>
        <w:rPr>
          <w:rFonts w:eastAsiaTheme="minorEastAsia" w:hint="eastAsia"/>
          <w:lang w:eastAsia="zh-CN"/>
        </w:rPr>
      </w:pPr>
      <w:proofErr w:type="spellStart"/>
      <w:r w:rsidRPr="009B5CD8">
        <w:rPr>
          <w:rFonts w:eastAsiaTheme="minorEastAsia" w:hint="eastAsia"/>
          <w:lang w:eastAsia="zh-CN"/>
        </w:rPr>
        <w:t>顺致敬意</w:t>
      </w:r>
      <w:proofErr w:type="spellEnd"/>
      <w:r w:rsidRPr="009B5CD8">
        <w:rPr>
          <w:rFonts w:eastAsiaTheme="minorEastAsia" w:hint="eastAsia"/>
          <w:lang w:eastAsia="zh-CN"/>
        </w:rPr>
        <w:t>！</w:t>
      </w:r>
      <w:bookmarkStart w:id="1" w:name="_GoBack"/>
      <w:bookmarkEnd w:id="1"/>
    </w:p>
    <w:p w:rsidR="0063445E" w:rsidRPr="005A28CF" w:rsidRDefault="005A28CF" w:rsidP="000047DE">
      <w:pPr>
        <w:spacing w:before="720"/>
        <w:rPr>
          <w:rFonts w:ascii="Times New Roman" w:eastAsiaTheme="minorEastAsia" w:hAnsi="Times New Roman"/>
          <w:lang w:val="ru-RU" w:eastAsia="zh-CN"/>
        </w:rPr>
      </w:pPr>
      <w:r w:rsidRPr="00BA2799">
        <w:rPr>
          <w:rFonts w:eastAsiaTheme="minorEastAsia"/>
          <w:lang w:eastAsia="zh-CN"/>
        </w:rPr>
        <w:t>电信标准化局主任</w:t>
      </w:r>
      <w:r w:rsidRPr="00BA2799">
        <w:rPr>
          <w:rFonts w:eastAsiaTheme="minorEastAsia"/>
          <w:lang w:eastAsia="zh-CN"/>
        </w:rPr>
        <w:br/>
      </w:r>
      <w:r w:rsidRPr="00BA2799">
        <w:rPr>
          <w:rFonts w:eastAsiaTheme="minorEastAsia"/>
          <w:lang w:eastAsia="zh-CN"/>
        </w:rPr>
        <w:t>李在摄</w:t>
      </w:r>
    </w:p>
    <w:sectPr w:rsidR="0063445E" w:rsidRPr="005A28CF">
      <w:headerReference w:type="default" r:id="rId13"/>
      <w:footerReference w:type="default" r:id="rId14"/>
      <w:headerReference w:type="first" r:id="rId15"/>
      <w:footerReference w:type="first" r:id="rId16"/>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D91" w:rsidRDefault="00674D91">
      <w:r>
        <w:separator/>
      </w:r>
    </w:p>
  </w:endnote>
  <w:endnote w:type="continuationSeparator" w:id="0">
    <w:p w:rsidR="00674D91" w:rsidRDefault="00674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12" w:rsidRPr="0035674D" w:rsidRDefault="00841612" w:rsidP="003F1CCA">
    <w:pPr>
      <w:pStyle w:val="Footer"/>
      <w:rPr>
        <w:lang w:val="fr-FR"/>
      </w:rPr>
    </w:pPr>
    <w:r>
      <w:fldChar w:fldCharType="begin"/>
    </w:r>
    <w:r w:rsidRPr="0035674D">
      <w:rPr>
        <w:lang w:val="fr-FR"/>
      </w:rPr>
      <w:instrText xml:space="preserve"> FILENAME \p \* MERGEFORMAT </w:instrText>
    </w:r>
    <w:r>
      <w:fldChar w:fldCharType="separate"/>
    </w:r>
    <w:r w:rsidR="00674D91">
      <w:rPr>
        <w:noProof/>
        <w:lang w:val="fr-FR"/>
      </w:rPr>
      <w:t>Document4</w:t>
    </w:r>
    <w:r>
      <w:fldChar w:fldCharType="end"/>
    </w:r>
    <w:r w:rsidRPr="0035674D">
      <w:rPr>
        <w:lang w:val="fr-FR"/>
      </w:rPr>
      <w:tab/>
    </w:r>
    <w:r>
      <w:rPr>
        <w:lang w:val="fr-FR"/>
      </w:rPr>
      <w:fldChar w:fldCharType="begin"/>
    </w:r>
    <w:r>
      <w:rPr>
        <w:lang w:val="fr-FR"/>
      </w:rPr>
      <w:instrText xml:space="preserve"> DATE \@ "dd/MM/yyyy" </w:instrText>
    </w:r>
    <w:r>
      <w:rPr>
        <w:lang w:val="fr-FR"/>
      </w:rPr>
      <w:fldChar w:fldCharType="separate"/>
    </w:r>
    <w:r w:rsidR="00674D91">
      <w:rPr>
        <w:noProof/>
        <w:lang w:val="fr-FR"/>
      </w:rPr>
      <w:t>09/02/2016</w:t>
    </w:r>
    <w:r>
      <w:rPr>
        <w:lang w:val="fr-FR"/>
      </w:rPr>
      <w:fldChar w:fldCharType="end"/>
    </w:r>
    <w:r w:rsidRPr="0035674D">
      <w:rPr>
        <w:lang w:val="fr-FR"/>
      </w:rPr>
      <w:tab/>
    </w:r>
    <w:r>
      <w:rPr>
        <w:lang w:val="fr-FR"/>
      </w:rPr>
      <w:fldChar w:fldCharType="begin"/>
    </w:r>
    <w:r>
      <w:rPr>
        <w:lang w:val="fr-FR"/>
      </w:rPr>
      <w:instrText xml:space="preserve"> DATE \@ "dd/MM/yyyy" </w:instrText>
    </w:r>
    <w:r>
      <w:rPr>
        <w:lang w:val="fr-FR"/>
      </w:rPr>
      <w:fldChar w:fldCharType="separate"/>
    </w:r>
    <w:r w:rsidR="00674D91">
      <w:rPr>
        <w:noProof/>
        <w:lang w:val="fr-FR"/>
      </w:rPr>
      <w:t>09/02/2016</w:t>
    </w:r>
    <w:r>
      <w:rPr>
        <w:lang w:val="fr-F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E39" w:rsidRPr="00160324" w:rsidRDefault="0055509D" w:rsidP="0038630E">
    <w:pPr>
      <w:pStyle w:val="FirstFooter"/>
      <w:ind w:left="-397" w:right="-397"/>
      <w:jc w:val="center"/>
      <w:rPr>
        <w:rFonts w:asciiTheme="minorHAnsi" w:hAnsiTheme="minorHAnsi"/>
        <w:color w:val="3E8EDE"/>
        <w:sz w:val="18"/>
        <w:szCs w:val="18"/>
      </w:rPr>
    </w:pPr>
    <w:r w:rsidRPr="00160324">
      <w:rPr>
        <w:rFonts w:asciiTheme="minorHAnsi" w:hAnsiTheme="minorHAnsi"/>
        <w:color w:val="3E8EDE"/>
        <w:sz w:val="18"/>
        <w:szCs w:val="18"/>
        <w:lang w:val="fr-CH"/>
      </w:rPr>
      <w:t xml:space="preserve">International </w:t>
    </w:r>
    <w:proofErr w:type="spellStart"/>
    <w:r w:rsidRPr="00160324">
      <w:rPr>
        <w:rFonts w:asciiTheme="minorHAnsi" w:hAnsiTheme="minorHAnsi"/>
        <w:color w:val="3E8EDE"/>
        <w:sz w:val="18"/>
        <w:szCs w:val="18"/>
        <w:lang w:val="fr-CH"/>
      </w:rPr>
      <w:t>Telecommunication</w:t>
    </w:r>
    <w:proofErr w:type="spellEnd"/>
    <w:r w:rsidRPr="00160324">
      <w:rPr>
        <w:rFonts w:asciiTheme="minorHAnsi" w:hAnsiTheme="minorHAnsi"/>
        <w:color w:val="3E8EDE"/>
        <w:sz w:val="18"/>
        <w:szCs w:val="18"/>
        <w:lang w:val="fr-CH"/>
      </w:rPr>
      <w:t xml:space="preserve"> Union • Place des Nations • CH</w:t>
    </w:r>
    <w:r w:rsidRPr="00160324">
      <w:rPr>
        <w:rFonts w:asciiTheme="minorHAnsi" w:hAnsiTheme="minorHAnsi"/>
        <w:color w:val="3E8EDE"/>
        <w:sz w:val="18"/>
        <w:szCs w:val="18"/>
        <w:lang w:val="fr-CH"/>
      </w:rPr>
      <w:noBreakHyphen/>
      <w:t xml:space="preserve">1211 Geneva 20 • </w:t>
    </w:r>
    <w:proofErr w:type="spellStart"/>
    <w:r w:rsidRPr="00160324">
      <w:rPr>
        <w:rFonts w:asciiTheme="minorHAnsi" w:hAnsiTheme="minorHAnsi"/>
        <w:color w:val="3E8EDE"/>
        <w:sz w:val="18"/>
        <w:szCs w:val="18"/>
        <w:lang w:val="fr-CH"/>
      </w:rPr>
      <w:t>Switzerland</w:t>
    </w:r>
    <w:proofErr w:type="spellEnd"/>
    <w:r w:rsidRPr="00160324">
      <w:rPr>
        <w:rFonts w:asciiTheme="minorHAnsi" w:hAnsiTheme="minorHAnsi"/>
        <w:color w:val="3E8EDE"/>
        <w:sz w:val="18"/>
        <w:szCs w:val="18"/>
        <w:lang w:val="fr-CH"/>
      </w:rPr>
      <w:t xml:space="preserve"> </w:t>
    </w:r>
    <w:r w:rsidRPr="00160324">
      <w:rPr>
        <w:rFonts w:asciiTheme="minorHAnsi" w:hAnsiTheme="minorHAnsi"/>
        <w:color w:val="3E8EDE"/>
        <w:sz w:val="18"/>
        <w:szCs w:val="18"/>
        <w:lang w:val="fr-CH"/>
      </w:rPr>
      <w:br/>
      <w:t>Tel: +41 22 730 5111 • Fax: +41 22 733 7256 •</w:t>
    </w:r>
    <w:r w:rsidRPr="00160324">
      <w:rPr>
        <w:rFonts w:asciiTheme="minorHAnsi" w:hAnsiTheme="minorHAnsi"/>
        <w:color w:val="3E8EDE"/>
        <w:sz w:val="18"/>
        <w:szCs w:val="18"/>
        <w:lang w:val="fr-CH"/>
      </w:rPr>
      <w:br/>
    </w:r>
    <w:r w:rsidRPr="00160324">
      <w:rPr>
        <w:rFonts w:asciiTheme="minorHAnsi" w:hAnsiTheme="minorHAnsi"/>
        <w:color w:val="3E8EDE"/>
        <w:sz w:val="18"/>
        <w:szCs w:val="18"/>
        <w:lang w:val="fr-CH"/>
      </w:rPr>
      <w:t xml:space="preserve"> E-mail: </w:t>
    </w:r>
    <w:hyperlink r:id="rId1" w:history="1">
      <w:r w:rsidRPr="00160324">
        <w:rPr>
          <w:rStyle w:val="Hyperlink"/>
          <w:rFonts w:asciiTheme="minorHAnsi" w:hAnsiTheme="minorHAnsi"/>
          <w:color w:val="3E8EDE"/>
          <w:sz w:val="18"/>
          <w:szCs w:val="18"/>
          <w:lang w:val="fr-CH"/>
        </w:rPr>
        <w:t>itumail@itu.int</w:t>
      </w:r>
    </w:hyperlink>
    <w:r w:rsidRPr="00160324">
      <w:rPr>
        <w:rFonts w:asciiTheme="minorHAnsi" w:hAnsiTheme="minorHAnsi"/>
        <w:color w:val="3E8EDE"/>
        <w:sz w:val="18"/>
        <w:szCs w:val="18"/>
        <w:lang w:val="fr-CH"/>
      </w:rPr>
      <w:t xml:space="preserve"> • </w:t>
    </w:r>
    <w:hyperlink r:id="rId2" w:history="1">
      <w:r w:rsidRPr="00160324">
        <w:rPr>
          <w:rStyle w:val="Hyperlink"/>
          <w:rFonts w:asciiTheme="minorHAnsi" w:hAnsiTheme="minorHAnsi"/>
          <w:color w:val="3E8EDE"/>
          <w:sz w:val="18"/>
          <w:szCs w:val="18"/>
          <w:lang w:val="fr-CH"/>
        </w:rPr>
        <w:t>www.itu.int</w:t>
      </w:r>
    </w:hyperlink>
    <w:r w:rsidRPr="00160324">
      <w:rPr>
        <w:rFonts w:asciiTheme="minorHAnsi" w:hAnsiTheme="minorHAnsi"/>
        <w:color w:val="3E8EDE"/>
        <w:sz w:val="18"/>
        <w:szCs w:val="18"/>
        <w:lang w:val="fr-CH"/>
      </w:rPr>
      <w:t xml:space="preserve"> •</w:t>
    </w:r>
    <w:hyperlink r:id="rId3" w:history="1">
      <w:r w:rsidRPr="00160324">
        <w:rPr>
          <w:rStyle w:val="Hyperlink"/>
          <w:rFonts w:asciiTheme="minorHAnsi" w:hAnsiTheme="minorHAnsi"/>
          <w:color w:val="3E8EDE"/>
          <w:sz w:val="18"/>
          <w:szCs w:val="18"/>
        </w:rPr>
        <w:t xml:space="preserve">CCITT/ITU-T 60 </w:t>
      </w:r>
      <w:proofErr w:type="spellStart"/>
      <w:r w:rsidRPr="00160324">
        <w:rPr>
          <w:rStyle w:val="Hyperlink"/>
          <w:rFonts w:asciiTheme="minorHAnsi" w:hAnsiTheme="minorHAnsi"/>
          <w:color w:val="3E8EDE"/>
          <w:sz w:val="18"/>
          <w:szCs w:val="18"/>
        </w:rPr>
        <w:t>years</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D91" w:rsidRDefault="00674D91">
      <w:r>
        <w:separator/>
      </w:r>
    </w:p>
  </w:footnote>
  <w:footnote w:type="continuationSeparator" w:id="0">
    <w:p w:rsidR="00674D91" w:rsidRDefault="00674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12" w:rsidRDefault="00841612" w:rsidP="00590119">
    <w:pPr>
      <w:pStyle w:val="Header"/>
    </w:pPr>
    <w:r>
      <w:fldChar w:fldCharType="begin"/>
    </w:r>
    <w:r>
      <w:instrText>PAGE</w:instrText>
    </w:r>
    <w:r>
      <w:fldChar w:fldCharType="separate"/>
    </w:r>
    <w:r w:rsidR="004D4E59">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jc w:val="center"/>
      <w:tblLook w:val="04A0" w:firstRow="1" w:lastRow="0" w:firstColumn="1" w:lastColumn="0" w:noHBand="0" w:noVBand="1"/>
    </w:tblPr>
    <w:tblGrid>
      <w:gridCol w:w="4889"/>
      <w:gridCol w:w="5000"/>
    </w:tblGrid>
    <w:tr w:rsidR="0055509D" w:rsidTr="009C7328">
      <w:trPr>
        <w:jc w:val="center"/>
      </w:trPr>
      <w:tc>
        <w:tcPr>
          <w:tcW w:w="4889" w:type="dxa"/>
          <w:shd w:val="clear" w:color="auto" w:fill="auto"/>
        </w:tcPr>
        <w:p w:rsidR="0055509D" w:rsidRPr="00930FCB" w:rsidRDefault="0055509D" w:rsidP="0055509D">
          <w:pPr>
            <w:pStyle w:val="Header"/>
            <w:spacing w:before="20" w:line="360" w:lineRule="auto"/>
            <w:jc w:val="left"/>
            <w:rPr>
              <w:rFonts w:cs="Calibri"/>
              <w:lang w:val="fr-CH"/>
            </w:rPr>
          </w:pPr>
          <w:r w:rsidRPr="00930FCB">
            <w:rPr>
              <w:rFonts w:cs="Calibri"/>
              <w:b/>
              <w:bCs/>
              <w:noProof/>
              <w:lang w:val="en-US" w:eastAsia="zh-CN"/>
            </w:rPr>
            <w:drawing>
              <wp:inline distT="0" distB="0" distL="0" distR="0" wp14:anchorId="0CBA2449" wp14:editId="5C0EBCB7">
                <wp:extent cx="533400" cy="609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5000" w:type="dxa"/>
          <w:shd w:val="clear" w:color="auto" w:fill="auto"/>
        </w:tcPr>
        <w:p w:rsidR="0055509D" w:rsidRPr="00930FCB" w:rsidRDefault="0055509D" w:rsidP="0055509D">
          <w:pPr>
            <w:pStyle w:val="Header"/>
            <w:spacing w:line="360" w:lineRule="auto"/>
            <w:jc w:val="right"/>
            <w:rPr>
              <w:rFonts w:cs="Calibri"/>
              <w:lang w:val="fr-CH"/>
            </w:rPr>
          </w:pPr>
          <w:r>
            <w:rPr>
              <w:noProof/>
              <w:lang w:val="en-US" w:eastAsia="zh-CN"/>
            </w:rPr>
            <w:drawing>
              <wp:inline distT="0" distB="0" distL="0" distR="0" wp14:anchorId="3C6A9B29" wp14:editId="60CF5633">
                <wp:extent cx="851392" cy="680085"/>
                <wp:effectExtent l="0" t="0" r="6350" b="5715"/>
                <wp:docPr id="5" name="Picture 5" descr="C:\Users\gaspari\AppData\Local\Microsoft\Windows\Temporary Internet Files\Content.Word\logo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spari\AppData\Local\Microsoft\Windows\Temporary Internet Files\Content.Word\logos-0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4370" cy="690452"/>
                        </a:xfrm>
                        <a:prstGeom prst="rect">
                          <a:avLst/>
                        </a:prstGeom>
                        <a:noFill/>
                        <a:ln>
                          <a:noFill/>
                        </a:ln>
                      </pic:spPr>
                    </pic:pic>
                  </a:graphicData>
                </a:graphic>
              </wp:inline>
            </w:drawing>
          </w:r>
        </w:p>
      </w:tc>
    </w:tr>
  </w:tbl>
  <w:p w:rsidR="0055509D" w:rsidRPr="0055509D" w:rsidRDefault="0055509D" w:rsidP="005550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D91"/>
    <w:rsid w:val="000047DE"/>
    <w:rsid w:val="00027EE3"/>
    <w:rsid w:val="00081BA5"/>
    <w:rsid w:val="00090E72"/>
    <w:rsid w:val="00094C0B"/>
    <w:rsid w:val="000A2484"/>
    <w:rsid w:val="00117471"/>
    <w:rsid w:val="00160324"/>
    <w:rsid w:val="00160A43"/>
    <w:rsid w:val="00177CB0"/>
    <w:rsid w:val="00192125"/>
    <w:rsid w:val="001D6E70"/>
    <w:rsid w:val="00234A9B"/>
    <w:rsid w:val="002420E4"/>
    <w:rsid w:val="0025165E"/>
    <w:rsid w:val="00282732"/>
    <w:rsid w:val="00284869"/>
    <w:rsid w:val="002E05E3"/>
    <w:rsid w:val="00303A2A"/>
    <w:rsid w:val="003064AD"/>
    <w:rsid w:val="0031778A"/>
    <w:rsid w:val="00334A24"/>
    <w:rsid w:val="0035674D"/>
    <w:rsid w:val="0038630E"/>
    <w:rsid w:val="003F1CCA"/>
    <w:rsid w:val="00421597"/>
    <w:rsid w:val="00464015"/>
    <w:rsid w:val="00486359"/>
    <w:rsid w:val="004D4E59"/>
    <w:rsid w:val="0055509D"/>
    <w:rsid w:val="00590119"/>
    <w:rsid w:val="005A28CF"/>
    <w:rsid w:val="005C26FD"/>
    <w:rsid w:val="00627AE8"/>
    <w:rsid w:val="0063445E"/>
    <w:rsid w:val="00674D91"/>
    <w:rsid w:val="00695DF5"/>
    <w:rsid w:val="006A3F26"/>
    <w:rsid w:val="006B463C"/>
    <w:rsid w:val="006C1461"/>
    <w:rsid w:val="006D22B1"/>
    <w:rsid w:val="006D42C6"/>
    <w:rsid w:val="007568DA"/>
    <w:rsid w:val="007C2134"/>
    <w:rsid w:val="007E6089"/>
    <w:rsid w:val="00841612"/>
    <w:rsid w:val="0084436D"/>
    <w:rsid w:val="008B2BDA"/>
    <w:rsid w:val="009128F1"/>
    <w:rsid w:val="009424FC"/>
    <w:rsid w:val="00956D38"/>
    <w:rsid w:val="009611B7"/>
    <w:rsid w:val="009727EA"/>
    <w:rsid w:val="00974486"/>
    <w:rsid w:val="009B5CD8"/>
    <w:rsid w:val="009C2FF6"/>
    <w:rsid w:val="00A1090D"/>
    <w:rsid w:val="00A16AB0"/>
    <w:rsid w:val="00A55D76"/>
    <w:rsid w:val="00B01F79"/>
    <w:rsid w:val="00B3281E"/>
    <w:rsid w:val="00B56B75"/>
    <w:rsid w:val="00BA2799"/>
    <w:rsid w:val="00BB1430"/>
    <w:rsid w:val="00BB5392"/>
    <w:rsid w:val="00BC7AEE"/>
    <w:rsid w:val="00BE339D"/>
    <w:rsid w:val="00C03DF1"/>
    <w:rsid w:val="00C03E87"/>
    <w:rsid w:val="00C6016A"/>
    <w:rsid w:val="00C7008A"/>
    <w:rsid w:val="00C916ED"/>
    <w:rsid w:val="00D16F47"/>
    <w:rsid w:val="00D17419"/>
    <w:rsid w:val="00D34F86"/>
    <w:rsid w:val="00E35907"/>
    <w:rsid w:val="00E41E39"/>
    <w:rsid w:val="00E47AFF"/>
    <w:rsid w:val="00F07A3C"/>
    <w:rsid w:val="00F346AB"/>
    <w:rsid w:val="00F938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CBDA254-8F22-467F-9D4B-D32EF252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59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eastAsia="Times New Roman"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character" w:customStyle="1" w:styleId="HeaderChar">
    <w:name w:val="Header Char"/>
    <w:aliases w:val="encabezado Char,Page No Char"/>
    <w:basedOn w:val="DefaultParagraphFont"/>
    <w:link w:val="Header"/>
    <w:uiPriority w:val="99"/>
    <w:rsid w:val="0055509D"/>
    <w:rPr>
      <w:rFonts w:asciiTheme="minorHAnsi" w:hAnsiTheme="minorHAnsi"/>
      <w:sz w:val="22"/>
      <w:lang w:val="en-GB" w:eastAsia="en-US"/>
    </w:rPr>
  </w:style>
  <w:style w:type="paragraph" w:customStyle="1" w:styleId="Tabletext">
    <w:name w:val="Table_text"/>
    <w:basedOn w:val="Normal"/>
    <w:rsid w:val="0042159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T/recommendations/rec.aspx?rec=12416"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tu.int/ITU-T/recommendations/rec.aspx?rec=12415" TargetMode="External"/><Relationship Id="rId12" Type="http://schemas.openxmlformats.org/officeDocument/2006/relationships/hyperlink" Target="mailto:conformity@itu.int"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mailto:conformity@itu.int" TargetMode="External"/><Relationship Id="rId11" Type="http://schemas.openxmlformats.org/officeDocument/2006/relationships/hyperlink" Target="http://itu.int/go/phone_whitelist"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www.itu.int/net/pressoffice/press_releases/2015/05.aspx" TargetMode="External"/><Relationship Id="rId4" Type="http://schemas.openxmlformats.org/officeDocument/2006/relationships/footnotes" Target="footnotes.xml"/><Relationship Id="rId9" Type="http://schemas.openxmlformats.org/officeDocument/2006/relationships/hyperlink" Target="https://www.itu.int/en/ITU-T/C-I/Pages/HFT-mobile-tests/test_event_2.aspx"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PC_TSBCIRC1-C.dotx</Template>
  <TotalTime>22</TotalTime>
  <Pages>1</Pages>
  <Words>648</Words>
  <Characters>735</Characters>
  <Application>Microsoft Office Word</Application>
  <DocSecurity>0</DocSecurity>
  <Lines>6</Lines>
  <Paragraphs>2</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1381</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Xu, Hui</dc:creator>
  <cp:lastModifiedBy>Xu, Hui</cp:lastModifiedBy>
  <cp:revision>31</cp:revision>
  <cp:lastPrinted>2011-04-11T13:21:00Z</cp:lastPrinted>
  <dcterms:created xsi:type="dcterms:W3CDTF">2016-02-09T12:01:00Z</dcterms:created>
  <dcterms:modified xsi:type="dcterms:W3CDTF">2016-02-09T12:31:00Z</dcterms:modified>
</cp:coreProperties>
</file>