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7A4C57" w:rsidTr="00CD4239">
        <w:trPr>
          <w:cantSplit/>
          <w:trHeight w:val="15"/>
        </w:trPr>
        <w:tc>
          <w:tcPr>
            <w:tcW w:w="1418" w:type="dxa"/>
            <w:gridSpan w:val="2"/>
            <w:vAlign w:val="center"/>
          </w:tcPr>
          <w:p w:rsidR="007A4C57" w:rsidRPr="009A54D9" w:rsidRDefault="007A4C57" w:rsidP="007A4C57">
            <w:pPr>
              <w:pStyle w:val="Tabletext"/>
              <w:jc w:val="center"/>
            </w:pPr>
            <w:bookmarkStart w:id="0" w:name="ditulogo"/>
            <w:bookmarkStart w:id="1" w:name="_GoBack"/>
            <w:bookmarkEnd w:id="0"/>
            <w:bookmarkEnd w:id="1"/>
            <w:r>
              <w:rPr>
                <w:noProof/>
                <w:lang w:eastAsia="zh-CN"/>
              </w:rPr>
              <w:drawing>
                <wp:inline distT="0" distB="0" distL="0" distR="0" wp14:anchorId="60E0C0FC" wp14:editId="2958748A">
                  <wp:extent cx="735373" cy="819150"/>
                  <wp:effectExtent l="0" t="0" r="7620" b="0"/>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CD4239" w:rsidRPr="00CD4239" w:rsidRDefault="00CD4239" w:rsidP="00CD4239">
            <w:pPr>
              <w:spacing w:before="0"/>
              <w:rPr>
                <w:rFonts w:cs="Times New Roman Bold"/>
                <w:b/>
                <w:bCs/>
                <w:iCs/>
                <w:smallCaps/>
                <w:sz w:val="44"/>
                <w:szCs w:val="44"/>
              </w:rPr>
            </w:pPr>
            <w:r w:rsidRPr="00CD4239">
              <w:rPr>
                <w:rFonts w:cs="Times New Roman Bold"/>
                <w:b/>
                <w:bCs/>
                <w:smallCaps/>
                <w:sz w:val="36"/>
                <w:szCs w:val="36"/>
              </w:rPr>
              <w:t>International Telecommunication Union</w:t>
            </w:r>
            <w:r w:rsidRPr="00CD4239">
              <w:rPr>
                <w:rFonts w:cs="Times New Roman Bold"/>
                <w:b/>
                <w:bCs/>
                <w:iCs/>
                <w:smallCaps/>
                <w:sz w:val="44"/>
                <w:szCs w:val="44"/>
              </w:rPr>
              <w:t xml:space="preserve"> </w:t>
            </w:r>
          </w:p>
          <w:p w:rsidR="007A4C57" w:rsidRPr="00CD4239" w:rsidRDefault="007A4C57" w:rsidP="00CD4239">
            <w:pPr>
              <w:spacing w:before="0"/>
              <w:rPr>
                <w:rFonts w:ascii="Verdana" w:hAnsi="Verdana" w:cs="Times New Roman Bold"/>
                <w:smallCaps/>
                <w:color w:val="FFFFFF"/>
                <w:sz w:val="26"/>
                <w:szCs w:val="26"/>
              </w:rPr>
            </w:pPr>
            <w:r w:rsidRPr="00CD4239">
              <w:rPr>
                <w:rFonts w:cs="Times New Roman Bold"/>
                <w:b/>
                <w:bCs/>
                <w:iCs/>
                <w:smallCaps/>
                <w:sz w:val="28"/>
                <w:szCs w:val="28"/>
              </w:rPr>
              <w:t>Telecommunication Standardization</w:t>
            </w:r>
            <w:r w:rsidR="00CD4239" w:rsidRPr="00CD4239">
              <w:rPr>
                <w:rFonts w:cs="Times New Roman Bold"/>
                <w:b/>
                <w:bCs/>
                <w:iCs/>
                <w:smallCaps/>
                <w:sz w:val="28"/>
                <w:szCs w:val="28"/>
              </w:rPr>
              <w:t xml:space="preserve"> </w:t>
            </w:r>
            <w:r w:rsidRPr="00CD4239">
              <w:rPr>
                <w:rFonts w:cs="Times New Roman Bold"/>
                <w:b/>
                <w:bCs/>
                <w:iCs/>
                <w:smallCaps/>
                <w:sz w:val="28"/>
                <w:szCs w:val="28"/>
              </w:rPr>
              <w:t>Bureau</w:t>
            </w:r>
          </w:p>
        </w:tc>
        <w:tc>
          <w:tcPr>
            <w:tcW w:w="1843" w:type="dxa"/>
            <w:vAlign w:val="center"/>
          </w:tcPr>
          <w:p w:rsidR="007A4C57" w:rsidRPr="00F50108" w:rsidRDefault="007A4C57" w:rsidP="007A4C57">
            <w:pPr>
              <w:spacing w:before="0"/>
              <w:jc w:val="right"/>
              <w:rPr>
                <w:rFonts w:ascii="Verdana" w:hAnsi="Verdana"/>
                <w:color w:val="FFFFFF"/>
                <w:sz w:val="26"/>
                <w:szCs w:val="26"/>
              </w:rPr>
            </w:pPr>
            <w:r>
              <w:rPr>
                <w:noProof/>
                <w:lang w:eastAsia="zh-CN"/>
              </w:rPr>
              <w:drawing>
                <wp:inline distT="0" distB="0" distL="0" distR="0" wp14:anchorId="417BA8AD" wp14:editId="4002C6D2">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453356">
        <w:trPr>
          <w:cantSplit/>
          <w:trHeight w:val="80"/>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0305E1" w:rsidP="00E409CB">
            <w:pPr>
              <w:pStyle w:val="Tabletext"/>
              <w:spacing w:before="120" w:after="120"/>
            </w:pPr>
            <w:r>
              <w:t xml:space="preserve">Geneva, </w:t>
            </w:r>
            <w:r w:rsidR="00064FF7">
              <w:t>18 December 2015</w:t>
            </w:r>
          </w:p>
        </w:tc>
      </w:tr>
      <w:tr w:rsidR="00CD4239" w:rsidTr="000B77DB">
        <w:trPr>
          <w:cantSplit/>
          <w:trHeight w:val="1079"/>
        </w:trPr>
        <w:tc>
          <w:tcPr>
            <w:tcW w:w="1134" w:type="dxa"/>
          </w:tcPr>
          <w:p w:rsidR="00CD4239" w:rsidRPr="00F36AC4" w:rsidRDefault="00CD4239" w:rsidP="002F6530">
            <w:pPr>
              <w:pStyle w:val="Tabletext"/>
              <w:rPr>
                <w:rFonts w:ascii="Futura Lt BT" w:hAnsi="Futura Lt BT"/>
              </w:rPr>
            </w:pPr>
            <w:bookmarkStart w:id="2" w:name="Adress_E" w:colFirst="2" w:colLast="2"/>
            <w:r w:rsidRPr="00F36AC4">
              <w:t>Ref:</w:t>
            </w:r>
          </w:p>
        </w:tc>
        <w:tc>
          <w:tcPr>
            <w:tcW w:w="4253" w:type="dxa"/>
            <w:gridSpan w:val="2"/>
          </w:tcPr>
          <w:p w:rsidR="00CD4239" w:rsidRPr="000305E1" w:rsidRDefault="00CD4239" w:rsidP="00567B8E">
            <w:pPr>
              <w:pStyle w:val="Tabletext"/>
              <w:rPr>
                <w:b/>
                <w:bCs/>
              </w:rPr>
            </w:pPr>
            <w:r w:rsidRPr="000305E1">
              <w:rPr>
                <w:b/>
                <w:bCs/>
              </w:rPr>
              <w:t xml:space="preserve">TSB Circular </w:t>
            </w:r>
            <w:r w:rsidR="00567B8E">
              <w:rPr>
                <w:b/>
                <w:bCs/>
              </w:rPr>
              <w:t>189</w:t>
            </w:r>
          </w:p>
          <w:p w:rsidR="00CD4239" w:rsidRPr="00F36AC4" w:rsidRDefault="00CD4239" w:rsidP="00064FF7">
            <w:pPr>
              <w:pStyle w:val="Tabletext"/>
            </w:pPr>
            <w:r w:rsidRPr="000305E1">
              <w:t xml:space="preserve">COM </w:t>
            </w:r>
            <w:r w:rsidR="00064FF7">
              <w:t>11</w:t>
            </w:r>
            <w:r w:rsidRPr="000305E1">
              <w:t>/</w:t>
            </w:r>
            <w:r w:rsidR="00064FF7">
              <w:t>SP</w:t>
            </w:r>
          </w:p>
        </w:tc>
        <w:tc>
          <w:tcPr>
            <w:tcW w:w="4394" w:type="dxa"/>
            <w:gridSpan w:val="2"/>
            <w:vMerge w:val="restart"/>
          </w:tcPr>
          <w:p w:rsidR="00CD4239" w:rsidRDefault="00CD4239" w:rsidP="004B6F55">
            <w:pPr>
              <w:pStyle w:val="Tabletext"/>
              <w:tabs>
                <w:tab w:val="clear" w:pos="284"/>
              </w:tabs>
              <w:ind w:left="283" w:hanging="283"/>
            </w:pPr>
            <w:r>
              <w:t>-</w:t>
            </w:r>
            <w:r>
              <w:tab/>
              <w:t>To Administrations of Member States of the Union</w:t>
            </w:r>
          </w:p>
        </w:tc>
      </w:tr>
      <w:bookmarkEnd w:id="2"/>
      <w:tr w:rsidR="00951309" w:rsidTr="00453356">
        <w:trPr>
          <w:cantSplit/>
          <w:trHeight w:val="221"/>
        </w:trPr>
        <w:tc>
          <w:tcPr>
            <w:tcW w:w="1134" w:type="dxa"/>
          </w:tcPr>
          <w:p w:rsidR="00951309" w:rsidRPr="00F36AC4" w:rsidRDefault="00951309" w:rsidP="002F6530">
            <w:pPr>
              <w:pStyle w:val="Tabletext"/>
            </w:pPr>
            <w:r w:rsidRPr="00F36AC4">
              <w:t>Tel:</w:t>
            </w:r>
          </w:p>
        </w:tc>
        <w:tc>
          <w:tcPr>
            <w:tcW w:w="4253" w:type="dxa"/>
            <w:gridSpan w:val="2"/>
          </w:tcPr>
          <w:p w:rsidR="00951309" w:rsidRPr="00F36AC4" w:rsidRDefault="00951309" w:rsidP="00064FF7">
            <w:pPr>
              <w:pStyle w:val="Tabletext"/>
              <w:rPr>
                <w:b/>
              </w:rPr>
            </w:pPr>
            <w:r w:rsidRPr="00F36AC4">
              <w:t>+41 22 730</w:t>
            </w:r>
            <w:r w:rsidR="00AF10F1">
              <w:t xml:space="preserve"> </w:t>
            </w:r>
            <w:r w:rsidR="00064FF7">
              <w:t>5858</w:t>
            </w:r>
          </w:p>
        </w:tc>
        <w:tc>
          <w:tcPr>
            <w:tcW w:w="4394" w:type="dxa"/>
            <w:gridSpan w:val="2"/>
            <w:vMerge/>
          </w:tcPr>
          <w:p w:rsidR="00951309" w:rsidRDefault="00951309" w:rsidP="002F6530">
            <w:pPr>
              <w:pStyle w:val="Tabletext"/>
              <w:ind w:left="142" w:hanging="142"/>
            </w:pPr>
          </w:p>
        </w:tc>
      </w:tr>
      <w:tr w:rsidR="00951309" w:rsidTr="00453356">
        <w:trPr>
          <w:cantSplit/>
          <w:trHeight w:val="282"/>
        </w:trPr>
        <w:tc>
          <w:tcPr>
            <w:tcW w:w="1134" w:type="dxa"/>
          </w:tcPr>
          <w:p w:rsidR="00951309" w:rsidRPr="00F36AC4" w:rsidRDefault="00951309" w:rsidP="002F6530">
            <w:pPr>
              <w:pStyle w:val="Tabletext"/>
            </w:pPr>
            <w:r w:rsidRPr="00F36AC4">
              <w:t>Fax:</w:t>
            </w:r>
          </w:p>
        </w:tc>
        <w:tc>
          <w:tcPr>
            <w:tcW w:w="4253"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453356">
        <w:trPr>
          <w:cantSplit/>
          <w:trHeight w:val="2640"/>
        </w:trPr>
        <w:tc>
          <w:tcPr>
            <w:tcW w:w="1134" w:type="dxa"/>
          </w:tcPr>
          <w:p w:rsidR="00951309" w:rsidRPr="00F36AC4" w:rsidRDefault="00951309" w:rsidP="002F6530">
            <w:pPr>
              <w:pStyle w:val="Tabletext"/>
            </w:pPr>
            <w:r w:rsidRPr="00F36AC4">
              <w:t>E-mail:</w:t>
            </w:r>
          </w:p>
        </w:tc>
        <w:tc>
          <w:tcPr>
            <w:tcW w:w="4253" w:type="dxa"/>
            <w:gridSpan w:val="2"/>
          </w:tcPr>
          <w:p w:rsidR="00951309" w:rsidRPr="00F36AC4" w:rsidRDefault="007606CE" w:rsidP="00064FF7">
            <w:pPr>
              <w:pStyle w:val="Tabletext"/>
            </w:pPr>
            <w:hyperlink r:id="rId10" w:history="1">
              <w:r w:rsidR="00064FF7" w:rsidRPr="00F276DB">
                <w:rPr>
                  <w:rStyle w:val="Hyperlink"/>
                  <w:szCs w:val="22"/>
                </w:rPr>
                <w:t>tsbsg11@itu.int</w:t>
              </w:r>
            </w:hyperlink>
            <w:r w:rsidR="00951309" w:rsidRPr="00F36AC4">
              <w:t xml:space="preserve"> </w:t>
            </w:r>
          </w:p>
        </w:tc>
        <w:tc>
          <w:tcPr>
            <w:tcW w:w="4394" w:type="dxa"/>
            <w:gridSpan w:val="2"/>
          </w:tcPr>
          <w:p w:rsidR="00951309" w:rsidRDefault="00951309" w:rsidP="002F6530">
            <w:pPr>
              <w:pStyle w:val="Tabletext"/>
              <w:rPr>
                <w:b/>
              </w:rPr>
            </w:pPr>
            <w:r>
              <w:rPr>
                <w:b/>
              </w:rPr>
              <w:t>Copy:</w:t>
            </w:r>
          </w:p>
          <w:p w:rsidR="00951309" w:rsidRDefault="00951309" w:rsidP="004B6F55">
            <w:pPr>
              <w:pStyle w:val="Tabletext"/>
              <w:ind w:left="283" w:hanging="283"/>
            </w:pPr>
            <w:r>
              <w:t>-</w:t>
            </w:r>
            <w:r>
              <w:tab/>
              <w:t>To ITU-T Sector Members;</w:t>
            </w:r>
          </w:p>
          <w:p w:rsidR="00951309" w:rsidRDefault="00951309" w:rsidP="004B6F55">
            <w:pPr>
              <w:pStyle w:val="Tabletext"/>
              <w:ind w:left="283" w:hanging="283"/>
            </w:pPr>
            <w:r>
              <w:t>-</w:t>
            </w:r>
            <w:r w:rsidR="00E17CCC">
              <w:tab/>
            </w:r>
            <w:r>
              <w:t>To ITU-T Associates;</w:t>
            </w:r>
          </w:p>
          <w:p w:rsidR="00951309" w:rsidRDefault="007032CD" w:rsidP="004B6F55">
            <w:pPr>
              <w:pStyle w:val="Tabletext"/>
              <w:ind w:left="283" w:hanging="283"/>
            </w:pPr>
            <w:r>
              <w:t>-</w:t>
            </w:r>
            <w:r>
              <w:tab/>
              <w:t>To ITU</w:t>
            </w:r>
            <w:r w:rsidR="00951309">
              <w:t xml:space="preserve"> Academia;</w:t>
            </w:r>
          </w:p>
          <w:p w:rsidR="00951309" w:rsidRDefault="00951309" w:rsidP="00064FF7">
            <w:pPr>
              <w:pStyle w:val="Tabletext"/>
              <w:ind w:left="283" w:hanging="283"/>
            </w:pPr>
            <w:r>
              <w:t>-</w:t>
            </w:r>
            <w:r>
              <w:tab/>
              <w:t xml:space="preserve">To the Chairman and Vice-Chairmen of Study Group </w:t>
            </w:r>
            <w:r w:rsidR="00064FF7">
              <w:t>11</w:t>
            </w:r>
            <w:r>
              <w:t>;</w:t>
            </w:r>
          </w:p>
          <w:p w:rsidR="00951309" w:rsidRDefault="00951309" w:rsidP="004B6F55">
            <w:pPr>
              <w:pStyle w:val="Tabletext"/>
              <w:ind w:left="283" w:hanging="283"/>
            </w:pPr>
            <w:r>
              <w:t>-</w:t>
            </w:r>
            <w:r>
              <w:tab/>
              <w:t>To the Director of the Telecommunication Development Bureau;</w:t>
            </w:r>
          </w:p>
          <w:p w:rsidR="00951309" w:rsidRDefault="00951309" w:rsidP="004B6F55">
            <w:pPr>
              <w:pStyle w:val="Tabletext"/>
              <w:ind w:left="283" w:hanging="283"/>
            </w:pPr>
            <w:r>
              <w:t>-</w:t>
            </w:r>
            <w:r>
              <w:tab/>
              <w:t>To the Director of the Radiocommunication Bureau</w:t>
            </w:r>
          </w:p>
        </w:tc>
      </w:tr>
      <w:tr w:rsidR="00951309" w:rsidRPr="009B6449" w:rsidTr="00453356">
        <w:trPr>
          <w:cantSplit/>
          <w:trHeight w:val="80"/>
        </w:trPr>
        <w:tc>
          <w:tcPr>
            <w:tcW w:w="1134" w:type="dxa"/>
          </w:tcPr>
          <w:p w:rsidR="00951309" w:rsidRPr="009B6449" w:rsidRDefault="00951309" w:rsidP="002F6530">
            <w:pPr>
              <w:pStyle w:val="Tabletext"/>
            </w:pPr>
            <w:r w:rsidRPr="009B6449">
              <w:t>Subject:</w:t>
            </w:r>
          </w:p>
        </w:tc>
        <w:tc>
          <w:tcPr>
            <w:tcW w:w="8647" w:type="dxa"/>
            <w:gridSpan w:val="4"/>
          </w:tcPr>
          <w:p w:rsidR="00951309" w:rsidRPr="009B6449" w:rsidRDefault="00064FF7" w:rsidP="00064FF7">
            <w:pPr>
              <w:pStyle w:val="Tabletext"/>
            </w:pPr>
            <w:r>
              <w:rPr>
                <w:b/>
              </w:rPr>
              <w:t xml:space="preserve">Approval of </w:t>
            </w:r>
            <w:r w:rsidR="00A9652E">
              <w:rPr>
                <w:b/>
              </w:rPr>
              <w:t>revised</w:t>
            </w:r>
            <w:r>
              <w:rPr>
                <w:b/>
              </w:rPr>
              <w:t xml:space="preserve"> Question</w:t>
            </w:r>
            <w:r w:rsidR="00A9652E">
              <w:rPr>
                <w:b/>
              </w:rPr>
              <w:t xml:space="preserve">s </w:t>
            </w:r>
            <w:r>
              <w:rPr>
                <w:b/>
              </w:rPr>
              <w:t>2/11 and 8/11</w:t>
            </w:r>
          </w:p>
        </w:tc>
      </w:tr>
    </w:tbl>
    <w:p w:rsidR="000B46FB" w:rsidRDefault="000B46FB" w:rsidP="00567B8E">
      <w:bookmarkStart w:id="3" w:name="StartTyping_E"/>
      <w:bookmarkEnd w:id="3"/>
      <w:r>
        <w:t>Dear Sir/Madam,</w:t>
      </w:r>
    </w:p>
    <w:p w:rsidR="000B46FB" w:rsidRDefault="000B46FB" w:rsidP="00064FF7">
      <w:r>
        <w:t>1</w:t>
      </w:r>
      <w:r>
        <w:tab/>
        <w:t xml:space="preserve">At the request of the Chairman of Study Group </w:t>
      </w:r>
      <w:r w:rsidR="00064FF7">
        <w:t>11 (</w:t>
      </w:r>
      <w:r w:rsidR="00064FF7" w:rsidRPr="0018136D">
        <w:rPr>
          <w:rFonts w:cs="Segoe UI"/>
          <w:i/>
          <w:iCs/>
          <w:color w:val="000000"/>
        </w:rPr>
        <w:t>Signalling requirements, protocols and test specifications</w:t>
      </w:r>
      <w:r w:rsidR="00064FF7">
        <w:t>)</w:t>
      </w:r>
      <w:r>
        <w:t>, I have the honour to inform you that, in accordance with the procedure described in Resol</w:t>
      </w:r>
      <w:r w:rsidR="00064FF7">
        <w:t>ution 1, Section 7, § 7.2.2, of</w:t>
      </w:r>
      <w:r>
        <w:t xml:space="preserve"> WTSA (Dubai, 2012), Member States and Sector Members present at the last meeting of this Study Group which was held in Geneva from </w:t>
      </w:r>
      <w:r w:rsidR="00064FF7">
        <w:t>2</w:t>
      </w:r>
      <w:r>
        <w:t xml:space="preserve"> to </w:t>
      </w:r>
      <w:r w:rsidR="00FC1939">
        <w:t>11 </w:t>
      </w:r>
      <w:r w:rsidR="00064FF7">
        <w:t>December 2015</w:t>
      </w:r>
      <w:r>
        <w:t>, agreed by reaching consensus to approve the following revised</w:t>
      </w:r>
      <w:r w:rsidR="00064FF7">
        <w:t xml:space="preserve"> Question</w:t>
      </w:r>
      <w:r>
        <w:t>s:</w:t>
      </w:r>
    </w:p>
    <w:p w:rsidR="000B46FB" w:rsidRDefault="00064FF7" w:rsidP="00567B8E">
      <w:pPr>
        <w:numPr>
          <w:ilvl w:val="12"/>
          <w:numId w:val="0"/>
        </w:numPr>
      </w:pPr>
      <w:r>
        <w:t>Question 2/11,</w:t>
      </w:r>
      <w:r w:rsidR="000B46FB">
        <w:t xml:space="preserve"> </w:t>
      </w:r>
      <w:r w:rsidR="00567B8E">
        <w:t>Signalling requirements and protocols for service and application in emerging telecommunication environments</w:t>
      </w:r>
      <w:r w:rsidR="000B46FB">
        <w:t xml:space="preserve"> (see Annex 1)</w:t>
      </w:r>
    </w:p>
    <w:p w:rsidR="00567B8E" w:rsidRDefault="00567B8E" w:rsidP="00D84575">
      <w:pPr>
        <w:numPr>
          <w:ilvl w:val="12"/>
          <w:numId w:val="0"/>
        </w:numPr>
      </w:pPr>
      <w:r>
        <w:t xml:space="preserve">Question 8/11, </w:t>
      </w:r>
      <w:r w:rsidRPr="009163DE">
        <w:t>Guidelines for implementations of signalling and protocols</w:t>
      </w:r>
      <w:r w:rsidRPr="00567B8E">
        <w:t>, and for addressing counterfeit ICT devices (see Annex 2)</w:t>
      </w:r>
    </w:p>
    <w:p w:rsidR="000B46FB" w:rsidRPr="00C51CBC" w:rsidRDefault="000B46FB" w:rsidP="00567B8E">
      <w:pPr>
        <w:rPr>
          <w:b/>
          <w:bCs/>
        </w:rPr>
      </w:pPr>
      <w:r>
        <w:t>2</w:t>
      </w:r>
      <w:r>
        <w:tab/>
      </w:r>
      <w:r w:rsidRPr="00C51CBC">
        <w:rPr>
          <w:b/>
          <w:bCs/>
        </w:rPr>
        <w:t>Question</w:t>
      </w:r>
      <w:r w:rsidR="00567B8E">
        <w:rPr>
          <w:b/>
          <w:bCs/>
        </w:rPr>
        <w:t>s</w:t>
      </w:r>
      <w:r w:rsidRPr="00C51CBC">
        <w:rPr>
          <w:b/>
          <w:bCs/>
        </w:rPr>
        <w:t xml:space="preserve"> </w:t>
      </w:r>
      <w:r w:rsidR="00567B8E">
        <w:rPr>
          <w:b/>
          <w:bCs/>
        </w:rPr>
        <w:t xml:space="preserve">2/11 and 8/11 </w:t>
      </w:r>
      <w:r w:rsidRPr="00C51CBC">
        <w:rPr>
          <w:b/>
          <w:bCs/>
        </w:rPr>
        <w:t>are therefore approved.</w:t>
      </w:r>
    </w:p>
    <w:p w:rsidR="000B46FB" w:rsidRDefault="000B46FB" w:rsidP="00D530E2">
      <w:r>
        <w:t>3</w:t>
      </w:r>
      <w:r>
        <w:tab/>
      </w:r>
      <w:r w:rsidRPr="00E409CB">
        <w:t>The resulting Recommendations are assumed to fall under the Alternative approval process (AAP)</w:t>
      </w:r>
      <w:r w:rsidR="00D530E2" w:rsidRPr="00E409CB">
        <w:t xml:space="preserve"> for Question 2/11 and under both Traditional approval process (TAP) and Alternative approval process (AAP) for Question 8/11</w:t>
      </w:r>
      <w:r w:rsidRPr="00E409CB">
        <w:t>.</w:t>
      </w:r>
    </w:p>
    <w:p w:rsidR="000B46FB" w:rsidRDefault="000B46FB" w:rsidP="00FC1939">
      <w:r>
        <w:t>Yours faithfully,</w:t>
      </w:r>
    </w:p>
    <w:p w:rsidR="00E7005B" w:rsidRDefault="00E7005B" w:rsidP="00FC1939"/>
    <w:p w:rsidR="000B46FB" w:rsidRDefault="002A211F" w:rsidP="00E7005B">
      <w:pPr>
        <w:spacing w:before="600"/>
      </w:pPr>
      <w:r>
        <w:rPr>
          <w:szCs w:val="24"/>
        </w:rPr>
        <w:lastRenderedPageBreak/>
        <w:t>Chaesub Lee</w:t>
      </w:r>
      <w:r w:rsidR="000B46FB">
        <w:br/>
        <w:t>Director of the Telecommunication</w:t>
      </w:r>
      <w:r w:rsidR="000B46FB">
        <w:br/>
        <w:t>Standardization Bureau</w:t>
      </w:r>
    </w:p>
    <w:p w:rsidR="00064FF7" w:rsidRDefault="000B46FB" w:rsidP="00FC1939">
      <w:pPr>
        <w:spacing w:before="240"/>
        <w:rPr>
          <w:b/>
          <w:bCs/>
        </w:rPr>
      </w:pPr>
      <w:r w:rsidRPr="00FB1614">
        <w:rPr>
          <w:b/>
          <w:bCs/>
        </w:rPr>
        <w:t>Annex</w:t>
      </w:r>
      <w:r w:rsidR="00FC1939">
        <w:rPr>
          <w:b/>
          <w:bCs/>
        </w:rPr>
        <w:t>es: 2</w:t>
      </w:r>
    </w:p>
    <w:p w:rsidR="00064FF7" w:rsidRPr="00D06F72" w:rsidRDefault="00064FF7" w:rsidP="00567B8E">
      <w:pPr>
        <w:pStyle w:val="Heading2"/>
        <w:pageBreakBefore/>
        <w:numPr>
          <w:ilvl w:val="0"/>
          <w:numId w:val="0"/>
        </w:numPr>
        <w:jc w:val="center"/>
        <w:rPr>
          <w:lang w:eastAsia="ko-KR"/>
        </w:rPr>
      </w:pPr>
      <w:r w:rsidRPr="00D06F72">
        <w:rPr>
          <w:lang w:eastAsia="ko-KR"/>
        </w:rPr>
        <w:lastRenderedPageBreak/>
        <w:t>A</w:t>
      </w:r>
      <w:r w:rsidR="00567B8E">
        <w:rPr>
          <w:lang w:eastAsia="ko-KR"/>
        </w:rPr>
        <w:t>nnex 1</w:t>
      </w:r>
      <w:r w:rsidR="00567B8E">
        <w:rPr>
          <w:lang w:eastAsia="ko-KR"/>
        </w:rPr>
        <w:br/>
        <w:t>(to TSB Circular 189)</w:t>
      </w:r>
    </w:p>
    <w:p w:rsidR="00064FF7" w:rsidRPr="00597A1E" w:rsidRDefault="00064FF7" w:rsidP="00064FF7">
      <w:pPr>
        <w:jc w:val="center"/>
        <w:rPr>
          <w:rFonts w:eastAsia="Malgun Gothic"/>
          <w:lang w:eastAsia="ko-KR"/>
        </w:rPr>
      </w:pPr>
    </w:p>
    <w:p w:rsidR="00064FF7" w:rsidRDefault="00064FF7" w:rsidP="00567B8E">
      <w:pPr>
        <w:pStyle w:val="Heading2"/>
        <w:keepNext w:val="0"/>
        <w:keepLines w:val="0"/>
        <w:numPr>
          <w:ilvl w:val="0"/>
          <w:numId w:val="0"/>
        </w:numPr>
        <w:tabs>
          <w:tab w:val="clear" w:pos="794"/>
          <w:tab w:val="clear" w:pos="1191"/>
          <w:tab w:val="clear" w:pos="1588"/>
          <w:tab w:val="clear" w:pos="1985"/>
        </w:tabs>
        <w:overflowPunct/>
        <w:autoSpaceDE/>
        <w:adjustRightInd/>
        <w:spacing w:before="240" w:after="60"/>
        <w:textAlignment w:val="auto"/>
      </w:pPr>
      <w:bookmarkStart w:id="4" w:name="_Toc343850826"/>
      <w:bookmarkStart w:id="5" w:name="_Toc342650884"/>
      <w:r>
        <w:t xml:space="preserve">Question 2/11 </w:t>
      </w:r>
      <w:r>
        <w:noBreakHyphen/>
        <w:t xml:space="preserve"> Signalling requirements and protocols for service and application in emerging telecommunication environments</w:t>
      </w:r>
      <w:bookmarkEnd w:id="4"/>
      <w:bookmarkEnd w:id="5"/>
    </w:p>
    <w:p w:rsidR="00064FF7" w:rsidRDefault="00064FF7" w:rsidP="00064FF7">
      <w:r>
        <w:t>(Continuation of Questions 2/11 and 3/11)</w:t>
      </w:r>
    </w:p>
    <w:p w:rsidR="00064FF7" w:rsidRDefault="00567B8E" w:rsidP="00567B8E">
      <w:pPr>
        <w:pStyle w:val="Heading3"/>
        <w:numPr>
          <w:ilvl w:val="0"/>
          <w:numId w:val="0"/>
        </w:numPr>
        <w:tabs>
          <w:tab w:val="clear" w:pos="794"/>
          <w:tab w:val="clear" w:pos="1191"/>
          <w:tab w:val="clear" w:pos="1588"/>
          <w:tab w:val="clear" w:pos="1985"/>
        </w:tabs>
        <w:spacing w:before="160"/>
        <w:textAlignment w:val="auto"/>
      </w:pPr>
      <w:bookmarkStart w:id="6" w:name="_Toc343850827"/>
      <w:r>
        <w:t>1</w:t>
      </w:r>
      <w:r>
        <w:tab/>
      </w:r>
      <w:r w:rsidR="00064FF7">
        <w:t>Motivation</w:t>
      </w:r>
      <w:bookmarkEnd w:id="6"/>
    </w:p>
    <w:p w:rsidR="00064FF7" w:rsidRDefault="00064FF7" w:rsidP="00064FF7">
      <w:r>
        <w:t xml:space="preserve">With the ever-increasing number of services and applications, demand has been continuously increasing to enhance the capabilities of next generation networks (NGN), which will enable the Internet of things (IoT), machine-to-machine (M2M), cloud computing, smart pipeline, smart cities, smart home, smart transportation, </w:t>
      </w:r>
      <w:r w:rsidRPr="00D06F72">
        <w:rPr>
          <w:u w:val="single"/>
        </w:rPr>
        <w:t>e-health,</w:t>
      </w:r>
      <w:r w:rsidRPr="00D06F72">
        <w:t xml:space="preserve"> </w:t>
      </w:r>
      <w:r>
        <w:t>etc. These emerging applications and services, as well as the evolution of existing applications and services, are introducing more and more requirements, which will certainly impact on the signalling and protocol standardization.</w:t>
      </w:r>
    </w:p>
    <w:p w:rsidR="00064FF7" w:rsidRDefault="00064FF7" w:rsidP="00064FF7">
      <w:r>
        <w:t>One of the objectives of NGN evolution is to support, in a secure fashion, wide range of services, from legacy telephony and intelligent services to new generation services, encompassing audio, data, video broadcast and conversational services, streaming services, interactive games, third party applications, etc.</w:t>
      </w:r>
    </w:p>
    <w:p w:rsidR="00064FF7" w:rsidRDefault="00567B8E" w:rsidP="00567B8E">
      <w:pPr>
        <w:pStyle w:val="Heading3"/>
        <w:numPr>
          <w:ilvl w:val="0"/>
          <w:numId w:val="0"/>
        </w:numPr>
        <w:tabs>
          <w:tab w:val="clear" w:pos="794"/>
          <w:tab w:val="clear" w:pos="1191"/>
          <w:tab w:val="clear" w:pos="1588"/>
          <w:tab w:val="clear" w:pos="1985"/>
        </w:tabs>
        <w:spacing w:before="160"/>
        <w:textAlignment w:val="auto"/>
      </w:pPr>
      <w:bookmarkStart w:id="7" w:name="_Toc343850828"/>
      <w:r>
        <w:t>2</w:t>
      </w:r>
      <w:r>
        <w:tab/>
      </w:r>
      <w:r w:rsidR="00064FF7">
        <w:t>Question</w:t>
      </w:r>
      <w:bookmarkEnd w:id="7"/>
    </w:p>
    <w:p w:rsidR="00064FF7" w:rsidRDefault="00064FF7" w:rsidP="00064FF7">
      <w:r>
        <w:t>Study items to be considered include, but are not limited to:</w:t>
      </w:r>
    </w:p>
    <w:p w:rsidR="00064FF7" w:rsidRDefault="00064FF7" w:rsidP="00064FF7">
      <w:pPr>
        <w:pStyle w:val="enumlev1"/>
      </w:pPr>
      <w:r>
        <w:t>–</w:t>
      </w:r>
      <w:r>
        <w:tab/>
        <w:t>What new recommendations are required to specify signalling requirements and protocols for NGN?</w:t>
      </w:r>
    </w:p>
    <w:p w:rsidR="00064FF7" w:rsidRDefault="00064FF7" w:rsidP="00064FF7">
      <w:pPr>
        <w:pStyle w:val="enumlev1"/>
      </w:pPr>
      <w:r>
        <w:t>–</w:t>
      </w:r>
      <w:r>
        <w:tab/>
        <w:t>What enhancements should be made in existing NGN-related recommendations to support emerging services and applications?</w:t>
      </w:r>
    </w:p>
    <w:p w:rsidR="00064FF7" w:rsidRDefault="00064FF7" w:rsidP="00064FF7">
      <w:pPr>
        <w:pStyle w:val="enumlev1"/>
      </w:pPr>
      <w:r>
        <w:t>–</w:t>
      </w:r>
      <w:r>
        <w:tab/>
        <w:t>What new recommendations should be made to support emerging services and applications in future networks?</w:t>
      </w:r>
    </w:p>
    <w:p w:rsidR="00064FF7" w:rsidRDefault="00064FF7" w:rsidP="00064FF7">
      <w:pPr>
        <w:pStyle w:val="enumlev1"/>
      </w:pPr>
      <w:r>
        <w:t>–</w:t>
      </w:r>
      <w:r>
        <w:tab/>
        <w:t>What new recommendations should be made for cloud computing-related services and applications? What associated mechanisms are required to guarantee signalling and control security?</w:t>
      </w:r>
    </w:p>
    <w:p w:rsidR="00064FF7" w:rsidRDefault="00064FF7" w:rsidP="00064FF7">
      <w:pPr>
        <w:pStyle w:val="enumlev1"/>
      </w:pPr>
      <w:r>
        <w:t>–</w:t>
      </w:r>
      <w:r>
        <w:tab/>
        <w:t>What signalling requirements and entities are required to support services and/or applications of public interest, such as multimedia emergency communications, privacy, lawful interception, number portability, etc.?</w:t>
      </w:r>
    </w:p>
    <w:p w:rsidR="00064FF7" w:rsidRDefault="00567B8E" w:rsidP="00567B8E">
      <w:pPr>
        <w:pStyle w:val="Heading3"/>
        <w:numPr>
          <w:ilvl w:val="0"/>
          <w:numId w:val="0"/>
        </w:numPr>
        <w:tabs>
          <w:tab w:val="clear" w:pos="794"/>
          <w:tab w:val="clear" w:pos="1191"/>
          <w:tab w:val="clear" w:pos="1588"/>
          <w:tab w:val="clear" w:pos="1985"/>
        </w:tabs>
        <w:spacing w:before="160"/>
        <w:textAlignment w:val="auto"/>
      </w:pPr>
      <w:bookmarkStart w:id="8" w:name="_Toc343850829"/>
      <w:r>
        <w:lastRenderedPageBreak/>
        <w:t>3</w:t>
      </w:r>
      <w:r>
        <w:tab/>
      </w:r>
      <w:r w:rsidR="00064FF7">
        <w:t>Tasks</w:t>
      </w:r>
      <w:bookmarkEnd w:id="8"/>
    </w:p>
    <w:p w:rsidR="00064FF7" w:rsidRDefault="00064FF7" w:rsidP="00064FF7">
      <w:r>
        <w:t>Tasks include, but are not limited to:</w:t>
      </w:r>
    </w:p>
    <w:p w:rsidR="00064FF7" w:rsidRDefault="00064FF7" w:rsidP="00064FF7">
      <w:pPr>
        <w:pStyle w:val="enumlev1"/>
      </w:pPr>
      <w:r>
        <w:t>–</w:t>
      </w:r>
      <w:r>
        <w:tab/>
        <w:t>Develop signalling requirements and protocol profiles for NGN services and applications</w:t>
      </w:r>
    </w:p>
    <w:p w:rsidR="00064FF7" w:rsidRDefault="00064FF7" w:rsidP="00064FF7">
      <w:pPr>
        <w:pStyle w:val="enumlev1"/>
      </w:pPr>
      <w:r>
        <w:t>–</w:t>
      </w:r>
      <w:r>
        <w:tab/>
        <w:t>Develop signalling requirements and protocols to support IoT and M2M services and applications</w:t>
      </w:r>
    </w:p>
    <w:p w:rsidR="00064FF7" w:rsidRDefault="00064FF7" w:rsidP="00064FF7">
      <w:pPr>
        <w:pStyle w:val="enumlev1"/>
      </w:pPr>
      <w:r>
        <w:t>–</w:t>
      </w:r>
      <w:r>
        <w:tab/>
        <w:t>Develop signalling requirements and protocols to support cloud computing-related services and applications</w:t>
      </w:r>
    </w:p>
    <w:p w:rsidR="00064FF7" w:rsidRDefault="00064FF7" w:rsidP="00064FF7">
      <w:pPr>
        <w:pStyle w:val="enumlev1"/>
      </w:pPr>
      <w:r>
        <w:t>–</w:t>
      </w:r>
      <w:r>
        <w:tab/>
        <w:t>Enhance existing signalling prot</w:t>
      </w:r>
      <w:r w:rsidR="00621DDE">
        <w:t>ocols based on identified needs</w:t>
      </w:r>
    </w:p>
    <w:p w:rsidR="00064FF7" w:rsidRDefault="00064FF7" w:rsidP="00064FF7">
      <w:pPr>
        <w:pStyle w:val="enumlev1"/>
      </w:pPr>
      <w:r>
        <w:t>–</w:t>
      </w:r>
      <w:r>
        <w:tab/>
        <w:t>Develop specifications for interworking between new and existing signalling and protocols</w:t>
      </w:r>
    </w:p>
    <w:p w:rsidR="00064FF7" w:rsidRDefault="00064FF7" w:rsidP="00064FF7">
      <w:pPr>
        <w:pStyle w:val="enumlev1"/>
      </w:pPr>
      <w:r>
        <w:t>–</w:t>
      </w:r>
      <w:r>
        <w:tab/>
        <w:t>Develop signalling requirements and protocol profiles for public interest.</w:t>
      </w:r>
    </w:p>
    <w:p w:rsidR="00064FF7" w:rsidRDefault="00064FF7" w:rsidP="00064FF7">
      <w:r>
        <w:t>An up-to-date status of work under this Question is contained in the SG 11 work programme (</w:t>
      </w:r>
      <w:hyperlink r:id="rId11" w:history="1">
        <w:r>
          <w:rPr>
            <w:rStyle w:val="Hyperlink"/>
          </w:rPr>
          <w:t>http://itu.int/ITU-T/workprog/wp_search.aspx?Q=2/11</w:t>
        </w:r>
      </w:hyperlink>
      <w:r>
        <w:t>)</w:t>
      </w:r>
    </w:p>
    <w:p w:rsidR="00064FF7" w:rsidRDefault="00567B8E" w:rsidP="00567B8E">
      <w:pPr>
        <w:pStyle w:val="Heading3"/>
        <w:numPr>
          <w:ilvl w:val="0"/>
          <w:numId w:val="0"/>
        </w:numPr>
        <w:tabs>
          <w:tab w:val="clear" w:pos="794"/>
          <w:tab w:val="clear" w:pos="1191"/>
          <w:tab w:val="clear" w:pos="1588"/>
          <w:tab w:val="clear" w:pos="1985"/>
        </w:tabs>
        <w:spacing w:before="160"/>
        <w:textAlignment w:val="auto"/>
      </w:pPr>
      <w:bookmarkStart w:id="9" w:name="_Toc343850830"/>
      <w:r>
        <w:t>4</w:t>
      </w:r>
      <w:r>
        <w:tab/>
      </w:r>
      <w:r w:rsidR="00064FF7">
        <w:t>Relationships</w:t>
      </w:r>
      <w:bookmarkEnd w:id="9"/>
    </w:p>
    <w:p w:rsidR="00064FF7" w:rsidRDefault="00064FF7" w:rsidP="00064FF7">
      <w:pPr>
        <w:pStyle w:val="Heading3"/>
        <w:tabs>
          <w:tab w:val="left" w:pos="720"/>
        </w:tabs>
        <w:spacing w:before="160"/>
      </w:pPr>
      <w:r>
        <w:t>Recommendations</w:t>
      </w:r>
    </w:p>
    <w:p w:rsidR="00064FF7" w:rsidRDefault="00064FF7" w:rsidP="00064FF7">
      <w:pPr>
        <w:pStyle w:val="enumlev1"/>
      </w:pPr>
      <w:r>
        <w:t>–</w:t>
      </w:r>
      <w:r>
        <w:tab/>
        <w:t>Q.600, Q.700, Q.900-series, Q.1900, Q.2700, Q.2900,</w:t>
      </w:r>
      <w:r w:rsidR="00E409CB">
        <w:t xml:space="preserve"> </w:t>
      </w:r>
      <w:r>
        <w:t>Q.3400-series, and Q.3600-series</w:t>
      </w:r>
    </w:p>
    <w:p w:rsidR="00064FF7" w:rsidRDefault="00064FF7" w:rsidP="00064FF7">
      <w:pPr>
        <w:pStyle w:val="Heading3"/>
        <w:tabs>
          <w:tab w:val="left" w:pos="720"/>
        </w:tabs>
        <w:spacing w:before="160"/>
      </w:pPr>
      <w:r>
        <w:t>Questions</w:t>
      </w:r>
    </w:p>
    <w:p w:rsidR="00064FF7" w:rsidRDefault="00064FF7" w:rsidP="00064FF7">
      <w:pPr>
        <w:pStyle w:val="enumlev1"/>
      </w:pPr>
      <w:r>
        <w:t>–</w:t>
      </w:r>
      <w:r>
        <w:tab/>
        <w:t>1/11 on signalling and control architecture</w:t>
      </w:r>
    </w:p>
    <w:p w:rsidR="00064FF7" w:rsidRDefault="00064FF7" w:rsidP="00064FF7">
      <w:pPr>
        <w:pStyle w:val="enumlev1"/>
      </w:pPr>
      <w:r>
        <w:t>–</w:t>
      </w:r>
      <w:r>
        <w:tab/>
        <w:t>4/11 on resource control and signalling</w:t>
      </w:r>
    </w:p>
    <w:p w:rsidR="00064FF7" w:rsidRDefault="00064FF7" w:rsidP="00064FF7">
      <w:pPr>
        <w:pStyle w:val="enumlev1"/>
      </w:pPr>
      <w:r>
        <w:t>–</w:t>
      </w:r>
      <w:r>
        <w:tab/>
        <w:t>7/11 on network attachment control and signalling</w:t>
      </w:r>
    </w:p>
    <w:p w:rsidR="00064FF7" w:rsidRDefault="00064FF7" w:rsidP="00064FF7">
      <w:pPr>
        <w:pStyle w:val="Heading3"/>
        <w:tabs>
          <w:tab w:val="left" w:pos="720"/>
        </w:tabs>
        <w:spacing w:before="160"/>
      </w:pPr>
      <w:r>
        <w:t>Study groups</w:t>
      </w:r>
    </w:p>
    <w:p w:rsidR="00064FF7" w:rsidRDefault="00064FF7" w:rsidP="00064FF7">
      <w:pPr>
        <w:pStyle w:val="enumlev1"/>
      </w:pPr>
      <w:r>
        <w:t>–</w:t>
      </w:r>
      <w:r>
        <w:tab/>
        <w:t>SG 13 on service requirements, architecture, cloud computing and mobility aspects</w:t>
      </w:r>
    </w:p>
    <w:p w:rsidR="00064FF7" w:rsidRDefault="00064FF7" w:rsidP="00064FF7">
      <w:pPr>
        <w:pStyle w:val="enumlev1"/>
      </w:pPr>
      <w:r>
        <w:t>–</w:t>
      </w:r>
      <w:r>
        <w:tab/>
        <w:t>SG 15 on smart grid</w:t>
      </w:r>
    </w:p>
    <w:p w:rsidR="00064FF7" w:rsidRDefault="00064FF7" w:rsidP="00064FF7">
      <w:pPr>
        <w:pStyle w:val="enumlev1"/>
      </w:pPr>
      <w:r>
        <w:t>–</w:t>
      </w:r>
      <w:r>
        <w:tab/>
        <w:t>SG 16 on multimedia services and applications</w:t>
      </w:r>
    </w:p>
    <w:p w:rsidR="00064FF7" w:rsidRDefault="00064FF7" w:rsidP="00064FF7">
      <w:pPr>
        <w:pStyle w:val="enumlev1"/>
      </w:pPr>
      <w:r>
        <w:t>–</w:t>
      </w:r>
      <w:r>
        <w:tab/>
        <w:t>SG 17 on security aspects</w:t>
      </w:r>
    </w:p>
    <w:p w:rsidR="00064FF7" w:rsidRDefault="00064FF7" w:rsidP="00064FF7">
      <w:pPr>
        <w:pStyle w:val="enumlev1"/>
      </w:pPr>
      <w:r>
        <w:t>–</w:t>
      </w:r>
      <w:r>
        <w:tab/>
        <w:t>SG 2 on network management aspects and emergency communications</w:t>
      </w:r>
    </w:p>
    <w:p w:rsidR="00064FF7" w:rsidRDefault="00064FF7" w:rsidP="00064FF7">
      <w:pPr>
        <w:pStyle w:val="Heading3"/>
        <w:tabs>
          <w:tab w:val="left" w:pos="720"/>
        </w:tabs>
        <w:spacing w:before="160"/>
      </w:pPr>
      <w:r>
        <w:t>Standardization bodies</w:t>
      </w:r>
    </w:p>
    <w:p w:rsidR="00064FF7" w:rsidRDefault="00064FF7" w:rsidP="00064FF7">
      <w:pPr>
        <w:pStyle w:val="enumlev1"/>
      </w:pPr>
      <w:r>
        <w:t>–</w:t>
      </w:r>
      <w:r>
        <w:tab/>
        <w:t>3GPP; DMTF; ONF</w:t>
      </w:r>
    </w:p>
    <w:p w:rsidR="00064FF7" w:rsidRDefault="00064FF7" w:rsidP="00064FF7">
      <w:pPr>
        <w:pStyle w:val="enumlev1"/>
      </w:pPr>
      <w:r>
        <w:t>–</w:t>
      </w:r>
      <w:r>
        <w:tab/>
        <w:t>IETF; IEEE, Zigbee; IPSO; etc.</w:t>
      </w:r>
    </w:p>
    <w:p w:rsidR="00064FF7" w:rsidRDefault="00064FF7" w:rsidP="00064FF7">
      <w:pPr>
        <w:pStyle w:val="enumlev1"/>
      </w:pPr>
      <w:r>
        <w:t>–</w:t>
      </w:r>
      <w:r>
        <w:tab/>
        <w:t>One M2M; Continua Health Alliance</w:t>
      </w:r>
    </w:p>
    <w:p w:rsidR="00064FF7" w:rsidRPr="006B2F2C" w:rsidRDefault="00064FF7" w:rsidP="00567B8E">
      <w:pPr>
        <w:pStyle w:val="Heading2"/>
        <w:keepNext w:val="0"/>
        <w:pageBreakBefore/>
        <w:numPr>
          <w:ilvl w:val="0"/>
          <w:numId w:val="0"/>
        </w:numPr>
        <w:jc w:val="center"/>
        <w:rPr>
          <w:lang w:eastAsia="ko-KR"/>
        </w:rPr>
      </w:pPr>
      <w:bookmarkStart w:id="10" w:name="_Attachment2:_Proposed_change"/>
      <w:bookmarkEnd w:id="10"/>
      <w:r w:rsidRPr="006B2F2C">
        <w:rPr>
          <w:lang w:eastAsia="ko-KR"/>
        </w:rPr>
        <w:lastRenderedPageBreak/>
        <w:t>A</w:t>
      </w:r>
      <w:r w:rsidR="00567B8E">
        <w:rPr>
          <w:lang w:eastAsia="ko-KR"/>
        </w:rPr>
        <w:t>nnex</w:t>
      </w:r>
      <w:r>
        <w:rPr>
          <w:lang w:eastAsia="ko-KR"/>
        </w:rPr>
        <w:t xml:space="preserve"> 2</w:t>
      </w:r>
      <w:r w:rsidR="00567B8E">
        <w:rPr>
          <w:lang w:eastAsia="ko-KR"/>
        </w:rPr>
        <w:br/>
        <w:t>(to TSB Circular 189)</w:t>
      </w:r>
    </w:p>
    <w:p w:rsidR="00064FF7" w:rsidRPr="009163DE" w:rsidRDefault="00064FF7" w:rsidP="00D84575">
      <w:pPr>
        <w:pStyle w:val="Heading2"/>
        <w:keepNext w:val="0"/>
        <w:keepLines w:val="0"/>
        <w:numPr>
          <w:ilvl w:val="0"/>
          <w:numId w:val="0"/>
        </w:numPr>
        <w:tabs>
          <w:tab w:val="clear" w:pos="794"/>
          <w:tab w:val="clear" w:pos="1191"/>
          <w:tab w:val="clear" w:pos="1588"/>
          <w:tab w:val="clear" w:pos="1985"/>
        </w:tabs>
        <w:overflowPunct/>
        <w:autoSpaceDE/>
        <w:adjustRightInd/>
        <w:spacing w:before="240" w:after="60"/>
        <w:textAlignment w:val="auto"/>
        <w:rPr>
          <w:rFonts w:ascii="Times New Roman" w:eastAsia="????" w:hAnsi="Times New Roman"/>
          <w:szCs w:val="24"/>
        </w:rPr>
      </w:pPr>
      <w:bookmarkStart w:id="11" w:name="_Toc343850856"/>
      <w:bookmarkStart w:id="12" w:name="_Toc342650886"/>
      <w:r w:rsidRPr="009163DE">
        <w:t xml:space="preserve">Question 8/11 </w:t>
      </w:r>
      <w:r w:rsidRPr="009163DE">
        <w:noBreakHyphen/>
        <w:t xml:space="preserve"> Guidelines for implementations of signalling </w:t>
      </w:r>
      <w:r w:rsidRPr="009163DE">
        <w:rPr>
          <w:strike/>
        </w:rPr>
        <w:t>requirements</w:t>
      </w:r>
      <w:r w:rsidRPr="009163DE">
        <w:t xml:space="preserve"> and protocols</w:t>
      </w:r>
      <w:bookmarkEnd w:id="11"/>
      <w:bookmarkEnd w:id="12"/>
      <w:r w:rsidRPr="009163DE">
        <w:rPr>
          <w:u w:val="single"/>
        </w:rPr>
        <w:t>, and for addressing counterfeit ICT devices</w:t>
      </w:r>
    </w:p>
    <w:p w:rsidR="00064FF7" w:rsidRPr="009163DE" w:rsidRDefault="00064FF7" w:rsidP="00064FF7">
      <w:r w:rsidRPr="009163DE">
        <w:t>(Continuation of Question 6/11)</w:t>
      </w:r>
    </w:p>
    <w:p w:rsidR="00064FF7" w:rsidRPr="009163DE" w:rsidRDefault="00567B8E" w:rsidP="00567B8E">
      <w:pPr>
        <w:pStyle w:val="Heading3"/>
        <w:numPr>
          <w:ilvl w:val="0"/>
          <w:numId w:val="0"/>
        </w:numPr>
        <w:tabs>
          <w:tab w:val="clear" w:pos="794"/>
          <w:tab w:val="clear" w:pos="1191"/>
          <w:tab w:val="clear" w:pos="1588"/>
          <w:tab w:val="clear" w:pos="1985"/>
        </w:tabs>
        <w:spacing w:before="160"/>
        <w:textAlignment w:val="auto"/>
      </w:pPr>
      <w:bookmarkStart w:id="13" w:name="_Toc343850857"/>
      <w:r>
        <w:t>1</w:t>
      </w:r>
      <w:r>
        <w:tab/>
      </w:r>
      <w:r w:rsidR="00064FF7" w:rsidRPr="009163DE">
        <w:t>Motivation</w:t>
      </w:r>
      <w:bookmarkEnd w:id="13"/>
    </w:p>
    <w:p w:rsidR="00064FF7" w:rsidRPr="00244C0E" w:rsidRDefault="00064FF7" w:rsidP="00064FF7">
      <w:pPr>
        <w:rPr>
          <w:lang w:val="it-IT" w:eastAsia="ko-KR"/>
        </w:rPr>
      </w:pPr>
      <w:r w:rsidRPr="00BE3F2C" w:rsidDel="005F0F29">
        <w:rPr>
          <w:strike/>
          <w:lang w:val="it-IT" w:eastAsia="ko-KR"/>
        </w:rPr>
        <w:t>Networks and p</w:t>
      </w:r>
      <w:r w:rsidRPr="00BE3F2C">
        <w:rPr>
          <w:u w:val="single"/>
          <w:lang w:val="it-IT" w:eastAsia="ko-KR"/>
        </w:rPr>
        <w:t>P</w:t>
      </w:r>
      <w:r w:rsidRPr="00244C0E">
        <w:rPr>
          <w:lang w:val="it-IT" w:eastAsia="ko-KR"/>
        </w:rPr>
        <w:t xml:space="preserve">rotocols in packet-based networks are evolving. </w:t>
      </w:r>
      <w:r w:rsidRPr="009163DE">
        <w:rPr>
          <w:strike/>
          <w:lang w:val="it-IT" w:eastAsia="ko-KR"/>
        </w:rPr>
        <w:t xml:space="preserve">Progress </w:t>
      </w:r>
      <w:r w:rsidRPr="009163DE">
        <w:rPr>
          <w:u w:val="single"/>
          <w:lang w:val="it-IT" w:eastAsia="ko-KR"/>
        </w:rPr>
        <w:t>Ongoing studies and results</w:t>
      </w:r>
      <w:r w:rsidRPr="00244C0E">
        <w:rPr>
          <w:lang w:val="it-IT" w:eastAsia="ko-KR"/>
        </w:rPr>
        <w:t xml:space="preserve"> achieved by various international standardization bodies </w:t>
      </w:r>
      <w:r w:rsidRPr="00BE3F2C">
        <w:rPr>
          <w:strike/>
          <w:lang w:val="it-IT" w:eastAsia="ko-KR"/>
        </w:rPr>
        <w:t xml:space="preserve">has </w:t>
      </w:r>
      <w:r w:rsidRPr="00BE3F2C">
        <w:rPr>
          <w:u w:val="single"/>
          <w:lang w:val="it-IT" w:eastAsia="ko-KR"/>
        </w:rPr>
        <w:t>have</w:t>
      </w:r>
      <w:r w:rsidRPr="00244C0E">
        <w:rPr>
          <w:lang w:val="it-IT" w:eastAsia="ko-KR"/>
        </w:rPr>
        <w:t xml:space="preserve"> led to the emergence of different solutions to address convergence and interoperability.</w:t>
      </w:r>
    </w:p>
    <w:p w:rsidR="00064FF7" w:rsidRPr="00244C0E" w:rsidRDefault="00064FF7" w:rsidP="00064FF7">
      <w:pPr>
        <w:rPr>
          <w:lang w:val="it-IT" w:eastAsia="ko-KR"/>
        </w:rPr>
      </w:pPr>
      <w:r w:rsidRPr="00BE3F2C">
        <w:rPr>
          <w:strike/>
          <w:lang w:val="it-IT" w:eastAsia="ko-KR"/>
        </w:rPr>
        <w:t>Many</w:t>
      </w:r>
      <w:r w:rsidRPr="00BE3F2C">
        <w:rPr>
          <w:lang w:val="it-IT" w:eastAsia="ko-KR"/>
        </w:rPr>
        <w:t xml:space="preserve"> </w:t>
      </w:r>
      <w:r w:rsidRPr="00BE3F2C">
        <w:rPr>
          <w:u w:val="single"/>
          <w:lang w:val="it-IT" w:eastAsia="ko-KR"/>
        </w:rPr>
        <w:t>The ITU Member States, particularly those in</w:t>
      </w:r>
      <w:r w:rsidRPr="00244C0E">
        <w:rPr>
          <w:lang w:val="it-IT" w:eastAsia="ko-KR"/>
        </w:rPr>
        <w:t xml:space="preserve"> developing countries have expressed the</w:t>
      </w:r>
      <w:r w:rsidRPr="00BE3F2C">
        <w:rPr>
          <w:strike/>
          <w:lang w:val="it-IT" w:eastAsia="ko-KR"/>
        </w:rPr>
        <w:t>ir</w:t>
      </w:r>
      <w:r w:rsidRPr="00244C0E">
        <w:rPr>
          <w:lang w:val="it-IT" w:eastAsia="ko-KR"/>
        </w:rPr>
        <w:t xml:space="preserve"> needs for assistance in understanding </w:t>
      </w:r>
      <w:r w:rsidRPr="00BE3F2C">
        <w:rPr>
          <w:strike/>
          <w:lang w:val="it-IT" w:eastAsia="ko-KR"/>
        </w:rPr>
        <w:t>how the various ITU</w:t>
      </w:r>
      <w:r w:rsidRPr="00BE3F2C">
        <w:rPr>
          <w:strike/>
          <w:lang w:val="it-IT" w:eastAsia="ko-KR"/>
        </w:rPr>
        <w:noBreakHyphen/>
        <w:t>T recommendations can be used. Guidelines are needed to assist ITU Members in deciding on</w:t>
      </w:r>
      <w:r w:rsidRPr="00244C0E">
        <w:rPr>
          <w:lang w:val="it-IT" w:eastAsia="ko-KR"/>
        </w:rPr>
        <w:t xml:space="preserve"> </w:t>
      </w:r>
      <w:r w:rsidRPr="00BE3F2C">
        <w:rPr>
          <w:u w:val="single"/>
          <w:lang w:val="it-IT" w:eastAsia="ko-KR"/>
        </w:rPr>
        <w:t>network and service</w:t>
      </w:r>
      <w:r w:rsidRPr="00244C0E">
        <w:rPr>
          <w:lang w:val="it-IT" w:eastAsia="ko-KR"/>
        </w:rPr>
        <w:t xml:space="preserve"> deployment strategies </w:t>
      </w:r>
      <w:r w:rsidRPr="00BE3F2C">
        <w:rPr>
          <w:u w:val="single"/>
          <w:lang w:val="it-IT" w:eastAsia="ko-KR"/>
        </w:rPr>
        <w:t>and scenarios.</w:t>
      </w:r>
      <w:r w:rsidRPr="00244C0E">
        <w:rPr>
          <w:lang w:val="it-IT" w:eastAsia="ko-KR"/>
        </w:rPr>
        <w:t xml:space="preserve"> </w:t>
      </w:r>
      <w:r>
        <w:rPr>
          <w:strike/>
          <w:lang w:val="it-IT" w:eastAsia="ko-KR"/>
        </w:rPr>
        <w:t xml:space="preserve"> </w:t>
      </w:r>
      <w:r w:rsidRPr="00BE3F2C">
        <w:rPr>
          <w:strike/>
          <w:lang w:val="it-IT" w:eastAsia="ko-KR"/>
        </w:rPr>
        <w:t>in relation to new networks and services</w:t>
      </w:r>
      <w:r w:rsidRPr="00DF73BE">
        <w:rPr>
          <w:strike/>
          <w:lang w:val="it-IT" w:eastAsia="ko-KR"/>
        </w:rPr>
        <w:t>.</w:t>
      </w:r>
    </w:p>
    <w:p w:rsidR="00064FF7" w:rsidRPr="00244C0E" w:rsidRDefault="00064FF7" w:rsidP="00D530E2">
      <w:pPr>
        <w:spacing w:line="240" w:lineRule="atLeast"/>
        <w:rPr>
          <w:lang w:val="it-IT" w:eastAsia="ko-KR"/>
        </w:rPr>
      </w:pPr>
      <w:r w:rsidRPr="00BE3F2C">
        <w:rPr>
          <w:u w:val="single"/>
          <w:lang w:val="it-IT" w:eastAsia="ko-KR"/>
        </w:rPr>
        <w:t>Several forums and conferences have also called for ITU assistance in addressing the growing problem of counterfeit telcommunication/ICT products and devices, which is adversely affecting all stakeholders in the ICT field (vendors, governments, operators and consumers).</w:t>
      </w:r>
      <w:r w:rsidRPr="00DF73BE">
        <w:rPr>
          <w:lang w:val="it-IT" w:eastAsia="ko-KR"/>
        </w:rPr>
        <w:t xml:space="preserve"> </w:t>
      </w:r>
      <w:r w:rsidRPr="00244C0E">
        <w:rPr>
          <w:lang w:val="it-IT" w:eastAsia="ko-KR"/>
        </w:rPr>
        <w:t>Cooperation among ITU</w:t>
      </w:r>
      <w:r w:rsidRPr="00244C0E">
        <w:rPr>
          <w:lang w:val="it-IT" w:eastAsia="ko-KR"/>
        </w:rPr>
        <w:noBreakHyphen/>
        <w:t>T study groups, between ITU</w:t>
      </w:r>
      <w:r w:rsidRPr="00244C0E">
        <w:rPr>
          <w:lang w:val="it-IT" w:eastAsia="ko-KR"/>
        </w:rPr>
        <w:noBreakHyphen/>
        <w:t>T and ITU</w:t>
      </w:r>
      <w:r w:rsidRPr="00244C0E">
        <w:rPr>
          <w:lang w:val="it-IT" w:eastAsia="ko-KR"/>
        </w:rPr>
        <w:noBreakHyphen/>
        <w:t>D as well as with external bodies outside the ITU (in particular with SDOs),</w:t>
      </w:r>
      <w:r w:rsidRPr="00DF73BE">
        <w:rPr>
          <w:strike/>
          <w:lang w:val="it-IT" w:eastAsia="ko-KR"/>
        </w:rPr>
        <w:t xml:space="preserve"> is</w:t>
      </w:r>
      <w:r w:rsidRPr="00DF73BE">
        <w:rPr>
          <w:lang w:val="it-IT" w:eastAsia="ko-KR"/>
        </w:rPr>
        <w:t xml:space="preserve"> </w:t>
      </w:r>
      <w:r w:rsidRPr="00DF73BE">
        <w:rPr>
          <w:u w:val="single"/>
          <w:lang w:val="it-IT" w:eastAsia="ko-KR"/>
        </w:rPr>
        <w:t>will be</w:t>
      </w:r>
      <w:r w:rsidRPr="00244C0E">
        <w:rPr>
          <w:lang w:val="it-IT" w:eastAsia="ko-KR"/>
        </w:rPr>
        <w:t xml:space="preserve"> required to gather a complete information </w:t>
      </w:r>
      <w:r w:rsidRPr="00DF73BE">
        <w:rPr>
          <w:u w:val="single"/>
          <w:lang w:val="it-IT" w:eastAsia="ko-KR"/>
        </w:rPr>
        <w:t>in this regard</w:t>
      </w:r>
      <w:r w:rsidRPr="00DF73BE">
        <w:rPr>
          <w:strike/>
          <w:lang w:val="it-IT" w:eastAsia="ko-KR"/>
        </w:rPr>
        <w:t>to deliver valuable guidelines</w:t>
      </w:r>
      <w:r w:rsidRPr="00244C0E">
        <w:rPr>
          <w:lang w:val="it-IT" w:eastAsia="ko-KR"/>
        </w:rPr>
        <w:t xml:space="preserve">. </w:t>
      </w:r>
    </w:p>
    <w:p w:rsidR="00064FF7" w:rsidRPr="00244C0E" w:rsidRDefault="00064FF7" w:rsidP="00064FF7">
      <w:pPr>
        <w:spacing w:line="240" w:lineRule="atLeast"/>
        <w:rPr>
          <w:lang w:val="it-IT"/>
        </w:rPr>
      </w:pPr>
      <w:r w:rsidRPr="00244C0E">
        <w:rPr>
          <w:lang w:val="it-IT" w:eastAsia="ko-KR"/>
        </w:rPr>
        <w:t>Coordination among relevant organizations is also necessary to fulfil these tasks.</w:t>
      </w:r>
    </w:p>
    <w:p w:rsidR="00064FF7" w:rsidRPr="009163DE" w:rsidRDefault="00567B8E" w:rsidP="00567B8E">
      <w:pPr>
        <w:pStyle w:val="Heading3"/>
        <w:numPr>
          <w:ilvl w:val="0"/>
          <w:numId w:val="0"/>
        </w:numPr>
        <w:tabs>
          <w:tab w:val="clear" w:pos="794"/>
          <w:tab w:val="clear" w:pos="1191"/>
          <w:tab w:val="clear" w:pos="1588"/>
          <w:tab w:val="clear" w:pos="1985"/>
        </w:tabs>
        <w:spacing w:before="160"/>
        <w:textAlignment w:val="auto"/>
      </w:pPr>
      <w:bookmarkStart w:id="14" w:name="_Toc343850858"/>
      <w:r>
        <w:t>2</w:t>
      </w:r>
      <w:r>
        <w:tab/>
      </w:r>
      <w:r w:rsidR="00064FF7" w:rsidRPr="009163DE">
        <w:t>Question</w:t>
      </w:r>
      <w:bookmarkEnd w:id="14"/>
    </w:p>
    <w:p w:rsidR="00064FF7" w:rsidRPr="00244C0E" w:rsidRDefault="00064FF7" w:rsidP="00064FF7">
      <w:pPr>
        <w:rPr>
          <w:lang w:val="it-IT"/>
        </w:rPr>
      </w:pPr>
      <w:r w:rsidRPr="00244C0E">
        <w:rPr>
          <w:lang w:val="it-IT"/>
        </w:rPr>
        <w:t>Study items to be considered include, but are not limited to:</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What activity is needed in the ITU</w:t>
      </w:r>
      <w:r w:rsidRPr="00244C0E">
        <w:rPr>
          <w:rFonts w:eastAsia="MS ??"/>
        </w:rPr>
        <w:noBreakHyphen/>
        <w:t>T Sector to prepare common guidelines by the ITU</w:t>
      </w:r>
      <w:r w:rsidRPr="00244C0E">
        <w:rPr>
          <w:rFonts w:eastAsia="MS ??"/>
        </w:rPr>
        <w:noBreakHyphen/>
        <w:t>T and ITU</w:t>
      </w:r>
      <w:r w:rsidRPr="00244C0E">
        <w:rPr>
          <w:rFonts w:eastAsia="MS ??"/>
        </w:rPr>
        <w:noBreakHyphen/>
        <w:t xml:space="preserve">D Sectors, containing different aspects related to technical matters, in particular to </w:t>
      </w:r>
      <w:r w:rsidRPr="00DF73BE">
        <w:rPr>
          <w:rFonts w:eastAsia="MS ??"/>
          <w:color w:val="000000"/>
          <w:u w:val="single"/>
        </w:rPr>
        <w:t>address counterfeiting of ICT devices, and</w:t>
      </w:r>
      <w:r w:rsidRPr="00244C0E">
        <w:rPr>
          <w:rFonts w:eastAsia="MS ??"/>
          <w:color w:val="000000"/>
        </w:rPr>
        <w:t xml:space="preserve"> </w:t>
      </w:r>
      <w:r w:rsidRPr="00244C0E">
        <w:rPr>
          <w:rFonts w:eastAsia="MS ??"/>
        </w:rPr>
        <w:t>compare approaches to network testing and benchmarking?</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What should be taken into account to assure adequate security in the deployment of packet-based networks?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What functional architecture and entities are required to support services and/or applications of public interest such as emergency call handling, lawful interception, number portability, etc.?</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What should be taken into account to provide energy savings, directly or indirectly, in information and communication technologies (ICTs) or in other industries?</w:t>
      </w:r>
    </w:p>
    <w:p w:rsidR="00064FF7" w:rsidRPr="009163DE" w:rsidRDefault="00567B8E" w:rsidP="00567B8E">
      <w:pPr>
        <w:pStyle w:val="Heading3"/>
        <w:numPr>
          <w:ilvl w:val="0"/>
          <w:numId w:val="0"/>
        </w:numPr>
        <w:tabs>
          <w:tab w:val="clear" w:pos="794"/>
          <w:tab w:val="clear" w:pos="1191"/>
          <w:tab w:val="clear" w:pos="1588"/>
          <w:tab w:val="clear" w:pos="1985"/>
        </w:tabs>
        <w:spacing w:before="160"/>
        <w:textAlignment w:val="auto"/>
      </w:pPr>
      <w:bookmarkStart w:id="15" w:name="_Toc343850859"/>
      <w:r>
        <w:lastRenderedPageBreak/>
        <w:t>3</w:t>
      </w:r>
      <w:r>
        <w:tab/>
      </w:r>
      <w:r w:rsidR="00064FF7" w:rsidRPr="009163DE">
        <w:t>Tasks</w:t>
      </w:r>
      <w:bookmarkEnd w:id="15"/>
    </w:p>
    <w:p w:rsidR="00064FF7" w:rsidRPr="00244C0E" w:rsidRDefault="00064FF7" w:rsidP="00064FF7">
      <w:pPr>
        <w:rPr>
          <w:lang w:val="it-IT"/>
        </w:rPr>
      </w:pPr>
      <w:r w:rsidRPr="00244C0E">
        <w:rPr>
          <w:lang w:val="it-IT"/>
        </w:rPr>
        <w:t>Tasks include, but are not limited to:</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identify network interconnection scenarios;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coordinate ITU</w:t>
      </w:r>
      <w:r w:rsidRPr="00244C0E">
        <w:rPr>
          <w:rFonts w:eastAsia="MS ??"/>
        </w:rPr>
        <w:noBreakHyphen/>
        <w:t>T Sector inputs to produce guidelines in cooperation with the ITU</w:t>
      </w:r>
      <w:r w:rsidRPr="00244C0E">
        <w:rPr>
          <w:rFonts w:eastAsia="MS ??"/>
        </w:rPr>
        <w:noBreakHyphen/>
        <w:t>D Sector, that would include (the inputs shall include any technical aspects as prepared by the relevant study groups):</w:t>
      </w:r>
    </w:p>
    <w:p w:rsidR="00064FF7" w:rsidRPr="00244C0E" w:rsidRDefault="00064FF7" w:rsidP="00064FF7">
      <w:pPr>
        <w:spacing w:before="80"/>
        <w:ind w:left="1191" w:hanging="397"/>
        <w:rPr>
          <w:rFonts w:eastAsia="MS ??"/>
        </w:rPr>
      </w:pPr>
      <w:r w:rsidRPr="00244C0E">
        <w:rPr>
          <w:rFonts w:eastAsia="MS ??"/>
        </w:rPr>
        <w:t>–</w:t>
      </w:r>
      <w:r w:rsidRPr="00244C0E">
        <w:rPr>
          <w:rFonts w:eastAsia="MS ??"/>
        </w:rPr>
        <w:tab/>
        <w:t>identification of protocols consistent with the existing and new service requirements of administrations/operators, for migration from circuit switched networks to packet based networks in the evolution towards NGN/SUN;</w:t>
      </w:r>
    </w:p>
    <w:p w:rsidR="00064FF7" w:rsidRPr="00244C0E" w:rsidRDefault="00064FF7" w:rsidP="00064FF7">
      <w:pPr>
        <w:spacing w:before="80"/>
        <w:ind w:left="1191" w:hanging="397"/>
        <w:rPr>
          <w:rFonts w:eastAsia="MS ??"/>
        </w:rPr>
      </w:pPr>
      <w:r w:rsidRPr="00244C0E">
        <w:rPr>
          <w:rFonts w:eastAsia="MS ??"/>
        </w:rPr>
        <w:t>–</w:t>
      </w:r>
      <w:r w:rsidRPr="00244C0E">
        <w:rPr>
          <w:rFonts w:eastAsia="MS ??"/>
        </w:rPr>
        <w:tab/>
        <w:t>degree of interoperability for services between networks employing different protocols;</w:t>
      </w:r>
    </w:p>
    <w:p w:rsidR="00064FF7" w:rsidRPr="00244C0E" w:rsidRDefault="00064FF7" w:rsidP="00064FF7">
      <w:pPr>
        <w:spacing w:before="80"/>
        <w:ind w:left="1191" w:hanging="397"/>
        <w:rPr>
          <w:rFonts w:eastAsia="MS ??"/>
        </w:rPr>
      </w:pPr>
      <w:r w:rsidRPr="00244C0E">
        <w:rPr>
          <w:rFonts w:eastAsia="MS ??"/>
        </w:rPr>
        <w:t>–</w:t>
      </w:r>
      <w:r w:rsidRPr="00244C0E">
        <w:rPr>
          <w:rFonts w:eastAsia="MS ??"/>
        </w:rPr>
        <w:tab/>
      </w:r>
      <w:r w:rsidRPr="00DF73BE">
        <w:rPr>
          <w:rFonts w:eastAsia="MS ??"/>
          <w:u w:val="single"/>
        </w:rPr>
        <w:t>guidelines to address the problem of counterfeiting of ICT devices</w:t>
      </w:r>
      <w:r w:rsidR="002324EF">
        <w:rPr>
          <w:rFonts w:eastAsia="MS ??"/>
          <w:u w:val="single"/>
        </w:rPr>
        <w:t>;</w:t>
      </w:r>
    </w:p>
    <w:p w:rsidR="00064FF7" w:rsidRPr="00244C0E" w:rsidRDefault="00064FF7" w:rsidP="002324EF">
      <w:pPr>
        <w:spacing w:before="80"/>
        <w:ind w:left="1191" w:hanging="397"/>
        <w:rPr>
          <w:rFonts w:eastAsia="MS ??"/>
        </w:rPr>
      </w:pPr>
      <w:r w:rsidRPr="00244C0E">
        <w:rPr>
          <w:rFonts w:eastAsia="MS ??"/>
        </w:rPr>
        <w:t>–</w:t>
      </w:r>
      <w:r w:rsidRPr="00244C0E">
        <w:rPr>
          <w:rFonts w:eastAsia="MS ??"/>
        </w:rPr>
        <w:tab/>
        <w:t>generic guidelines covering aspects of network testing and monitoring</w:t>
      </w:r>
      <w:r w:rsidR="002324EF">
        <w:rPr>
          <w:rFonts w:eastAsia="MS ??"/>
        </w:rPr>
        <w:t>;</w:t>
      </w:r>
    </w:p>
    <w:p w:rsidR="00064FF7" w:rsidRPr="00244C0E" w:rsidRDefault="00064FF7" w:rsidP="00064FF7">
      <w:pPr>
        <w:spacing w:before="80"/>
        <w:ind w:left="1191" w:hanging="397"/>
        <w:rPr>
          <w:rFonts w:eastAsia="MS ??"/>
        </w:rPr>
      </w:pPr>
      <w:r w:rsidRPr="00244C0E">
        <w:rPr>
          <w:rFonts w:eastAsia="MS ??"/>
        </w:rPr>
        <w:t>–</w:t>
      </w:r>
      <w:r w:rsidRPr="00244C0E">
        <w:rPr>
          <w:rFonts w:eastAsia="MS ??"/>
        </w:rPr>
        <w:tab/>
        <w:t>generic guidelines for approaches to networks and services benchmarking including approaches of QoS/QoE monitoring system development.</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prepare the technical guidelines on the signalling requirements and protocol aspects of packet-based networks to support PSTN/ISDN services and their evolution to NGN/SUN.</w:t>
      </w:r>
    </w:p>
    <w:p w:rsidR="00064FF7" w:rsidRPr="00244C0E" w:rsidRDefault="00064FF7" w:rsidP="00064FF7">
      <w:pPr>
        <w:rPr>
          <w:lang w:val="it-IT"/>
        </w:rPr>
      </w:pPr>
      <w:r w:rsidRPr="00244C0E">
        <w:rPr>
          <w:lang w:val="it-IT"/>
        </w:rPr>
        <w:t>An up-to-date status of work under this Question is contained in the SG 11 work programme (</w:t>
      </w:r>
      <w:hyperlink r:id="rId12" w:history="1">
        <w:r w:rsidRPr="00244C0E">
          <w:rPr>
            <w:color w:val="0000FF"/>
            <w:u w:val="single"/>
            <w:lang w:val="it-IT"/>
          </w:rPr>
          <w:t>http://itu.int/ITU-T/workprog/wp_search.aspx?Q=8/11</w:t>
        </w:r>
      </w:hyperlink>
      <w:r w:rsidRPr="00244C0E">
        <w:rPr>
          <w:lang w:val="it-IT"/>
        </w:rPr>
        <w:t>)</w:t>
      </w:r>
      <w:r w:rsidR="002324EF">
        <w:rPr>
          <w:lang w:val="it-IT"/>
        </w:rPr>
        <w:t>.</w:t>
      </w:r>
    </w:p>
    <w:p w:rsidR="00064FF7" w:rsidRPr="009163DE" w:rsidRDefault="00567B8E" w:rsidP="00567B8E">
      <w:pPr>
        <w:pStyle w:val="Heading3"/>
        <w:numPr>
          <w:ilvl w:val="0"/>
          <w:numId w:val="0"/>
        </w:numPr>
        <w:tabs>
          <w:tab w:val="clear" w:pos="794"/>
          <w:tab w:val="clear" w:pos="1191"/>
          <w:tab w:val="clear" w:pos="1588"/>
          <w:tab w:val="clear" w:pos="1985"/>
        </w:tabs>
        <w:spacing w:before="160"/>
        <w:textAlignment w:val="auto"/>
      </w:pPr>
      <w:bookmarkStart w:id="16" w:name="_Toc343850860"/>
      <w:r>
        <w:t>4</w:t>
      </w:r>
      <w:r>
        <w:tab/>
      </w:r>
      <w:r w:rsidR="00064FF7" w:rsidRPr="009163DE">
        <w:t>Relationships</w:t>
      </w:r>
      <w:bookmarkEnd w:id="16"/>
    </w:p>
    <w:p w:rsidR="00064FF7" w:rsidRPr="00DF73BE" w:rsidRDefault="00064FF7" w:rsidP="00064FF7">
      <w:pPr>
        <w:keepNext/>
        <w:spacing w:before="160"/>
        <w:rPr>
          <w:rFonts w:eastAsia="MS ??"/>
          <w:b/>
          <w:bCs/>
          <w:u w:val="single"/>
        </w:rPr>
      </w:pPr>
      <w:r w:rsidRPr="00DF73BE">
        <w:rPr>
          <w:rFonts w:eastAsia="MS ??"/>
          <w:b/>
          <w:bCs/>
          <w:u w:val="single"/>
        </w:rPr>
        <w:t>Resolutions</w:t>
      </w:r>
    </w:p>
    <w:p w:rsidR="00064FF7" w:rsidRPr="00DF73BE" w:rsidRDefault="00064FF7" w:rsidP="00D84575">
      <w:pPr>
        <w:pStyle w:val="enumlev1"/>
        <w:tabs>
          <w:tab w:val="clear" w:pos="1191"/>
        </w:tabs>
        <w:ind w:left="812" w:hanging="812"/>
        <w:rPr>
          <w:u w:val="single"/>
        </w:rPr>
      </w:pPr>
      <w:r w:rsidRPr="00DF73BE">
        <w:rPr>
          <w:u w:val="single"/>
        </w:rPr>
        <w:t>–</w:t>
      </w:r>
      <w:r w:rsidRPr="00DF73BE">
        <w:rPr>
          <w:u w:val="single"/>
        </w:rPr>
        <w:tab/>
        <w:t>Resolution 177 (Guadalajara, 2010) of the Plenipotentiary Conference, on conformance and interoperability, which instructs the Director of the BDT ,in close collaboration with the Director of the TSB and the Director of the BR, to assist Member States in addressing their concerns with respect to counterfeit equipment</w:t>
      </w:r>
    </w:p>
    <w:p w:rsidR="00064FF7" w:rsidRPr="00DF73BE" w:rsidRDefault="00064FF7" w:rsidP="002324EF">
      <w:pPr>
        <w:pStyle w:val="enumlev1"/>
        <w:tabs>
          <w:tab w:val="clear" w:pos="1191"/>
        </w:tabs>
        <w:ind w:left="812" w:hanging="812"/>
        <w:rPr>
          <w:rFonts w:eastAsia="MS ??"/>
          <w:u w:val="single"/>
        </w:rPr>
      </w:pPr>
      <w:r w:rsidRPr="00DF73BE">
        <w:rPr>
          <w:u w:val="single"/>
        </w:rPr>
        <w:t>–</w:t>
      </w:r>
      <w:r w:rsidRPr="00DF73BE">
        <w:rPr>
          <w:u w:val="single"/>
        </w:rPr>
        <w:tab/>
        <w:t xml:space="preserve">Resolution </w:t>
      </w:r>
      <w:r w:rsidR="00D84575">
        <w:rPr>
          <w:u w:val="single"/>
        </w:rPr>
        <w:t>79 (</w:t>
      </w:r>
      <w:r w:rsidRPr="00DF73BE">
        <w:rPr>
          <w:u w:val="single"/>
        </w:rPr>
        <w:t xml:space="preserve">Dubai, 2014) </w:t>
      </w:r>
      <w:r w:rsidR="00D84575">
        <w:rPr>
          <w:u w:val="single"/>
        </w:rPr>
        <w:t>of the WTDC,</w:t>
      </w:r>
      <w:r w:rsidR="00D84575" w:rsidRPr="00DF73BE">
        <w:rPr>
          <w:u w:val="single"/>
        </w:rPr>
        <w:t xml:space="preserve"> </w:t>
      </w:r>
      <w:r w:rsidRPr="00DF73BE">
        <w:rPr>
          <w:u w:val="single"/>
        </w:rPr>
        <w:t>on the role of telecommunications/ICT in combating and dealing with counterfeit</w:t>
      </w:r>
      <w:r w:rsidRPr="00DF73BE">
        <w:rPr>
          <w:rStyle w:val="FootnoteReference"/>
          <w:u w:val="single"/>
        </w:rPr>
        <w:footnoteReference w:id="1"/>
      </w:r>
      <w:r w:rsidRPr="00DF73BE">
        <w:rPr>
          <w:u w:val="single"/>
        </w:rPr>
        <w:t xml:space="preserve"> telecommunication/I</w:t>
      </w:r>
      <w:r w:rsidR="002324EF">
        <w:rPr>
          <w:u w:val="single"/>
        </w:rPr>
        <w:t>C</w:t>
      </w:r>
      <w:r w:rsidRPr="00DF73BE">
        <w:rPr>
          <w:u w:val="single"/>
        </w:rPr>
        <w:t>T</w:t>
      </w:r>
    </w:p>
    <w:p w:rsidR="00064FF7" w:rsidRPr="00244C0E" w:rsidRDefault="00064FF7" w:rsidP="00064FF7">
      <w:pPr>
        <w:keepNext/>
        <w:spacing w:before="160"/>
        <w:rPr>
          <w:rFonts w:eastAsia="MS ??"/>
          <w:b/>
          <w:bCs/>
        </w:rPr>
      </w:pPr>
      <w:r w:rsidRPr="00244C0E">
        <w:rPr>
          <w:rFonts w:eastAsia="MS ??"/>
          <w:b/>
          <w:bCs/>
        </w:rPr>
        <w:t>Recommendations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As required</w:t>
      </w:r>
    </w:p>
    <w:p w:rsidR="00064FF7" w:rsidRPr="00244C0E" w:rsidRDefault="00064FF7" w:rsidP="00064FF7">
      <w:pPr>
        <w:keepNext/>
        <w:spacing w:before="160"/>
        <w:rPr>
          <w:rFonts w:eastAsia="MS ??"/>
          <w:b/>
          <w:bCs/>
        </w:rPr>
      </w:pPr>
      <w:r w:rsidRPr="00244C0E">
        <w:rPr>
          <w:rFonts w:eastAsia="MS ??"/>
          <w:b/>
          <w:bCs/>
        </w:rPr>
        <w:lastRenderedPageBreak/>
        <w:t>Questions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All Questions of SG11, especially Questions relating to control, signalling architectures and protocols</w:t>
      </w:r>
    </w:p>
    <w:p w:rsidR="00064FF7" w:rsidRPr="00244C0E" w:rsidRDefault="00064FF7" w:rsidP="00064FF7">
      <w:pPr>
        <w:keepNext/>
        <w:spacing w:before="160"/>
        <w:rPr>
          <w:rFonts w:eastAsia="MS ??"/>
          <w:b/>
          <w:bCs/>
        </w:rPr>
      </w:pPr>
      <w:r w:rsidRPr="00244C0E">
        <w:rPr>
          <w:rFonts w:eastAsia="MS ??"/>
          <w:b/>
          <w:bCs/>
        </w:rPr>
        <w:t>Study groups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ITU</w:t>
      </w:r>
      <w:r w:rsidRPr="00244C0E">
        <w:rPr>
          <w:rFonts w:eastAsia="MS ??"/>
        </w:rPr>
        <w:noBreakHyphen/>
        <w:t>T SG2 on operational aspects of service provisioning and telecommunication management</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ITU</w:t>
      </w:r>
      <w:r w:rsidRPr="00244C0E">
        <w:rPr>
          <w:rFonts w:eastAsia="MS ??"/>
        </w:rPr>
        <w:noBreakHyphen/>
        <w:t>T SG12 on network QoS and performance aspects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ITU</w:t>
      </w:r>
      <w:r w:rsidRPr="00244C0E">
        <w:rPr>
          <w:rFonts w:eastAsia="MS ??"/>
        </w:rPr>
        <w:noBreakHyphen/>
        <w:t>T SG13 on principles, requirements, frameworks and architectures for an overall heterogeneous network environment</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ITU</w:t>
      </w:r>
      <w:r w:rsidRPr="00244C0E">
        <w:rPr>
          <w:rFonts w:eastAsia="MS ??"/>
        </w:rPr>
        <w:noBreakHyphen/>
        <w:t>T SG16 on multimedia architecture, data networks and telecommunication software aspects</w:t>
      </w:r>
    </w:p>
    <w:p w:rsidR="00064FF7" w:rsidRPr="00244C0E" w:rsidRDefault="00064FF7" w:rsidP="00064FF7">
      <w:pPr>
        <w:spacing w:before="80"/>
        <w:ind w:left="794" w:hanging="794"/>
        <w:rPr>
          <w:rFonts w:eastAsia="MS ??"/>
        </w:rPr>
      </w:pPr>
      <w:r w:rsidRPr="00244C0E">
        <w:rPr>
          <w:rFonts w:eastAsia="MS ??"/>
        </w:rPr>
        <w:t>–</w:t>
      </w:r>
      <w:r w:rsidRPr="00244C0E">
        <w:rPr>
          <w:rFonts w:eastAsia="MS ??"/>
        </w:rPr>
        <w:tab/>
        <w:t>ITU</w:t>
      </w:r>
      <w:r w:rsidRPr="00244C0E">
        <w:rPr>
          <w:rFonts w:eastAsia="MS ??"/>
        </w:rPr>
        <w:noBreakHyphen/>
        <w:t>D SG</w:t>
      </w:r>
      <w:r w:rsidRPr="00FF27D9">
        <w:rPr>
          <w:rFonts w:eastAsia="MS ??"/>
          <w:u w:val="single"/>
        </w:rPr>
        <w:t>1 and</w:t>
      </w:r>
      <w:r w:rsidRPr="008A5E69">
        <w:rPr>
          <w:rFonts w:eastAsia="MS ??"/>
          <w:u w:val="single"/>
        </w:rPr>
        <w:t xml:space="preserve"> SG</w:t>
      </w:r>
      <w:r w:rsidRPr="00244C0E">
        <w:rPr>
          <w:rFonts w:eastAsia="MS ??"/>
        </w:rPr>
        <w:t>2</w:t>
      </w:r>
    </w:p>
    <w:p w:rsidR="00064FF7" w:rsidRPr="00244C0E" w:rsidRDefault="00064FF7" w:rsidP="00064FF7">
      <w:pPr>
        <w:keepNext/>
        <w:spacing w:before="160"/>
        <w:rPr>
          <w:rFonts w:eastAsia="MS ??"/>
          <w:b/>
          <w:bCs/>
        </w:rPr>
      </w:pPr>
      <w:r w:rsidRPr="00244C0E">
        <w:rPr>
          <w:rFonts w:eastAsia="MS ??"/>
          <w:b/>
          <w:bCs/>
        </w:rPr>
        <w:t>Standardization bodies</w:t>
      </w:r>
    </w:p>
    <w:p w:rsidR="00064FF7" w:rsidRPr="00FF27D9" w:rsidRDefault="00064FF7" w:rsidP="00D84575">
      <w:pPr>
        <w:pStyle w:val="enumlev1"/>
        <w:tabs>
          <w:tab w:val="clear" w:pos="1191"/>
        </w:tabs>
        <w:ind w:left="798" w:hanging="798"/>
        <w:rPr>
          <w:b/>
          <w:bCs/>
          <w:color w:val="000000"/>
        </w:rPr>
      </w:pPr>
      <w:r w:rsidRPr="00244C0E">
        <w:rPr>
          <w:rFonts w:eastAsia="MS ??"/>
        </w:rPr>
        <w:t>–</w:t>
      </w:r>
      <w:r w:rsidRPr="00244C0E">
        <w:rPr>
          <w:rFonts w:eastAsia="MS ??"/>
        </w:rPr>
        <w:tab/>
      </w:r>
      <w:r>
        <w:t>Asia-Pacific Telecommunity Standardization Program (ASTAP), CITEL,</w:t>
      </w:r>
      <w:r w:rsidRPr="00A01307">
        <w:t xml:space="preserve"> </w:t>
      </w:r>
      <w:r w:rsidRPr="00FF27D9">
        <w:rPr>
          <w:u w:val="single"/>
        </w:rPr>
        <w:t>SADC, EACO, WATRA, ATU, Maghreb,</w:t>
      </w:r>
      <w:r>
        <w:t xml:space="preserve"> ETSI, IETF and similar organizations.</w:t>
      </w:r>
    </w:p>
    <w:p w:rsidR="0087300D" w:rsidRPr="00064FF7" w:rsidRDefault="00064FF7" w:rsidP="00064FF7">
      <w:pPr>
        <w:jc w:val="center"/>
        <w:rPr>
          <w:rFonts w:eastAsia="SimSun"/>
          <w:lang w:eastAsia="zh-CN"/>
        </w:rPr>
      </w:pPr>
      <w:r w:rsidRPr="00597A1E">
        <w:rPr>
          <w:rFonts w:eastAsia="SimSun"/>
          <w:lang w:eastAsia="zh-CN"/>
        </w:rPr>
        <w:t>_________________</w:t>
      </w:r>
    </w:p>
    <w:sectPr w:rsidR="0087300D" w:rsidRPr="00064FF7"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3C" w:rsidRDefault="00D4713C">
      <w:r>
        <w:separator/>
      </w:r>
    </w:p>
  </w:endnote>
  <w:endnote w:type="continuationSeparator" w:id="0">
    <w:p w:rsidR="00D4713C" w:rsidRDefault="00D4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567B8E" w:rsidP="00064FF7">
    <w:pPr>
      <w:pStyle w:val="Footer"/>
      <w:tabs>
        <w:tab w:val="clear" w:pos="794"/>
        <w:tab w:val="clear" w:pos="1191"/>
        <w:tab w:val="clear" w:pos="1588"/>
        <w:tab w:val="clear" w:pos="1985"/>
      </w:tabs>
      <w:rPr>
        <w:lang w:val="fr-CH"/>
      </w:rPr>
    </w:pPr>
    <w:r>
      <w:rPr>
        <w:lang w:val="fr-CH"/>
      </w:rPr>
      <w:t>ITU-T\BUREAU\CIRC\189</w:t>
    </w:r>
    <w:r w:rsidR="00064FF7">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3C" w:rsidRDefault="00D4713C">
      <w:r>
        <w:t>____________________</w:t>
      </w:r>
    </w:p>
  </w:footnote>
  <w:footnote w:type="continuationSeparator" w:id="0">
    <w:p w:rsidR="00D4713C" w:rsidRDefault="00D4713C">
      <w:r>
        <w:continuationSeparator/>
      </w:r>
    </w:p>
  </w:footnote>
  <w:footnote w:id="1">
    <w:p w:rsidR="00064FF7" w:rsidRPr="00FF27D9" w:rsidRDefault="00064FF7" w:rsidP="00064FF7">
      <w:pPr>
        <w:pStyle w:val="FootnoteText"/>
        <w:rPr>
          <w:u w:val="single"/>
          <w:lang w:val="en-US"/>
        </w:rPr>
      </w:pPr>
      <w:r w:rsidRPr="00FF27D9">
        <w:rPr>
          <w:rStyle w:val="FootnoteReference"/>
          <w:u w:val="single"/>
        </w:rPr>
        <w:footnoteRef/>
      </w:r>
      <w:r w:rsidRPr="00FF27D9">
        <w:rPr>
          <w:u w:val="single"/>
        </w:rPr>
        <w:t xml:space="preserve"> </w:t>
      </w:r>
      <w:r w:rsidRPr="00567B8E">
        <w:rPr>
          <w:sz w:val="18"/>
          <w:szCs w:val="18"/>
          <w:u w:val="single"/>
        </w:rPr>
        <w:t>Counterfeit telecommunication/ICT devices include counterfeit and/or copied devices and equipment as well as accessories and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7606CE">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DCC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AC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343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EB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A14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00BBF"/>
    <w:multiLevelType w:val="multilevel"/>
    <w:tmpl w:val="92B0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E55C4"/>
    <w:multiLevelType w:val="multilevel"/>
    <w:tmpl w:val="A2865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1D140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F7"/>
    <w:rsid w:val="000069D4"/>
    <w:rsid w:val="000174AD"/>
    <w:rsid w:val="0002584C"/>
    <w:rsid w:val="000305E1"/>
    <w:rsid w:val="00064FF7"/>
    <w:rsid w:val="000A7D55"/>
    <w:rsid w:val="000B46FB"/>
    <w:rsid w:val="000C2E8E"/>
    <w:rsid w:val="000D49FB"/>
    <w:rsid w:val="000E0E7C"/>
    <w:rsid w:val="000F1B4B"/>
    <w:rsid w:val="0012744F"/>
    <w:rsid w:val="00156DFF"/>
    <w:rsid w:val="00156F66"/>
    <w:rsid w:val="00182528"/>
    <w:rsid w:val="0018500B"/>
    <w:rsid w:val="00196A19"/>
    <w:rsid w:val="00196AB1"/>
    <w:rsid w:val="001D3DD3"/>
    <w:rsid w:val="00202DC1"/>
    <w:rsid w:val="002116EE"/>
    <w:rsid w:val="002309D8"/>
    <w:rsid w:val="002324EF"/>
    <w:rsid w:val="00287BF1"/>
    <w:rsid w:val="002A211F"/>
    <w:rsid w:val="002A7FE2"/>
    <w:rsid w:val="002B711C"/>
    <w:rsid w:val="002D528E"/>
    <w:rsid w:val="002E1B4F"/>
    <w:rsid w:val="002F2E67"/>
    <w:rsid w:val="002F6530"/>
    <w:rsid w:val="00315546"/>
    <w:rsid w:val="00330567"/>
    <w:rsid w:val="00351DA5"/>
    <w:rsid w:val="00383598"/>
    <w:rsid w:val="00386A9D"/>
    <w:rsid w:val="00391081"/>
    <w:rsid w:val="003B2789"/>
    <w:rsid w:val="003C13CE"/>
    <w:rsid w:val="003E2518"/>
    <w:rsid w:val="004314A2"/>
    <w:rsid w:val="00453356"/>
    <w:rsid w:val="004B1EF7"/>
    <w:rsid w:val="004B3FAD"/>
    <w:rsid w:val="004B6F55"/>
    <w:rsid w:val="004E3CF9"/>
    <w:rsid w:val="00501DCA"/>
    <w:rsid w:val="00513A47"/>
    <w:rsid w:val="005408DF"/>
    <w:rsid w:val="0055318D"/>
    <w:rsid w:val="00567B8E"/>
    <w:rsid w:val="00573344"/>
    <w:rsid w:val="00583F9B"/>
    <w:rsid w:val="00584AFA"/>
    <w:rsid w:val="005C08FC"/>
    <w:rsid w:val="005E1223"/>
    <w:rsid w:val="005E5C10"/>
    <w:rsid w:val="005F2C78"/>
    <w:rsid w:val="006144E4"/>
    <w:rsid w:val="00621DDE"/>
    <w:rsid w:val="00624555"/>
    <w:rsid w:val="00624FE5"/>
    <w:rsid w:val="00650299"/>
    <w:rsid w:val="00655FC5"/>
    <w:rsid w:val="007032CD"/>
    <w:rsid w:val="00713DE7"/>
    <w:rsid w:val="007606CE"/>
    <w:rsid w:val="007A4C57"/>
    <w:rsid w:val="007D2F64"/>
    <w:rsid w:val="00801031"/>
    <w:rsid w:val="00802953"/>
    <w:rsid w:val="00807FF1"/>
    <w:rsid w:val="00822581"/>
    <w:rsid w:val="008309DD"/>
    <w:rsid w:val="0083227A"/>
    <w:rsid w:val="00857C67"/>
    <w:rsid w:val="00866900"/>
    <w:rsid w:val="00870336"/>
    <w:rsid w:val="0087300D"/>
    <w:rsid w:val="00881BA1"/>
    <w:rsid w:val="008A0A55"/>
    <w:rsid w:val="008C26B8"/>
    <w:rsid w:val="009273EC"/>
    <w:rsid w:val="00932E45"/>
    <w:rsid w:val="00951309"/>
    <w:rsid w:val="00964CF0"/>
    <w:rsid w:val="00982084"/>
    <w:rsid w:val="00991A72"/>
    <w:rsid w:val="00995963"/>
    <w:rsid w:val="009A3E36"/>
    <w:rsid w:val="009A54D9"/>
    <w:rsid w:val="009B61EB"/>
    <w:rsid w:val="009B6449"/>
    <w:rsid w:val="009C2064"/>
    <w:rsid w:val="009D1697"/>
    <w:rsid w:val="00A014F8"/>
    <w:rsid w:val="00A11DCA"/>
    <w:rsid w:val="00A5173C"/>
    <w:rsid w:val="00A61AEF"/>
    <w:rsid w:val="00A9652E"/>
    <w:rsid w:val="00AA1543"/>
    <w:rsid w:val="00AB0FFD"/>
    <w:rsid w:val="00AD7192"/>
    <w:rsid w:val="00AF10F1"/>
    <w:rsid w:val="00AF173A"/>
    <w:rsid w:val="00B01DBB"/>
    <w:rsid w:val="00B066A4"/>
    <w:rsid w:val="00B07A13"/>
    <w:rsid w:val="00B143E2"/>
    <w:rsid w:val="00B4279B"/>
    <w:rsid w:val="00B45FC9"/>
    <w:rsid w:val="00B83461"/>
    <w:rsid w:val="00B91046"/>
    <w:rsid w:val="00BC7CCF"/>
    <w:rsid w:val="00BE470B"/>
    <w:rsid w:val="00C018E7"/>
    <w:rsid w:val="00C57A91"/>
    <w:rsid w:val="00C740E1"/>
    <w:rsid w:val="00C93DFB"/>
    <w:rsid w:val="00CB43AF"/>
    <w:rsid w:val="00CC01C2"/>
    <w:rsid w:val="00CD0D76"/>
    <w:rsid w:val="00CD4239"/>
    <w:rsid w:val="00CF21F2"/>
    <w:rsid w:val="00D02712"/>
    <w:rsid w:val="00D214D0"/>
    <w:rsid w:val="00D4713C"/>
    <w:rsid w:val="00D530E2"/>
    <w:rsid w:val="00D6546B"/>
    <w:rsid w:val="00D84575"/>
    <w:rsid w:val="00DD4BED"/>
    <w:rsid w:val="00DE39F0"/>
    <w:rsid w:val="00DF0AF3"/>
    <w:rsid w:val="00E17CCC"/>
    <w:rsid w:val="00E27D7E"/>
    <w:rsid w:val="00E34935"/>
    <w:rsid w:val="00E409CB"/>
    <w:rsid w:val="00E42E13"/>
    <w:rsid w:val="00E6257C"/>
    <w:rsid w:val="00E63C59"/>
    <w:rsid w:val="00E7005B"/>
    <w:rsid w:val="00F13455"/>
    <w:rsid w:val="00F3066D"/>
    <w:rsid w:val="00FA124A"/>
    <w:rsid w:val="00FC08DD"/>
    <w:rsid w:val="00FC1939"/>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010F69A-325D-4417-84EA-E3ADC48F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1D3DD3"/>
    <w:pPr>
      <w:keepNext/>
      <w:keepLines/>
      <w:numPr>
        <w:numId w:val="11"/>
      </w:numPr>
      <w:spacing w:before="280"/>
      <w:outlineLvl w:val="0"/>
    </w:pPr>
    <w:rPr>
      <w:b/>
      <w:sz w:val="28"/>
    </w:rPr>
  </w:style>
  <w:style w:type="paragraph" w:styleId="Heading2">
    <w:name w:val="heading 2"/>
    <w:basedOn w:val="Heading1"/>
    <w:next w:val="Normal"/>
    <w:link w:val="Heading2Char"/>
    <w:uiPriority w:val="9"/>
    <w:qFormat/>
    <w:rsid w:val="001D3DD3"/>
    <w:pPr>
      <w:numPr>
        <w:ilvl w:val="1"/>
      </w:numPr>
      <w:spacing w:before="200"/>
      <w:outlineLvl w:val="1"/>
    </w:pPr>
    <w:rPr>
      <w:sz w:val="24"/>
    </w:rPr>
  </w:style>
  <w:style w:type="paragraph" w:styleId="Heading3">
    <w:name w:val="heading 3"/>
    <w:basedOn w:val="Heading1"/>
    <w:next w:val="Normal"/>
    <w:link w:val="Heading3Char"/>
    <w:qFormat/>
    <w:rsid w:val="001D3DD3"/>
    <w:pPr>
      <w:numPr>
        <w:ilvl w:val="2"/>
      </w:numPr>
      <w:spacing w:before="200"/>
      <w:outlineLvl w:val="2"/>
    </w:pPr>
    <w:rPr>
      <w:sz w:val="24"/>
    </w:rPr>
  </w:style>
  <w:style w:type="paragraph" w:styleId="Heading4">
    <w:name w:val="heading 4"/>
    <w:basedOn w:val="Heading3"/>
    <w:next w:val="Normal"/>
    <w:qFormat/>
    <w:rsid w:val="001D3DD3"/>
    <w:pPr>
      <w:numPr>
        <w:ilvl w:val="3"/>
      </w:numPr>
      <w:outlineLvl w:val="3"/>
    </w:pPr>
  </w:style>
  <w:style w:type="paragraph" w:styleId="Heading5">
    <w:name w:val="heading 5"/>
    <w:basedOn w:val="Heading4"/>
    <w:next w:val="Normal"/>
    <w:qFormat/>
    <w:rsid w:val="001D3DD3"/>
    <w:pPr>
      <w:numPr>
        <w:ilvl w:val="4"/>
      </w:numPr>
      <w:outlineLvl w:val="4"/>
    </w:pPr>
  </w:style>
  <w:style w:type="paragraph" w:styleId="Heading6">
    <w:name w:val="heading 6"/>
    <w:basedOn w:val="Heading4"/>
    <w:next w:val="Normal"/>
    <w:qFormat/>
    <w:rsid w:val="001D3DD3"/>
    <w:pPr>
      <w:numPr>
        <w:ilvl w:val="5"/>
      </w:numPr>
      <w:outlineLvl w:val="5"/>
    </w:pPr>
  </w:style>
  <w:style w:type="paragraph" w:styleId="Heading7">
    <w:name w:val="heading 7"/>
    <w:basedOn w:val="Heading6"/>
    <w:next w:val="Normal"/>
    <w:qFormat/>
    <w:rsid w:val="001D3DD3"/>
    <w:pPr>
      <w:numPr>
        <w:ilvl w:val="6"/>
      </w:numPr>
      <w:outlineLvl w:val="6"/>
    </w:pPr>
  </w:style>
  <w:style w:type="paragraph" w:styleId="Heading8">
    <w:name w:val="heading 8"/>
    <w:basedOn w:val="Heading6"/>
    <w:next w:val="Normal"/>
    <w:qFormat/>
    <w:rsid w:val="001D3DD3"/>
    <w:pPr>
      <w:numPr>
        <w:ilvl w:val="7"/>
      </w:numPr>
      <w:outlineLvl w:val="7"/>
    </w:pPr>
  </w:style>
  <w:style w:type="paragraph" w:styleId="Heading9">
    <w:name w:val="heading 9"/>
    <w:basedOn w:val="Heading6"/>
    <w:next w:val="Normal"/>
    <w:qFormat/>
    <w:rsid w:val="001D3D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1D3DD3"/>
    <w:pPr>
      <w:keepNext/>
      <w:keepLines/>
      <w:spacing w:before="20" w:after="20"/>
    </w:pPr>
    <w:rPr>
      <w:sz w:val="20"/>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1D3DD3"/>
    <w:pPr>
      <w:spacing w:after="480"/>
    </w:pPr>
    <w:rPr>
      <w:sz w:val="22"/>
    </w:rPr>
  </w:style>
  <w:style w:type="paragraph" w:customStyle="1" w:styleId="FigureNo">
    <w:name w:val="Figure_No"/>
    <w:basedOn w:val="Normal"/>
    <w:next w:val="Figuretitle"/>
    <w:rsid w:val="001D3DD3"/>
    <w:pPr>
      <w:keepNext/>
      <w:keepLines/>
      <w:spacing w:before="480" w:after="120"/>
      <w:jc w:val="center"/>
    </w:pPr>
    <w:rPr>
      <w:caps/>
      <w:sz w:val="22"/>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Heading3Char">
    <w:name w:val="Heading 3 Char"/>
    <w:link w:val="Heading3"/>
    <w:rsid w:val="00064FF7"/>
    <w:rPr>
      <w:rFonts w:asciiTheme="minorHAnsi" w:hAnsiTheme="minorHAnsi"/>
      <w:b/>
      <w:sz w:val="24"/>
      <w:lang w:val="en-GB" w:eastAsia="en-US"/>
    </w:rPr>
  </w:style>
  <w:style w:type="character" w:customStyle="1" w:styleId="enumlev1Char">
    <w:name w:val="enumlev1 Char"/>
    <w:link w:val="enumlev1"/>
    <w:locked/>
    <w:rsid w:val="00064FF7"/>
    <w:rPr>
      <w:rFonts w:asciiTheme="minorHAnsi" w:hAnsiTheme="minorHAnsi"/>
      <w:sz w:val="24"/>
      <w:lang w:val="en-GB" w:eastAsia="en-US"/>
    </w:rPr>
  </w:style>
  <w:style w:type="character" w:customStyle="1" w:styleId="Heading2Char">
    <w:name w:val="Heading 2 Char"/>
    <w:link w:val="Heading2"/>
    <w:uiPriority w:val="9"/>
    <w:rsid w:val="00064FF7"/>
    <w:rPr>
      <w:rFonts w:asciiTheme="minorHAnsi" w:hAnsiTheme="minorHAnsi"/>
      <w:b/>
      <w:sz w:val="24"/>
      <w:lang w:val="en-GB" w:eastAsia="en-US"/>
    </w:rPr>
  </w:style>
  <w:style w:type="character" w:customStyle="1" w:styleId="FootnoteTextChar">
    <w:name w:val="Footnote Text Char"/>
    <w:link w:val="FootnoteText"/>
    <w:rsid w:val="00064FF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workprog/wp_search.aspx?Q=8/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Q=2/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1@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APPROV-Q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31AC-4257-4B64-8336-315855A2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APPROV-QE.dotx</Template>
  <TotalTime>1</TotalTime>
  <Pages>5</Pages>
  <Words>1310</Words>
  <Characters>8437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lastModifiedBy>Bettini, Nadine</cp:lastModifiedBy>
  <cp:revision>2</cp:revision>
  <cp:lastPrinted>2015-12-18T10:15:00Z</cp:lastPrinted>
  <dcterms:created xsi:type="dcterms:W3CDTF">2015-12-18T10:37:00Z</dcterms:created>
  <dcterms:modified xsi:type="dcterms:W3CDTF">2015-12-18T10:37:00Z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