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CF57D3" w:rsidTr="006E4F7B">
        <w:trPr>
          <w:cantSplit/>
        </w:trPr>
        <w:tc>
          <w:tcPr>
            <w:tcW w:w="1276" w:type="dxa"/>
            <w:vAlign w:val="center"/>
          </w:tcPr>
          <w:p w:rsidR="006E4F7B" w:rsidRPr="00CF57D3" w:rsidRDefault="006E4F7B" w:rsidP="00303D62">
            <w:pPr>
              <w:tabs>
                <w:tab w:val="right" w:pos="8732"/>
              </w:tabs>
              <w:spacing w:before="0"/>
              <w:rPr>
                <w:rFonts w:ascii="Verdana" w:hAnsi="Verdana"/>
                <w:b/>
                <w:bCs/>
                <w:color w:val="FFFFFF"/>
                <w:sz w:val="26"/>
                <w:szCs w:val="26"/>
                <w:lang w:val="es-ES"/>
              </w:rPr>
            </w:pPr>
            <w:bookmarkStart w:id="0" w:name="ditulogo"/>
            <w:bookmarkEnd w:id="0"/>
            <w:r w:rsidRPr="00CF57D3">
              <w:rPr>
                <w:noProof/>
                <w:lang w:val="en-US"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CF57D3" w:rsidRDefault="00085662" w:rsidP="00085662">
            <w:pPr>
              <w:spacing w:before="0"/>
              <w:rPr>
                <w:rFonts w:cs="Times New Roman Bold"/>
                <w:b/>
                <w:bCs/>
                <w:iCs/>
                <w:smallCaps/>
                <w:sz w:val="34"/>
                <w:szCs w:val="34"/>
                <w:lang w:val="es-ES"/>
              </w:rPr>
            </w:pPr>
            <w:r w:rsidRPr="00CF57D3">
              <w:rPr>
                <w:rFonts w:cs="Times New Roman Bold"/>
                <w:b/>
                <w:bCs/>
                <w:iCs/>
                <w:smallCaps/>
                <w:sz w:val="34"/>
                <w:szCs w:val="34"/>
                <w:lang w:val="es-ES"/>
              </w:rPr>
              <w:t>Unión Internacional de Telecomunicaciones</w:t>
            </w:r>
          </w:p>
          <w:p w:rsidR="006E4F7B" w:rsidRPr="00CF57D3" w:rsidRDefault="00085662" w:rsidP="00085662">
            <w:pPr>
              <w:tabs>
                <w:tab w:val="right" w:pos="8732"/>
              </w:tabs>
              <w:spacing w:before="0"/>
              <w:rPr>
                <w:rFonts w:ascii="Verdana" w:hAnsi="Verdana"/>
                <w:b/>
                <w:bCs/>
                <w:color w:val="FFFFFF"/>
                <w:sz w:val="26"/>
                <w:szCs w:val="26"/>
                <w:lang w:val="es-ES"/>
              </w:rPr>
            </w:pPr>
            <w:r w:rsidRPr="00CF57D3">
              <w:rPr>
                <w:rFonts w:cs="Times New Roman Bold"/>
                <w:b/>
                <w:bCs/>
                <w:iCs/>
                <w:smallCaps/>
                <w:sz w:val="28"/>
                <w:szCs w:val="28"/>
                <w:lang w:val="es-ES"/>
              </w:rPr>
              <w:t>Oficina de Normalización de las Telecomunicaciones</w:t>
            </w:r>
          </w:p>
        </w:tc>
        <w:tc>
          <w:tcPr>
            <w:tcW w:w="1984" w:type="dxa"/>
            <w:vAlign w:val="center"/>
          </w:tcPr>
          <w:p w:rsidR="006E4F7B" w:rsidRPr="00CF57D3" w:rsidRDefault="006E4F7B" w:rsidP="00303D62">
            <w:pPr>
              <w:spacing w:before="0"/>
              <w:jc w:val="right"/>
              <w:rPr>
                <w:rFonts w:ascii="Verdana" w:hAnsi="Verdana"/>
                <w:color w:val="FFFFFF"/>
                <w:sz w:val="26"/>
                <w:szCs w:val="26"/>
                <w:lang w:val="es-ES"/>
              </w:rPr>
            </w:pPr>
            <w:r w:rsidRPr="00CF57D3">
              <w:rPr>
                <w:noProof/>
                <w:lang w:val="en-US"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CF57D3" w:rsidTr="00303D62">
        <w:trPr>
          <w:cantSplit/>
        </w:trPr>
        <w:tc>
          <w:tcPr>
            <w:tcW w:w="6426" w:type="dxa"/>
            <w:gridSpan w:val="2"/>
            <w:vAlign w:val="center"/>
          </w:tcPr>
          <w:p w:rsidR="00C34772" w:rsidRPr="00CF57D3" w:rsidRDefault="00C34772" w:rsidP="00303D62">
            <w:pPr>
              <w:tabs>
                <w:tab w:val="right" w:pos="8732"/>
              </w:tabs>
              <w:spacing w:before="0"/>
              <w:rPr>
                <w:rFonts w:ascii="Verdana" w:hAnsi="Verdana"/>
                <w:b/>
                <w:bCs/>
                <w:iCs/>
                <w:sz w:val="18"/>
                <w:szCs w:val="18"/>
                <w:lang w:val="es-ES"/>
              </w:rPr>
            </w:pPr>
          </w:p>
        </w:tc>
        <w:tc>
          <w:tcPr>
            <w:tcW w:w="3355" w:type="dxa"/>
            <w:gridSpan w:val="2"/>
            <w:vAlign w:val="center"/>
          </w:tcPr>
          <w:p w:rsidR="00C34772" w:rsidRPr="00CF57D3" w:rsidRDefault="00C34772" w:rsidP="00303D62">
            <w:pPr>
              <w:spacing w:before="0"/>
              <w:ind w:left="993" w:hanging="993"/>
              <w:jc w:val="right"/>
              <w:rPr>
                <w:rFonts w:ascii="Verdana" w:hAnsi="Verdana"/>
                <w:sz w:val="18"/>
                <w:szCs w:val="18"/>
                <w:lang w:val="es-ES"/>
              </w:rPr>
            </w:pPr>
          </w:p>
        </w:tc>
      </w:tr>
    </w:tbl>
    <w:p w:rsidR="00C34772" w:rsidRPr="00CF57D3" w:rsidRDefault="00C34772" w:rsidP="00303D62">
      <w:pPr>
        <w:tabs>
          <w:tab w:val="clear" w:pos="794"/>
          <w:tab w:val="clear" w:pos="1191"/>
          <w:tab w:val="clear" w:pos="1588"/>
          <w:tab w:val="clear" w:pos="1985"/>
          <w:tab w:val="left" w:pos="4962"/>
        </w:tabs>
        <w:rPr>
          <w:lang w:val="es-ES"/>
        </w:rPr>
      </w:pPr>
    </w:p>
    <w:p w:rsidR="00C34772" w:rsidRPr="00CF57D3" w:rsidRDefault="00C34772" w:rsidP="007E1E16">
      <w:pPr>
        <w:tabs>
          <w:tab w:val="clear" w:pos="794"/>
          <w:tab w:val="clear" w:pos="1191"/>
          <w:tab w:val="clear" w:pos="1588"/>
          <w:tab w:val="clear" w:pos="1985"/>
          <w:tab w:val="left" w:pos="4962"/>
        </w:tabs>
        <w:rPr>
          <w:lang w:val="es-ES"/>
        </w:rPr>
      </w:pPr>
      <w:r w:rsidRPr="00CF57D3">
        <w:rPr>
          <w:lang w:val="es-ES"/>
        </w:rPr>
        <w:tab/>
        <w:t xml:space="preserve">Ginebra, </w:t>
      </w:r>
      <w:r w:rsidR="007E1E16">
        <w:rPr>
          <w:lang w:val="es-ES"/>
        </w:rPr>
        <w:t>4 de noviembre</w:t>
      </w:r>
      <w:r w:rsidR="002357DF" w:rsidRPr="00CF57D3">
        <w:rPr>
          <w:lang w:val="es-ES"/>
        </w:rPr>
        <w:t xml:space="preserve"> de 2015</w:t>
      </w:r>
    </w:p>
    <w:p w:rsidR="00C34772" w:rsidRPr="00CF57D3" w:rsidRDefault="00C34772" w:rsidP="00303D62">
      <w:pPr>
        <w:spacing w:before="0"/>
        <w:rPr>
          <w:lang w:val="es-ES"/>
        </w:rPr>
      </w:pPr>
    </w:p>
    <w:tbl>
      <w:tblPr>
        <w:tblW w:w="9703" w:type="dxa"/>
        <w:tblInd w:w="8" w:type="dxa"/>
        <w:tblLayout w:type="fixed"/>
        <w:tblCellMar>
          <w:left w:w="0" w:type="dxa"/>
          <w:right w:w="0" w:type="dxa"/>
        </w:tblCellMar>
        <w:tblLook w:val="0000" w:firstRow="0" w:lastRow="0" w:firstColumn="0" w:lastColumn="0" w:noHBand="0" w:noVBand="0"/>
      </w:tblPr>
      <w:tblGrid>
        <w:gridCol w:w="1134"/>
        <w:gridCol w:w="3807"/>
        <w:gridCol w:w="4762"/>
      </w:tblGrid>
      <w:tr w:rsidR="00C34772" w:rsidRPr="00CF57D3" w:rsidTr="003D246A">
        <w:trPr>
          <w:cantSplit/>
          <w:trHeight w:val="340"/>
        </w:trPr>
        <w:tc>
          <w:tcPr>
            <w:tcW w:w="1134" w:type="dxa"/>
          </w:tcPr>
          <w:p w:rsidR="00C34772" w:rsidRPr="00307D9B" w:rsidRDefault="00C34772" w:rsidP="00307D9B">
            <w:pPr>
              <w:tabs>
                <w:tab w:val="left" w:pos="4111"/>
              </w:tabs>
              <w:spacing w:before="0"/>
              <w:ind w:left="57"/>
              <w:rPr>
                <w:szCs w:val="24"/>
                <w:lang w:val="es-ES"/>
              </w:rPr>
            </w:pPr>
            <w:r w:rsidRPr="00307D9B">
              <w:rPr>
                <w:szCs w:val="24"/>
                <w:lang w:val="es-ES"/>
              </w:rPr>
              <w:t>Ref.:</w:t>
            </w:r>
          </w:p>
          <w:p w:rsidR="00C34772" w:rsidRPr="00307D9B" w:rsidRDefault="00C34772" w:rsidP="00307D9B">
            <w:pPr>
              <w:tabs>
                <w:tab w:val="left" w:pos="4111"/>
              </w:tabs>
              <w:spacing w:before="0"/>
              <w:ind w:left="57"/>
              <w:rPr>
                <w:szCs w:val="24"/>
                <w:lang w:val="es-ES"/>
              </w:rPr>
            </w:pPr>
          </w:p>
          <w:p w:rsidR="00C34772" w:rsidRPr="00307D9B" w:rsidRDefault="00C34772" w:rsidP="00307D9B">
            <w:pPr>
              <w:tabs>
                <w:tab w:val="left" w:pos="4111"/>
              </w:tabs>
              <w:spacing w:before="0"/>
              <w:ind w:left="57"/>
              <w:rPr>
                <w:szCs w:val="24"/>
                <w:lang w:val="es-ES"/>
              </w:rPr>
            </w:pPr>
          </w:p>
          <w:p w:rsidR="00CF57D3" w:rsidRPr="00307D9B" w:rsidRDefault="00CF57D3" w:rsidP="00307D9B">
            <w:pPr>
              <w:tabs>
                <w:tab w:val="left" w:pos="4111"/>
              </w:tabs>
              <w:spacing w:before="0"/>
              <w:ind w:left="57"/>
              <w:rPr>
                <w:szCs w:val="24"/>
                <w:lang w:val="es-ES"/>
              </w:rPr>
            </w:pPr>
            <w:r w:rsidRPr="00307D9B">
              <w:rPr>
                <w:szCs w:val="24"/>
                <w:lang w:val="es-ES"/>
              </w:rPr>
              <w:t>Contacto:</w:t>
            </w:r>
          </w:p>
          <w:p w:rsidR="00C34772" w:rsidRPr="00307D9B" w:rsidRDefault="00C34772" w:rsidP="00307D9B">
            <w:pPr>
              <w:tabs>
                <w:tab w:val="left" w:pos="4111"/>
              </w:tabs>
              <w:spacing w:before="0"/>
              <w:ind w:left="57"/>
              <w:rPr>
                <w:szCs w:val="24"/>
                <w:lang w:val="es-ES"/>
              </w:rPr>
            </w:pPr>
            <w:r w:rsidRPr="00307D9B">
              <w:rPr>
                <w:szCs w:val="24"/>
                <w:lang w:val="es-ES"/>
              </w:rPr>
              <w:t>Tel.:</w:t>
            </w:r>
            <w:r w:rsidRPr="00307D9B">
              <w:rPr>
                <w:szCs w:val="24"/>
                <w:lang w:val="es-ES"/>
              </w:rPr>
              <w:br/>
              <w:t>Fax:</w:t>
            </w:r>
          </w:p>
        </w:tc>
        <w:tc>
          <w:tcPr>
            <w:tcW w:w="3807" w:type="dxa"/>
          </w:tcPr>
          <w:p w:rsidR="00C34772" w:rsidRPr="0021651B" w:rsidRDefault="00132B0C" w:rsidP="007E1E16">
            <w:pPr>
              <w:tabs>
                <w:tab w:val="left" w:pos="4111"/>
              </w:tabs>
              <w:spacing w:before="0"/>
              <w:ind w:left="57"/>
              <w:rPr>
                <w:b/>
                <w:lang w:val="en-US"/>
              </w:rPr>
            </w:pPr>
            <w:r w:rsidRPr="0021651B">
              <w:rPr>
                <w:b/>
                <w:lang w:val="en-US"/>
              </w:rPr>
              <w:t>Circular TSB 1</w:t>
            </w:r>
            <w:r w:rsidR="007E1E16">
              <w:rPr>
                <w:b/>
                <w:lang w:val="en-US"/>
              </w:rPr>
              <w:t>7</w:t>
            </w:r>
            <w:r w:rsidRPr="0021651B">
              <w:rPr>
                <w:b/>
                <w:lang w:val="en-US"/>
              </w:rPr>
              <w:t>9</w:t>
            </w:r>
          </w:p>
          <w:p w:rsidR="00C34772" w:rsidRPr="0021651B" w:rsidRDefault="00132B0C" w:rsidP="007E1E16">
            <w:pPr>
              <w:tabs>
                <w:tab w:val="left" w:pos="4111"/>
              </w:tabs>
              <w:spacing w:before="0"/>
              <w:ind w:left="57"/>
              <w:rPr>
                <w:b/>
                <w:lang w:val="en-US"/>
              </w:rPr>
            </w:pPr>
            <w:r w:rsidRPr="0021651B">
              <w:rPr>
                <w:rFonts w:cstheme="minorHAnsi"/>
                <w:szCs w:val="24"/>
                <w:lang w:val="en-US"/>
              </w:rPr>
              <w:t>TSB Workshops/</w:t>
            </w:r>
            <w:r w:rsidR="007E1E16">
              <w:rPr>
                <w:rFonts w:cstheme="minorHAnsi"/>
                <w:szCs w:val="24"/>
                <w:lang w:val="en-US"/>
              </w:rPr>
              <w:t>D.A.</w:t>
            </w:r>
          </w:p>
          <w:p w:rsidR="00C34772" w:rsidRPr="0021651B" w:rsidRDefault="00C34772" w:rsidP="00303D62">
            <w:pPr>
              <w:tabs>
                <w:tab w:val="left" w:pos="4111"/>
              </w:tabs>
              <w:spacing w:before="0"/>
              <w:ind w:left="57"/>
              <w:rPr>
                <w:lang w:val="en-US"/>
              </w:rPr>
            </w:pPr>
          </w:p>
          <w:p w:rsidR="00CF57D3" w:rsidRPr="0021651B" w:rsidRDefault="007E1E16" w:rsidP="00303D62">
            <w:pPr>
              <w:tabs>
                <w:tab w:val="left" w:pos="4111"/>
              </w:tabs>
              <w:spacing w:before="0"/>
              <w:ind w:left="57"/>
              <w:rPr>
                <w:b/>
                <w:bCs/>
                <w:lang w:val="en-US"/>
              </w:rPr>
            </w:pPr>
            <w:r>
              <w:rPr>
                <w:b/>
                <w:bCs/>
                <w:lang w:val="en-US"/>
              </w:rPr>
              <w:t>Denis Andreev</w:t>
            </w:r>
          </w:p>
          <w:p w:rsidR="00C34772" w:rsidRPr="00CF57D3" w:rsidRDefault="00C34772" w:rsidP="007E1E16">
            <w:pPr>
              <w:tabs>
                <w:tab w:val="left" w:pos="4111"/>
              </w:tabs>
              <w:spacing w:before="0"/>
              <w:ind w:left="57"/>
              <w:rPr>
                <w:lang w:val="es-ES"/>
              </w:rPr>
            </w:pPr>
            <w:r w:rsidRPr="00CF57D3">
              <w:rPr>
                <w:lang w:val="es-ES"/>
              </w:rPr>
              <w:t>+41 22 730</w:t>
            </w:r>
            <w:r w:rsidR="00132B0C" w:rsidRPr="00CF57D3">
              <w:rPr>
                <w:lang w:val="es-ES"/>
              </w:rPr>
              <w:t xml:space="preserve"> 5</w:t>
            </w:r>
            <w:r w:rsidR="007E1E16">
              <w:rPr>
                <w:lang w:val="es-ES"/>
              </w:rPr>
              <w:t>780</w:t>
            </w:r>
            <w:r w:rsidRPr="00CF57D3">
              <w:rPr>
                <w:lang w:val="es-ES"/>
              </w:rPr>
              <w:br/>
              <w:t>+41 22 730 5853</w:t>
            </w:r>
          </w:p>
        </w:tc>
        <w:tc>
          <w:tcPr>
            <w:tcW w:w="4762" w:type="dxa"/>
          </w:tcPr>
          <w:p w:rsidR="00132B0C" w:rsidRPr="00CF57D3" w:rsidRDefault="00132B0C" w:rsidP="00132B0C">
            <w:pPr>
              <w:tabs>
                <w:tab w:val="clear" w:pos="794"/>
                <w:tab w:val="clear" w:pos="1191"/>
                <w:tab w:val="clear" w:pos="1588"/>
                <w:tab w:val="clear" w:pos="1985"/>
                <w:tab w:val="left" w:pos="284"/>
              </w:tabs>
              <w:spacing w:before="0"/>
              <w:ind w:left="284" w:hanging="227"/>
              <w:rPr>
                <w:lang w:val="es-ES"/>
              </w:rPr>
            </w:pPr>
            <w:bookmarkStart w:id="1" w:name="Addressee_S"/>
            <w:bookmarkEnd w:id="1"/>
            <w:r w:rsidRPr="00CF57D3">
              <w:rPr>
                <w:lang w:val="es-ES"/>
              </w:rPr>
              <w:t>-</w:t>
            </w:r>
            <w:r w:rsidRPr="00CF57D3">
              <w:rPr>
                <w:lang w:val="es-ES"/>
              </w:rPr>
              <w:tab/>
              <w:t>A las Administraciones de los Estados Miembros de la Unión;</w:t>
            </w:r>
          </w:p>
          <w:p w:rsidR="00132B0C" w:rsidRPr="00CF57D3" w:rsidRDefault="00132B0C" w:rsidP="00132B0C">
            <w:pPr>
              <w:tabs>
                <w:tab w:val="clear" w:pos="794"/>
                <w:tab w:val="clear" w:pos="1191"/>
                <w:tab w:val="clear" w:pos="1588"/>
                <w:tab w:val="clear" w:pos="1985"/>
                <w:tab w:val="left" w:pos="284"/>
              </w:tabs>
              <w:spacing w:before="0"/>
              <w:ind w:left="284" w:hanging="227"/>
              <w:rPr>
                <w:lang w:val="es-ES"/>
              </w:rPr>
            </w:pPr>
            <w:r w:rsidRPr="00CF57D3">
              <w:rPr>
                <w:lang w:val="es-ES"/>
              </w:rPr>
              <w:t>-</w:t>
            </w:r>
            <w:r w:rsidRPr="00CF57D3">
              <w:rPr>
                <w:lang w:val="es-ES"/>
              </w:rPr>
              <w:tab/>
              <w:t>A los Miembros del Sector UIT-T;</w:t>
            </w:r>
          </w:p>
          <w:p w:rsidR="00132B0C" w:rsidRPr="00CF57D3" w:rsidRDefault="00132B0C" w:rsidP="00132B0C">
            <w:pPr>
              <w:tabs>
                <w:tab w:val="clear" w:pos="794"/>
                <w:tab w:val="clear" w:pos="1191"/>
                <w:tab w:val="clear" w:pos="1588"/>
                <w:tab w:val="clear" w:pos="1985"/>
                <w:tab w:val="left" w:pos="284"/>
              </w:tabs>
              <w:spacing w:before="0"/>
              <w:ind w:left="284" w:hanging="227"/>
              <w:rPr>
                <w:lang w:val="es-ES"/>
              </w:rPr>
            </w:pPr>
            <w:r w:rsidRPr="00CF57D3">
              <w:rPr>
                <w:lang w:val="es-ES"/>
              </w:rPr>
              <w:t>-</w:t>
            </w:r>
            <w:r w:rsidRPr="00CF57D3">
              <w:rPr>
                <w:lang w:val="es-ES"/>
              </w:rPr>
              <w:tab/>
              <w:t>A los Asociados del UIT-T;</w:t>
            </w:r>
          </w:p>
          <w:p w:rsidR="00C34772" w:rsidRPr="00CF57D3" w:rsidRDefault="00132B0C" w:rsidP="00CF57D3">
            <w:pPr>
              <w:tabs>
                <w:tab w:val="clear" w:pos="794"/>
                <w:tab w:val="clear" w:pos="1191"/>
                <w:tab w:val="clear" w:pos="1588"/>
                <w:tab w:val="clear" w:pos="1985"/>
                <w:tab w:val="left" w:pos="284"/>
              </w:tabs>
              <w:spacing w:before="0"/>
              <w:ind w:left="284" w:hanging="227"/>
              <w:rPr>
                <w:lang w:val="es-ES"/>
              </w:rPr>
            </w:pPr>
            <w:r w:rsidRPr="00CF57D3">
              <w:rPr>
                <w:lang w:val="es-ES"/>
              </w:rPr>
              <w:t>-</w:t>
            </w:r>
            <w:r w:rsidRPr="00CF57D3">
              <w:rPr>
                <w:lang w:val="es-ES"/>
              </w:rPr>
              <w:tab/>
              <w:t>A las Instituciones Académicas de</w:t>
            </w:r>
            <w:r w:rsidR="00CF57D3" w:rsidRPr="00CF57D3">
              <w:rPr>
                <w:lang w:val="es-ES"/>
              </w:rPr>
              <w:t xml:space="preserve"> </w:t>
            </w:r>
            <w:r w:rsidRPr="00CF57D3">
              <w:rPr>
                <w:lang w:val="es-ES"/>
              </w:rPr>
              <w:t>l</w:t>
            </w:r>
            <w:r w:rsidR="00CF57D3" w:rsidRPr="00CF57D3">
              <w:rPr>
                <w:lang w:val="es-ES"/>
              </w:rPr>
              <w:t>a</w:t>
            </w:r>
            <w:r w:rsidRPr="00CF57D3">
              <w:rPr>
                <w:lang w:val="es-ES"/>
              </w:rPr>
              <w:t xml:space="preserve"> UIT</w:t>
            </w:r>
          </w:p>
        </w:tc>
      </w:tr>
      <w:tr w:rsidR="00C34772" w:rsidRPr="00CF57D3" w:rsidTr="003D246A">
        <w:trPr>
          <w:cantSplit/>
        </w:trPr>
        <w:tc>
          <w:tcPr>
            <w:tcW w:w="1134" w:type="dxa"/>
          </w:tcPr>
          <w:p w:rsidR="00C34772" w:rsidRPr="00307D9B" w:rsidRDefault="00C34772" w:rsidP="00307D9B">
            <w:pPr>
              <w:tabs>
                <w:tab w:val="left" w:pos="4111"/>
              </w:tabs>
              <w:spacing w:before="0"/>
              <w:ind w:left="57"/>
              <w:rPr>
                <w:szCs w:val="24"/>
                <w:lang w:val="es-ES"/>
              </w:rPr>
            </w:pPr>
            <w:r w:rsidRPr="00307D9B">
              <w:rPr>
                <w:szCs w:val="24"/>
                <w:lang w:val="es-ES"/>
              </w:rPr>
              <w:t>Correo-e:</w:t>
            </w:r>
          </w:p>
        </w:tc>
        <w:tc>
          <w:tcPr>
            <w:tcW w:w="3807" w:type="dxa"/>
          </w:tcPr>
          <w:p w:rsidR="00C34772" w:rsidRPr="00CF57D3" w:rsidRDefault="00E94D8E" w:rsidP="00303D62">
            <w:pPr>
              <w:tabs>
                <w:tab w:val="left" w:pos="4111"/>
              </w:tabs>
              <w:spacing w:before="0"/>
              <w:ind w:left="57"/>
              <w:rPr>
                <w:lang w:val="es-ES"/>
              </w:rPr>
            </w:pPr>
            <w:hyperlink r:id="rId10" w:history="1">
              <w:r w:rsidR="00132B0C" w:rsidRPr="00CF57D3">
                <w:rPr>
                  <w:rStyle w:val="Hyperlink"/>
                  <w:rFonts w:cstheme="minorHAnsi"/>
                  <w:szCs w:val="24"/>
                  <w:lang w:val="es-ES"/>
                </w:rPr>
                <w:t>tsbworkshops@itu.int</w:t>
              </w:r>
            </w:hyperlink>
            <w:r w:rsidR="00C34772" w:rsidRPr="00CF57D3">
              <w:rPr>
                <w:lang w:val="es-ES"/>
              </w:rPr>
              <w:t xml:space="preserve"> </w:t>
            </w:r>
          </w:p>
        </w:tc>
        <w:tc>
          <w:tcPr>
            <w:tcW w:w="4762" w:type="dxa"/>
          </w:tcPr>
          <w:p w:rsidR="00C34772" w:rsidRPr="00CF57D3" w:rsidRDefault="00C34772" w:rsidP="00303D62">
            <w:pPr>
              <w:tabs>
                <w:tab w:val="left" w:pos="4111"/>
              </w:tabs>
              <w:spacing w:before="0"/>
              <w:rPr>
                <w:lang w:val="es-ES"/>
              </w:rPr>
            </w:pPr>
            <w:r w:rsidRPr="00CF57D3">
              <w:rPr>
                <w:b/>
                <w:lang w:val="es-ES"/>
              </w:rPr>
              <w:t>Copia</w:t>
            </w:r>
            <w:r w:rsidRPr="00CF57D3">
              <w:rPr>
                <w:lang w:val="es-ES"/>
              </w:rPr>
              <w:t>:</w:t>
            </w:r>
          </w:p>
          <w:p w:rsidR="00132B0C" w:rsidRPr="00CF57D3" w:rsidRDefault="00132B0C" w:rsidP="00132B0C">
            <w:pPr>
              <w:tabs>
                <w:tab w:val="clear" w:pos="794"/>
                <w:tab w:val="clear" w:pos="1191"/>
                <w:tab w:val="clear" w:pos="1588"/>
                <w:tab w:val="clear" w:pos="1985"/>
                <w:tab w:val="left" w:pos="226"/>
                <w:tab w:val="left" w:pos="510"/>
              </w:tabs>
              <w:spacing w:before="0"/>
              <w:ind w:left="226" w:hanging="169"/>
              <w:rPr>
                <w:lang w:val="es-ES"/>
              </w:rPr>
            </w:pPr>
            <w:r w:rsidRPr="00CF57D3">
              <w:rPr>
                <w:lang w:val="es-ES"/>
              </w:rPr>
              <w:t>-</w:t>
            </w:r>
            <w:r w:rsidRPr="00CF57D3">
              <w:rPr>
                <w:lang w:val="es-ES"/>
              </w:rPr>
              <w:tab/>
              <w:t>A los Presidentes y a los Vicepresidentes de las Comisiones de Estudio del UIT-T;</w:t>
            </w:r>
          </w:p>
          <w:p w:rsidR="00132B0C" w:rsidRPr="00CF57D3" w:rsidRDefault="00132B0C" w:rsidP="00132B0C">
            <w:pPr>
              <w:tabs>
                <w:tab w:val="clear" w:pos="794"/>
                <w:tab w:val="clear" w:pos="1191"/>
                <w:tab w:val="clear" w:pos="1588"/>
                <w:tab w:val="clear" w:pos="1985"/>
                <w:tab w:val="left" w:pos="226"/>
                <w:tab w:val="left" w:pos="510"/>
              </w:tabs>
              <w:spacing w:before="0"/>
              <w:ind w:left="226" w:hanging="169"/>
              <w:rPr>
                <w:lang w:val="es-ES"/>
              </w:rPr>
            </w:pPr>
            <w:r w:rsidRPr="00CF57D3">
              <w:rPr>
                <w:lang w:val="es-ES"/>
              </w:rPr>
              <w:t>-</w:t>
            </w:r>
            <w:r w:rsidRPr="00CF57D3">
              <w:rPr>
                <w:lang w:val="es-ES"/>
              </w:rPr>
              <w:tab/>
              <w:t>Al Director de la Oficina de Desarrollo de las Telecomunicaciones;</w:t>
            </w:r>
          </w:p>
          <w:p w:rsidR="00132B0C" w:rsidRPr="00CF57D3" w:rsidRDefault="00132B0C" w:rsidP="00132B0C">
            <w:pPr>
              <w:tabs>
                <w:tab w:val="clear" w:pos="794"/>
                <w:tab w:val="clear" w:pos="1191"/>
                <w:tab w:val="clear" w:pos="1588"/>
                <w:tab w:val="clear" w:pos="1985"/>
                <w:tab w:val="left" w:pos="226"/>
                <w:tab w:val="left" w:pos="510"/>
              </w:tabs>
              <w:spacing w:before="0"/>
              <w:ind w:left="226" w:hanging="169"/>
              <w:rPr>
                <w:lang w:val="es-ES"/>
              </w:rPr>
            </w:pPr>
            <w:r w:rsidRPr="00CF57D3">
              <w:rPr>
                <w:lang w:val="es-ES"/>
              </w:rPr>
              <w:t>-</w:t>
            </w:r>
            <w:r w:rsidRPr="00CF57D3">
              <w:rPr>
                <w:lang w:val="es-ES"/>
              </w:rPr>
              <w:tab/>
              <w:t>Al Director de la Oficina de R</w:t>
            </w:r>
            <w:r w:rsidR="00C507DA">
              <w:rPr>
                <w:lang w:val="es-ES"/>
              </w:rPr>
              <w:t>adiocomunicaciones</w:t>
            </w:r>
          </w:p>
          <w:p w:rsidR="00C34772" w:rsidRPr="00CF57D3" w:rsidRDefault="00C34772" w:rsidP="00132B0C">
            <w:pPr>
              <w:tabs>
                <w:tab w:val="clear" w:pos="794"/>
                <w:tab w:val="clear" w:pos="1191"/>
                <w:tab w:val="clear" w:pos="1588"/>
                <w:tab w:val="clear" w:pos="1985"/>
                <w:tab w:val="left" w:pos="226"/>
                <w:tab w:val="left" w:pos="510"/>
              </w:tabs>
              <w:spacing w:before="0"/>
              <w:ind w:left="226" w:hanging="169"/>
              <w:rPr>
                <w:lang w:val="es-ES"/>
              </w:rPr>
            </w:pPr>
          </w:p>
        </w:tc>
      </w:tr>
    </w:tbl>
    <w:p w:rsidR="00C34772" w:rsidRPr="00CF57D3" w:rsidRDefault="00C34772" w:rsidP="00303D62">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6953"/>
      </w:tblGrid>
      <w:tr w:rsidR="00C34772" w:rsidRPr="00CF57D3" w:rsidTr="00307D9B">
        <w:trPr>
          <w:cantSplit/>
        </w:trPr>
        <w:tc>
          <w:tcPr>
            <w:tcW w:w="985" w:type="dxa"/>
          </w:tcPr>
          <w:p w:rsidR="00C34772" w:rsidRPr="00216866" w:rsidRDefault="00C34772" w:rsidP="00303D62">
            <w:pPr>
              <w:tabs>
                <w:tab w:val="left" w:pos="4111"/>
              </w:tabs>
              <w:spacing w:before="10"/>
              <w:ind w:left="57"/>
              <w:rPr>
                <w:szCs w:val="24"/>
                <w:lang w:val="es-ES"/>
              </w:rPr>
            </w:pPr>
            <w:r w:rsidRPr="00216866">
              <w:rPr>
                <w:szCs w:val="24"/>
                <w:lang w:val="es-ES"/>
              </w:rPr>
              <w:t>Asunto:</w:t>
            </w:r>
          </w:p>
        </w:tc>
        <w:tc>
          <w:tcPr>
            <w:tcW w:w="6953" w:type="dxa"/>
          </w:tcPr>
          <w:p w:rsidR="00C34772" w:rsidRPr="00CF57D3" w:rsidRDefault="00DD281B" w:rsidP="007E1E16">
            <w:pPr>
              <w:tabs>
                <w:tab w:val="left" w:pos="4111"/>
              </w:tabs>
              <w:spacing w:before="0"/>
              <w:rPr>
                <w:b/>
                <w:lang w:val="es-ES"/>
              </w:rPr>
            </w:pPr>
            <w:r w:rsidRPr="00CF57D3">
              <w:rPr>
                <w:rFonts w:cstheme="minorHAnsi"/>
                <w:b/>
                <w:bCs/>
                <w:lang w:val="es-ES"/>
              </w:rPr>
              <w:t xml:space="preserve">Taller sobre </w:t>
            </w:r>
            <w:r w:rsidR="007E1E16">
              <w:rPr>
                <w:rFonts w:cstheme="minorHAnsi"/>
                <w:b/>
                <w:bCs/>
                <w:lang w:val="es-ES"/>
              </w:rPr>
              <w:t>Interoperabilidad de los s</w:t>
            </w:r>
            <w:r w:rsidRPr="00CF57D3">
              <w:rPr>
                <w:rFonts w:cstheme="minorHAnsi"/>
                <w:b/>
                <w:bCs/>
                <w:lang w:val="es-ES"/>
              </w:rPr>
              <w:t xml:space="preserve">ervicios </w:t>
            </w:r>
            <w:r w:rsidR="007E1E16">
              <w:rPr>
                <w:rFonts w:cstheme="minorHAnsi"/>
                <w:b/>
                <w:bCs/>
                <w:lang w:val="es-ES"/>
              </w:rPr>
              <w:t xml:space="preserve">de voz y vídeo en entornos híbridos fijo-móvil, incluidas las IMT-Avanzadas (LTE) </w:t>
            </w:r>
            <w:r w:rsidRPr="00CF57D3">
              <w:rPr>
                <w:rFonts w:cstheme="minorHAnsi"/>
                <w:b/>
                <w:bCs/>
                <w:lang w:val="es-ES"/>
              </w:rPr>
              <w:br/>
              <w:t>Ginebra (Suiza), 1 de diciembre de 2015</w:t>
            </w:r>
          </w:p>
        </w:tc>
      </w:tr>
    </w:tbl>
    <w:p w:rsidR="00C34772" w:rsidRPr="00CF57D3" w:rsidRDefault="00C34772" w:rsidP="003D246A">
      <w:pPr>
        <w:pStyle w:val="Normalaftertitle0"/>
        <w:rPr>
          <w:lang w:val="es-ES"/>
        </w:rPr>
      </w:pPr>
      <w:bookmarkStart w:id="2" w:name="StartTyping_S"/>
      <w:bookmarkStart w:id="3" w:name="suitetext"/>
      <w:bookmarkStart w:id="4" w:name="text"/>
      <w:bookmarkEnd w:id="2"/>
      <w:bookmarkEnd w:id="3"/>
      <w:bookmarkEnd w:id="4"/>
      <w:r w:rsidRPr="00CF57D3">
        <w:rPr>
          <w:lang w:val="es-ES"/>
        </w:rPr>
        <w:t>Muy Señora mía/Muy Señor mío:</w:t>
      </w:r>
    </w:p>
    <w:p w:rsidR="007E1E16" w:rsidRDefault="00C34772" w:rsidP="00FA2E47">
      <w:pPr>
        <w:rPr>
          <w:rFonts w:cstheme="minorHAnsi"/>
          <w:b/>
          <w:bCs/>
          <w:lang w:val="es-ES"/>
        </w:rPr>
      </w:pPr>
      <w:r w:rsidRPr="00CF57D3">
        <w:rPr>
          <w:bCs/>
          <w:lang w:val="es-ES"/>
        </w:rPr>
        <w:t>1</w:t>
      </w:r>
      <w:r w:rsidRPr="00CF57D3">
        <w:rPr>
          <w:lang w:val="es-ES"/>
        </w:rPr>
        <w:tab/>
      </w:r>
      <w:r w:rsidR="007E1E16">
        <w:rPr>
          <w:lang w:val="es-ES"/>
        </w:rPr>
        <w:t xml:space="preserve">Como seguimiento de la llamada a la acción por parte de la reunión de los </w:t>
      </w:r>
      <w:r w:rsidR="008256E8">
        <w:rPr>
          <w:lang w:val="es-ES"/>
        </w:rPr>
        <w:t>directores técnicos</w:t>
      </w:r>
      <w:r w:rsidR="007E1E16">
        <w:rPr>
          <w:lang w:val="es-ES"/>
        </w:rPr>
        <w:t xml:space="preserve"> celebrada el 11 de octubre de 2015 con ocasión de </w:t>
      </w:r>
      <w:proofErr w:type="spellStart"/>
      <w:r w:rsidR="007E1E16">
        <w:rPr>
          <w:lang w:val="es-ES"/>
        </w:rPr>
        <w:t>Hungexpo</w:t>
      </w:r>
      <w:proofErr w:type="spellEnd"/>
      <w:r w:rsidR="007E1E16">
        <w:rPr>
          <w:lang w:val="es-ES"/>
        </w:rPr>
        <w:t xml:space="preserve"> en Budapest (Hungría), la Unión Internacional de Telecomunicaciones (UIT) está organizando un taller de un día de duración sobre el tema </w:t>
      </w:r>
      <w:r w:rsidR="00FA2E47">
        <w:rPr>
          <w:lang w:val="es-ES"/>
        </w:rPr>
        <w:t>"</w:t>
      </w:r>
      <w:r w:rsidR="007E1E16">
        <w:rPr>
          <w:rFonts w:cstheme="minorHAnsi"/>
          <w:b/>
          <w:bCs/>
          <w:lang w:val="es-ES"/>
        </w:rPr>
        <w:t>Interoperabilidad de los s</w:t>
      </w:r>
      <w:r w:rsidR="007E1E16" w:rsidRPr="00CF57D3">
        <w:rPr>
          <w:rFonts w:cstheme="minorHAnsi"/>
          <w:b/>
          <w:bCs/>
          <w:lang w:val="es-ES"/>
        </w:rPr>
        <w:t xml:space="preserve">ervicios </w:t>
      </w:r>
      <w:r w:rsidR="007E1E16">
        <w:rPr>
          <w:rFonts w:cstheme="minorHAnsi"/>
          <w:b/>
          <w:bCs/>
          <w:lang w:val="es-ES"/>
        </w:rPr>
        <w:t>de voz y vídeo en entornos híbridos fijo-móvil, incluidas las IMT-Avanzadas (LTE)</w:t>
      </w:r>
      <w:r w:rsidR="00FA2E47" w:rsidRPr="00FA2E47">
        <w:rPr>
          <w:rFonts w:cstheme="minorHAnsi"/>
          <w:lang w:val="es-ES"/>
        </w:rPr>
        <w:t>"</w:t>
      </w:r>
      <w:r w:rsidR="007E1E16">
        <w:rPr>
          <w:rFonts w:cstheme="minorHAnsi"/>
          <w:b/>
          <w:bCs/>
          <w:lang w:val="es-ES"/>
        </w:rPr>
        <w:t xml:space="preserve"> </w:t>
      </w:r>
      <w:r w:rsidR="008256E8" w:rsidRPr="008256E8">
        <w:rPr>
          <w:rFonts w:cstheme="minorHAnsi"/>
          <w:lang w:val="es-ES"/>
        </w:rPr>
        <w:t>para</w:t>
      </w:r>
      <w:r w:rsidR="008256E8">
        <w:rPr>
          <w:rFonts w:cstheme="minorHAnsi"/>
          <w:b/>
          <w:bCs/>
          <w:lang w:val="es-ES"/>
        </w:rPr>
        <w:t xml:space="preserve"> </w:t>
      </w:r>
      <w:r w:rsidR="007E1E16" w:rsidRPr="007E1E16">
        <w:rPr>
          <w:rFonts w:cstheme="minorHAnsi"/>
          <w:lang w:val="es-ES"/>
        </w:rPr>
        <w:t xml:space="preserve">el día </w:t>
      </w:r>
      <w:r w:rsidR="007E1E16" w:rsidRPr="007E1E16">
        <w:rPr>
          <w:rFonts w:cstheme="minorHAnsi"/>
          <w:b/>
          <w:bCs/>
          <w:lang w:val="es-ES"/>
        </w:rPr>
        <w:t>1 de diciembre de 2015</w:t>
      </w:r>
      <w:r w:rsidR="007E1E16" w:rsidRPr="007E1E16">
        <w:rPr>
          <w:rFonts w:cstheme="minorHAnsi"/>
          <w:lang w:val="es-ES"/>
        </w:rPr>
        <w:t xml:space="preserve"> en la Sede de la UIT, en coordinación con las reuniones de la Comisión de Estudio 13 del UIT-T (30 de noviembre</w:t>
      </w:r>
      <w:r w:rsidR="00852C4F">
        <w:rPr>
          <w:rFonts w:cstheme="minorHAnsi"/>
          <w:lang w:val="es-ES"/>
        </w:rPr>
        <w:t xml:space="preserve"> </w:t>
      </w:r>
      <w:r w:rsidR="007E1E16" w:rsidRPr="007E1E16">
        <w:rPr>
          <w:rFonts w:cstheme="minorHAnsi"/>
          <w:lang w:val="es-ES"/>
        </w:rPr>
        <w:t>-</w:t>
      </w:r>
      <w:r w:rsidR="00852C4F">
        <w:rPr>
          <w:rFonts w:cstheme="minorHAnsi"/>
          <w:lang w:val="es-ES"/>
        </w:rPr>
        <w:t xml:space="preserve"> </w:t>
      </w:r>
      <w:r w:rsidR="007E1E16" w:rsidRPr="007E1E16">
        <w:rPr>
          <w:rFonts w:cstheme="minorHAnsi"/>
          <w:lang w:val="es-ES"/>
        </w:rPr>
        <w:t>11 de diciembre de 2015) y de la Comisión de Estudio 11 del UIT-T (2-11 de diciembre de 2015).</w:t>
      </w:r>
    </w:p>
    <w:p w:rsidR="00046539" w:rsidRDefault="00C34772" w:rsidP="003C6A82">
      <w:pPr>
        <w:rPr>
          <w:lang w:val="es-ES"/>
        </w:rPr>
      </w:pPr>
      <w:r w:rsidRPr="00CF57D3">
        <w:rPr>
          <w:bCs/>
          <w:lang w:val="es-ES"/>
        </w:rPr>
        <w:t>2</w:t>
      </w:r>
      <w:r w:rsidRPr="00CF57D3">
        <w:rPr>
          <w:lang w:val="es-ES"/>
        </w:rPr>
        <w:tab/>
      </w:r>
      <w:r w:rsidR="003C6A82">
        <w:rPr>
          <w:lang w:val="es-ES"/>
        </w:rPr>
        <w:t>Durante el Taller e</w:t>
      </w:r>
      <w:r w:rsidR="007E1E16">
        <w:rPr>
          <w:lang w:val="es-ES"/>
        </w:rPr>
        <w:t xml:space="preserve">stá previsto celebrar un evento de </w:t>
      </w:r>
      <w:r w:rsidR="008256E8">
        <w:rPr>
          <w:lang w:val="es-ES"/>
        </w:rPr>
        <w:t>demostraciones</w:t>
      </w:r>
      <w:r w:rsidR="007E1E16">
        <w:rPr>
          <w:lang w:val="es-ES"/>
        </w:rPr>
        <w:t xml:space="preserve">. </w:t>
      </w:r>
      <w:r w:rsidR="008256E8">
        <w:rPr>
          <w:lang w:val="es-ES"/>
        </w:rPr>
        <w:t>Este evento</w:t>
      </w:r>
      <w:r w:rsidR="007E1E16">
        <w:rPr>
          <w:lang w:val="es-ES"/>
        </w:rPr>
        <w:t xml:space="preserve"> </w:t>
      </w:r>
      <w:r w:rsidR="003C6A82">
        <w:rPr>
          <w:lang w:val="es-ES"/>
        </w:rPr>
        <w:t>se destina</w:t>
      </w:r>
      <w:r w:rsidR="007E1E16">
        <w:rPr>
          <w:lang w:val="es-ES"/>
        </w:rPr>
        <w:t xml:space="preserve"> a mostrar la variedad de soluciones técnicas de voz por LTE (</w:t>
      </w:r>
      <w:proofErr w:type="spellStart"/>
      <w:r w:rsidR="007E1E16">
        <w:rPr>
          <w:lang w:val="es-ES"/>
        </w:rPr>
        <w:t>VoLTE</w:t>
      </w:r>
      <w:proofErr w:type="spellEnd"/>
      <w:r w:rsidR="007E1E16">
        <w:rPr>
          <w:lang w:val="es-ES"/>
        </w:rPr>
        <w:t>) y vídeo por LTE (</w:t>
      </w:r>
      <w:proofErr w:type="spellStart"/>
      <w:r w:rsidR="007E1E16">
        <w:rPr>
          <w:lang w:val="es-ES"/>
        </w:rPr>
        <w:t>ViLTE</w:t>
      </w:r>
      <w:proofErr w:type="spellEnd"/>
      <w:r w:rsidR="007E1E16">
        <w:rPr>
          <w:lang w:val="es-ES"/>
        </w:rPr>
        <w:t xml:space="preserve">) disponibles en el sector de las TIC. Se invita a todas las partes interesadas, incluidos los vendedores y operadores, a participar en el evento de </w:t>
      </w:r>
      <w:r w:rsidR="008256E8">
        <w:rPr>
          <w:lang w:val="es-ES"/>
        </w:rPr>
        <w:t>demostraciones</w:t>
      </w:r>
      <w:r w:rsidR="007E1E16">
        <w:rPr>
          <w:lang w:val="es-ES"/>
        </w:rPr>
        <w:t xml:space="preserve">. </w:t>
      </w:r>
      <w:r w:rsidR="00046539">
        <w:rPr>
          <w:lang w:val="es-ES"/>
        </w:rPr>
        <w:t xml:space="preserve">La participación es gratuita. </w:t>
      </w:r>
      <w:r w:rsidR="003C6A82">
        <w:rPr>
          <w:lang w:val="es-ES"/>
        </w:rPr>
        <w:t>A fin de</w:t>
      </w:r>
      <w:r w:rsidR="00046539">
        <w:rPr>
          <w:lang w:val="es-ES"/>
        </w:rPr>
        <w:t xml:space="preserve"> permitir a la Secretaría de la UIT adoptar las medidas oportunas para la organización de las demostraciones, rogamos confirme su participación por correo-e a la dirección </w:t>
      </w:r>
      <w:hyperlink r:id="rId11" w:history="1">
        <w:r w:rsidR="00046539" w:rsidRPr="00937A99">
          <w:rPr>
            <w:rStyle w:val="Hyperlink"/>
            <w:lang w:val="es-ES"/>
          </w:rPr>
          <w:t>conformity@itu.int</w:t>
        </w:r>
      </w:hyperlink>
      <w:r w:rsidR="00046539">
        <w:rPr>
          <w:lang w:val="es-ES"/>
        </w:rPr>
        <w:t xml:space="preserve"> lo antes posible y, en cualquier caso, antes del </w:t>
      </w:r>
      <w:r w:rsidR="00046539" w:rsidRPr="00046539">
        <w:rPr>
          <w:b/>
          <w:bCs/>
          <w:lang w:val="es-ES"/>
        </w:rPr>
        <w:t>23 de noviembre de 2015</w:t>
      </w:r>
      <w:r w:rsidR="00046539">
        <w:rPr>
          <w:lang w:val="es-ES"/>
        </w:rPr>
        <w:t>.</w:t>
      </w:r>
    </w:p>
    <w:p w:rsidR="00430812" w:rsidRDefault="00430812">
      <w:pPr>
        <w:tabs>
          <w:tab w:val="clear" w:pos="794"/>
          <w:tab w:val="clear" w:pos="1191"/>
          <w:tab w:val="clear" w:pos="1588"/>
          <w:tab w:val="clear" w:pos="1985"/>
        </w:tabs>
        <w:overflowPunct/>
        <w:autoSpaceDE/>
        <w:autoSpaceDN/>
        <w:adjustRightInd/>
        <w:spacing w:before="0"/>
        <w:textAlignment w:val="auto"/>
        <w:rPr>
          <w:bCs/>
          <w:lang w:val="es-ES"/>
        </w:rPr>
      </w:pPr>
      <w:r>
        <w:rPr>
          <w:bCs/>
          <w:lang w:val="es-ES"/>
        </w:rPr>
        <w:br w:type="page"/>
      </w:r>
    </w:p>
    <w:p w:rsidR="00046539" w:rsidRDefault="00C34772" w:rsidP="008256E8">
      <w:pPr>
        <w:rPr>
          <w:lang w:val="es-ES"/>
        </w:rPr>
      </w:pPr>
      <w:r w:rsidRPr="00CF57D3">
        <w:rPr>
          <w:bCs/>
          <w:lang w:val="es-ES"/>
        </w:rPr>
        <w:lastRenderedPageBreak/>
        <w:t>3</w:t>
      </w:r>
      <w:r w:rsidRPr="00CF57D3">
        <w:rPr>
          <w:lang w:val="es-ES"/>
        </w:rPr>
        <w:tab/>
      </w:r>
      <w:r w:rsidR="00046539" w:rsidRPr="00046539">
        <w:rPr>
          <w:lang w:val="es-ES"/>
        </w:rPr>
        <w:t xml:space="preserve">La interoperabilidad entre servicios en entornos híbridos fijo-móvil, incluida la </w:t>
      </w:r>
      <w:proofErr w:type="spellStart"/>
      <w:r w:rsidR="00046539" w:rsidRPr="00046539">
        <w:rPr>
          <w:lang w:val="es-ES"/>
        </w:rPr>
        <w:t>IoT</w:t>
      </w:r>
      <w:proofErr w:type="spellEnd"/>
      <w:r w:rsidR="00046539" w:rsidRPr="00046539">
        <w:rPr>
          <w:lang w:val="es-ES"/>
        </w:rPr>
        <w:t xml:space="preserve">, será fundamental para </w:t>
      </w:r>
      <w:r w:rsidR="008256E8">
        <w:rPr>
          <w:lang w:val="es-ES"/>
        </w:rPr>
        <w:t>dar soporte a</w:t>
      </w:r>
      <w:r w:rsidR="00046539" w:rsidRPr="00046539">
        <w:rPr>
          <w:lang w:val="es-ES"/>
        </w:rPr>
        <w:t xml:space="preserve"> una gran variedad de servicios de alta calidad. Los directores técnicos reconocieron que era necesario aumentar el acceso a servicios bidireccionales de alta calidad e invitó al UIT-T a fomentar los trabajos de normalización, prueba e interoperabilidad necesarios para estimular el despliegue de esos servicios en campos como voz y vídeo. </w:t>
      </w:r>
    </w:p>
    <w:p w:rsidR="00046539" w:rsidRDefault="00046539" w:rsidP="00272759">
      <w:pPr>
        <w:rPr>
          <w:lang w:val="es-ES"/>
        </w:rPr>
      </w:pPr>
      <w:r>
        <w:rPr>
          <w:lang w:val="es-ES"/>
        </w:rPr>
        <w:t xml:space="preserve">Los destinatarios de este evento incluyen a los operadores de red, los vendedores de soluciones y los organismos de normalización. </w:t>
      </w:r>
    </w:p>
    <w:p w:rsidR="008256E8" w:rsidRDefault="008256E8" w:rsidP="00272759">
      <w:pPr>
        <w:rPr>
          <w:lang w:val="es-ES"/>
        </w:rPr>
      </w:pPr>
      <w:r>
        <w:rPr>
          <w:lang w:val="es-ES"/>
        </w:rPr>
        <w:t>El Taller y el evento de demostraciones comenzarán a las 09</w:t>
      </w:r>
      <w:r w:rsidR="00056331">
        <w:rPr>
          <w:lang w:val="es-ES"/>
        </w:rPr>
        <w:t>.</w:t>
      </w:r>
      <w:r>
        <w:rPr>
          <w:lang w:val="es-ES"/>
        </w:rPr>
        <w:t>30 horas. La inscripción de los participantes comenzará a las 08</w:t>
      </w:r>
      <w:r w:rsidR="00056331">
        <w:rPr>
          <w:lang w:val="es-ES"/>
        </w:rPr>
        <w:t>.</w:t>
      </w:r>
      <w:r>
        <w:rPr>
          <w:lang w:val="es-ES"/>
        </w:rPr>
        <w:t>30 horas.</w:t>
      </w:r>
    </w:p>
    <w:p w:rsidR="00046539" w:rsidRPr="00CF57D3" w:rsidRDefault="00272759" w:rsidP="00046539">
      <w:pPr>
        <w:keepNext/>
        <w:rPr>
          <w:lang w:val="es-ES"/>
        </w:rPr>
      </w:pPr>
      <w:r w:rsidRPr="00CF57D3">
        <w:rPr>
          <w:lang w:val="es-ES"/>
        </w:rPr>
        <w:t>4</w:t>
      </w:r>
      <w:r w:rsidRPr="00CF57D3">
        <w:rPr>
          <w:lang w:val="es-ES"/>
        </w:rPr>
        <w:tab/>
      </w:r>
      <w:r w:rsidR="00046539" w:rsidRPr="00CF57D3">
        <w:rPr>
          <w:lang w:val="es-ES"/>
        </w:rPr>
        <w:t>Los debates se celebrarán únicamente en inglés.</w:t>
      </w:r>
      <w:r w:rsidR="00046539">
        <w:rPr>
          <w:lang w:val="es-ES"/>
        </w:rPr>
        <w:t xml:space="preserve"> </w:t>
      </w:r>
    </w:p>
    <w:p w:rsidR="00046539" w:rsidRDefault="00D91DFC" w:rsidP="00046539">
      <w:pPr>
        <w:rPr>
          <w:lang w:val="es-ES"/>
        </w:rPr>
      </w:pPr>
      <w:r w:rsidRPr="00CF57D3">
        <w:rPr>
          <w:lang w:val="es-ES"/>
        </w:rPr>
        <w:t>5</w:t>
      </w:r>
      <w:r w:rsidR="003F0A5A" w:rsidRPr="00CF57D3">
        <w:rPr>
          <w:lang w:val="es-ES"/>
        </w:rPr>
        <w:tab/>
      </w:r>
      <w:r w:rsidR="00046539" w:rsidRPr="00046539">
        <w:rPr>
          <w:lang w:val="es-ES"/>
        </w:rPr>
        <w:t xml:space="preserve">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w:t>
      </w:r>
      <w:r w:rsidR="00046539">
        <w:rPr>
          <w:lang w:val="es-ES"/>
        </w:rPr>
        <w:t>La participación</w:t>
      </w:r>
      <w:r w:rsidR="00046539" w:rsidRPr="00046539">
        <w:rPr>
          <w:lang w:val="es-ES"/>
        </w:rPr>
        <w:t xml:space="preserve"> es gratuit</w:t>
      </w:r>
      <w:r w:rsidR="00046539">
        <w:rPr>
          <w:lang w:val="es-ES"/>
        </w:rPr>
        <w:t>a</w:t>
      </w:r>
      <w:r w:rsidR="00046539" w:rsidRPr="00046539">
        <w:rPr>
          <w:lang w:val="es-ES"/>
        </w:rPr>
        <w:t>.</w:t>
      </w:r>
    </w:p>
    <w:p w:rsidR="003F0A5A" w:rsidRPr="00CF57D3" w:rsidRDefault="00046539" w:rsidP="00046539">
      <w:pPr>
        <w:rPr>
          <w:lang w:val="es-ES"/>
        </w:rPr>
      </w:pPr>
      <w:r>
        <w:rPr>
          <w:lang w:val="es-ES"/>
        </w:rPr>
        <w:t>6</w:t>
      </w:r>
      <w:r>
        <w:rPr>
          <w:lang w:val="es-ES"/>
        </w:rPr>
        <w:tab/>
        <w:t xml:space="preserve">Se pone a disposición un </w:t>
      </w:r>
      <w:r w:rsidRPr="00046539">
        <w:rPr>
          <w:b/>
          <w:bCs/>
          <w:lang w:val="es-ES"/>
        </w:rPr>
        <w:t>proyecto de programa</w:t>
      </w:r>
      <w:r>
        <w:rPr>
          <w:lang w:val="es-ES"/>
        </w:rPr>
        <w:t xml:space="preserve"> en el </w:t>
      </w:r>
      <w:r w:rsidRPr="00046539">
        <w:rPr>
          <w:b/>
          <w:bCs/>
          <w:lang w:val="es-ES"/>
        </w:rPr>
        <w:t>Anexo 1</w:t>
      </w:r>
      <w:r>
        <w:rPr>
          <w:lang w:val="es-ES"/>
        </w:rPr>
        <w:t xml:space="preserve"> y en el sitio web de la UIT:</w:t>
      </w:r>
      <w:r w:rsidRPr="00046539">
        <w:rPr>
          <w:lang w:val="es-ES"/>
        </w:rPr>
        <w:t xml:space="preserve"> </w:t>
      </w:r>
      <w:hyperlink r:id="rId12" w:history="1">
        <w:r w:rsidRPr="00937A99">
          <w:rPr>
            <w:rStyle w:val="Hyperlink"/>
            <w:lang w:val="es-ES"/>
          </w:rPr>
          <w:t>http://www.itu.int/en/ITU-T/Workshops-and-Seminars/conformity-interoperability/20150112/Pages/default.aspx</w:t>
        </w:r>
      </w:hyperlink>
      <w:r>
        <w:rPr>
          <w:lang w:val="es-ES"/>
        </w:rPr>
        <w:t xml:space="preserve">. </w:t>
      </w:r>
      <w:r w:rsidR="00E46C02">
        <w:rPr>
          <w:lang w:val="es-ES"/>
        </w:rPr>
        <w:t>Este sitio web se actualizará periódicamente a medida que se reciba información nueva o modificada. Se ruega a los participantes que comprueben regularmente las nuevas actualizaciones.</w:t>
      </w:r>
    </w:p>
    <w:p w:rsidR="003F0A5A" w:rsidRPr="00CF57D3" w:rsidRDefault="00046539" w:rsidP="003F0A5A">
      <w:pPr>
        <w:rPr>
          <w:lang w:val="es-ES"/>
        </w:rPr>
      </w:pPr>
      <w:r>
        <w:rPr>
          <w:lang w:val="es-ES"/>
        </w:rPr>
        <w:t>7</w:t>
      </w:r>
      <w:r w:rsidR="003F0A5A" w:rsidRPr="00CF57D3">
        <w:rPr>
          <w:lang w:val="es-ES"/>
        </w:rPr>
        <w:tab/>
        <w:t>Los delegados disponen de instalaciones de red de área local inalámbrica en las zonas aledañas a las principales salas de conferencias de la UIT y en el Centro Internacional de Conferencias de Ginebra (CICG). En el sitio web del UIT-T figura información más detallada (</w:t>
      </w:r>
      <w:hyperlink r:id="rId13" w:history="1">
        <w:r w:rsidR="003F0A5A" w:rsidRPr="00CF57D3">
          <w:rPr>
            <w:rStyle w:val="Hyperlink"/>
            <w:rFonts w:cstheme="minorHAnsi"/>
            <w:lang w:val="es-ES"/>
          </w:rPr>
          <w:t>http://www.itu.int/ITU-T/edh/faqs-support.html</w:t>
        </w:r>
      </w:hyperlink>
      <w:r w:rsidR="003F0A5A" w:rsidRPr="00CF57D3">
        <w:rPr>
          <w:lang w:val="es-ES"/>
        </w:rPr>
        <w:t>).</w:t>
      </w:r>
    </w:p>
    <w:p w:rsidR="00D64895" w:rsidRPr="00CF57D3" w:rsidRDefault="008256E8" w:rsidP="005E2866">
      <w:pPr>
        <w:rPr>
          <w:rFonts w:cstheme="minorHAnsi"/>
          <w:lang w:val="es-ES"/>
        </w:rPr>
      </w:pPr>
      <w:r>
        <w:rPr>
          <w:rFonts w:cstheme="minorHAnsi"/>
          <w:lang w:val="es-ES"/>
        </w:rPr>
        <w:t>8</w:t>
      </w:r>
      <w:r w:rsidR="00D64895" w:rsidRPr="00CF57D3">
        <w:rPr>
          <w:rFonts w:cstheme="minorHAnsi"/>
          <w:lang w:val="es-ES"/>
        </w:rPr>
        <w:tab/>
      </w:r>
      <w:r w:rsidR="00046539">
        <w:rPr>
          <w:rFonts w:cstheme="minorHAnsi"/>
          <w:lang w:val="es-ES"/>
        </w:rPr>
        <w:t>S</w:t>
      </w:r>
      <w:r w:rsidR="00D64895" w:rsidRPr="00CF57D3">
        <w:rPr>
          <w:rFonts w:cstheme="minorHAnsi"/>
          <w:lang w:val="es-ES"/>
        </w:rPr>
        <w:t xml:space="preserve">e adjunta en el </w:t>
      </w:r>
      <w:r w:rsidR="00D64895" w:rsidRPr="00CF57D3">
        <w:rPr>
          <w:rFonts w:cstheme="minorHAnsi"/>
          <w:b/>
          <w:lang w:val="es-ES"/>
        </w:rPr>
        <w:t xml:space="preserve">Anexo </w:t>
      </w:r>
      <w:r w:rsidR="005E2866">
        <w:rPr>
          <w:rFonts w:cstheme="minorHAnsi"/>
          <w:b/>
          <w:lang w:val="es-ES"/>
        </w:rPr>
        <w:t>2</w:t>
      </w:r>
      <w:r w:rsidR="00D64895" w:rsidRPr="00CF57D3">
        <w:rPr>
          <w:rFonts w:cstheme="minorHAnsi"/>
          <w:lang w:val="es-ES"/>
        </w:rPr>
        <w:t xml:space="preserve"> un formulario de confirmación de </w:t>
      </w:r>
      <w:r w:rsidR="00046539">
        <w:rPr>
          <w:rFonts w:cstheme="minorHAnsi"/>
          <w:lang w:val="es-ES"/>
        </w:rPr>
        <w:t xml:space="preserve">reserva de </w:t>
      </w:r>
      <w:r w:rsidR="00D64895" w:rsidRPr="00CF57D3">
        <w:rPr>
          <w:rFonts w:cstheme="minorHAnsi"/>
          <w:lang w:val="es-ES"/>
        </w:rPr>
        <w:t xml:space="preserve">hotel (véase </w:t>
      </w:r>
      <w:hyperlink w:history="1">
        <w:r w:rsidR="00046539" w:rsidRPr="00937A99">
          <w:rPr>
            <w:rStyle w:val="Hyperlink"/>
            <w:szCs w:val="24"/>
            <w:lang w:val="es-ES"/>
          </w:rPr>
          <w:t>http://www.itu.int /</w:t>
        </w:r>
        <w:proofErr w:type="spellStart"/>
        <w:r w:rsidR="00046539" w:rsidRPr="00937A99">
          <w:rPr>
            <w:rStyle w:val="Hyperlink"/>
            <w:szCs w:val="24"/>
            <w:lang w:val="es-ES"/>
          </w:rPr>
          <w:t>travel</w:t>
        </w:r>
        <w:proofErr w:type="spellEnd"/>
        <w:r w:rsidR="00046539" w:rsidRPr="00937A99">
          <w:rPr>
            <w:rStyle w:val="Hyperlink"/>
            <w:szCs w:val="24"/>
            <w:lang w:val="es-ES"/>
          </w:rPr>
          <w:t>/</w:t>
        </w:r>
      </w:hyperlink>
      <w:r w:rsidR="00ED0C86">
        <w:rPr>
          <w:rFonts w:cstheme="minorHAnsi"/>
          <w:lang w:val="es-ES"/>
        </w:rPr>
        <w:t xml:space="preserve"> </w:t>
      </w:r>
      <w:r w:rsidR="00D64895" w:rsidRPr="00CF57D3">
        <w:rPr>
          <w:rFonts w:cstheme="minorHAnsi"/>
          <w:lang w:val="es-ES"/>
        </w:rPr>
        <w:t>para la lista de hoteles)</w:t>
      </w:r>
      <w:r w:rsidR="00046539">
        <w:rPr>
          <w:rFonts w:cstheme="minorHAnsi"/>
          <w:lang w:val="es-ES"/>
        </w:rPr>
        <w:t xml:space="preserve"> a fin de facilitarle los trámites</w:t>
      </w:r>
      <w:r w:rsidR="00D64895" w:rsidRPr="00CF57D3">
        <w:rPr>
          <w:rFonts w:cstheme="minorHAnsi"/>
          <w:lang w:val="es-ES"/>
        </w:rPr>
        <w:t>.</w:t>
      </w:r>
    </w:p>
    <w:p w:rsidR="00D64895" w:rsidRPr="00CF57D3" w:rsidRDefault="008256E8" w:rsidP="00F826ED">
      <w:pPr>
        <w:rPr>
          <w:b/>
          <w:bCs/>
          <w:lang w:val="es-ES"/>
        </w:rPr>
      </w:pPr>
      <w:r>
        <w:rPr>
          <w:lang w:val="es-ES"/>
        </w:rPr>
        <w:t>9</w:t>
      </w:r>
      <w:r w:rsidR="00D64895" w:rsidRPr="00CF57D3">
        <w:rPr>
          <w:lang w:val="es-ES"/>
        </w:rPr>
        <w:tab/>
        <w:t xml:space="preserve">Para que la </w:t>
      </w:r>
      <w:r w:rsidR="00046539">
        <w:rPr>
          <w:lang w:val="es-ES"/>
        </w:rPr>
        <w:t>UIT</w:t>
      </w:r>
      <w:r w:rsidR="00D64895" w:rsidRPr="00CF57D3">
        <w:rPr>
          <w:lang w:val="es-ES"/>
        </w:rPr>
        <w:t xml:space="preserve"> pueda tomar las disposiciones necesarias sobre la organización del taller, le agradecería que se inscribiese a la mayor brevedad posible a través del formulario en línea disponible en </w:t>
      </w:r>
      <w:hyperlink r:id="rId14" w:history="1">
        <w:r w:rsidR="00F826ED" w:rsidRPr="00937A99">
          <w:rPr>
            <w:rStyle w:val="Hyperlink"/>
          </w:rPr>
          <w:t>http://www.itu.int/en/ITU-T/Workshops-and-Seminars/conformity-interoperability/20150112/Pages/default.aspx</w:t>
        </w:r>
      </w:hyperlink>
      <w:r w:rsidR="00F826ED">
        <w:t xml:space="preserve">, </w:t>
      </w:r>
      <w:r w:rsidR="00D64895" w:rsidRPr="00CF57D3">
        <w:rPr>
          <w:lang w:val="es-ES"/>
        </w:rPr>
        <w:t xml:space="preserve">y </w:t>
      </w:r>
      <w:r w:rsidR="00D64895" w:rsidRPr="00CF57D3">
        <w:rPr>
          <w:b/>
          <w:lang w:val="es-ES"/>
        </w:rPr>
        <w:t xml:space="preserve">a más tardar el </w:t>
      </w:r>
      <w:r w:rsidR="00097F41">
        <w:rPr>
          <w:b/>
          <w:lang w:val="es-ES"/>
        </w:rPr>
        <w:t>2</w:t>
      </w:r>
      <w:r w:rsidR="00F826ED">
        <w:rPr>
          <w:b/>
          <w:lang w:val="es-ES"/>
        </w:rPr>
        <w:t>3</w:t>
      </w:r>
      <w:r w:rsidR="00D64895" w:rsidRPr="00CF57D3">
        <w:rPr>
          <w:b/>
          <w:lang w:val="es-ES"/>
        </w:rPr>
        <w:t xml:space="preserve"> de </w:t>
      </w:r>
      <w:r w:rsidR="00F826ED">
        <w:rPr>
          <w:b/>
          <w:lang w:val="es-ES"/>
        </w:rPr>
        <w:t>noviembre</w:t>
      </w:r>
      <w:r w:rsidR="00D64895" w:rsidRPr="00CF57D3">
        <w:rPr>
          <w:b/>
          <w:lang w:val="es-ES"/>
        </w:rPr>
        <w:t xml:space="preserve"> de 201</w:t>
      </w:r>
      <w:r w:rsidR="00097F41">
        <w:rPr>
          <w:b/>
          <w:lang w:val="es-ES"/>
        </w:rPr>
        <w:t>5</w:t>
      </w:r>
      <w:r w:rsidR="00D64895" w:rsidRPr="00CF57D3">
        <w:rPr>
          <w:b/>
          <w:lang w:val="es-ES"/>
        </w:rPr>
        <w:t>.</w:t>
      </w:r>
      <w:r w:rsidR="00D64895" w:rsidRPr="00CF57D3">
        <w:rPr>
          <w:bCs/>
          <w:i/>
          <w:iCs/>
          <w:lang w:val="es-ES"/>
        </w:rPr>
        <w:t xml:space="preserve"> </w:t>
      </w:r>
      <w:r w:rsidR="00D64895" w:rsidRPr="00CF57D3">
        <w:rPr>
          <w:b/>
          <w:bCs/>
          <w:lang w:val="es-ES"/>
        </w:rPr>
        <w:t xml:space="preserve">Le ruego que </w:t>
      </w:r>
      <w:r w:rsidR="00097F41">
        <w:rPr>
          <w:b/>
          <w:bCs/>
          <w:lang w:val="es-ES"/>
        </w:rPr>
        <w:t>tenga presente</w:t>
      </w:r>
      <w:r w:rsidR="00D64895" w:rsidRPr="00CF57D3">
        <w:rPr>
          <w:b/>
          <w:bCs/>
          <w:lang w:val="es-ES"/>
        </w:rPr>
        <w:t xml:space="preserve"> que la preinscripción de los participantes en </w:t>
      </w:r>
      <w:r w:rsidR="00F826ED">
        <w:rPr>
          <w:b/>
          <w:bCs/>
          <w:lang w:val="es-ES"/>
        </w:rPr>
        <w:t>nuestros eventos</w:t>
      </w:r>
      <w:r w:rsidR="00D64895" w:rsidRPr="00CF57D3">
        <w:rPr>
          <w:b/>
          <w:bCs/>
          <w:lang w:val="es-ES"/>
        </w:rPr>
        <w:t xml:space="preserve"> se lleva a cabo exclusivamente </w:t>
      </w:r>
      <w:r w:rsidR="00D64895" w:rsidRPr="00CF57D3">
        <w:rPr>
          <w:b/>
          <w:bCs/>
          <w:i/>
          <w:iCs/>
          <w:lang w:val="es-ES"/>
        </w:rPr>
        <w:t>en línea</w:t>
      </w:r>
      <w:r w:rsidR="00D64895" w:rsidRPr="00CF57D3">
        <w:rPr>
          <w:b/>
          <w:bCs/>
          <w:lang w:val="es-ES"/>
        </w:rPr>
        <w:t>.</w:t>
      </w:r>
      <w:r w:rsidR="00097F41">
        <w:rPr>
          <w:b/>
          <w:bCs/>
          <w:lang w:val="es-ES"/>
        </w:rPr>
        <w:t xml:space="preserve"> </w:t>
      </w:r>
      <w:r w:rsidR="00F826ED" w:rsidRPr="00F826ED">
        <w:rPr>
          <w:lang w:val="es-ES"/>
        </w:rPr>
        <w:t xml:space="preserve">Los participantes también podrán inscribirse in situ el día del evento. </w:t>
      </w:r>
      <w:r w:rsidR="00097F41" w:rsidRPr="00F826ED">
        <w:rPr>
          <w:lang w:val="es-ES"/>
        </w:rPr>
        <w:t>Se habilitará la</w:t>
      </w:r>
      <w:r w:rsidR="00097F41">
        <w:rPr>
          <w:b/>
          <w:bCs/>
          <w:lang w:val="es-ES"/>
        </w:rPr>
        <w:t xml:space="preserve"> participación a distancia</w:t>
      </w:r>
      <w:r w:rsidR="00097F41" w:rsidRPr="00F826ED">
        <w:rPr>
          <w:lang w:val="es-ES"/>
        </w:rPr>
        <w:t xml:space="preserve">. Los detalles se publicarán en el sitio web </w:t>
      </w:r>
      <w:r w:rsidR="00F826ED" w:rsidRPr="00F826ED">
        <w:rPr>
          <w:lang w:val="es-ES"/>
        </w:rPr>
        <w:t xml:space="preserve">de la UIT en la dirección: </w:t>
      </w:r>
      <w:hyperlink r:id="rId15" w:history="1">
        <w:r w:rsidR="00F826ED" w:rsidRPr="00F826ED">
          <w:rPr>
            <w:rStyle w:val="Hyperlink"/>
            <w:lang w:val="es-ES"/>
          </w:rPr>
          <w:t>http://www.itu.int/en/ITU-T/Workshops-and-Seminars/conformity-interoperability/20150112/Pages/default.aspx</w:t>
        </w:r>
      </w:hyperlink>
      <w:r w:rsidR="00F826ED" w:rsidRPr="00F826ED">
        <w:rPr>
          <w:lang w:val="es-ES"/>
        </w:rPr>
        <w:t xml:space="preserve">. </w:t>
      </w:r>
    </w:p>
    <w:p w:rsidR="00D64895" w:rsidRPr="00CF57D3" w:rsidRDefault="0045490E" w:rsidP="008B6E8F">
      <w:pPr>
        <w:rPr>
          <w:lang w:val="es-ES"/>
        </w:rPr>
      </w:pPr>
      <w:r>
        <w:rPr>
          <w:lang w:val="es-ES"/>
        </w:rPr>
        <w:t>10</w:t>
      </w:r>
      <w:r w:rsidR="00D64895" w:rsidRPr="00CF57D3">
        <w:rPr>
          <w:lang w:val="es-ES"/>
        </w:rPr>
        <w:tab/>
        <w:t xml:space="preserve">Le recordamos que los ciudadanos procedentes de ciertos países necesitan visado para entrar y permanecer en Suiza. </w:t>
      </w:r>
      <w:r w:rsidR="00D64895" w:rsidRPr="00CF57D3">
        <w:rPr>
          <w:b/>
          <w:bCs/>
          <w:lang w:val="es-ES"/>
        </w:rPr>
        <w:t>Ese visado debe solicitarse al menos cuatro (4) semanas antes de la fecha de inicio del taller</w:t>
      </w:r>
      <w:r w:rsidR="00D64895" w:rsidRPr="00CF57D3">
        <w:rPr>
          <w:lang w:val="es-ES"/>
        </w:rPr>
        <w:t xml:space="preserve"> en la oficina (embajada o consulado) que representa a Suiza en su país o, en su defecto, en la más próxima a su país de partida.</w:t>
      </w:r>
    </w:p>
    <w:p w:rsidR="00430812" w:rsidRDefault="0053364B" w:rsidP="003D246A">
      <w:pPr>
        <w:rPr>
          <w:lang w:val="es-ES"/>
        </w:rPr>
      </w:pPr>
      <w:r>
        <w:rPr>
          <w:lang w:val="es-ES"/>
        </w:rPr>
        <w:tab/>
      </w:r>
      <w:r w:rsidR="00D64895" w:rsidRPr="00CF57D3">
        <w:rPr>
          <w:lang w:val="es-ES"/>
        </w:rPr>
        <w:t xml:space="preserve">Si </w:t>
      </w:r>
      <w:r w:rsidR="00D64895" w:rsidRPr="00CF57D3">
        <w:rPr>
          <w:b/>
          <w:bCs/>
          <w:lang w:val="es-ES"/>
        </w:rPr>
        <w:t>un</w:t>
      </w:r>
      <w:r w:rsidR="00D64895" w:rsidRPr="00CF57D3">
        <w:rPr>
          <w:lang w:val="es-ES"/>
        </w:rPr>
        <w:t xml:space="preserve"> </w:t>
      </w:r>
      <w:r w:rsidR="00D64895" w:rsidRPr="00CF57D3">
        <w:rPr>
          <w:b/>
          <w:bCs/>
          <w:lang w:val="es-ES"/>
        </w:rPr>
        <w:t>Estado Miembro, un Miembro de Sector, un Asociado o una Institución Académica de la</w:t>
      </w:r>
      <w:r w:rsidR="003D246A">
        <w:rPr>
          <w:b/>
          <w:bCs/>
          <w:lang w:val="es-ES"/>
        </w:rPr>
        <w:t> </w:t>
      </w:r>
      <w:r w:rsidR="00D64895" w:rsidRPr="00CF57D3">
        <w:rPr>
          <w:b/>
          <w:bCs/>
          <w:lang w:val="es-ES"/>
        </w:rPr>
        <w:t xml:space="preserve">UIT </w:t>
      </w:r>
      <w:proofErr w:type="gramStart"/>
      <w:r w:rsidR="00D64895" w:rsidRPr="00CF57D3">
        <w:rPr>
          <w:lang w:val="es-ES"/>
        </w:rPr>
        <w:t>tropieza</w:t>
      </w:r>
      <w:proofErr w:type="gramEnd"/>
      <w:r w:rsidR="00D64895" w:rsidRPr="00CF57D3">
        <w:rPr>
          <w:lang w:val="es-ES"/>
        </w:rPr>
        <w:t xml:space="preserve">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w:t>
      </w:r>
    </w:p>
    <w:p w:rsidR="00430812" w:rsidRDefault="00430812">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D64895" w:rsidRPr="00CF57D3" w:rsidRDefault="00D64895" w:rsidP="003D246A">
      <w:pPr>
        <w:rPr>
          <w:lang w:val="es-ES"/>
        </w:rPr>
      </w:pPr>
      <w:proofErr w:type="gramStart"/>
      <w:r w:rsidRPr="00CF57D3">
        <w:rPr>
          <w:lang w:val="es-ES"/>
        </w:rPr>
        <w:lastRenderedPageBreak/>
        <w:t>carta</w:t>
      </w:r>
      <w:proofErr w:type="gramEnd"/>
      <w:r w:rsidRPr="00CF57D3">
        <w:rPr>
          <w:lang w:val="es-ES"/>
        </w:rPr>
        <w:t xml:space="preserve">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del UIT-T correspondiente, y remitirse a la TSB con la indicación </w:t>
      </w:r>
      <w:r w:rsidR="00D868F1">
        <w:rPr>
          <w:b/>
          <w:bCs/>
          <w:lang w:val="es-ES"/>
        </w:rPr>
        <w:t>"</w:t>
      </w:r>
      <w:r w:rsidRPr="00CF57D3">
        <w:rPr>
          <w:b/>
          <w:bCs/>
          <w:lang w:val="es-ES"/>
        </w:rPr>
        <w:t>solicitud de visado"</w:t>
      </w:r>
      <w:r w:rsidRPr="00CF57D3">
        <w:rPr>
          <w:lang w:val="es-ES"/>
        </w:rPr>
        <w:t>, por fax</w:t>
      </w:r>
      <w:r w:rsidR="008B6E8F" w:rsidRPr="00CF57D3">
        <w:rPr>
          <w:lang w:val="es-ES"/>
        </w:rPr>
        <w:t xml:space="preserve"> (+41 </w:t>
      </w:r>
      <w:r w:rsidRPr="00CF57D3">
        <w:rPr>
          <w:lang w:val="es-ES"/>
        </w:rPr>
        <w:t>22 730 5853) o correo electrónico (</w:t>
      </w:r>
      <w:hyperlink r:id="rId16" w:history="1">
        <w:r w:rsidRPr="00CF57D3">
          <w:rPr>
            <w:rStyle w:val="Hyperlink"/>
            <w:rFonts w:cstheme="minorHAnsi"/>
            <w:lang w:val="es-ES"/>
          </w:rPr>
          <w:t>tsbreg@itu.int</w:t>
        </w:r>
      </w:hyperlink>
      <w:r w:rsidRPr="00CF57D3">
        <w:rPr>
          <w:lang w:val="es-ES"/>
        </w:rPr>
        <w:t xml:space="preserve">). </w:t>
      </w:r>
      <w:r w:rsidRPr="00CF57D3">
        <w:rPr>
          <w:b/>
          <w:bCs/>
          <w:u w:val="single"/>
          <w:lang w:val="es-ES"/>
        </w:rPr>
        <w:t>Sírvase tomar nota de que la UIT puede ayudar únicamente a los representantes de los Estados Miembros, Miembros de Sector, Asociados e Instituciones Académicas de la UIT</w:t>
      </w:r>
      <w:r w:rsidRPr="00CF57D3">
        <w:rPr>
          <w:lang w:val="es-ES"/>
        </w:rPr>
        <w:t>.</w:t>
      </w:r>
    </w:p>
    <w:p w:rsidR="00D64895" w:rsidRDefault="00D64895" w:rsidP="003D246A">
      <w:pPr>
        <w:keepNext/>
        <w:rPr>
          <w:lang w:val="es-ES"/>
        </w:rPr>
      </w:pPr>
      <w:bookmarkStart w:id="5" w:name="_GoBack"/>
      <w:bookmarkEnd w:id="5"/>
      <w:r w:rsidRPr="00CF57D3">
        <w:rPr>
          <w:lang w:val="es-ES"/>
        </w:rPr>
        <w:t>Con este motivo, lo saluda atentamente.</w:t>
      </w:r>
    </w:p>
    <w:p w:rsidR="0069149C" w:rsidRDefault="0069149C" w:rsidP="003D246A">
      <w:pPr>
        <w:keepNext/>
        <w:rPr>
          <w:lang w:val="es-ES"/>
        </w:rPr>
      </w:pPr>
    </w:p>
    <w:p w:rsidR="0069149C" w:rsidRDefault="0069149C" w:rsidP="00117AE8">
      <w:pPr>
        <w:keepNext/>
        <w:ind w:firstLine="720"/>
        <w:rPr>
          <w:lang w:val="es-ES"/>
        </w:rPr>
      </w:pPr>
    </w:p>
    <w:p w:rsidR="00D64895" w:rsidRPr="00CF57D3" w:rsidRDefault="008B6E8F" w:rsidP="00F77D00">
      <w:pPr>
        <w:spacing w:before="360"/>
        <w:ind w:right="91"/>
        <w:rPr>
          <w:rFonts w:cstheme="minorHAnsi"/>
          <w:lang w:val="es-ES"/>
        </w:rPr>
      </w:pPr>
      <w:r w:rsidRPr="00CF57D3">
        <w:rPr>
          <w:rFonts w:cstheme="minorHAnsi"/>
          <w:lang w:val="es-ES"/>
        </w:rPr>
        <w:t>Chaesub Lee</w:t>
      </w:r>
      <w:r w:rsidR="00D64895" w:rsidRPr="00CF57D3">
        <w:rPr>
          <w:rFonts w:cstheme="minorHAnsi"/>
          <w:lang w:val="es-ES"/>
        </w:rPr>
        <w:br/>
        <w:t>Director de la Oficina de Normalización</w:t>
      </w:r>
      <w:r w:rsidR="00D64895" w:rsidRPr="00CF57D3">
        <w:rPr>
          <w:rFonts w:cstheme="minorHAnsi"/>
          <w:lang w:val="es-ES"/>
        </w:rPr>
        <w:br/>
        <w:t>de las Telecomunicaciones</w:t>
      </w:r>
    </w:p>
    <w:p w:rsidR="00D64895" w:rsidRPr="0047666E" w:rsidRDefault="00D64895" w:rsidP="00F826ED">
      <w:pPr>
        <w:spacing w:before="480"/>
        <w:ind w:right="92"/>
        <w:rPr>
          <w:rFonts w:cstheme="minorHAnsi"/>
          <w:bCs/>
          <w:lang w:val="en-US"/>
        </w:rPr>
      </w:pPr>
      <w:proofErr w:type="spellStart"/>
      <w:r w:rsidRPr="0047666E">
        <w:rPr>
          <w:rFonts w:cstheme="minorHAnsi"/>
          <w:b/>
          <w:lang w:val="en-US"/>
        </w:rPr>
        <w:t>Anexos</w:t>
      </w:r>
      <w:proofErr w:type="spellEnd"/>
      <w:r w:rsidRPr="0047666E">
        <w:rPr>
          <w:rFonts w:cstheme="minorHAnsi"/>
          <w:bCs/>
          <w:lang w:val="en-US"/>
        </w:rPr>
        <w:t xml:space="preserve">: </w:t>
      </w:r>
      <w:r w:rsidR="00F826ED" w:rsidRPr="0047666E">
        <w:rPr>
          <w:rFonts w:cstheme="minorHAnsi"/>
          <w:bCs/>
          <w:lang w:val="en-US"/>
        </w:rPr>
        <w:t>2</w:t>
      </w:r>
    </w:p>
    <w:p w:rsidR="00161403" w:rsidRDefault="00161403" w:rsidP="0047666E">
      <w:pPr>
        <w:tabs>
          <w:tab w:val="clear" w:pos="794"/>
          <w:tab w:val="clear" w:pos="1191"/>
          <w:tab w:val="clear" w:pos="1588"/>
          <w:tab w:val="clear" w:pos="1985"/>
        </w:tabs>
        <w:overflowPunct/>
        <w:autoSpaceDE/>
        <w:autoSpaceDN/>
        <w:adjustRightInd/>
        <w:spacing w:before="0"/>
        <w:textAlignment w:val="auto"/>
        <w:rPr>
          <w:rFonts w:cstheme="minorHAnsi"/>
          <w:lang w:val="en-US"/>
        </w:rPr>
      </w:pPr>
    </w:p>
    <w:p w:rsidR="0047666E" w:rsidRDefault="0047666E" w:rsidP="0047666E">
      <w:pPr>
        <w:tabs>
          <w:tab w:val="clear" w:pos="794"/>
          <w:tab w:val="clear" w:pos="1191"/>
          <w:tab w:val="clear" w:pos="1588"/>
          <w:tab w:val="clear" w:pos="1985"/>
        </w:tabs>
        <w:overflowPunct/>
        <w:autoSpaceDE/>
        <w:autoSpaceDN/>
        <w:adjustRightInd/>
        <w:spacing w:before="0"/>
        <w:textAlignment w:val="auto"/>
        <w:rPr>
          <w:rFonts w:cstheme="minorHAnsi"/>
          <w:lang w:val="en-US"/>
        </w:rPr>
      </w:pPr>
    </w:p>
    <w:p w:rsidR="00174B89" w:rsidRDefault="00174B89">
      <w:pPr>
        <w:tabs>
          <w:tab w:val="clear" w:pos="794"/>
          <w:tab w:val="clear" w:pos="1191"/>
          <w:tab w:val="clear" w:pos="1588"/>
          <w:tab w:val="clear" w:pos="1985"/>
        </w:tabs>
        <w:overflowPunct/>
        <w:autoSpaceDE/>
        <w:autoSpaceDN/>
        <w:adjustRightInd/>
        <w:spacing w:before="0"/>
        <w:textAlignment w:val="auto"/>
        <w:rPr>
          <w:rFonts w:cstheme="minorHAnsi"/>
          <w:lang w:val="en-US"/>
        </w:rPr>
      </w:pPr>
      <w:r>
        <w:rPr>
          <w:rFonts w:cstheme="minorHAnsi"/>
          <w:lang w:val="en-US"/>
        </w:rPr>
        <w:br w:type="page"/>
      </w:r>
    </w:p>
    <w:p w:rsidR="0047666E" w:rsidRDefault="0047666E" w:rsidP="0047666E">
      <w:pPr>
        <w:tabs>
          <w:tab w:val="clear" w:pos="794"/>
          <w:tab w:val="clear" w:pos="1191"/>
          <w:tab w:val="clear" w:pos="1588"/>
          <w:tab w:val="clear" w:pos="1985"/>
        </w:tabs>
        <w:overflowPunct/>
        <w:autoSpaceDE/>
        <w:autoSpaceDN/>
        <w:adjustRightInd/>
        <w:spacing w:before="0"/>
        <w:textAlignment w:val="auto"/>
        <w:rPr>
          <w:rFonts w:cstheme="minorHAnsi"/>
          <w:lang w:val="en-US"/>
        </w:rPr>
      </w:pPr>
    </w:p>
    <w:p w:rsidR="0047666E" w:rsidRPr="00E255DD" w:rsidRDefault="0047666E" w:rsidP="00174B89">
      <w:pPr>
        <w:pStyle w:val="AnnexTitle"/>
        <w:rPr>
          <w:b w:val="0"/>
          <w:bCs/>
          <w:lang w:val="en-US"/>
        </w:rPr>
      </w:pPr>
      <w:r w:rsidRPr="00E255DD">
        <w:rPr>
          <w:b w:val="0"/>
          <w:bCs/>
          <w:lang w:val="en-US"/>
        </w:rPr>
        <w:t>ANNEX 1</w:t>
      </w:r>
      <w:r w:rsidRPr="00E255DD">
        <w:rPr>
          <w:b w:val="0"/>
          <w:bCs/>
          <w:lang w:val="en-US"/>
        </w:rPr>
        <w:br/>
      </w:r>
      <w:r w:rsidR="00414600" w:rsidRPr="00E255DD">
        <w:rPr>
          <w:b w:val="0"/>
          <w:bCs/>
          <w:lang w:val="en-US"/>
        </w:rPr>
        <w:t>(to TSB Circular 179)</w:t>
      </w:r>
    </w:p>
    <w:p w:rsidR="0047666E" w:rsidRDefault="0047666E" w:rsidP="0047666E">
      <w:pPr>
        <w:jc w:val="center"/>
        <w:rPr>
          <w:b/>
          <w:bCs/>
          <w:szCs w:val="24"/>
          <w:lang w:val="en-US"/>
        </w:rPr>
      </w:pPr>
    </w:p>
    <w:p w:rsidR="0047666E" w:rsidRPr="00430812" w:rsidRDefault="0047666E" w:rsidP="00430812">
      <w:pPr>
        <w:jc w:val="center"/>
        <w:rPr>
          <w:b/>
          <w:bCs/>
          <w:lang w:val="en-US"/>
        </w:rPr>
      </w:pPr>
      <w:r w:rsidRPr="00430812">
        <w:rPr>
          <w:b/>
          <w:bCs/>
          <w:lang w:val="en-US"/>
        </w:rPr>
        <w:t>DRAFT AGENDA</w:t>
      </w:r>
    </w:p>
    <w:p w:rsidR="0047666E" w:rsidRPr="0047666E" w:rsidRDefault="0047666E" w:rsidP="0047666E">
      <w:pPr>
        <w:jc w:val="center"/>
        <w:rPr>
          <w:b/>
          <w:bCs/>
          <w:szCs w:val="24"/>
          <w:lang w:val="en-US"/>
        </w:rPr>
      </w:pPr>
    </w:p>
    <w:p w:rsidR="0047666E" w:rsidRPr="00F014C6" w:rsidRDefault="0047666E" w:rsidP="0047666E">
      <w:pPr>
        <w:pStyle w:val="ListParagraph"/>
        <w:numPr>
          <w:ilvl w:val="0"/>
          <w:numId w:val="16"/>
        </w:numPr>
        <w:rPr>
          <w:rFonts w:ascii="Calibri" w:hAnsi="Calibri"/>
          <w:szCs w:val="24"/>
          <w:lang w:val="en-US" w:eastAsia="zh-CN"/>
        </w:rPr>
      </w:pPr>
      <w:r w:rsidRPr="00FA4876">
        <w:rPr>
          <w:b/>
          <w:bCs/>
          <w:szCs w:val="24"/>
        </w:rPr>
        <w:t>Status of Voice</w:t>
      </w:r>
      <w:r w:rsidRPr="00FA4876">
        <w:rPr>
          <w:b/>
          <w:bCs/>
        </w:rPr>
        <w:t xml:space="preserve"> </w:t>
      </w:r>
      <w:r w:rsidRPr="00FA4876">
        <w:rPr>
          <w:b/>
          <w:bCs/>
          <w:szCs w:val="24"/>
        </w:rPr>
        <w:t>and Video services over fixed and mobile environments, including IMT-advanced (LTE</w:t>
      </w:r>
      <w:r w:rsidRPr="00F014C6">
        <w:rPr>
          <w:szCs w:val="24"/>
        </w:rPr>
        <w:t>)</w:t>
      </w:r>
    </w:p>
    <w:p w:rsidR="0047666E" w:rsidRPr="00F014C6" w:rsidRDefault="0047666E" w:rsidP="0047666E">
      <w:pPr>
        <w:pStyle w:val="ListParagraph"/>
        <w:rPr>
          <w:szCs w:val="24"/>
          <w:lang w:val="en-US"/>
        </w:rPr>
      </w:pPr>
    </w:p>
    <w:p w:rsidR="0047666E" w:rsidRPr="00F014C6" w:rsidRDefault="0047666E" w:rsidP="0047666E">
      <w:pPr>
        <w:pStyle w:val="ListParagraph"/>
        <w:numPr>
          <w:ilvl w:val="0"/>
          <w:numId w:val="17"/>
        </w:numPr>
        <w:rPr>
          <w:rFonts w:ascii="Calibri" w:hAnsi="Calibri"/>
          <w:szCs w:val="24"/>
          <w:lang w:val="en-US" w:eastAsia="zh-CN"/>
        </w:rPr>
      </w:pPr>
      <w:r w:rsidRPr="00F014C6">
        <w:t>Share status of voice services: domestic and international use cases</w:t>
      </w:r>
      <w:r>
        <w:t>;</w:t>
      </w:r>
    </w:p>
    <w:p w:rsidR="0047666E" w:rsidRPr="00F014C6" w:rsidRDefault="0047666E" w:rsidP="0047666E">
      <w:pPr>
        <w:pStyle w:val="ListParagraph"/>
        <w:numPr>
          <w:ilvl w:val="0"/>
          <w:numId w:val="17"/>
        </w:numPr>
        <w:rPr>
          <w:rFonts w:ascii="Calibri" w:hAnsi="Calibri"/>
          <w:szCs w:val="24"/>
          <w:lang w:val="en-US" w:eastAsia="zh-CN"/>
        </w:rPr>
      </w:pPr>
      <w:r w:rsidRPr="00F014C6">
        <w:t>Status of video communication services: domestic and international use cases</w:t>
      </w:r>
      <w:r>
        <w:t>.</w:t>
      </w:r>
      <w:r w:rsidRPr="00F014C6">
        <w:br/>
      </w:r>
    </w:p>
    <w:p w:rsidR="0047666E" w:rsidRPr="00FA4876" w:rsidRDefault="0047666E" w:rsidP="0047666E">
      <w:pPr>
        <w:pStyle w:val="ListParagraph"/>
        <w:numPr>
          <w:ilvl w:val="0"/>
          <w:numId w:val="16"/>
        </w:numPr>
        <w:wordWrap w:val="0"/>
        <w:rPr>
          <w:b/>
          <w:bCs/>
          <w:sz w:val="22"/>
          <w:szCs w:val="22"/>
        </w:rPr>
      </w:pPr>
      <w:r w:rsidRPr="00FA4876">
        <w:rPr>
          <w:b/>
          <w:bCs/>
          <w:szCs w:val="24"/>
        </w:rPr>
        <w:t>Analysis of standards</w:t>
      </w:r>
      <w:r w:rsidRPr="00FA4876">
        <w:rPr>
          <w:b/>
          <w:bCs/>
          <w:szCs w:val="24"/>
        </w:rPr>
        <w:br/>
      </w:r>
    </w:p>
    <w:p w:rsidR="0047666E" w:rsidRPr="00F014C6" w:rsidRDefault="0047666E" w:rsidP="0047666E">
      <w:pPr>
        <w:pStyle w:val="ListParagraph"/>
        <w:numPr>
          <w:ilvl w:val="0"/>
          <w:numId w:val="18"/>
        </w:numPr>
        <w:wordWrap w:val="0"/>
        <w:jc w:val="both"/>
      </w:pPr>
      <w:r w:rsidRPr="00F014C6">
        <w:t>Status of relevant SDOs</w:t>
      </w:r>
      <w:r>
        <w:t>;</w:t>
      </w:r>
    </w:p>
    <w:p w:rsidR="0047666E" w:rsidRPr="00F014C6" w:rsidRDefault="0047666E" w:rsidP="0047666E">
      <w:pPr>
        <w:pStyle w:val="ListParagraph"/>
        <w:numPr>
          <w:ilvl w:val="0"/>
          <w:numId w:val="18"/>
        </w:numPr>
        <w:wordWrap w:val="0"/>
        <w:jc w:val="both"/>
      </w:pPr>
      <w:r w:rsidRPr="00F014C6">
        <w:t>Status of national standards</w:t>
      </w:r>
      <w:r>
        <w:t>;</w:t>
      </w:r>
    </w:p>
    <w:p w:rsidR="0047666E" w:rsidRPr="00FA4876" w:rsidRDefault="0047666E" w:rsidP="0047666E">
      <w:pPr>
        <w:pStyle w:val="ListParagraph"/>
        <w:numPr>
          <w:ilvl w:val="0"/>
          <w:numId w:val="18"/>
        </w:numPr>
        <w:wordWrap w:val="0"/>
      </w:pPr>
      <w:r w:rsidRPr="00F014C6">
        <w:t>Status of ITU-T Recommendations</w:t>
      </w:r>
      <w:r>
        <w:t>.</w:t>
      </w:r>
      <w:r w:rsidRPr="00FA4876">
        <w:br/>
      </w:r>
    </w:p>
    <w:p w:rsidR="0047666E" w:rsidRPr="00FA4876" w:rsidRDefault="0047666E" w:rsidP="0047666E">
      <w:pPr>
        <w:pStyle w:val="ListParagraph"/>
        <w:numPr>
          <w:ilvl w:val="0"/>
          <w:numId w:val="16"/>
        </w:numPr>
        <w:wordWrap w:val="0"/>
      </w:pPr>
      <w:r w:rsidRPr="00FA4876">
        <w:rPr>
          <w:b/>
          <w:bCs/>
        </w:rPr>
        <w:t>Issues for LT</w:t>
      </w:r>
      <w:r>
        <w:rPr>
          <w:b/>
          <w:bCs/>
        </w:rPr>
        <w:t>E</w:t>
      </w:r>
      <w:r>
        <w:br/>
      </w:r>
    </w:p>
    <w:p w:rsidR="0047666E" w:rsidRPr="00FA4876" w:rsidRDefault="0047666E" w:rsidP="0047666E">
      <w:pPr>
        <w:pStyle w:val="ListParagraph"/>
        <w:numPr>
          <w:ilvl w:val="0"/>
          <w:numId w:val="16"/>
        </w:numPr>
        <w:wordWrap w:val="0"/>
      </w:pPr>
      <w:r w:rsidRPr="00FA4876">
        <w:rPr>
          <w:b/>
          <w:bCs/>
        </w:rPr>
        <w:t xml:space="preserve">Issues for </w:t>
      </w:r>
      <w:r>
        <w:rPr>
          <w:b/>
          <w:bCs/>
        </w:rPr>
        <w:t>5G</w:t>
      </w:r>
      <w:r w:rsidRPr="00FA4876">
        <w:br/>
      </w:r>
    </w:p>
    <w:p w:rsidR="0047666E" w:rsidRPr="00F014C6" w:rsidRDefault="0047666E" w:rsidP="0047666E">
      <w:pPr>
        <w:pStyle w:val="ListParagraph"/>
        <w:numPr>
          <w:ilvl w:val="0"/>
          <w:numId w:val="16"/>
        </w:numPr>
        <w:wordWrap w:val="0"/>
        <w:jc w:val="both"/>
      </w:pPr>
      <w:r w:rsidRPr="00FA4876">
        <w:rPr>
          <w:b/>
          <w:bCs/>
        </w:rPr>
        <w:t>Action Pla</w:t>
      </w:r>
      <w:r>
        <w:rPr>
          <w:b/>
          <w:bCs/>
        </w:rPr>
        <w:t>n</w:t>
      </w:r>
    </w:p>
    <w:p w:rsidR="0047666E" w:rsidRPr="00F014C6" w:rsidRDefault="0047666E" w:rsidP="0047666E">
      <w:pPr>
        <w:wordWrap w:val="0"/>
        <w:jc w:val="both"/>
      </w:pPr>
    </w:p>
    <w:p w:rsidR="0047666E" w:rsidRPr="00F014C6" w:rsidRDefault="0047666E" w:rsidP="0047666E">
      <w:pPr>
        <w:wordWrap w:val="0"/>
      </w:pPr>
    </w:p>
    <w:p w:rsidR="0047666E" w:rsidRPr="00F014C6" w:rsidRDefault="0047666E" w:rsidP="0047666E">
      <w:pPr>
        <w:wordWrap w:val="0"/>
        <w:jc w:val="center"/>
      </w:pPr>
    </w:p>
    <w:p w:rsidR="0047666E" w:rsidRDefault="0047666E" w:rsidP="0047666E">
      <w:pPr>
        <w:overflowPunct/>
        <w:autoSpaceDE/>
        <w:autoSpaceDN/>
        <w:adjustRightInd/>
        <w:spacing w:before="0"/>
        <w:textAlignment w:val="auto"/>
        <w:rPr>
          <w:b/>
          <w:bCs/>
        </w:rPr>
      </w:pPr>
      <w:r>
        <w:rPr>
          <w:b/>
          <w:bCs/>
        </w:rPr>
        <w:br w:type="page"/>
      </w:r>
    </w:p>
    <w:p w:rsidR="0047666E" w:rsidRPr="00477A41" w:rsidRDefault="0047666E" w:rsidP="0047666E">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 w:val="24"/>
          <w:szCs w:val="22"/>
          <w:lang w:val="en-US"/>
        </w:rPr>
      </w:pPr>
      <w:r w:rsidRPr="00477A41">
        <w:rPr>
          <w:rFonts w:asciiTheme="minorHAnsi" w:hAnsiTheme="minorHAnsi"/>
          <w:sz w:val="24"/>
          <w:szCs w:val="22"/>
          <w:lang w:val="en-US"/>
        </w:rPr>
        <w:lastRenderedPageBreak/>
        <w:t>ANNEX 2</w:t>
      </w:r>
    </w:p>
    <w:p w:rsidR="0047666E" w:rsidRPr="00477A41" w:rsidRDefault="0047666E" w:rsidP="0047666E">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 w:val="24"/>
          <w:szCs w:val="22"/>
        </w:rPr>
      </w:pPr>
      <w:r w:rsidRPr="00477A41">
        <w:rPr>
          <w:rFonts w:asciiTheme="minorHAnsi" w:hAnsiTheme="minorHAnsi"/>
          <w:sz w:val="24"/>
          <w:szCs w:val="22"/>
        </w:rPr>
        <w:t>(</w:t>
      </w:r>
      <w:proofErr w:type="gramStart"/>
      <w:r w:rsidRPr="00477A41">
        <w:rPr>
          <w:rFonts w:asciiTheme="minorHAnsi" w:hAnsiTheme="minorHAnsi"/>
          <w:sz w:val="24"/>
          <w:szCs w:val="22"/>
        </w:rPr>
        <w:t>to</w:t>
      </w:r>
      <w:proofErr w:type="gramEnd"/>
      <w:r w:rsidRPr="00477A41">
        <w:rPr>
          <w:rFonts w:asciiTheme="minorHAnsi" w:hAnsiTheme="minorHAnsi"/>
          <w:sz w:val="24"/>
          <w:szCs w:val="22"/>
        </w:rPr>
        <w:t xml:space="preserve"> TSB Circular 179)</w:t>
      </w:r>
    </w:p>
    <w:p w:rsidR="0047666E" w:rsidRPr="00477A41" w:rsidRDefault="0047666E" w:rsidP="0047666E">
      <w:pPr>
        <w:spacing w:before="0" w:line="240" w:lineRule="atLeast"/>
        <w:ind w:left="709" w:right="453"/>
        <w:jc w:val="center"/>
        <w:rPr>
          <w:sz w:val="18"/>
          <w:szCs w:val="22"/>
        </w:rPr>
      </w:pPr>
    </w:p>
    <w:tbl>
      <w:tblPr>
        <w:tblW w:w="0" w:type="auto"/>
        <w:jc w:val="center"/>
        <w:tblLayout w:type="fixed"/>
        <w:tblLook w:val="0000" w:firstRow="0" w:lastRow="0" w:firstColumn="0" w:lastColumn="0" w:noHBand="0" w:noVBand="0"/>
      </w:tblPr>
      <w:tblGrid>
        <w:gridCol w:w="9781"/>
      </w:tblGrid>
      <w:tr w:rsidR="0047666E" w:rsidRPr="00477A41" w:rsidTr="00C44FDB">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47666E" w:rsidRPr="00C67AB9" w:rsidRDefault="0047666E" w:rsidP="00C44FDB">
            <w:pPr>
              <w:tabs>
                <w:tab w:val="left" w:pos="1440"/>
                <w:tab w:val="left" w:pos="8647"/>
              </w:tabs>
              <w:spacing w:before="0" w:line="288" w:lineRule="atLeast"/>
              <w:ind w:right="133"/>
              <w:jc w:val="center"/>
              <w:rPr>
                <w:sz w:val="20"/>
                <w:lang w:val="en-US"/>
              </w:rPr>
            </w:pPr>
            <w:r w:rsidRPr="0047666E">
              <w:rPr>
                <w:i/>
                <w:szCs w:val="24"/>
                <w:lang w:val="en-US"/>
              </w:rPr>
              <w:t xml:space="preserve">This confirmation form </w:t>
            </w:r>
            <w:r w:rsidRPr="0047666E">
              <w:rPr>
                <w:bCs/>
                <w:i/>
                <w:szCs w:val="24"/>
                <w:lang w:val="en-US"/>
              </w:rPr>
              <w:t xml:space="preserve">should </w:t>
            </w:r>
            <w:r w:rsidRPr="0047666E">
              <w:rPr>
                <w:b/>
                <w:i/>
                <w:szCs w:val="24"/>
                <w:lang w:val="en-US"/>
              </w:rPr>
              <w:t xml:space="preserve">be sent direct to the hotel </w:t>
            </w:r>
            <w:r w:rsidRPr="0047666E">
              <w:rPr>
                <w:i/>
                <w:szCs w:val="24"/>
                <w:lang w:val="en-US"/>
              </w:rPr>
              <w:t>of your choice</w:t>
            </w:r>
          </w:p>
        </w:tc>
      </w:tr>
    </w:tbl>
    <w:p w:rsidR="0047666E" w:rsidRPr="00C67AB9" w:rsidRDefault="0047666E" w:rsidP="0047666E">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47666E" w:rsidTr="00C44FDB">
        <w:trPr>
          <w:cantSplit/>
          <w:jc w:val="center"/>
        </w:trPr>
        <w:tc>
          <w:tcPr>
            <w:tcW w:w="1291" w:type="dxa"/>
            <w:vAlign w:val="center"/>
          </w:tcPr>
          <w:p w:rsidR="0047666E" w:rsidRDefault="0047666E" w:rsidP="00C44FDB">
            <w:pPr>
              <w:tabs>
                <w:tab w:val="center" w:pos="9639"/>
              </w:tabs>
              <w:spacing w:before="57" w:line="240" w:lineRule="atLeast"/>
              <w:ind w:right="-176"/>
              <w:jc w:val="center"/>
              <w:rPr>
                <w:sz w:val="28"/>
              </w:rPr>
            </w:pPr>
            <w:r>
              <w:rPr>
                <w:noProof/>
                <w:sz w:val="28"/>
                <w:lang w:val="en-US" w:eastAsia="zh-CN"/>
              </w:rPr>
              <w:drawing>
                <wp:inline distT="0" distB="0" distL="0" distR="0" wp14:anchorId="286AD56F" wp14:editId="258AC689">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47666E" w:rsidRPr="001F5A0A" w:rsidRDefault="0047666E" w:rsidP="00C44FDB">
            <w:pPr>
              <w:tabs>
                <w:tab w:val="center" w:pos="9639"/>
              </w:tabs>
              <w:spacing w:line="240" w:lineRule="atLeast"/>
              <w:ind w:right="-40"/>
              <w:jc w:val="center"/>
              <w:rPr>
                <w:b/>
                <w:bCs/>
                <w:sz w:val="28"/>
                <w:szCs w:val="28"/>
              </w:rPr>
            </w:pPr>
            <w:r w:rsidRPr="001F5A0A">
              <w:rPr>
                <w:b/>
                <w:bCs/>
                <w:sz w:val="28"/>
                <w:szCs w:val="28"/>
              </w:rPr>
              <w:t>INTERNATIONAL TELECOMMUNICATION UNION</w:t>
            </w:r>
          </w:p>
        </w:tc>
        <w:tc>
          <w:tcPr>
            <w:tcW w:w="1400" w:type="dxa"/>
            <w:vAlign w:val="center"/>
          </w:tcPr>
          <w:p w:rsidR="0047666E" w:rsidRDefault="0047666E" w:rsidP="00C44FDB">
            <w:pPr>
              <w:tabs>
                <w:tab w:val="center" w:pos="9639"/>
              </w:tabs>
              <w:spacing w:before="57" w:line="240" w:lineRule="atLeast"/>
              <w:ind w:left="-142" w:right="-74"/>
              <w:jc w:val="center"/>
              <w:rPr>
                <w:sz w:val="28"/>
              </w:rPr>
            </w:pPr>
            <w:r>
              <w:rPr>
                <w:noProof/>
                <w:sz w:val="28"/>
                <w:lang w:val="en-US" w:eastAsia="zh-CN"/>
              </w:rPr>
              <w:drawing>
                <wp:inline distT="0" distB="0" distL="0" distR="0" wp14:anchorId="57EF4CFC" wp14:editId="126949E0">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47666E" w:rsidRDefault="0047666E" w:rsidP="0047666E">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47666E" w:rsidRPr="0047666E" w:rsidRDefault="0047666E" w:rsidP="0047666E">
      <w:pPr>
        <w:tabs>
          <w:tab w:val="center" w:pos="4678"/>
        </w:tabs>
        <w:spacing w:before="0" w:after="240" w:line="240" w:lineRule="atLeast"/>
        <w:ind w:right="-142"/>
        <w:jc w:val="center"/>
        <w:rPr>
          <w:rStyle w:val="LineNumber"/>
          <w:lang w:val="en-US"/>
        </w:rPr>
      </w:pPr>
      <w:r w:rsidRPr="0047666E">
        <w:rPr>
          <w:rStyle w:val="LineNumber"/>
          <w:b/>
          <w:bCs/>
          <w:lang w:val="en-US"/>
        </w:rPr>
        <w:t xml:space="preserve">Workshop </w:t>
      </w:r>
      <w:r w:rsidRPr="0047666E">
        <w:rPr>
          <w:b/>
          <w:bCs/>
          <w:lang w:val="en-US"/>
        </w:rPr>
        <w:t xml:space="preserve">on </w:t>
      </w:r>
      <w:r>
        <w:rPr>
          <w:rStyle w:val="Strong"/>
          <w:rFonts w:cs="Segoe UI"/>
          <w:color w:val="000000"/>
          <w:lang w:val="en-US"/>
        </w:rPr>
        <w:t xml:space="preserve">Voice and Video Services Interoperability </w:t>
      </w:r>
      <w:proofErr w:type="gramStart"/>
      <w:r>
        <w:rPr>
          <w:rStyle w:val="Strong"/>
          <w:rFonts w:cs="Segoe UI"/>
          <w:color w:val="000000"/>
          <w:lang w:val="en-US"/>
        </w:rPr>
        <w:t>Over</w:t>
      </w:r>
      <w:proofErr w:type="gramEnd"/>
      <w:r>
        <w:rPr>
          <w:rStyle w:val="Strong"/>
          <w:rFonts w:cs="Segoe UI"/>
          <w:color w:val="000000"/>
          <w:lang w:val="en-US"/>
        </w:rPr>
        <w:t xml:space="preserve"> Fixed-Mobile Hybrid Environments, Including IMT-Advanced (LTE) </w:t>
      </w:r>
      <w:r w:rsidRPr="0047666E">
        <w:rPr>
          <w:rStyle w:val="LineNumber"/>
          <w:lang w:val="en-US"/>
        </w:rPr>
        <w:t>on 1 December 2015 in Geneva, Switzerland</w:t>
      </w:r>
    </w:p>
    <w:p w:rsidR="0047666E" w:rsidRPr="0047666E" w:rsidRDefault="0047666E" w:rsidP="0047666E">
      <w:pPr>
        <w:jc w:val="both"/>
        <w:rPr>
          <w:rStyle w:val="LineNumber"/>
          <w:lang w:val="en-US"/>
        </w:rPr>
      </w:pPr>
      <w:r w:rsidRPr="0047666E">
        <w:rPr>
          <w:rStyle w:val="LineNumber"/>
          <w:lang w:val="en-US"/>
        </w:rPr>
        <w:t>Confirmation of the reservation made on (date) ____________ with (hotel) ___________________</w:t>
      </w:r>
    </w:p>
    <w:p w:rsidR="0047666E" w:rsidRPr="0047666E" w:rsidRDefault="0047666E" w:rsidP="0047666E">
      <w:pPr>
        <w:spacing w:before="360" w:after="240"/>
        <w:jc w:val="both"/>
        <w:rPr>
          <w:rStyle w:val="LineNumber"/>
          <w:b/>
          <w:bCs/>
          <w:u w:val="single"/>
          <w:lang w:val="en-US"/>
        </w:rPr>
      </w:pPr>
      <w:proofErr w:type="gramStart"/>
      <w:r w:rsidRPr="0047666E">
        <w:rPr>
          <w:rStyle w:val="LineNumber"/>
          <w:b/>
          <w:bCs/>
          <w:u w:val="single"/>
          <w:lang w:val="en-US"/>
        </w:rPr>
        <w:t>at</w:t>
      </w:r>
      <w:proofErr w:type="gramEnd"/>
      <w:r w:rsidRPr="0047666E">
        <w:rPr>
          <w:rStyle w:val="LineNumber"/>
          <w:b/>
          <w:bCs/>
          <w:u w:val="single"/>
          <w:lang w:val="en-US"/>
        </w:rPr>
        <w:t xml:space="preserve"> the ITU preferential tariff</w:t>
      </w:r>
    </w:p>
    <w:p w:rsidR="0047666E" w:rsidRPr="0047666E" w:rsidRDefault="0047666E" w:rsidP="0047666E">
      <w:pPr>
        <w:spacing w:before="360" w:after="240"/>
        <w:jc w:val="both"/>
        <w:rPr>
          <w:rStyle w:val="LineNumber"/>
          <w:lang w:val="en-US"/>
        </w:rPr>
      </w:pPr>
      <w:r w:rsidRPr="0047666E">
        <w:rPr>
          <w:rStyle w:val="LineNumber"/>
          <w:lang w:val="en-US"/>
        </w:rPr>
        <w:t>____________ single/double room(s)</w:t>
      </w:r>
    </w:p>
    <w:p w:rsidR="0047666E" w:rsidRPr="0047666E" w:rsidRDefault="0047666E" w:rsidP="0047666E">
      <w:pPr>
        <w:jc w:val="both"/>
        <w:rPr>
          <w:rStyle w:val="LineNumber"/>
          <w:lang w:val="en-US"/>
        </w:rPr>
      </w:pPr>
      <w:proofErr w:type="gramStart"/>
      <w:r w:rsidRPr="0047666E">
        <w:rPr>
          <w:rStyle w:val="LineNumber"/>
          <w:lang w:val="en-US"/>
        </w:rPr>
        <w:t>arriving</w:t>
      </w:r>
      <w:proofErr w:type="gramEnd"/>
      <w:r w:rsidRPr="0047666E">
        <w:rPr>
          <w:rStyle w:val="LineNumber"/>
          <w:lang w:val="en-US"/>
        </w:rPr>
        <w:t xml:space="preserve"> on (date) ____________ at (time) ____________ departing on (date) ____________</w:t>
      </w:r>
    </w:p>
    <w:p w:rsidR="0047666E" w:rsidRPr="0047666E" w:rsidRDefault="0047666E" w:rsidP="0047666E">
      <w:pPr>
        <w:spacing w:before="360"/>
        <w:jc w:val="both"/>
        <w:rPr>
          <w:rStyle w:val="LineNumber"/>
          <w:rFonts w:eastAsia="SimSun"/>
          <w:lang w:val="en-US"/>
        </w:rPr>
      </w:pPr>
      <w:r w:rsidRPr="0047666E">
        <w:rPr>
          <w:rStyle w:val="LineNumber"/>
          <w:rFonts w:eastAsia="SimSun"/>
          <w:b/>
          <w:bCs/>
          <w:lang w:val="en-US"/>
        </w:rPr>
        <w:t>GENEVA TRANSPORT CARD</w:t>
      </w:r>
      <w:r w:rsidRPr="0047666E">
        <w:rPr>
          <w:rStyle w:val="LineNumber"/>
          <w:rFonts w:eastAsia="SimSun"/>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47666E">
        <w:rPr>
          <w:rStyle w:val="LineNumber"/>
          <w:rFonts w:eastAsia="SimSun"/>
          <w:lang w:val="en-US"/>
        </w:rPr>
        <w:t>Versoix</w:t>
      </w:r>
      <w:proofErr w:type="spellEnd"/>
      <w:r w:rsidRPr="0047666E">
        <w:rPr>
          <w:rStyle w:val="LineNumber"/>
          <w:rFonts w:eastAsia="SimSun"/>
          <w:lang w:val="en-US"/>
        </w:rPr>
        <w:t xml:space="preserve"> and the airport. </w:t>
      </w:r>
    </w:p>
    <w:p w:rsidR="0047666E" w:rsidRPr="0047666E" w:rsidRDefault="0047666E" w:rsidP="0047666E">
      <w:pPr>
        <w:spacing w:before="360"/>
        <w:jc w:val="both"/>
        <w:rPr>
          <w:rStyle w:val="LineNumber"/>
          <w:lang w:val="en-US"/>
        </w:rPr>
      </w:pPr>
      <w:r w:rsidRPr="0047666E">
        <w:rPr>
          <w:rStyle w:val="LineNumber"/>
          <w:lang w:val="en-US"/>
        </w:rPr>
        <w:t>Family name:</w:t>
      </w:r>
      <w:r w:rsidRPr="0047666E">
        <w:rPr>
          <w:rStyle w:val="LineNumber"/>
          <w:lang w:val="en-US"/>
        </w:rPr>
        <w:tab/>
        <w:t>_________________________________</w:t>
      </w:r>
    </w:p>
    <w:p w:rsidR="0047666E" w:rsidRPr="0047666E" w:rsidRDefault="0047666E" w:rsidP="0047666E">
      <w:pPr>
        <w:spacing w:after="240"/>
        <w:jc w:val="both"/>
        <w:rPr>
          <w:rStyle w:val="LineNumber"/>
          <w:lang w:val="en-US"/>
        </w:rPr>
      </w:pPr>
      <w:r w:rsidRPr="0047666E">
        <w:rPr>
          <w:rStyle w:val="LineNumber"/>
          <w:lang w:val="en-US"/>
        </w:rPr>
        <w:t>First name:</w:t>
      </w:r>
      <w:r w:rsidRPr="0047666E">
        <w:rPr>
          <w:rStyle w:val="LineNumber"/>
          <w:lang w:val="en-US"/>
        </w:rPr>
        <w:tab/>
      </w:r>
      <w:r w:rsidRPr="0047666E">
        <w:rPr>
          <w:rStyle w:val="LineNumber"/>
          <w:lang w:val="en-US"/>
        </w:rPr>
        <w:tab/>
        <w:t>_________________________________</w:t>
      </w:r>
    </w:p>
    <w:p w:rsidR="0047666E" w:rsidRPr="0047666E" w:rsidRDefault="0047666E" w:rsidP="0047666E">
      <w:pPr>
        <w:jc w:val="both"/>
        <w:rPr>
          <w:rStyle w:val="LineNumber"/>
          <w:lang w:val="en-US"/>
        </w:rPr>
      </w:pPr>
      <w:r w:rsidRPr="0047666E">
        <w:rPr>
          <w:rStyle w:val="LineNumber"/>
          <w:lang w:val="en-US"/>
        </w:rPr>
        <w:t>Address:</w:t>
      </w:r>
      <w:r w:rsidRPr="0047666E">
        <w:rPr>
          <w:rStyle w:val="LineNumber"/>
          <w:lang w:val="en-US"/>
        </w:rPr>
        <w:tab/>
        <w:t>________________________________</w:t>
      </w:r>
      <w:r w:rsidRPr="0047666E">
        <w:rPr>
          <w:rStyle w:val="LineNumber"/>
          <w:lang w:val="en-US"/>
        </w:rPr>
        <w:tab/>
        <w:t>Tel:</w:t>
      </w:r>
      <w:r w:rsidRPr="0047666E">
        <w:rPr>
          <w:rStyle w:val="LineNumber"/>
          <w:lang w:val="en-US"/>
        </w:rPr>
        <w:tab/>
        <w:t>________________________________</w:t>
      </w:r>
    </w:p>
    <w:p w:rsidR="0047666E" w:rsidRPr="0047666E" w:rsidRDefault="0047666E" w:rsidP="0047666E">
      <w:pPr>
        <w:jc w:val="both"/>
        <w:rPr>
          <w:rStyle w:val="LineNumber"/>
          <w:lang w:val="en-US"/>
        </w:rPr>
      </w:pPr>
      <w:r w:rsidRPr="0047666E">
        <w:rPr>
          <w:rStyle w:val="LineNumber"/>
          <w:lang w:val="en-US"/>
        </w:rPr>
        <w:t>_________________________________________</w:t>
      </w:r>
      <w:r w:rsidRPr="0047666E">
        <w:rPr>
          <w:rStyle w:val="LineNumber"/>
          <w:lang w:val="en-US"/>
        </w:rPr>
        <w:tab/>
        <w:t>Fax:</w:t>
      </w:r>
      <w:r w:rsidRPr="0047666E">
        <w:rPr>
          <w:rStyle w:val="LineNumber"/>
          <w:lang w:val="en-US"/>
        </w:rPr>
        <w:tab/>
        <w:t>________________________________</w:t>
      </w:r>
    </w:p>
    <w:p w:rsidR="0047666E" w:rsidRPr="0047666E" w:rsidRDefault="0047666E" w:rsidP="0047666E">
      <w:pPr>
        <w:jc w:val="both"/>
        <w:rPr>
          <w:rStyle w:val="LineNumber"/>
          <w:lang w:val="en-US"/>
        </w:rPr>
      </w:pPr>
      <w:r w:rsidRPr="0047666E">
        <w:rPr>
          <w:rStyle w:val="LineNumber"/>
          <w:lang w:val="en-US"/>
        </w:rPr>
        <w:t>_________________________________________</w:t>
      </w:r>
      <w:r w:rsidRPr="0047666E">
        <w:rPr>
          <w:rStyle w:val="LineNumber"/>
          <w:lang w:val="en-US"/>
        </w:rPr>
        <w:tab/>
      </w:r>
      <w:proofErr w:type="spellStart"/>
      <w:r w:rsidRPr="0047666E">
        <w:rPr>
          <w:rStyle w:val="LineNumber"/>
          <w:lang w:val="en-US"/>
        </w:rPr>
        <w:t>E_mail</w:t>
      </w:r>
      <w:proofErr w:type="spellEnd"/>
      <w:r w:rsidRPr="0047666E">
        <w:rPr>
          <w:rStyle w:val="LineNumber"/>
          <w:lang w:val="en-US"/>
        </w:rPr>
        <w:t>:</w:t>
      </w:r>
      <w:r w:rsidRPr="0047666E">
        <w:rPr>
          <w:rStyle w:val="LineNumber"/>
          <w:lang w:val="en-US"/>
        </w:rPr>
        <w:tab/>
        <w:t>________________________________</w:t>
      </w:r>
    </w:p>
    <w:p w:rsidR="0047666E" w:rsidRPr="0047666E" w:rsidRDefault="0047666E" w:rsidP="0047666E">
      <w:pPr>
        <w:spacing w:before="480" w:after="240"/>
        <w:jc w:val="both"/>
        <w:rPr>
          <w:rStyle w:val="LineNumber"/>
          <w:lang w:val="en-US"/>
        </w:rPr>
      </w:pPr>
      <w:r w:rsidRPr="0047666E">
        <w:rPr>
          <w:rStyle w:val="LineNumber"/>
          <w:lang w:val="en-US"/>
        </w:rPr>
        <w:t>Credit card to guarantee this reservation: AX/VISA/DINERS/</w:t>
      </w:r>
      <w:proofErr w:type="gramStart"/>
      <w:r w:rsidRPr="0047666E">
        <w:rPr>
          <w:rStyle w:val="LineNumber"/>
          <w:lang w:val="en-US"/>
        </w:rPr>
        <w:t>EC  (</w:t>
      </w:r>
      <w:proofErr w:type="gramEnd"/>
      <w:r w:rsidRPr="0047666E">
        <w:rPr>
          <w:rStyle w:val="LineNumber"/>
          <w:lang w:val="en-US"/>
        </w:rPr>
        <w:t>or other) _____________________</w:t>
      </w:r>
    </w:p>
    <w:p w:rsidR="0047666E" w:rsidRPr="0047666E" w:rsidRDefault="0047666E" w:rsidP="0047666E">
      <w:pPr>
        <w:spacing w:after="120"/>
        <w:jc w:val="both"/>
        <w:rPr>
          <w:rStyle w:val="LineNumber"/>
          <w:lang w:val="en-US"/>
        </w:rPr>
      </w:pPr>
      <w:r w:rsidRPr="0047666E">
        <w:rPr>
          <w:rStyle w:val="LineNumber"/>
          <w:lang w:val="en-US"/>
        </w:rPr>
        <w:t>No.: _____________________________________</w:t>
      </w:r>
      <w:r w:rsidRPr="0047666E">
        <w:rPr>
          <w:rStyle w:val="LineNumber"/>
          <w:lang w:val="en-US"/>
        </w:rPr>
        <w:tab/>
        <w:t xml:space="preserve"> valid until</w:t>
      </w:r>
      <w:proofErr w:type="gramStart"/>
      <w:r w:rsidRPr="0047666E">
        <w:rPr>
          <w:rStyle w:val="LineNumber"/>
          <w:lang w:val="en-US"/>
        </w:rPr>
        <w:t>:_</w:t>
      </w:r>
      <w:proofErr w:type="gramEnd"/>
      <w:r w:rsidRPr="0047666E">
        <w:rPr>
          <w:rStyle w:val="LineNumber"/>
          <w:lang w:val="en-US"/>
        </w:rPr>
        <w:t>_____________________________</w:t>
      </w:r>
    </w:p>
    <w:p w:rsidR="0047666E" w:rsidRPr="0047666E" w:rsidRDefault="0047666E" w:rsidP="0047666E">
      <w:pPr>
        <w:spacing w:before="360"/>
        <w:jc w:val="both"/>
        <w:rPr>
          <w:rStyle w:val="LineNumber"/>
          <w:lang w:val="en-US"/>
        </w:rPr>
      </w:pPr>
      <w:r w:rsidRPr="0047666E">
        <w:rPr>
          <w:rStyle w:val="LineNumber"/>
          <w:lang w:val="en-US"/>
        </w:rPr>
        <w:t>Date: ____________________________________</w:t>
      </w:r>
      <w:r w:rsidRPr="0047666E">
        <w:rPr>
          <w:rStyle w:val="LineNumber"/>
          <w:lang w:val="en-US"/>
        </w:rPr>
        <w:tab/>
        <w:t>Signature:</w:t>
      </w:r>
    </w:p>
    <w:p w:rsidR="0047666E" w:rsidRPr="0047666E" w:rsidRDefault="0047666E" w:rsidP="0047666E">
      <w:pPr>
        <w:overflowPunct/>
        <w:autoSpaceDE/>
        <w:autoSpaceDN/>
        <w:adjustRightInd/>
        <w:spacing w:before="0"/>
        <w:textAlignment w:val="auto"/>
        <w:rPr>
          <w:rStyle w:val="LineNumber"/>
          <w:lang w:val="en-US"/>
        </w:rPr>
      </w:pPr>
    </w:p>
    <w:p w:rsidR="0047666E" w:rsidRPr="0047666E" w:rsidRDefault="0047666E" w:rsidP="0047666E">
      <w:pPr>
        <w:overflowPunct/>
        <w:autoSpaceDE/>
        <w:autoSpaceDN/>
        <w:adjustRightInd/>
        <w:spacing w:before="0"/>
        <w:textAlignment w:val="auto"/>
        <w:rPr>
          <w:rStyle w:val="LineNumber"/>
          <w:lang w:val="en-US"/>
        </w:rPr>
      </w:pPr>
    </w:p>
    <w:p w:rsidR="0047666E" w:rsidRPr="0047666E" w:rsidRDefault="0047666E" w:rsidP="0047666E">
      <w:pPr>
        <w:overflowPunct/>
        <w:autoSpaceDE/>
        <w:autoSpaceDN/>
        <w:adjustRightInd/>
        <w:spacing w:before="0"/>
        <w:textAlignment w:val="auto"/>
        <w:rPr>
          <w:rStyle w:val="LineNumber"/>
          <w:lang w:val="en-US"/>
        </w:rPr>
      </w:pPr>
    </w:p>
    <w:p w:rsidR="0047666E" w:rsidRDefault="0047666E" w:rsidP="0047666E">
      <w:pPr>
        <w:overflowPunct/>
        <w:autoSpaceDE/>
        <w:autoSpaceDN/>
        <w:adjustRightInd/>
        <w:spacing w:before="0"/>
        <w:jc w:val="center"/>
        <w:textAlignment w:val="auto"/>
        <w:rPr>
          <w:rStyle w:val="LineNumber"/>
        </w:rPr>
      </w:pPr>
      <w:r>
        <w:rPr>
          <w:rStyle w:val="LineNumber"/>
        </w:rPr>
        <w:t>________________</w:t>
      </w:r>
    </w:p>
    <w:p w:rsidR="002357DF" w:rsidRPr="00711A6A" w:rsidRDefault="002357DF" w:rsidP="0047666E">
      <w:pPr>
        <w:pStyle w:val="LetterStart"/>
        <w:tabs>
          <w:tab w:val="clear" w:pos="1361"/>
          <w:tab w:val="clear" w:pos="1758"/>
          <w:tab w:val="clear" w:pos="2155"/>
          <w:tab w:val="clear" w:pos="2552"/>
          <w:tab w:val="center" w:pos="4962"/>
        </w:tabs>
        <w:spacing w:before="120" w:line="240" w:lineRule="atLeast"/>
        <w:jc w:val="center"/>
        <w:rPr>
          <w:szCs w:val="24"/>
          <w:lang w:val="en-US"/>
        </w:rPr>
      </w:pPr>
    </w:p>
    <w:sectPr w:rsidR="002357DF" w:rsidRPr="00711A6A" w:rsidSect="000E76AF">
      <w:headerReference w:type="default" r:id="rId18"/>
      <w:footerReference w:type="default" r:id="rId19"/>
      <w:footerReference w:type="first" r:id="rId20"/>
      <w:type w:val="oddPage"/>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0E" w:rsidRDefault="0045490E">
      <w:r>
        <w:separator/>
      </w:r>
    </w:p>
  </w:endnote>
  <w:endnote w:type="continuationSeparator" w:id="0">
    <w:p w:rsidR="0045490E" w:rsidRDefault="0045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41" w:rsidRPr="00477A41" w:rsidRDefault="00477A41" w:rsidP="00477A41">
    <w:pPr>
      <w:pStyle w:val="Footer"/>
      <w:rPr>
        <w:lang w:val="fr-CH"/>
      </w:rPr>
    </w:pPr>
    <w:r w:rsidRPr="00477A41">
      <w:rPr>
        <w:szCs w:val="18"/>
        <w:lang w:val="fr-CH"/>
      </w:rPr>
      <w:t>ITU-T\BUREAU\CIRC\179</w:t>
    </w:r>
    <w:r>
      <w:rPr>
        <w:szCs w:val="18"/>
        <w:lang w:val="fr-CH"/>
      </w:rPr>
      <w:t>S</w:t>
    </w:r>
    <w:r w:rsidRPr="00477A41">
      <w:rPr>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471BA1" w:rsidRDefault="00471BA1" w:rsidP="00471BA1">
    <w:pPr>
      <w:pStyle w:val="Footer"/>
      <w:jc w:val="center"/>
    </w:pPr>
    <w:r w:rsidRPr="00471BA1">
      <w:rPr>
        <w:rFonts w:ascii="Calibri" w:hAnsi="Calibri" w:cs="Calibri"/>
        <w:caps w:val="0"/>
        <w:color w:val="3E8EDE"/>
        <w:szCs w:val="18"/>
      </w:rPr>
      <w:t xml:space="preserve">Unión Internacional de Telecomunicaciones • Place des </w:t>
    </w:r>
    <w:proofErr w:type="spellStart"/>
    <w:r w:rsidRPr="00471BA1">
      <w:rPr>
        <w:rFonts w:ascii="Calibri" w:hAnsi="Calibri" w:cs="Calibri"/>
        <w:caps w:val="0"/>
        <w:color w:val="3E8EDE"/>
        <w:szCs w:val="18"/>
      </w:rPr>
      <w:t>Nations</w:t>
    </w:r>
    <w:proofErr w:type="spellEnd"/>
    <w:r w:rsidRPr="00471BA1">
      <w:rPr>
        <w:rFonts w:ascii="Calibri" w:hAnsi="Calibri" w:cs="Calibri"/>
        <w:caps w:val="0"/>
        <w:color w:val="3E8EDE"/>
        <w:szCs w:val="18"/>
      </w:rPr>
      <w:t xml:space="preserve"> • CH</w:t>
    </w:r>
    <w:r w:rsidRPr="00471BA1">
      <w:rPr>
        <w:rFonts w:ascii="Calibri" w:hAnsi="Calibri" w:cs="Calibri"/>
        <w:caps w:val="0"/>
        <w:color w:val="3E8EDE"/>
        <w:szCs w:val="18"/>
      </w:rPr>
      <w:noBreakHyphen/>
      <w:t>1211 Ginebra 20 • Suiza</w:t>
    </w:r>
    <w:r w:rsidRPr="00471BA1">
      <w:rPr>
        <w:rFonts w:ascii="Calibri" w:hAnsi="Calibri" w:cs="Calibri"/>
        <w:caps w:val="0"/>
        <w:color w:val="3E8EDE"/>
        <w:szCs w:val="18"/>
      </w:rPr>
      <w:br/>
      <w:t xml:space="preserve">Tel: +41 22 730 5111 • Fax: +41 22 733 7256 • </w:t>
    </w:r>
    <w:r w:rsidRPr="00471BA1">
      <w:rPr>
        <w:rFonts w:ascii="Calibri" w:hAnsi="Calibri" w:cs="Calibri"/>
        <w:caps w:val="0"/>
        <w:color w:val="3E8EDE"/>
        <w:szCs w:val="18"/>
      </w:rPr>
      <w:br/>
      <w:t xml:space="preserve">Correo-e: </w:t>
    </w:r>
    <w:hyperlink r:id="rId1" w:history="1">
      <w:r w:rsidRPr="00471BA1">
        <w:rPr>
          <w:rFonts w:ascii="Calibri" w:hAnsi="Calibri" w:cs="Calibri"/>
          <w:caps w:val="0"/>
          <w:color w:val="3E8EDE"/>
          <w:szCs w:val="18"/>
        </w:rPr>
        <w:t>itumail@itu.int</w:t>
      </w:r>
    </w:hyperlink>
    <w:r w:rsidRPr="00471BA1">
      <w:rPr>
        <w:rFonts w:ascii="Calibri" w:hAnsi="Calibri" w:cs="Calibri"/>
        <w:caps w:val="0"/>
        <w:color w:val="3E8EDE"/>
        <w:szCs w:val="18"/>
      </w:rPr>
      <w:t xml:space="preserve"> • </w:t>
    </w:r>
    <w:hyperlink r:id="rId2" w:history="1">
      <w:r w:rsidRPr="00471BA1">
        <w:rPr>
          <w:rFonts w:ascii="Calibri" w:hAnsi="Calibri" w:cs="Calibri"/>
          <w:caps w:val="0"/>
          <w:color w:val="3E8EDE"/>
          <w:szCs w:val="18"/>
        </w:rPr>
        <w:t>www.itu.int</w:t>
      </w:r>
    </w:hyperlink>
    <w:r w:rsidRPr="00471BA1">
      <w:rPr>
        <w:rFonts w:ascii="Calibri" w:hAnsi="Calibri" w:cs="Calibri"/>
        <w:caps w:val="0"/>
        <w:color w:val="3E8EDE"/>
        <w:szCs w:val="18"/>
      </w:rPr>
      <w:t xml:space="preserve"> • </w:t>
    </w:r>
    <w:hyperlink r:id="rId3" w:history="1">
      <w:r w:rsidRPr="00471BA1">
        <w:rPr>
          <w:rFonts w:ascii="Calibri" w:hAnsi="Calibri" w:cs="Calibri"/>
          <w:caps w:val="0"/>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0E" w:rsidRDefault="0045490E">
      <w:r>
        <w:t>____________________</w:t>
      </w:r>
    </w:p>
  </w:footnote>
  <w:footnote w:type="continuationSeparator" w:id="0">
    <w:p w:rsidR="0045490E" w:rsidRDefault="00454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515C8D" w:rsidP="00932E45">
    <w:pPr>
      <w:pStyle w:val="Header"/>
      <w:rPr>
        <w:rStyle w:val="PageNumber"/>
      </w:rPr>
    </w:pPr>
    <w:r w:rsidRPr="008D40E3">
      <w:rPr>
        <w:sz w:val="20"/>
        <w:szCs w:val="18"/>
        <w:lang w:val="en-US"/>
      </w:rPr>
      <w:t xml:space="preserve">- </w:t>
    </w:r>
    <w:r w:rsidRPr="008D40E3">
      <w:rPr>
        <w:rStyle w:val="PageNumber"/>
        <w:sz w:val="20"/>
        <w:szCs w:val="18"/>
      </w:rPr>
      <w:fldChar w:fldCharType="begin"/>
    </w:r>
    <w:r w:rsidRPr="008D40E3">
      <w:rPr>
        <w:rStyle w:val="PageNumber"/>
        <w:sz w:val="20"/>
        <w:szCs w:val="18"/>
      </w:rPr>
      <w:instrText xml:space="preserve"> PAGE </w:instrText>
    </w:r>
    <w:r w:rsidRPr="008D40E3">
      <w:rPr>
        <w:rStyle w:val="PageNumber"/>
        <w:sz w:val="20"/>
        <w:szCs w:val="18"/>
      </w:rPr>
      <w:fldChar w:fldCharType="separate"/>
    </w:r>
    <w:r w:rsidR="00E94D8E">
      <w:rPr>
        <w:rStyle w:val="PageNumber"/>
        <w:noProof/>
        <w:sz w:val="20"/>
        <w:szCs w:val="18"/>
      </w:rPr>
      <w:t>5</w:t>
    </w:r>
    <w:r w:rsidRPr="008D40E3">
      <w:rPr>
        <w:rStyle w:val="PageNumber"/>
        <w:sz w:val="20"/>
        <w:szCs w:val="18"/>
      </w:rPr>
      <w:fldChar w:fldCharType="end"/>
    </w:r>
    <w:r w:rsidRPr="008D40E3">
      <w:rPr>
        <w:rStyle w:val="PageNumber"/>
        <w:sz w:val="20"/>
        <w:szCs w:val="18"/>
      </w:rPr>
      <w:t xml:space="preserve"> -</w:t>
    </w:r>
  </w:p>
  <w:p w:rsidR="00932E45" w:rsidRDefault="00E94D8E"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802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3A17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807D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C2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DCFD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C0A2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92C7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62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26E6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2C80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7"/>
  </w:num>
  <w:num w:numId="3">
    <w:abstractNumId w:val="16"/>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0C"/>
    <w:rsid w:val="00002529"/>
    <w:rsid w:val="00046539"/>
    <w:rsid w:val="00051BDB"/>
    <w:rsid w:val="00056331"/>
    <w:rsid w:val="00085662"/>
    <w:rsid w:val="00097F41"/>
    <w:rsid w:val="000C382F"/>
    <w:rsid w:val="000E76AF"/>
    <w:rsid w:val="001173CC"/>
    <w:rsid w:val="00117AE8"/>
    <w:rsid w:val="00132B0C"/>
    <w:rsid w:val="00161403"/>
    <w:rsid w:val="00174B89"/>
    <w:rsid w:val="001A54CC"/>
    <w:rsid w:val="001E7F33"/>
    <w:rsid w:val="00203937"/>
    <w:rsid w:val="002150A9"/>
    <w:rsid w:val="0021651B"/>
    <w:rsid w:val="00216866"/>
    <w:rsid w:val="002357DF"/>
    <w:rsid w:val="0025493C"/>
    <w:rsid w:val="00256F52"/>
    <w:rsid w:val="00257FB4"/>
    <w:rsid w:val="00272759"/>
    <w:rsid w:val="00276E4C"/>
    <w:rsid w:val="002E496E"/>
    <w:rsid w:val="00303D62"/>
    <w:rsid w:val="00307D9B"/>
    <w:rsid w:val="00311441"/>
    <w:rsid w:val="00335367"/>
    <w:rsid w:val="00370C2D"/>
    <w:rsid w:val="003C6A82"/>
    <w:rsid w:val="003D1E8D"/>
    <w:rsid w:val="003D246A"/>
    <w:rsid w:val="003D673B"/>
    <w:rsid w:val="003E48E0"/>
    <w:rsid w:val="003F0A5A"/>
    <w:rsid w:val="003F2855"/>
    <w:rsid w:val="00401C20"/>
    <w:rsid w:val="00414600"/>
    <w:rsid w:val="00417D90"/>
    <w:rsid w:val="00430812"/>
    <w:rsid w:val="0045490E"/>
    <w:rsid w:val="00471BA1"/>
    <w:rsid w:val="0047666E"/>
    <w:rsid w:val="00477A41"/>
    <w:rsid w:val="004C4144"/>
    <w:rsid w:val="004E0089"/>
    <w:rsid w:val="00515C8D"/>
    <w:rsid w:val="0053364B"/>
    <w:rsid w:val="005D2051"/>
    <w:rsid w:val="005E2866"/>
    <w:rsid w:val="0069149C"/>
    <w:rsid w:val="006969B4"/>
    <w:rsid w:val="006E4F7B"/>
    <w:rsid w:val="00711A6A"/>
    <w:rsid w:val="00717004"/>
    <w:rsid w:val="007666DD"/>
    <w:rsid w:val="00781E2A"/>
    <w:rsid w:val="007933A2"/>
    <w:rsid w:val="007E1E16"/>
    <w:rsid w:val="00814503"/>
    <w:rsid w:val="008256E8"/>
    <w:rsid w:val="008258C2"/>
    <w:rsid w:val="00840B7B"/>
    <w:rsid w:val="008505BD"/>
    <w:rsid w:val="00850C78"/>
    <w:rsid w:val="00852C4F"/>
    <w:rsid w:val="00865031"/>
    <w:rsid w:val="008A396A"/>
    <w:rsid w:val="008B6E8F"/>
    <w:rsid w:val="008C17AD"/>
    <w:rsid w:val="008D02CD"/>
    <w:rsid w:val="008D40E3"/>
    <w:rsid w:val="009175CF"/>
    <w:rsid w:val="0095172A"/>
    <w:rsid w:val="009A0BA0"/>
    <w:rsid w:val="00A54E47"/>
    <w:rsid w:val="00AA1FFC"/>
    <w:rsid w:val="00AA310A"/>
    <w:rsid w:val="00AB6E3A"/>
    <w:rsid w:val="00AE7093"/>
    <w:rsid w:val="00B06845"/>
    <w:rsid w:val="00B422BC"/>
    <w:rsid w:val="00B43F77"/>
    <w:rsid w:val="00B55A3E"/>
    <w:rsid w:val="00B87E9E"/>
    <w:rsid w:val="00B95F0A"/>
    <w:rsid w:val="00B96180"/>
    <w:rsid w:val="00BF7519"/>
    <w:rsid w:val="00C04B7D"/>
    <w:rsid w:val="00C17AC0"/>
    <w:rsid w:val="00C2209B"/>
    <w:rsid w:val="00C34772"/>
    <w:rsid w:val="00C507DA"/>
    <w:rsid w:val="00C5465A"/>
    <w:rsid w:val="00CA2084"/>
    <w:rsid w:val="00CF57D3"/>
    <w:rsid w:val="00D54642"/>
    <w:rsid w:val="00D64895"/>
    <w:rsid w:val="00D71734"/>
    <w:rsid w:val="00D868F1"/>
    <w:rsid w:val="00D91DFC"/>
    <w:rsid w:val="00D94421"/>
    <w:rsid w:val="00DD281B"/>
    <w:rsid w:val="00DD77C9"/>
    <w:rsid w:val="00DF3538"/>
    <w:rsid w:val="00E255DD"/>
    <w:rsid w:val="00E46C02"/>
    <w:rsid w:val="00E839B0"/>
    <w:rsid w:val="00E92C09"/>
    <w:rsid w:val="00E94D8E"/>
    <w:rsid w:val="00ED0C86"/>
    <w:rsid w:val="00F02C21"/>
    <w:rsid w:val="00F06B21"/>
    <w:rsid w:val="00F14380"/>
    <w:rsid w:val="00F6461F"/>
    <w:rsid w:val="00F77D00"/>
    <w:rsid w:val="00F826ED"/>
    <w:rsid w:val="00FA2E47"/>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A82329D7-0DEA-4844-8F0C-74A7D8C9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272759"/>
    <w:pPr>
      <w:tabs>
        <w:tab w:val="clear" w:pos="794"/>
        <w:tab w:val="clear" w:pos="1191"/>
        <w:tab w:val="clear" w:pos="1588"/>
        <w:tab w:val="clear" w:pos="1985"/>
        <w:tab w:val="left" w:pos="1134"/>
        <w:tab w:val="left" w:pos="1871"/>
        <w:tab w:val="left" w:pos="2268"/>
      </w:tabs>
      <w:ind w:left="720"/>
      <w:contextualSpacing/>
    </w:pPr>
    <w:rPr>
      <w:lang w:val="en-GB"/>
    </w:rPr>
  </w:style>
  <w:style w:type="paragraph" w:styleId="BalloonText">
    <w:name w:val="Balloon Text"/>
    <w:basedOn w:val="Normal"/>
    <w:link w:val="BalloonTextChar"/>
    <w:semiHidden/>
    <w:unhideWhenUsed/>
    <w:rsid w:val="0071700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17004"/>
    <w:rPr>
      <w:rFonts w:ascii="Segoe UI" w:hAnsi="Segoe UI" w:cs="Segoe UI"/>
      <w:sz w:val="18"/>
      <w:szCs w:val="18"/>
      <w:lang w:val="es-ES_tradnl" w:eastAsia="en-US"/>
    </w:rPr>
  </w:style>
  <w:style w:type="character" w:styleId="Strong">
    <w:name w:val="Strong"/>
    <w:basedOn w:val="DefaultParagraphFont"/>
    <w:uiPriority w:val="22"/>
    <w:qFormat/>
    <w:rsid w:val="00476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Workshops-and-Seminars/conformity-interoperability/20150112/Pages/defaul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formity@itu.int" TargetMode="External"/><Relationship Id="rId5" Type="http://schemas.openxmlformats.org/officeDocument/2006/relationships/webSettings" Target="webSettings.xml"/><Relationship Id="rId15" Type="http://schemas.openxmlformats.org/officeDocument/2006/relationships/hyperlink" Target="http://www.itu.int/en/ITU-T/Workshops-and-Seminars/conformity-interoperability/20150112/Pages/default.aspx" TargetMode="Externa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conformity-interoperability/20150112/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66E81-36EA-466A-9C92-354B4495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3</TotalTime>
  <Pages>5</Pages>
  <Words>1246</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9065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Saez, Grau Ricardo</dc:creator>
  <cp:lastModifiedBy>Aveline, Marion</cp:lastModifiedBy>
  <cp:revision>4</cp:revision>
  <cp:lastPrinted>2015-11-26T16:52:00Z</cp:lastPrinted>
  <dcterms:created xsi:type="dcterms:W3CDTF">2015-11-26T16:49:00Z</dcterms:created>
  <dcterms:modified xsi:type="dcterms:W3CDTF">2015-11-26T16:52:00Z</dcterms:modified>
</cp:coreProperties>
</file>