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384"/>
        <w:gridCol w:w="6074"/>
        <w:gridCol w:w="2181"/>
      </w:tblGrid>
      <w:tr w:rsidR="00521E65" w:rsidRPr="00521E65" w:rsidTr="005B79E9">
        <w:trPr>
          <w:cantSplit/>
          <w:trHeight w:val="1418"/>
        </w:trPr>
        <w:tc>
          <w:tcPr>
            <w:tcW w:w="718" w:type="pct"/>
          </w:tcPr>
          <w:p w:rsidR="00521E65" w:rsidRPr="00521E65" w:rsidRDefault="00521E65" w:rsidP="005B79E9">
            <w:pPr>
              <w:spacing w:before="0" w:line="240" w:lineRule="auto"/>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5B79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5B79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5B79E9">
            <w:pPr>
              <w:spacing w:before="0" w:line="240" w:lineRule="auto"/>
              <w:rPr>
                <w:b/>
                <w:bCs/>
                <w:rtl/>
              </w:rPr>
            </w:pPr>
            <w:r w:rsidRPr="00521E65">
              <w:rPr>
                <w:noProof/>
                <w:lang w:val="en-GB"/>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876394">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DC096E">
            <w:pPr>
              <w:spacing w:before="60" w:after="60" w:line="300" w:lineRule="exact"/>
              <w:jc w:val="left"/>
              <w:rPr>
                <w:rtl/>
                <w:lang w:bidi="ar-SY"/>
              </w:rPr>
            </w:pPr>
            <w:r w:rsidRPr="00521E65">
              <w:rPr>
                <w:rFonts w:hint="cs"/>
                <w:rtl/>
              </w:rPr>
              <w:t xml:space="preserve">جنيف، </w:t>
            </w:r>
            <w:r w:rsidR="00DC096E">
              <w:t>21</w:t>
            </w:r>
            <w:r w:rsidR="00C71E0F">
              <w:rPr>
                <w:rFonts w:hint="cs"/>
                <w:rtl/>
                <w:lang w:bidi="ar-SY"/>
              </w:rPr>
              <w:t xml:space="preserve"> </w:t>
            </w:r>
            <w:r w:rsidR="00DC096E">
              <w:rPr>
                <w:rFonts w:hint="cs"/>
                <w:rtl/>
                <w:lang w:bidi="ar-SY"/>
              </w:rPr>
              <w:t>أكتوبر</w:t>
            </w:r>
            <w:r w:rsidR="00C71E0F">
              <w:rPr>
                <w:rFonts w:hint="cs"/>
                <w:rtl/>
                <w:lang w:bidi="ar-SY"/>
              </w:rPr>
              <w:t xml:space="preserve"> </w:t>
            </w:r>
            <w:r w:rsidR="00C71E0F">
              <w:rPr>
                <w:lang w:bidi="ar-SY"/>
              </w:rPr>
              <w:t>2015</w:t>
            </w:r>
          </w:p>
          <w:p w:rsidR="00521E65" w:rsidRPr="00521E65" w:rsidRDefault="00521E65" w:rsidP="00643E02">
            <w:pPr>
              <w:spacing w:before="60" w:after="60" w:line="300" w:lineRule="exact"/>
              <w:jc w:val="left"/>
              <w:rPr>
                <w:lang w:bidi="ar-SY"/>
              </w:rPr>
            </w:pPr>
          </w:p>
        </w:tc>
      </w:tr>
      <w:tr w:rsidR="00521E65" w:rsidRPr="00521E65" w:rsidTr="00876394">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BE313D">
            <w:pPr>
              <w:spacing w:before="60" w:after="60" w:line="300" w:lineRule="exact"/>
              <w:jc w:val="left"/>
              <w:rPr>
                <w:bCs/>
                <w:lang w:bidi="ar-SY"/>
              </w:rPr>
            </w:pPr>
            <w:r w:rsidRPr="00521E65">
              <w:rPr>
                <w:b/>
                <w:lang w:bidi="ar-SY"/>
              </w:rPr>
              <w:t>TSB Circular</w:t>
            </w:r>
            <w:r w:rsidR="000324A9">
              <w:rPr>
                <w:b/>
                <w:lang w:bidi="ar-SY"/>
              </w:rPr>
              <w:t> </w:t>
            </w:r>
            <w:r w:rsidR="00BE313D">
              <w:rPr>
                <w:b/>
                <w:lang w:bidi="ar-SY"/>
              </w:rPr>
              <w:t>174</w:t>
            </w:r>
            <w:r w:rsidRPr="00521E65">
              <w:rPr>
                <w:b/>
                <w:lang w:bidi="ar-SY"/>
              </w:rPr>
              <w:br/>
            </w:r>
            <w:r w:rsidRPr="00521E65">
              <w:rPr>
                <w:bCs/>
                <w:lang w:bidi="ar-SY"/>
              </w:rPr>
              <w:t>COM</w:t>
            </w:r>
            <w:r w:rsidR="00AE6B96">
              <w:rPr>
                <w:bCs/>
                <w:lang w:bidi="ar-SY"/>
              </w:rPr>
              <w:t> </w:t>
            </w:r>
            <w:r w:rsidR="00C71E0F">
              <w:rPr>
                <w:bCs/>
                <w:lang w:bidi="ar-SY"/>
              </w:rPr>
              <w:t>17</w:t>
            </w:r>
            <w:r w:rsidRPr="00521E65">
              <w:rPr>
                <w:bCs/>
                <w:lang w:bidi="ar-SY"/>
              </w:rPr>
              <w:t>/</w:t>
            </w:r>
            <w:r w:rsidR="00C71E0F">
              <w:rPr>
                <w:bCs/>
                <w:lang w:bidi="ar-SY"/>
              </w:rPr>
              <w:t>MEU</w:t>
            </w:r>
          </w:p>
        </w:tc>
        <w:tc>
          <w:tcPr>
            <w:tcW w:w="2470" w:type="pct"/>
            <w:vMerge w:val="restar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lang w:bidi="ar-SY"/>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tc>
      </w:tr>
      <w:tr w:rsidR="00521E65" w:rsidRPr="00521E65" w:rsidTr="00876394">
        <w:trPr>
          <w:cantSplit/>
          <w:trHeight w:val="340"/>
        </w:trPr>
        <w:tc>
          <w:tcPr>
            <w:tcW w:w="796" w:type="pct"/>
          </w:tcPr>
          <w:p w:rsidR="00521E65" w:rsidRPr="00521E65" w:rsidRDefault="00521E65" w:rsidP="00643E02">
            <w:pPr>
              <w:spacing w:before="60" w:after="60" w:line="300" w:lineRule="exact"/>
              <w:jc w:val="left"/>
              <w:rPr>
                <w:rtl/>
                <w:lang w:bidi="ar-SY"/>
              </w:rPr>
            </w:pPr>
            <w:r w:rsidRPr="00521E65">
              <w:rPr>
                <w:rFonts w:hint="cs"/>
                <w:rtl/>
                <w:lang w:bidi="ar-SY"/>
              </w:rPr>
              <w:t>الهاتف</w:t>
            </w:r>
            <w:r w:rsidRPr="00521E65">
              <w:rPr>
                <w:rFonts w:hint="cs"/>
                <w:rtl/>
              </w:rPr>
              <w:t>:</w:t>
            </w:r>
          </w:p>
        </w:tc>
        <w:tc>
          <w:tcPr>
            <w:tcW w:w="1734" w:type="pct"/>
          </w:tcPr>
          <w:p w:rsidR="00521E65" w:rsidRPr="00521E65" w:rsidRDefault="00521E65" w:rsidP="00C71E0F">
            <w:pPr>
              <w:spacing w:before="60" w:after="60" w:line="300" w:lineRule="exact"/>
              <w:jc w:val="left"/>
              <w:rPr>
                <w:b/>
                <w:lang w:bidi="ar-SY"/>
              </w:rPr>
            </w:pPr>
            <w:r w:rsidRPr="00521E65">
              <w:rPr>
                <w:lang w:bidi="ar-SY"/>
              </w:rPr>
              <w:t>+41 22 730 </w:t>
            </w:r>
            <w:r w:rsidR="00C71E0F">
              <w:rPr>
                <w:lang w:bidi="ar-SY"/>
              </w:rPr>
              <w:t>5866</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876394">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876394">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6876D8" w:rsidP="00C71E0F">
            <w:pPr>
              <w:spacing w:before="60" w:after="60" w:line="300" w:lineRule="exact"/>
              <w:jc w:val="left"/>
              <w:rPr>
                <w:lang w:bidi="ar-SY"/>
              </w:rPr>
            </w:pPr>
            <w:hyperlink r:id="rId10" w:history="1">
              <w:r w:rsidR="00C71E0F" w:rsidRPr="00F14A8B">
                <w:rPr>
                  <w:rStyle w:val="Hyperlink"/>
                  <w:lang w:bidi="ar-SY"/>
                </w:rPr>
                <w:t>tsbsg17@itu.int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أعضاء قطاع تقييس الاتصالات</w:t>
            </w:r>
            <w:r w:rsidR="00AE6B96">
              <w:rPr>
                <w:rFonts w:hint="cs"/>
                <w:rtl/>
                <w:lang w:bidi="ar-EG"/>
              </w:rPr>
              <w:t xml:space="preserve"> في الات‍حاد</w:t>
            </w:r>
            <w:r w:rsidRPr="00521E65">
              <w:rPr>
                <w:rFonts w:hint="cs"/>
                <w:rtl/>
              </w:rPr>
              <w:t>؛</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ال‍منتسبين إلى قطاع تقييس الاتصالات؛</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lang w:bidi="ar-EG"/>
              </w:rPr>
              <w:tab/>
            </w:r>
            <w:r w:rsidRPr="00521E65">
              <w:rPr>
                <w:rFonts w:hint="cs"/>
                <w:rtl/>
                <w:lang w:bidi="ar-EG"/>
              </w:rPr>
              <w:t>الهيئات الأكادي‍مية ال‍منضمة إلى قطاع تقييس الاتصالات؛</w:t>
            </w:r>
          </w:p>
          <w:p w:rsidR="00521E65" w:rsidRPr="00521E65" w:rsidRDefault="00521E65" w:rsidP="00C71E0F">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Pr="00521E65">
              <w:rPr>
                <w:rFonts w:hint="cs"/>
                <w:rtl/>
              </w:rPr>
              <w:t xml:space="preserve">رئيس ل‍جنة الدراسات </w:t>
            </w:r>
            <w:r w:rsidR="00C71E0F">
              <w:rPr>
                <w:lang w:bidi="ar-SY"/>
              </w:rPr>
              <w:t>17</w:t>
            </w:r>
            <w:r w:rsidRPr="00521E65">
              <w:rPr>
                <w:rFonts w:hint="cs"/>
                <w:rtl/>
                <w:lang w:bidi="ar-EG"/>
              </w:rPr>
              <w:t xml:space="preserve"> ونوابه؛</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تنمية الاتصالات</w:t>
            </w:r>
            <w:r w:rsidRPr="00521E65">
              <w:rPr>
                <w:rFonts w:hint="cs"/>
                <w:rtl/>
              </w:rPr>
              <w:t>؛</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الاتصالات الراديوية</w:t>
            </w:r>
          </w:p>
        </w:tc>
      </w:tr>
      <w:tr w:rsidR="00521E65" w:rsidRPr="00521E65" w:rsidTr="00876394">
        <w:trPr>
          <w:cantSplit/>
        </w:trPr>
        <w:tc>
          <w:tcPr>
            <w:tcW w:w="796" w:type="pct"/>
          </w:tcPr>
          <w:p w:rsidR="00521E65" w:rsidRPr="00521E65" w:rsidRDefault="00521E65" w:rsidP="00876394">
            <w:pPr>
              <w:spacing w:before="0" w:line="300" w:lineRule="exact"/>
              <w:jc w:val="left"/>
              <w:rPr>
                <w:rtl/>
                <w:lang w:bidi="ar-SY"/>
              </w:rPr>
            </w:pPr>
          </w:p>
        </w:tc>
        <w:tc>
          <w:tcPr>
            <w:tcW w:w="1734" w:type="pct"/>
          </w:tcPr>
          <w:p w:rsidR="00521E65" w:rsidRPr="00521E65" w:rsidRDefault="00521E65" w:rsidP="00876394">
            <w:pPr>
              <w:spacing w:before="0" w:line="300" w:lineRule="exact"/>
              <w:jc w:val="left"/>
              <w:rPr>
                <w:lang w:bidi="ar-SY"/>
              </w:rPr>
            </w:pPr>
          </w:p>
        </w:tc>
        <w:tc>
          <w:tcPr>
            <w:tcW w:w="2470" w:type="pct"/>
          </w:tcPr>
          <w:p w:rsidR="00521E65" w:rsidRPr="00521E65" w:rsidRDefault="00521E65" w:rsidP="00876394">
            <w:pPr>
              <w:spacing w:before="0" w:line="300" w:lineRule="exact"/>
              <w:jc w:val="left"/>
              <w:rPr>
                <w:b/>
                <w:bCs/>
                <w:rtl/>
                <w:lang w:bidi="ar-EG"/>
              </w:rPr>
            </w:pPr>
          </w:p>
        </w:tc>
      </w:tr>
      <w:tr w:rsidR="00521E65" w:rsidRPr="00521E65" w:rsidTr="00876394">
        <w:trPr>
          <w:cantSplit/>
        </w:trPr>
        <w:tc>
          <w:tcPr>
            <w:tcW w:w="796" w:type="pct"/>
          </w:tcPr>
          <w:p w:rsidR="00521E65" w:rsidRPr="00521E65" w:rsidRDefault="00521E65" w:rsidP="00FA007A">
            <w:pPr>
              <w:spacing w:before="60" w:after="60" w:line="380" w:lineRule="exact"/>
              <w:jc w:val="left"/>
              <w:rPr>
                <w:rtl/>
                <w:lang w:bidi="ar-SY"/>
              </w:rPr>
            </w:pPr>
            <w:r w:rsidRPr="00521E65">
              <w:rPr>
                <w:rFonts w:hint="cs"/>
                <w:rtl/>
              </w:rPr>
              <w:t>الموضوع:</w:t>
            </w:r>
          </w:p>
        </w:tc>
        <w:tc>
          <w:tcPr>
            <w:tcW w:w="4204" w:type="pct"/>
            <w:gridSpan w:val="2"/>
          </w:tcPr>
          <w:p w:rsidR="00521E65" w:rsidRPr="00521E65" w:rsidRDefault="00FF23E0" w:rsidP="00FA007A">
            <w:pPr>
              <w:spacing w:before="60" w:after="60" w:line="380" w:lineRule="exact"/>
              <w:ind w:left="57" w:right="57"/>
              <w:rPr>
                <w:b/>
                <w:bCs/>
                <w:rtl/>
                <w:lang w:bidi="ar-EG"/>
              </w:rPr>
            </w:pPr>
            <w:r w:rsidRPr="00303A70">
              <w:rPr>
                <w:rFonts w:hint="cs"/>
                <w:b/>
                <w:bCs/>
                <w:spacing w:val="-4"/>
                <w:rtl/>
              </w:rPr>
              <w:t>اجتماع ل</w:t>
            </w:r>
            <w:r w:rsidRPr="00303A70">
              <w:rPr>
                <w:rFonts w:hint="cs"/>
                <w:b/>
                <w:bCs/>
                <w:spacing w:val="-4"/>
                <w:rtl/>
                <w:lang w:bidi="ar-EG"/>
              </w:rPr>
              <w:t>‍</w:t>
            </w:r>
            <w:r w:rsidRPr="00303A70">
              <w:rPr>
                <w:rFonts w:hint="cs"/>
                <w:b/>
                <w:bCs/>
                <w:spacing w:val="-4"/>
                <w:rtl/>
              </w:rPr>
              <w:t>جنة الدراسات</w:t>
            </w:r>
            <w:r w:rsidRPr="00303A70">
              <w:rPr>
                <w:rFonts w:hint="cs"/>
                <w:b/>
                <w:bCs/>
                <w:spacing w:val="-4"/>
                <w:rtl/>
                <w:lang w:bidi="ar-EG"/>
              </w:rPr>
              <w:t xml:space="preserve"> </w:t>
            </w:r>
            <w:r w:rsidRPr="00303A70">
              <w:rPr>
                <w:b/>
                <w:bCs/>
                <w:spacing w:val="-4"/>
                <w:lang w:bidi="ar-EG"/>
              </w:rPr>
              <w:t>17</w:t>
            </w:r>
            <w:r w:rsidRPr="00303A70">
              <w:rPr>
                <w:rFonts w:hint="cs"/>
                <w:b/>
                <w:bCs/>
                <w:spacing w:val="-4"/>
                <w:rtl/>
                <w:lang w:bidi="ar-EG"/>
              </w:rPr>
              <w:t xml:space="preserve"> بهدف ال‍موافقة على </w:t>
            </w:r>
            <w:r w:rsidR="008C1F9E" w:rsidRPr="00303A70">
              <w:rPr>
                <w:rFonts w:hint="cs"/>
                <w:b/>
                <w:bCs/>
                <w:spacing w:val="-4"/>
                <w:rtl/>
                <w:lang w:bidi="ar-EG"/>
              </w:rPr>
              <w:t>مشاريع</w:t>
            </w:r>
            <w:r w:rsidRPr="00303A70">
              <w:rPr>
                <w:rFonts w:hint="cs"/>
                <w:b/>
                <w:bCs/>
                <w:spacing w:val="-4"/>
                <w:rtl/>
                <w:lang w:bidi="ar-EG"/>
              </w:rPr>
              <w:t xml:space="preserve"> التوصيات الجديدة </w:t>
            </w:r>
            <w:r w:rsidRPr="00303A70">
              <w:rPr>
                <w:b/>
                <w:bCs/>
                <w:spacing w:val="-4"/>
                <w:lang w:bidi="ar-EG"/>
              </w:rPr>
              <w:t>ITU-T X.</w:t>
            </w:r>
            <w:r w:rsidR="000910C5" w:rsidRPr="00303A70">
              <w:rPr>
                <w:b/>
                <w:bCs/>
                <w:spacing w:val="-4"/>
                <w:lang w:bidi="ar-EG"/>
              </w:rPr>
              <w:t>1247</w:t>
            </w:r>
            <w:r w:rsidRPr="00303A70">
              <w:rPr>
                <w:rFonts w:hint="cs"/>
                <w:b/>
                <w:bCs/>
                <w:spacing w:val="-4"/>
                <w:rtl/>
                <w:lang w:bidi="ar-EG"/>
              </w:rPr>
              <w:t xml:space="preserve"> </w:t>
            </w:r>
            <w:r w:rsidRPr="00303A70">
              <w:rPr>
                <w:rFonts w:hint="cs"/>
                <w:b/>
                <w:bCs/>
                <w:spacing w:val="-4"/>
                <w:rtl/>
              </w:rPr>
              <w:t>و</w:t>
            </w:r>
            <w:r w:rsidRPr="00303A70">
              <w:rPr>
                <w:b/>
                <w:bCs/>
                <w:spacing w:val="-4"/>
                <w:lang w:bidi="ar-EG"/>
              </w:rPr>
              <w:t>X.</w:t>
            </w:r>
            <w:r w:rsidR="000910C5" w:rsidRPr="00303A70">
              <w:rPr>
                <w:b/>
                <w:bCs/>
                <w:spacing w:val="-4"/>
                <w:lang w:bidi="ar-EG"/>
              </w:rPr>
              <w:t>1256</w:t>
            </w:r>
            <w:r w:rsidRPr="00303A70">
              <w:rPr>
                <w:rFonts w:hint="cs"/>
                <w:b/>
                <w:bCs/>
                <w:spacing w:val="-4"/>
                <w:rtl/>
                <w:lang w:bidi="ar-EG"/>
              </w:rPr>
              <w:t xml:space="preserve"> و</w:t>
            </w:r>
            <w:r w:rsidRPr="00303A70">
              <w:rPr>
                <w:b/>
                <w:bCs/>
                <w:spacing w:val="-4"/>
                <w:lang w:bidi="ar-EG"/>
              </w:rPr>
              <w:t>X.</w:t>
            </w:r>
            <w:r w:rsidR="000910C5" w:rsidRPr="00303A70">
              <w:rPr>
                <w:b/>
                <w:bCs/>
                <w:spacing w:val="-4"/>
                <w:lang w:bidi="ar-EG"/>
              </w:rPr>
              <w:t>1257</w:t>
            </w:r>
            <w:r w:rsidRPr="00303A70">
              <w:rPr>
                <w:rFonts w:hint="cs"/>
                <w:b/>
                <w:bCs/>
                <w:spacing w:val="-4"/>
                <w:rtl/>
                <w:lang w:bidi="ar-EG"/>
              </w:rPr>
              <w:t xml:space="preserve"> </w:t>
            </w:r>
            <w:r w:rsidR="000910C5" w:rsidRPr="00303A70">
              <w:rPr>
                <w:rFonts w:hint="cs"/>
                <w:b/>
                <w:bCs/>
                <w:spacing w:val="-4"/>
                <w:rtl/>
                <w:lang w:bidi="ar-EG"/>
              </w:rPr>
              <w:t>و</w:t>
            </w:r>
            <w:r w:rsidR="000910C5" w:rsidRPr="00303A70">
              <w:rPr>
                <w:b/>
                <w:bCs/>
                <w:spacing w:val="-4"/>
                <w:lang w:bidi="ar-EG"/>
              </w:rPr>
              <w:t>X.1602</w:t>
            </w:r>
            <w:r w:rsidR="000910C5" w:rsidRPr="00303A70">
              <w:rPr>
                <w:rFonts w:hint="cs"/>
                <w:b/>
                <w:bCs/>
                <w:spacing w:val="-4"/>
                <w:rtl/>
                <w:lang w:bidi="ar-EG"/>
              </w:rPr>
              <w:t xml:space="preserve"> و</w:t>
            </w:r>
            <w:r w:rsidR="000910C5" w:rsidRPr="00303A70">
              <w:rPr>
                <w:b/>
                <w:bCs/>
                <w:spacing w:val="-4"/>
                <w:lang w:bidi="ar-EG"/>
              </w:rPr>
              <w:t>X.1642</w:t>
            </w:r>
            <w:r w:rsidR="000910C5" w:rsidRPr="00303A70">
              <w:rPr>
                <w:rFonts w:hint="cs"/>
                <w:b/>
                <w:bCs/>
                <w:spacing w:val="-4"/>
                <w:rtl/>
                <w:lang w:bidi="ar-EG"/>
              </w:rPr>
              <w:t xml:space="preserve"> ومشروع مراجعة التوصية </w:t>
            </w:r>
            <w:r w:rsidR="000910C5" w:rsidRPr="00303A70">
              <w:rPr>
                <w:b/>
                <w:bCs/>
                <w:spacing w:val="-4"/>
                <w:lang w:bidi="ar-EG"/>
              </w:rPr>
              <w:t xml:space="preserve"> ITU-T X.1521</w:t>
            </w:r>
            <w:r w:rsidR="000910C5" w:rsidRPr="00303A70">
              <w:rPr>
                <w:rFonts w:hint="cs"/>
                <w:b/>
                <w:bCs/>
                <w:spacing w:val="-4"/>
                <w:rtl/>
                <w:lang w:bidi="ar-EG"/>
              </w:rPr>
              <w:t xml:space="preserve"> </w:t>
            </w:r>
            <w:r w:rsidRPr="00303A70">
              <w:rPr>
                <w:rFonts w:hint="cs"/>
                <w:b/>
                <w:bCs/>
                <w:spacing w:val="-4"/>
                <w:rtl/>
                <w:lang w:bidi="ar-EG"/>
              </w:rPr>
              <w:t>لقطاع</w:t>
            </w:r>
            <w:r w:rsidRPr="00303A70">
              <w:rPr>
                <w:rFonts w:hint="eastAsia"/>
                <w:b/>
                <w:bCs/>
                <w:spacing w:val="-4"/>
                <w:rtl/>
                <w:lang w:bidi="ar-EG"/>
              </w:rPr>
              <w:t> </w:t>
            </w:r>
            <w:r w:rsidRPr="00303A70">
              <w:rPr>
                <w:rFonts w:hint="cs"/>
                <w:b/>
                <w:bCs/>
                <w:spacing w:val="-4"/>
                <w:rtl/>
                <w:lang w:bidi="ar-EG"/>
              </w:rPr>
              <w:t>تقييس الاتصالات، عملاً بأحكام القسم</w:t>
            </w:r>
            <w:r w:rsidRPr="00303A70">
              <w:rPr>
                <w:rFonts w:hint="eastAsia"/>
                <w:b/>
                <w:bCs/>
                <w:spacing w:val="-4"/>
                <w:rtl/>
                <w:lang w:bidi="ar-EG"/>
              </w:rPr>
              <w:t> </w:t>
            </w:r>
            <w:r w:rsidRPr="00303A70">
              <w:rPr>
                <w:b/>
                <w:bCs/>
                <w:spacing w:val="-4"/>
                <w:lang w:bidi="ar-EG"/>
              </w:rPr>
              <w:t>9</w:t>
            </w:r>
            <w:r w:rsidRPr="00303A70">
              <w:rPr>
                <w:rFonts w:hint="cs"/>
                <w:b/>
                <w:bCs/>
                <w:spacing w:val="-4"/>
                <w:rtl/>
                <w:lang w:bidi="ar-EG"/>
              </w:rPr>
              <w:t xml:space="preserve"> من القرار</w:t>
            </w:r>
            <w:r w:rsidRPr="00303A70">
              <w:rPr>
                <w:rFonts w:hint="eastAsia"/>
                <w:b/>
                <w:bCs/>
                <w:spacing w:val="-4"/>
                <w:rtl/>
                <w:lang w:bidi="ar-EG"/>
              </w:rPr>
              <w:t> </w:t>
            </w:r>
            <w:r w:rsidRPr="00303A70">
              <w:rPr>
                <w:b/>
                <w:bCs/>
                <w:spacing w:val="-4"/>
                <w:lang w:bidi="ar-EG"/>
              </w:rPr>
              <w:t>1</w:t>
            </w:r>
            <w:r w:rsidRPr="00303A70">
              <w:rPr>
                <w:rFonts w:hint="cs"/>
                <w:b/>
                <w:bCs/>
                <w:spacing w:val="-4"/>
                <w:rtl/>
                <w:lang w:bidi="ar-EG"/>
              </w:rPr>
              <w:t xml:space="preserve"> الصادر عن الجمعية العالمية لتقييس الاتصالات (دبي، </w:t>
            </w:r>
            <w:r w:rsidRPr="00303A70">
              <w:rPr>
                <w:b/>
                <w:bCs/>
                <w:spacing w:val="-4"/>
                <w:lang w:bidi="ar-EG"/>
              </w:rPr>
              <w:t>2012</w:t>
            </w:r>
            <w:r w:rsidRPr="00303A70">
              <w:rPr>
                <w:rFonts w:hint="cs"/>
                <w:b/>
                <w:bCs/>
                <w:spacing w:val="-4"/>
                <w:rtl/>
                <w:lang w:bidi="ar-EG"/>
              </w:rPr>
              <w:t>)</w:t>
            </w:r>
            <w:r w:rsidRPr="00303A70">
              <w:rPr>
                <w:b/>
                <w:bCs/>
                <w:spacing w:val="-4"/>
                <w:rtl/>
                <w:lang w:bidi="ar-EG"/>
              </w:rPr>
              <w:tab/>
            </w:r>
            <w:r w:rsidRPr="00FF23E0">
              <w:rPr>
                <w:b/>
                <w:bCs/>
                <w:rtl/>
                <w:lang w:bidi="ar-EG"/>
              </w:rPr>
              <w:br/>
            </w:r>
            <w:r w:rsidRPr="00FF23E0">
              <w:rPr>
                <w:rFonts w:hint="cs"/>
                <w:b/>
                <w:bCs/>
                <w:rtl/>
                <w:lang w:bidi="ar-EG"/>
              </w:rPr>
              <w:t xml:space="preserve">جنيف، </w:t>
            </w:r>
            <w:r w:rsidR="000910C5">
              <w:rPr>
                <w:b/>
                <w:bCs/>
                <w:lang w:bidi="ar-EG"/>
              </w:rPr>
              <w:t>23</w:t>
            </w:r>
            <w:r w:rsidRPr="00FF23E0">
              <w:rPr>
                <w:rFonts w:hint="cs"/>
                <w:b/>
                <w:bCs/>
                <w:rtl/>
                <w:lang w:bidi="ar-EG"/>
              </w:rPr>
              <w:t xml:space="preserve"> </w:t>
            </w:r>
            <w:r w:rsidR="000910C5">
              <w:rPr>
                <w:rFonts w:hint="cs"/>
                <w:b/>
                <w:bCs/>
                <w:rtl/>
                <w:lang w:bidi="ar-EG"/>
              </w:rPr>
              <w:t>مارس</w:t>
            </w:r>
            <w:r w:rsidRPr="00FF23E0">
              <w:rPr>
                <w:rFonts w:hint="cs"/>
                <w:b/>
                <w:bCs/>
                <w:rtl/>
                <w:lang w:bidi="ar-EG"/>
              </w:rPr>
              <w:t xml:space="preserve"> </w:t>
            </w:r>
            <w:r w:rsidR="000910C5">
              <w:rPr>
                <w:b/>
                <w:bCs/>
                <w:lang w:bidi="ar-EG"/>
              </w:rPr>
              <w:t>2016</w:t>
            </w:r>
          </w:p>
        </w:tc>
      </w:tr>
    </w:tbl>
    <w:p w:rsidR="00521E65" w:rsidRPr="00521E65" w:rsidRDefault="00521E65" w:rsidP="00876394">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FF23E0" w:rsidRPr="00FF23E0" w:rsidRDefault="00FF23E0" w:rsidP="00E666E1">
      <w:pPr>
        <w:rPr>
          <w:rtl/>
          <w:lang w:bidi="ar-EG"/>
        </w:rPr>
      </w:pPr>
      <w:r w:rsidRPr="00FF23E0">
        <w:rPr>
          <w:lang w:bidi="ar-EG"/>
        </w:rPr>
        <w:t>1</w:t>
      </w:r>
      <w:r w:rsidRPr="00FF23E0">
        <w:rPr>
          <w:lang w:bidi="ar-EG"/>
        </w:rPr>
        <w:tab/>
      </w:r>
      <w:r w:rsidRPr="00FF23E0">
        <w:rPr>
          <w:rFonts w:hint="cs"/>
          <w:rtl/>
        </w:rPr>
        <w:t>بناءً على طلب رئيس ل‍جنة الدراسات</w:t>
      </w:r>
      <w:r w:rsidRPr="00FF23E0">
        <w:rPr>
          <w:rFonts w:hint="eastAsia"/>
          <w:b/>
          <w:bCs/>
          <w:rtl/>
          <w:lang w:bidi="ar-EG"/>
        </w:rPr>
        <w:t> </w:t>
      </w:r>
      <w:r w:rsidRPr="00FF23E0">
        <w:rPr>
          <w:lang w:bidi="ar-EG"/>
        </w:rPr>
        <w:t>17</w:t>
      </w:r>
      <w:r w:rsidRPr="00FF23E0">
        <w:rPr>
          <w:rFonts w:hint="cs"/>
          <w:rtl/>
          <w:lang w:bidi="ar-EG"/>
        </w:rPr>
        <w:t xml:space="preserve"> ال‍معنية </w:t>
      </w:r>
      <w:r w:rsidRPr="00FF23E0">
        <w:rPr>
          <w:rFonts w:hint="cs"/>
          <w:i/>
          <w:iCs/>
          <w:rtl/>
        </w:rPr>
        <w:t>بالأمن</w:t>
      </w:r>
      <w:r w:rsidRPr="00FF23E0">
        <w:rPr>
          <w:rFonts w:hint="cs"/>
          <w:rtl/>
          <w:lang w:bidi="ar-EG"/>
        </w:rPr>
        <w:t>، أتشرف بأن أعلمكم أن ل‍جنة الدراسات هذه، التي ستجتمع من</w:t>
      </w:r>
      <w:r w:rsidRPr="00FF23E0">
        <w:rPr>
          <w:rFonts w:hint="eastAsia"/>
          <w:b/>
          <w:bCs/>
          <w:rtl/>
          <w:lang w:bidi="ar-EG"/>
        </w:rPr>
        <w:t> </w:t>
      </w:r>
      <w:r w:rsidR="00F068E6">
        <w:rPr>
          <w:lang w:bidi="ar-EG"/>
        </w:rPr>
        <w:t>14</w:t>
      </w:r>
      <w:r w:rsidRPr="00FF23E0">
        <w:rPr>
          <w:rFonts w:hint="cs"/>
          <w:rtl/>
          <w:lang w:bidi="ar-EG"/>
        </w:rPr>
        <w:t xml:space="preserve"> إلى</w:t>
      </w:r>
      <w:r w:rsidRPr="00FF23E0">
        <w:rPr>
          <w:rFonts w:hint="eastAsia"/>
          <w:b/>
          <w:bCs/>
          <w:rtl/>
          <w:lang w:bidi="ar-EG"/>
        </w:rPr>
        <w:t> </w:t>
      </w:r>
      <w:r w:rsidR="00F068E6">
        <w:rPr>
          <w:lang w:bidi="ar-EG"/>
        </w:rPr>
        <w:t>23</w:t>
      </w:r>
      <w:r w:rsidRPr="00FF23E0">
        <w:rPr>
          <w:rFonts w:hint="cs"/>
          <w:rtl/>
          <w:lang w:bidi="ar-EG"/>
        </w:rPr>
        <w:t xml:space="preserve"> </w:t>
      </w:r>
      <w:r w:rsidR="00F068E6">
        <w:rPr>
          <w:rFonts w:hint="cs"/>
          <w:rtl/>
          <w:lang w:bidi="ar-EG"/>
        </w:rPr>
        <w:t>مارس</w:t>
      </w:r>
      <w:r w:rsidRPr="00FF23E0">
        <w:rPr>
          <w:rFonts w:hint="eastAsia"/>
          <w:b/>
          <w:bCs/>
          <w:rtl/>
          <w:lang w:bidi="ar-EG"/>
        </w:rPr>
        <w:t> </w:t>
      </w:r>
      <w:r w:rsidR="00F068E6">
        <w:rPr>
          <w:lang w:bidi="ar-EG"/>
        </w:rPr>
        <w:t>2016</w:t>
      </w:r>
      <w:r w:rsidRPr="00FF23E0">
        <w:rPr>
          <w:rFonts w:hint="cs"/>
          <w:rtl/>
          <w:lang w:bidi="ar-EG"/>
        </w:rPr>
        <w:t>، تنوي تطبيق الإجراء ال‍موصوف في القسم</w:t>
      </w:r>
      <w:r w:rsidRPr="00FF23E0">
        <w:rPr>
          <w:rFonts w:hint="eastAsia"/>
          <w:b/>
          <w:bCs/>
          <w:rtl/>
          <w:lang w:bidi="ar-EG"/>
        </w:rPr>
        <w:t> </w:t>
      </w:r>
      <w:r w:rsidRPr="00FF23E0">
        <w:rPr>
          <w:lang w:bidi="ar-EG"/>
        </w:rPr>
        <w:t>9</w:t>
      </w:r>
      <w:r w:rsidRPr="00FF23E0">
        <w:rPr>
          <w:rFonts w:hint="cs"/>
          <w:rtl/>
          <w:lang w:bidi="ar-EG"/>
        </w:rPr>
        <w:t xml:space="preserve"> من القرار</w:t>
      </w:r>
      <w:r w:rsidRPr="00FF23E0">
        <w:rPr>
          <w:rFonts w:hint="eastAsia"/>
          <w:b/>
          <w:bCs/>
          <w:rtl/>
          <w:lang w:bidi="ar-EG"/>
        </w:rPr>
        <w:t> </w:t>
      </w:r>
      <w:r w:rsidRPr="00FF23E0">
        <w:rPr>
          <w:lang w:bidi="ar-EG"/>
        </w:rPr>
        <w:t>1</w:t>
      </w:r>
      <w:r w:rsidRPr="00FF23E0">
        <w:rPr>
          <w:rFonts w:hint="cs"/>
          <w:rtl/>
          <w:lang w:bidi="ar-EG"/>
        </w:rPr>
        <w:t xml:space="preserve"> الصادر عن ال‍جمعية العال‍مية لتقييس الاتصالات (دبي،</w:t>
      </w:r>
      <w:r w:rsidRPr="00FF23E0">
        <w:rPr>
          <w:rFonts w:hint="eastAsia"/>
          <w:b/>
          <w:bCs/>
          <w:rtl/>
          <w:lang w:bidi="ar-EG"/>
        </w:rPr>
        <w:t> </w:t>
      </w:r>
      <w:r w:rsidRPr="00FF23E0">
        <w:rPr>
          <w:lang w:bidi="ar-EG"/>
        </w:rPr>
        <w:t>2012</w:t>
      </w:r>
      <w:r w:rsidRPr="00FF23E0">
        <w:rPr>
          <w:rFonts w:hint="cs"/>
          <w:rtl/>
          <w:lang w:bidi="ar-EG"/>
        </w:rPr>
        <w:t xml:space="preserve">) وذلك من أجل ال‍موافقة على </w:t>
      </w:r>
      <w:r w:rsidR="004D77B9">
        <w:rPr>
          <w:rFonts w:hint="cs"/>
          <w:rtl/>
        </w:rPr>
        <w:t>مشروع مراجعة التوصية و</w:t>
      </w:r>
      <w:r w:rsidR="00F5153B">
        <w:rPr>
          <w:rFonts w:hint="cs"/>
          <w:rtl/>
          <w:lang w:bidi="ar-EG"/>
        </w:rPr>
        <w:t>مشاريع</w:t>
      </w:r>
      <w:r w:rsidRPr="00FF23E0">
        <w:rPr>
          <w:rFonts w:hint="cs"/>
          <w:rtl/>
          <w:lang w:bidi="ar-EG"/>
        </w:rPr>
        <w:t xml:space="preserve"> التوصيات ال‍جديدة ال‍مذكورة</w:t>
      </w:r>
      <w:r w:rsidRPr="00FF23E0">
        <w:rPr>
          <w:rFonts w:hint="eastAsia"/>
          <w:rtl/>
          <w:lang w:bidi="ar-EG"/>
        </w:rPr>
        <w:t> </w:t>
      </w:r>
      <w:r w:rsidRPr="00FF23E0">
        <w:rPr>
          <w:rFonts w:hint="cs"/>
          <w:rtl/>
          <w:lang w:bidi="ar-EG"/>
        </w:rPr>
        <w:t>أعلاه.</w:t>
      </w:r>
    </w:p>
    <w:p w:rsidR="00FF23E0" w:rsidRPr="00FF23E0" w:rsidRDefault="00FF23E0" w:rsidP="004D77B9">
      <w:pPr>
        <w:rPr>
          <w:rtl/>
        </w:rPr>
      </w:pPr>
      <w:r w:rsidRPr="00FF23E0">
        <w:rPr>
          <w:lang w:bidi="ar-EG"/>
        </w:rPr>
        <w:lastRenderedPageBreak/>
        <w:t>2</w:t>
      </w:r>
      <w:r w:rsidRPr="00FF23E0">
        <w:rPr>
          <w:rFonts w:hint="cs"/>
          <w:rtl/>
          <w:lang w:bidi="ar-EG"/>
        </w:rPr>
        <w:tab/>
        <w:t xml:space="preserve">ويشتمل </w:t>
      </w:r>
      <w:r w:rsidRPr="00FF23E0">
        <w:rPr>
          <w:rFonts w:hint="cs"/>
          <w:b/>
          <w:bCs/>
          <w:rtl/>
          <w:lang w:bidi="ar-EG"/>
        </w:rPr>
        <w:t>ال‍ملحق</w:t>
      </w:r>
      <w:r w:rsidRPr="00FF23E0">
        <w:rPr>
          <w:rFonts w:hint="eastAsia"/>
          <w:b/>
          <w:bCs/>
          <w:rtl/>
          <w:lang w:bidi="ar-EG"/>
        </w:rPr>
        <w:t> </w:t>
      </w:r>
      <w:r w:rsidRPr="00FF23E0">
        <w:rPr>
          <w:b/>
          <w:bCs/>
          <w:lang w:bidi="ar-EG"/>
        </w:rPr>
        <w:t>1</w:t>
      </w:r>
      <w:r w:rsidRPr="00FF23E0">
        <w:rPr>
          <w:rFonts w:hint="cs"/>
          <w:rtl/>
          <w:lang w:bidi="ar-EG"/>
        </w:rPr>
        <w:t xml:space="preserve"> بهذه الرسالة </w:t>
      </w:r>
      <w:r w:rsidRPr="00FF23E0">
        <w:rPr>
          <w:rtl/>
        </w:rPr>
        <w:t>على ملخص</w:t>
      </w:r>
      <w:r w:rsidR="004D77B9">
        <w:rPr>
          <w:rFonts w:hint="cs"/>
          <w:rtl/>
        </w:rPr>
        <w:t>ات كلاً من</w:t>
      </w:r>
      <w:r w:rsidRPr="00FF23E0">
        <w:rPr>
          <w:rtl/>
        </w:rPr>
        <w:t xml:space="preserve"> </w:t>
      </w:r>
      <w:r w:rsidR="004D77B9">
        <w:rPr>
          <w:rFonts w:hint="cs"/>
          <w:rtl/>
        </w:rPr>
        <w:t xml:space="preserve">مشروع مراجعة </w:t>
      </w:r>
      <w:r w:rsidR="00E666E1">
        <w:rPr>
          <w:rFonts w:hint="cs"/>
          <w:rtl/>
        </w:rPr>
        <w:t>ال</w:t>
      </w:r>
      <w:r w:rsidR="004D77B9">
        <w:rPr>
          <w:rFonts w:hint="cs"/>
          <w:rtl/>
        </w:rPr>
        <w:t>توصية و</w:t>
      </w:r>
      <w:r w:rsidRPr="00FF23E0">
        <w:rPr>
          <w:rtl/>
        </w:rPr>
        <w:t>مشاريع التوصيات ال</w:t>
      </w:r>
      <w:r w:rsidR="000F7755">
        <w:rPr>
          <w:rFonts w:hint="cs"/>
          <w:rtl/>
        </w:rPr>
        <w:t>‍</w:t>
      </w:r>
      <w:r w:rsidRPr="00FF23E0">
        <w:rPr>
          <w:rtl/>
        </w:rPr>
        <w:t>جديدة لقطاع تقييس الاتصالات ال</w:t>
      </w:r>
      <w:r w:rsidR="000F7755">
        <w:rPr>
          <w:rFonts w:hint="cs"/>
          <w:rtl/>
        </w:rPr>
        <w:t>‍</w:t>
      </w:r>
      <w:r w:rsidRPr="00FF23E0">
        <w:rPr>
          <w:rtl/>
        </w:rPr>
        <w:t xml:space="preserve">مقترح </w:t>
      </w:r>
      <w:r w:rsidR="00FA2959">
        <w:rPr>
          <w:rFonts w:hint="cs"/>
          <w:rtl/>
        </w:rPr>
        <w:t>ال</w:t>
      </w:r>
      <w:r w:rsidR="00021E79">
        <w:rPr>
          <w:rFonts w:hint="cs"/>
          <w:rtl/>
        </w:rPr>
        <w:t>‍</w:t>
      </w:r>
      <w:r w:rsidR="00FA2959">
        <w:rPr>
          <w:rFonts w:hint="cs"/>
          <w:rtl/>
        </w:rPr>
        <w:t>موافقة</w:t>
      </w:r>
      <w:r w:rsidRPr="00FF23E0">
        <w:rPr>
          <w:rtl/>
        </w:rPr>
        <w:t xml:space="preserve"> عليها، وعلى عناوينها والوثائق التي ترد فيها.</w:t>
      </w:r>
    </w:p>
    <w:p w:rsidR="00FF23E0" w:rsidRPr="00FF23E0" w:rsidRDefault="00FF23E0" w:rsidP="00DB4A65">
      <w:pPr>
        <w:rPr>
          <w:lang w:bidi="ar-EG"/>
        </w:rPr>
      </w:pPr>
      <w:r w:rsidRPr="00FF23E0">
        <w:rPr>
          <w:lang w:bidi="ar-EG"/>
        </w:rPr>
        <w:t>3</w:t>
      </w:r>
      <w:r w:rsidRPr="00FF23E0">
        <w:rPr>
          <w:rFonts w:hint="cs"/>
          <w:rtl/>
          <w:lang w:bidi="ar-EG"/>
        </w:rPr>
        <w:tab/>
        <w:t>يرجى من أي دولة عضو في الات‍حاد أو عضو في القطاع أو منتسب إليه أو هيئة أكادي‍مية، تعلم بوجود براءة اختراع في</w:t>
      </w:r>
      <w:r w:rsidRPr="00FF23E0">
        <w:rPr>
          <w:rFonts w:hint="eastAsia"/>
          <w:rtl/>
          <w:lang w:bidi="ar-EG"/>
        </w:rPr>
        <w:t> </w:t>
      </w:r>
      <w:r w:rsidRPr="00FF23E0">
        <w:rPr>
          <w:rFonts w:hint="cs"/>
          <w:rtl/>
          <w:lang w:bidi="ar-EG"/>
        </w:rPr>
        <w:t>حيازتها أو</w:t>
      </w:r>
      <w:r w:rsidRPr="00FF23E0">
        <w:rPr>
          <w:rFonts w:hint="eastAsia"/>
          <w:rtl/>
          <w:lang w:bidi="ar-EG"/>
        </w:rPr>
        <w:t> </w:t>
      </w:r>
      <w:r w:rsidRPr="00FF23E0">
        <w:rPr>
          <w:rFonts w:hint="cs"/>
          <w:rtl/>
          <w:lang w:bidi="ar-EG"/>
        </w:rPr>
        <w:t>في</w:t>
      </w:r>
      <w:r w:rsidRPr="00FF23E0">
        <w:rPr>
          <w:rFonts w:hint="eastAsia"/>
          <w:rtl/>
          <w:lang w:bidi="ar-EG"/>
        </w:rPr>
        <w:t> </w:t>
      </w:r>
      <w:r w:rsidRPr="00FF23E0">
        <w:rPr>
          <w:rFonts w:hint="cs"/>
          <w:rtl/>
          <w:lang w:bidi="ar-EG"/>
        </w:rPr>
        <w:t xml:space="preserve">حيازة الغير من شأنها أن تشمل كلياً أو جزئياً عناصر من </w:t>
      </w:r>
      <w:r w:rsidR="00DB4A65">
        <w:rPr>
          <w:rFonts w:hint="cs"/>
          <w:rtl/>
          <w:lang w:bidi="ar-EG"/>
        </w:rPr>
        <w:t>مشاريع</w:t>
      </w:r>
      <w:r w:rsidRPr="00FF23E0">
        <w:rPr>
          <w:rFonts w:hint="cs"/>
          <w:rtl/>
          <w:lang w:bidi="ar-EG"/>
        </w:rPr>
        <w:t xml:space="preserve"> </w:t>
      </w:r>
      <w:r w:rsidR="00E666E1">
        <w:rPr>
          <w:rFonts w:hint="cs"/>
          <w:rtl/>
          <w:lang w:bidi="ar-EG"/>
        </w:rPr>
        <w:t>التوصيات</w:t>
      </w:r>
      <w:r w:rsidRPr="00FF23E0">
        <w:rPr>
          <w:rFonts w:hint="cs"/>
          <w:rtl/>
          <w:lang w:bidi="ar-EG"/>
        </w:rPr>
        <w:t xml:space="preserve"> ال‍مقترح ال‍موافقة عليها أن تكشف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FF23E0">
        <w:rPr>
          <w:lang w:bidi="ar-EG"/>
        </w:rPr>
        <w:t>(ITU</w:t>
      </w:r>
      <w:r w:rsidRPr="00FF23E0">
        <w:rPr>
          <w:lang w:bidi="ar-EG"/>
        </w:rPr>
        <w:noBreakHyphen/>
        <w:t>T/ITU</w:t>
      </w:r>
      <w:r w:rsidRPr="00FF23E0">
        <w:rPr>
          <w:lang w:bidi="ar-EG"/>
        </w:rPr>
        <w:noBreakHyphen/>
        <w:t>R/ISO/IEC)</w:t>
      </w:r>
      <w:r w:rsidRPr="00FF23E0">
        <w:rPr>
          <w:rFonts w:hint="cs"/>
          <w:rtl/>
          <w:lang w:bidi="ar-EG"/>
        </w:rPr>
        <w:t>.</w:t>
      </w:r>
    </w:p>
    <w:p w:rsidR="00FF23E0" w:rsidRPr="00FF23E0" w:rsidRDefault="00FF23E0" w:rsidP="00FF23E0">
      <w:pPr>
        <w:rPr>
          <w:rtl/>
          <w:lang w:bidi="ar-EG"/>
        </w:rPr>
      </w:pPr>
      <w:r w:rsidRPr="00FF23E0">
        <w:rPr>
          <w:rFonts w:hint="cs"/>
          <w:rtl/>
          <w:lang w:bidi="ar-EG"/>
        </w:rPr>
        <w:t xml:space="preserve">وي‍مكن الاطلاع على معلومات براءات الاختراع ال‍متاحة في ال‍موقع الإلكتروني للقطاع </w:t>
      </w:r>
      <w:r w:rsidRPr="00FF23E0">
        <w:rPr>
          <w:lang w:bidi="ar-EG"/>
        </w:rPr>
        <w:t>(</w:t>
      </w:r>
      <w:hyperlink r:id="rId11" w:history="1">
        <w:r w:rsidRPr="00FF23E0">
          <w:rPr>
            <w:rStyle w:val="Hyperlink"/>
            <w:lang w:bidi="ar-EG"/>
          </w:rPr>
          <w:t>www.itu.int/ipr/</w:t>
        </w:r>
      </w:hyperlink>
      <w:r w:rsidRPr="00FF23E0">
        <w:rPr>
          <w:lang w:bidi="ar-EG"/>
        </w:rPr>
        <w:t>)</w:t>
      </w:r>
      <w:r w:rsidRPr="00FF23E0">
        <w:rPr>
          <w:rFonts w:hint="cs"/>
          <w:rtl/>
          <w:lang w:bidi="ar-EG"/>
        </w:rPr>
        <w:t>.</w:t>
      </w:r>
    </w:p>
    <w:p w:rsidR="00FF23E0" w:rsidRPr="00FF23E0" w:rsidRDefault="00FF23E0" w:rsidP="0081670D">
      <w:pPr>
        <w:rPr>
          <w:rtl/>
          <w:lang w:bidi="ar-EG"/>
        </w:rPr>
      </w:pPr>
      <w:r w:rsidRPr="00FF23E0">
        <w:rPr>
          <w:lang w:bidi="ar-EG"/>
        </w:rPr>
        <w:t>4</w:t>
      </w:r>
      <w:r w:rsidRPr="00FF23E0">
        <w:rPr>
          <w:rFonts w:hint="cs"/>
          <w:rtl/>
          <w:lang w:bidi="ar-EG"/>
        </w:rPr>
        <w:tab/>
        <w:t>وتبعاً لأحكام القسم</w:t>
      </w:r>
      <w:r w:rsidRPr="00FF23E0">
        <w:rPr>
          <w:rFonts w:hint="eastAsia"/>
          <w:rtl/>
          <w:lang w:bidi="ar-EG"/>
        </w:rPr>
        <w:t> </w:t>
      </w:r>
      <w:r w:rsidRPr="00FF23E0">
        <w:rPr>
          <w:lang w:bidi="ar-EG"/>
        </w:rPr>
        <w:t>9</w:t>
      </w:r>
      <w:r w:rsidRPr="00FF23E0">
        <w:rPr>
          <w:rFonts w:hint="cs"/>
          <w:rtl/>
          <w:lang w:bidi="ar-EG"/>
        </w:rPr>
        <w:t xml:space="preserve"> من القرار</w:t>
      </w:r>
      <w:r w:rsidRPr="00FF23E0">
        <w:rPr>
          <w:rFonts w:hint="eastAsia"/>
          <w:rtl/>
          <w:lang w:bidi="ar-EG"/>
        </w:rPr>
        <w:t> </w:t>
      </w:r>
      <w:r w:rsidRPr="00FF23E0">
        <w:rPr>
          <w:lang w:bidi="ar-EG"/>
        </w:rPr>
        <w:t>1</w:t>
      </w:r>
      <w:r w:rsidRPr="00FF23E0">
        <w:rPr>
          <w:rFonts w:hint="cs"/>
          <w:rtl/>
          <w:lang w:bidi="ar-EG"/>
        </w:rPr>
        <w:t xml:space="preserve">، سأكون م‍متناً لو تفضلتم بإعلامي في موعد أقصاه منتصف الليل بالتوقيت العال‍مي ال‍منسَّق </w:t>
      </w:r>
      <w:r w:rsidRPr="00FF23E0">
        <w:rPr>
          <w:rFonts w:hint="cs"/>
          <w:b/>
          <w:bCs/>
          <w:rtl/>
          <w:lang w:bidi="ar-EG"/>
        </w:rPr>
        <w:t>في يوم</w:t>
      </w:r>
      <w:r w:rsidRPr="00FF23E0">
        <w:rPr>
          <w:rFonts w:hint="eastAsia"/>
          <w:rtl/>
          <w:lang w:bidi="ar-EG"/>
        </w:rPr>
        <w:t> </w:t>
      </w:r>
      <w:r w:rsidR="0081670D">
        <w:rPr>
          <w:b/>
          <w:bCs/>
          <w:lang w:bidi="ar-EG"/>
        </w:rPr>
        <w:t>2</w:t>
      </w:r>
      <w:r w:rsidRPr="00FF23E0">
        <w:rPr>
          <w:rFonts w:hint="cs"/>
          <w:b/>
          <w:bCs/>
          <w:rtl/>
          <w:lang w:bidi="ar-EG"/>
        </w:rPr>
        <w:t xml:space="preserve"> </w:t>
      </w:r>
      <w:r w:rsidR="0081670D">
        <w:rPr>
          <w:rFonts w:hint="cs"/>
          <w:b/>
          <w:bCs/>
          <w:rtl/>
          <w:lang w:bidi="ar-EG"/>
        </w:rPr>
        <w:t>مارس</w:t>
      </w:r>
      <w:r w:rsidRPr="00FF23E0">
        <w:rPr>
          <w:rFonts w:hint="eastAsia"/>
          <w:rtl/>
          <w:lang w:bidi="ar-EG"/>
        </w:rPr>
        <w:t> </w:t>
      </w:r>
      <w:r w:rsidR="0081670D">
        <w:rPr>
          <w:b/>
          <w:bCs/>
          <w:lang w:bidi="ar-EG"/>
        </w:rPr>
        <w:t>2016</w:t>
      </w:r>
      <w:r w:rsidRPr="00FF23E0">
        <w:rPr>
          <w:rFonts w:hint="cs"/>
          <w:i/>
          <w:iCs/>
          <w:rtl/>
          <w:lang w:bidi="ar-EG"/>
        </w:rPr>
        <w:t xml:space="preserve"> </w:t>
      </w:r>
      <w:r w:rsidRPr="00FF23E0">
        <w:rPr>
          <w:rFonts w:hint="cs"/>
          <w:rtl/>
          <w:lang w:bidi="ar-EG"/>
        </w:rPr>
        <w:t>ما إذا كانت إدارتكم تفوِّض السلطة إلى ل‍جنة الدراسات</w:t>
      </w:r>
      <w:r w:rsidRPr="00FF23E0">
        <w:rPr>
          <w:rFonts w:hint="eastAsia"/>
          <w:rtl/>
          <w:lang w:bidi="ar-EG"/>
        </w:rPr>
        <w:t> </w:t>
      </w:r>
      <w:r w:rsidRPr="00FF23E0">
        <w:rPr>
          <w:lang w:bidi="ar-EG"/>
        </w:rPr>
        <w:t>17</w:t>
      </w:r>
      <w:r w:rsidRPr="00FF23E0">
        <w:rPr>
          <w:rFonts w:hint="cs"/>
          <w:rtl/>
          <w:lang w:bidi="ar-EG"/>
        </w:rPr>
        <w:t xml:space="preserve"> للنظر في مشاريع التوصيات ال‍جديدة </w:t>
      </w:r>
      <w:r w:rsidR="0081670D">
        <w:rPr>
          <w:rFonts w:hint="cs"/>
          <w:rtl/>
        </w:rPr>
        <w:t xml:space="preserve">والمراجَعة </w:t>
      </w:r>
      <w:r w:rsidRPr="00FF23E0">
        <w:rPr>
          <w:rFonts w:hint="cs"/>
          <w:rtl/>
          <w:lang w:bidi="ar-EG"/>
        </w:rPr>
        <w:t>بغرض ال‍موافقة عليها في اجتماع ل‍جنة</w:t>
      </w:r>
      <w:r w:rsidRPr="00FF23E0">
        <w:rPr>
          <w:rFonts w:hint="eastAsia"/>
          <w:rtl/>
          <w:lang w:bidi="ar-EG"/>
        </w:rPr>
        <w:t> </w:t>
      </w:r>
      <w:r w:rsidRPr="00FF23E0">
        <w:rPr>
          <w:rFonts w:hint="cs"/>
          <w:rtl/>
          <w:lang w:bidi="ar-EG"/>
        </w:rPr>
        <w:t>الدراسات.</w:t>
      </w:r>
    </w:p>
    <w:p w:rsidR="00FF23E0" w:rsidRPr="00FF23E0" w:rsidRDefault="00FF23E0" w:rsidP="00FF23E0">
      <w:pPr>
        <w:rPr>
          <w:rtl/>
          <w:lang w:bidi="ar-EG"/>
        </w:rPr>
      </w:pPr>
      <w:r w:rsidRPr="00FF23E0">
        <w:rPr>
          <w:rFonts w:hint="cs"/>
          <w:rtl/>
          <w:lang w:bidi="ar-EG"/>
        </w:rPr>
        <w:t xml:space="preserve">وإذا رأت أي دولة عضو أن عملية النظر في مشاريع التوصيات </w:t>
      </w:r>
      <w:r w:rsidR="0081670D">
        <w:rPr>
          <w:rFonts w:hint="cs"/>
          <w:rtl/>
          <w:lang w:bidi="ar-EG"/>
        </w:rPr>
        <w:t>المراجَعة و</w:t>
      </w:r>
      <w:r w:rsidRPr="00FF23E0">
        <w:rPr>
          <w:rFonts w:hint="cs"/>
          <w:rtl/>
          <w:lang w:bidi="ar-EG"/>
        </w:rPr>
        <w:t>ال‍جديدة بغرض ال‍موافقة عليها ينبغي ألا تستمر، فعليها أن تبيّن أسباب ذلك الاعتراض وأن تشير إلى</w:t>
      </w:r>
      <w:r w:rsidRPr="00FF23E0">
        <w:rPr>
          <w:rFonts w:hint="eastAsia"/>
          <w:lang w:bidi="ar-EG"/>
        </w:rPr>
        <w:t> </w:t>
      </w:r>
      <w:r w:rsidRPr="00FF23E0">
        <w:rPr>
          <w:rFonts w:hint="cs"/>
          <w:rtl/>
          <w:lang w:bidi="ar-EG"/>
        </w:rPr>
        <w:t>التغييرات ال‍ممكنة التي من شأنها تيسير مواصلة النظر في مشاريع التوصيات ال‍جديدة وال‍موافقة</w:t>
      </w:r>
      <w:r w:rsidRPr="00FF23E0">
        <w:rPr>
          <w:rFonts w:hint="eastAsia"/>
          <w:rtl/>
          <w:lang w:bidi="ar-EG"/>
        </w:rPr>
        <w:t> </w:t>
      </w:r>
      <w:r w:rsidRPr="00FF23E0">
        <w:rPr>
          <w:rFonts w:hint="cs"/>
          <w:rtl/>
          <w:lang w:bidi="ar-EG"/>
        </w:rPr>
        <w:t>عليها.</w:t>
      </w:r>
    </w:p>
    <w:p w:rsidR="00FF23E0" w:rsidRPr="00FF23E0" w:rsidRDefault="00FF23E0" w:rsidP="0081670D">
      <w:pPr>
        <w:rPr>
          <w:rtl/>
          <w:lang w:bidi="ar-EG"/>
        </w:rPr>
      </w:pPr>
      <w:r w:rsidRPr="00FF23E0">
        <w:rPr>
          <w:lang w:bidi="ar-EG"/>
        </w:rPr>
        <w:t>5</w:t>
      </w:r>
      <w:r w:rsidRPr="00FF23E0">
        <w:rPr>
          <w:rFonts w:hint="cs"/>
          <w:rtl/>
          <w:lang w:bidi="ar-EG"/>
        </w:rPr>
        <w:tab/>
        <w:t>فإذا كان</w:t>
      </w:r>
      <w:r w:rsidRPr="00FF23E0">
        <w:rPr>
          <w:rFonts w:hint="eastAsia"/>
          <w:rtl/>
          <w:lang w:bidi="ar-EG"/>
        </w:rPr>
        <w:t> </w:t>
      </w:r>
      <w:r w:rsidRPr="00FF23E0">
        <w:rPr>
          <w:lang w:bidi="ar-EG"/>
        </w:rPr>
        <w:t>70</w:t>
      </w:r>
      <w:r w:rsidRPr="00FF23E0">
        <w:rPr>
          <w:rFonts w:hint="cs"/>
          <w:rtl/>
          <w:lang w:bidi="ar-EG"/>
        </w:rPr>
        <w:t xml:space="preserve"> في ال‍مائة أو أكثر من الردود الواردة من الدول الأعضاء تؤيد النظر في مشاريع التوصيات </w:t>
      </w:r>
      <w:r w:rsidR="0081670D">
        <w:rPr>
          <w:rFonts w:hint="cs"/>
          <w:rtl/>
          <w:lang w:bidi="ar-EG"/>
        </w:rPr>
        <w:t>المراجَعة و</w:t>
      </w:r>
      <w:r w:rsidRPr="00FF23E0">
        <w:rPr>
          <w:rFonts w:hint="cs"/>
          <w:rtl/>
          <w:lang w:bidi="ar-EG"/>
        </w:rPr>
        <w:t xml:space="preserve">ال‍جديدة بغرض ال‍موافقة عليها في اجتماع ل‍جنة الدراسات، عندئذٍ سوف تكرَّس جلسة عامة </w:t>
      </w:r>
      <w:r w:rsidRPr="00FF23E0">
        <w:rPr>
          <w:rFonts w:hint="cs"/>
          <w:b/>
          <w:bCs/>
          <w:rtl/>
          <w:lang w:bidi="ar-EG"/>
        </w:rPr>
        <w:t>في</w:t>
      </w:r>
      <w:r w:rsidRPr="00FF23E0">
        <w:rPr>
          <w:rFonts w:hint="eastAsia"/>
          <w:rtl/>
          <w:lang w:bidi="ar-EG"/>
        </w:rPr>
        <w:t> </w:t>
      </w:r>
      <w:r w:rsidR="0081670D">
        <w:rPr>
          <w:b/>
          <w:bCs/>
          <w:lang w:bidi="ar-EG"/>
        </w:rPr>
        <w:t>23</w:t>
      </w:r>
      <w:r w:rsidRPr="00FF23E0">
        <w:rPr>
          <w:rFonts w:hint="eastAsia"/>
          <w:b/>
          <w:bCs/>
          <w:rtl/>
          <w:lang w:bidi="ar-EG"/>
        </w:rPr>
        <w:t> </w:t>
      </w:r>
      <w:r w:rsidR="0081670D">
        <w:rPr>
          <w:rFonts w:hint="cs"/>
          <w:b/>
          <w:bCs/>
          <w:rtl/>
          <w:lang w:bidi="ar-EG"/>
        </w:rPr>
        <w:t>مارس</w:t>
      </w:r>
      <w:r w:rsidRPr="00FF23E0">
        <w:rPr>
          <w:rFonts w:hint="eastAsia"/>
          <w:rtl/>
          <w:lang w:bidi="ar-EG"/>
        </w:rPr>
        <w:t> </w:t>
      </w:r>
      <w:r w:rsidR="0081670D">
        <w:rPr>
          <w:b/>
          <w:bCs/>
          <w:lang w:bidi="ar-EG"/>
        </w:rPr>
        <w:t>2016</w:t>
      </w:r>
      <w:r w:rsidRPr="00FF23E0">
        <w:rPr>
          <w:rFonts w:hint="cs"/>
          <w:rtl/>
          <w:lang w:bidi="ar-EG"/>
        </w:rPr>
        <w:t xml:space="preserve"> لتطبيق إجراء</w:t>
      </w:r>
      <w:r w:rsidRPr="00FF23E0">
        <w:rPr>
          <w:rFonts w:hint="eastAsia"/>
          <w:rtl/>
          <w:lang w:bidi="ar-EG"/>
        </w:rPr>
        <w:t> </w:t>
      </w:r>
      <w:r w:rsidRPr="00FF23E0">
        <w:rPr>
          <w:rFonts w:hint="cs"/>
          <w:rtl/>
          <w:lang w:bidi="ar-EG"/>
        </w:rPr>
        <w:t>ال‍موافقة.</w:t>
      </w:r>
    </w:p>
    <w:p w:rsidR="00FF23E0" w:rsidRPr="00FF23E0" w:rsidRDefault="00FF23E0" w:rsidP="00FF23E0">
      <w:pPr>
        <w:rPr>
          <w:rtl/>
          <w:lang w:bidi="ar-EG"/>
        </w:rPr>
      </w:pPr>
      <w:r w:rsidRPr="00FF23E0">
        <w:rPr>
          <w:rFonts w:hint="cs"/>
          <w:rtl/>
          <w:lang w:bidi="ar-EG"/>
        </w:rPr>
        <w:t xml:space="preserve">ولذلك فإنني أدعو إدارتكم إلى إرسال م‍مثل إلى الاجتماع. </w:t>
      </w:r>
      <w:r w:rsidRPr="00FF23E0">
        <w:rPr>
          <w:rFonts w:hint="cs"/>
          <w:b/>
          <w:bCs/>
          <w:rtl/>
          <w:lang w:bidi="ar-EG"/>
        </w:rPr>
        <w:t>ويرجى من إدارات الدول الأعضاء في الات‍حاد</w:t>
      </w:r>
      <w:r w:rsidRPr="00FF23E0">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عندئذ يتعين إبلاغ ال‍مدير بذلك طبقاً لأحكام الرقم</w:t>
      </w:r>
      <w:r w:rsidRPr="00FF23E0">
        <w:rPr>
          <w:rFonts w:hint="eastAsia"/>
          <w:rtl/>
          <w:lang w:bidi="ar-EG"/>
        </w:rPr>
        <w:t> </w:t>
      </w:r>
      <w:r w:rsidRPr="00FF23E0">
        <w:rPr>
          <w:lang w:bidi="ar-EG"/>
        </w:rPr>
        <w:t>239</w:t>
      </w:r>
      <w:r w:rsidRPr="00FF23E0">
        <w:rPr>
          <w:rFonts w:hint="cs"/>
          <w:rtl/>
          <w:lang w:bidi="ar-EG"/>
        </w:rPr>
        <w:t xml:space="preserve"> من ال‍مادة</w:t>
      </w:r>
      <w:r w:rsidRPr="00FF23E0">
        <w:rPr>
          <w:rFonts w:hint="eastAsia"/>
          <w:rtl/>
          <w:lang w:bidi="ar-EG"/>
        </w:rPr>
        <w:t> </w:t>
      </w:r>
      <w:r w:rsidRPr="00FF23E0">
        <w:rPr>
          <w:lang w:bidi="ar-EG"/>
        </w:rPr>
        <w:t>19</w:t>
      </w:r>
      <w:r w:rsidRPr="00FF23E0">
        <w:rPr>
          <w:rFonts w:hint="cs"/>
          <w:rtl/>
          <w:lang w:bidi="ar-EG"/>
        </w:rPr>
        <w:t xml:space="preserve"> من</w:t>
      </w:r>
      <w:r w:rsidRPr="00FF23E0">
        <w:rPr>
          <w:rFonts w:hint="eastAsia"/>
          <w:lang w:bidi="ar-EG"/>
        </w:rPr>
        <w:t> </w:t>
      </w:r>
      <w:r w:rsidRPr="00FF23E0">
        <w:rPr>
          <w:rFonts w:hint="cs"/>
          <w:rtl/>
          <w:lang w:bidi="ar-EG"/>
        </w:rPr>
        <w:t>اتفاقية</w:t>
      </w:r>
      <w:r w:rsidRPr="00FF23E0">
        <w:rPr>
          <w:rFonts w:hint="eastAsia"/>
          <w:rtl/>
          <w:lang w:bidi="ar-EG"/>
        </w:rPr>
        <w:t> </w:t>
      </w:r>
      <w:r w:rsidRPr="00FF23E0">
        <w:rPr>
          <w:rFonts w:hint="cs"/>
          <w:rtl/>
          <w:lang w:bidi="ar-EG"/>
        </w:rPr>
        <w:t>الات‍حاد.</w:t>
      </w:r>
    </w:p>
    <w:p w:rsidR="00FF23E0" w:rsidRPr="00FF23E0" w:rsidRDefault="00FF23E0" w:rsidP="0015345D">
      <w:pPr>
        <w:rPr>
          <w:rtl/>
          <w:lang w:bidi="ar-EG"/>
        </w:rPr>
      </w:pPr>
      <w:r w:rsidRPr="00FF23E0">
        <w:rPr>
          <w:lang w:bidi="ar-EG"/>
        </w:rPr>
        <w:t>6</w:t>
      </w:r>
      <w:r w:rsidRPr="00FF23E0">
        <w:rPr>
          <w:rFonts w:hint="cs"/>
          <w:rtl/>
          <w:lang w:bidi="ar-EG"/>
        </w:rPr>
        <w:tab/>
        <w:t>وي‍مكن الاطلاع على جدول الأعمال وج‍ميع ال‍معلومات ذات الصلة فيما يتعلق باجتماع ل‍جنة الدراسات</w:t>
      </w:r>
      <w:r w:rsidRPr="00FF23E0">
        <w:rPr>
          <w:rFonts w:hint="eastAsia"/>
          <w:rtl/>
          <w:lang w:bidi="ar-EG"/>
        </w:rPr>
        <w:t> </w:t>
      </w:r>
      <w:r w:rsidRPr="00FF23E0">
        <w:rPr>
          <w:lang w:bidi="ar-EG"/>
        </w:rPr>
        <w:t>17</w:t>
      </w:r>
      <w:r w:rsidRPr="00FF23E0">
        <w:rPr>
          <w:rFonts w:hint="cs"/>
          <w:rtl/>
          <w:lang w:bidi="ar-EG"/>
        </w:rPr>
        <w:t xml:space="preserve"> في</w:t>
      </w:r>
      <w:r w:rsidR="006F23D5">
        <w:rPr>
          <w:rFonts w:hint="eastAsia"/>
          <w:rtl/>
          <w:lang w:bidi="ar-EG"/>
        </w:rPr>
        <w:t> </w:t>
      </w:r>
      <w:r w:rsidRPr="00FF23E0">
        <w:rPr>
          <w:rFonts w:hint="cs"/>
          <w:rtl/>
          <w:lang w:bidi="ar-EG"/>
        </w:rPr>
        <w:t>الرسالة ال‍جماعية</w:t>
      </w:r>
      <w:r w:rsidRPr="00FF23E0">
        <w:rPr>
          <w:rFonts w:hint="eastAsia"/>
          <w:rtl/>
          <w:lang w:bidi="ar-EG"/>
        </w:rPr>
        <w:t> </w:t>
      </w:r>
      <w:r w:rsidR="0015345D">
        <w:rPr>
          <w:lang w:bidi="ar-EG"/>
        </w:rPr>
        <w:t>7</w:t>
      </w:r>
      <w:r w:rsidRPr="00FF23E0">
        <w:rPr>
          <w:lang w:bidi="ar-EG"/>
        </w:rPr>
        <w:t>/17</w:t>
      </w:r>
      <w:r w:rsidRPr="00FF23E0">
        <w:rPr>
          <w:rFonts w:hint="cs"/>
          <w:rtl/>
          <w:lang w:bidi="ar-EG"/>
        </w:rPr>
        <w:t>.</w:t>
      </w:r>
    </w:p>
    <w:p w:rsidR="00521E65" w:rsidRPr="00521E65" w:rsidRDefault="00FF23E0" w:rsidP="00C23F7C">
      <w:pPr>
        <w:rPr>
          <w:rtl/>
          <w:lang w:bidi="ar-EG"/>
        </w:rPr>
      </w:pPr>
      <w:r w:rsidRPr="00FF23E0">
        <w:rPr>
          <w:lang w:bidi="ar-EG"/>
        </w:rPr>
        <w:t>7</w:t>
      </w:r>
      <w:r w:rsidRPr="00FF23E0">
        <w:rPr>
          <w:rFonts w:hint="cs"/>
          <w:rtl/>
          <w:lang w:bidi="ar-EG"/>
        </w:rPr>
        <w:tab/>
        <w:t xml:space="preserve">وفي أعقاب الاجتماع سوف يعلن مدير مكتب تقييس الاتصالات، في </w:t>
      </w:r>
      <w:r w:rsidR="00C23F7C">
        <w:rPr>
          <w:rFonts w:hint="cs"/>
          <w:rtl/>
          <w:lang w:bidi="ar-EG"/>
        </w:rPr>
        <w:t>رسالة</w:t>
      </w:r>
      <w:r w:rsidRPr="00FF23E0">
        <w:rPr>
          <w:rFonts w:hint="cs"/>
          <w:rtl/>
          <w:lang w:bidi="ar-EG"/>
        </w:rPr>
        <w:t xml:space="preserve"> معممة، عن القرار ال‍متخذ بشأن هذه التوصيات. وسوف تُنشر هذه ال‍معلومات أيضاً في النشرة التشغيلية</w:t>
      </w:r>
      <w:r w:rsidRPr="00FF23E0">
        <w:rPr>
          <w:rFonts w:hint="eastAsia"/>
          <w:rtl/>
          <w:lang w:bidi="ar-EG"/>
        </w:rPr>
        <w:t> </w:t>
      </w:r>
      <w:r w:rsidRPr="00FF23E0">
        <w:rPr>
          <w:rFonts w:hint="cs"/>
          <w:rtl/>
          <w:lang w:bidi="ar-EG"/>
        </w:rPr>
        <w:t>للات‍حاد.</w:t>
      </w:r>
    </w:p>
    <w:p w:rsidR="00706D7A" w:rsidRDefault="00521E65" w:rsidP="00521E65">
      <w:pPr>
        <w:spacing w:before="240"/>
        <w:rPr>
          <w:rtl/>
          <w:lang w:bidi="ar-EG"/>
        </w:rPr>
      </w:pPr>
      <w:r w:rsidRPr="00521E65">
        <w:rPr>
          <w:rFonts w:hint="cs"/>
          <w:rtl/>
          <w:lang w:bidi="ar-EG"/>
        </w:rPr>
        <w:t>وتفضلوا بقبول فائق التقدير والاحترام.</w:t>
      </w:r>
    </w:p>
    <w:p w:rsidR="00521E65" w:rsidRDefault="00521E65" w:rsidP="00A84685">
      <w:pPr>
        <w:spacing w:before="1440"/>
        <w:jc w:val="left"/>
        <w:rPr>
          <w:rtl/>
          <w:lang w:bidi="ar-SY"/>
        </w:rPr>
      </w:pPr>
      <w:r>
        <w:rPr>
          <w:rFonts w:hint="cs"/>
          <w:rtl/>
          <w:lang w:bidi="ar-SY"/>
        </w:rPr>
        <w:lastRenderedPageBreak/>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Pr="009F2073" w:rsidRDefault="00521E65" w:rsidP="00521E65">
      <w:pPr>
        <w:spacing w:before="1440"/>
        <w:jc w:val="left"/>
        <w:rPr>
          <w:rtl/>
          <w:lang w:bidi="ar-EG"/>
        </w:rPr>
      </w:pPr>
      <w:r w:rsidRPr="00521E65">
        <w:rPr>
          <w:rFonts w:hint="cs"/>
          <w:b/>
          <w:bCs/>
          <w:rtl/>
          <w:lang w:bidi="ar-SY"/>
        </w:rPr>
        <w:t>الملحقات:</w:t>
      </w:r>
      <w:r w:rsidRPr="009F2073">
        <w:rPr>
          <w:rFonts w:hint="cs"/>
          <w:rtl/>
          <w:lang w:bidi="ar-SY"/>
        </w:rPr>
        <w:t xml:space="preserve"> </w:t>
      </w:r>
      <w:r w:rsidR="00FF23E0" w:rsidRPr="009F2073">
        <w:rPr>
          <w:lang w:bidi="ar-SY"/>
        </w:rPr>
        <w:t>1</w:t>
      </w:r>
    </w:p>
    <w:p w:rsidR="00521E65" w:rsidRDefault="00521E6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FF23E0" w:rsidRPr="009F2073" w:rsidRDefault="00FF23E0" w:rsidP="00AE69E7">
      <w:pPr>
        <w:pStyle w:val="AnnexNo"/>
        <w:rPr>
          <w:sz w:val="20"/>
          <w:szCs w:val="30"/>
          <w:rtl/>
        </w:rPr>
      </w:pPr>
      <w:r w:rsidRPr="00FF23E0">
        <w:rPr>
          <w:rFonts w:hint="cs"/>
          <w:rtl/>
        </w:rPr>
        <w:lastRenderedPageBreak/>
        <w:t>ال</w:t>
      </w:r>
      <w:r w:rsidR="003F3A3F">
        <w:rPr>
          <w:rFonts w:hint="cs"/>
          <w:rtl/>
        </w:rPr>
        <w:t>‍</w:t>
      </w:r>
      <w:r w:rsidRPr="00FF23E0">
        <w:rPr>
          <w:rFonts w:hint="cs"/>
          <w:rtl/>
        </w:rPr>
        <w:t xml:space="preserve">ملحق </w:t>
      </w:r>
      <w:r w:rsidRPr="00FF23E0">
        <w:rPr>
          <w:lang w:val="en-GB" w:bidi="ar-SA"/>
        </w:rPr>
        <w:t>1</w:t>
      </w:r>
      <w:r w:rsidRPr="00FF23E0">
        <w:rPr>
          <w:rtl/>
        </w:rPr>
        <w:br/>
      </w:r>
      <w:r w:rsidRPr="009F2073">
        <w:rPr>
          <w:rFonts w:hint="cs"/>
          <w:sz w:val="20"/>
          <w:szCs w:val="30"/>
          <w:rtl/>
        </w:rPr>
        <w:t>(بالرسالة ال</w:t>
      </w:r>
      <w:r w:rsidR="003F3A3F">
        <w:rPr>
          <w:rFonts w:hint="cs"/>
          <w:sz w:val="20"/>
          <w:szCs w:val="30"/>
          <w:rtl/>
        </w:rPr>
        <w:t>‍</w:t>
      </w:r>
      <w:r w:rsidRPr="009F2073">
        <w:rPr>
          <w:rFonts w:hint="cs"/>
          <w:sz w:val="20"/>
          <w:szCs w:val="30"/>
          <w:rtl/>
        </w:rPr>
        <w:t xml:space="preserve">معممة </w:t>
      </w:r>
      <w:r w:rsidR="00AE69E7">
        <w:rPr>
          <w:sz w:val="22"/>
          <w:szCs w:val="32"/>
        </w:rPr>
        <w:t>174</w:t>
      </w:r>
      <w:r w:rsidRPr="009F2073">
        <w:rPr>
          <w:rFonts w:hint="cs"/>
          <w:sz w:val="22"/>
          <w:szCs w:val="32"/>
          <w:rtl/>
        </w:rPr>
        <w:t xml:space="preserve"> </w:t>
      </w:r>
      <w:r w:rsidRPr="009F2073">
        <w:rPr>
          <w:rFonts w:hint="cs"/>
          <w:sz w:val="20"/>
          <w:szCs w:val="30"/>
          <w:rtl/>
        </w:rPr>
        <w:t>ل</w:t>
      </w:r>
      <w:r w:rsidR="003F3A3F">
        <w:rPr>
          <w:rFonts w:hint="cs"/>
          <w:sz w:val="20"/>
          <w:szCs w:val="30"/>
          <w:rtl/>
        </w:rPr>
        <w:t>‍</w:t>
      </w:r>
      <w:r w:rsidRPr="009F2073">
        <w:rPr>
          <w:rFonts w:hint="cs"/>
          <w:sz w:val="20"/>
          <w:szCs w:val="30"/>
          <w:rtl/>
        </w:rPr>
        <w:t>مكتب تقييس الاتصالات)</w:t>
      </w:r>
    </w:p>
    <w:p w:rsidR="00FF23E0" w:rsidRPr="00FF23E0" w:rsidRDefault="00FF23E0" w:rsidP="009F2073">
      <w:pPr>
        <w:pStyle w:val="Annextitle"/>
        <w:rPr>
          <w:rtl/>
          <w:lang w:bidi="ar-EG"/>
        </w:rPr>
      </w:pPr>
      <w:r w:rsidRPr="00FF23E0">
        <w:rPr>
          <w:rFonts w:hint="cs"/>
          <w:rtl/>
          <w:lang w:bidi="ar-EG"/>
        </w:rPr>
        <w:t xml:space="preserve">ملخص </w:t>
      </w:r>
      <w:r w:rsidRPr="00FF23E0">
        <w:rPr>
          <w:rtl/>
        </w:rPr>
        <w:t xml:space="preserve">النصوص والوثائق التي ترد </w:t>
      </w:r>
      <w:r w:rsidRPr="00FF23E0">
        <w:rPr>
          <w:rFonts w:hint="cs"/>
          <w:rtl/>
          <w:lang w:bidi="ar-EG"/>
        </w:rPr>
        <w:t>فيها</w:t>
      </w:r>
    </w:p>
    <w:p w:rsidR="00FF23E0" w:rsidRPr="00FF23E0" w:rsidRDefault="00FF23E0" w:rsidP="00FA007A">
      <w:pPr>
        <w:pStyle w:val="Headingb"/>
        <w:rPr>
          <w:rtl/>
          <w:lang w:bidi="ar-EG"/>
        </w:rPr>
      </w:pPr>
      <w:r w:rsidRPr="00FF23E0">
        <w:rPr>
          <w:rFonts w:hint="cs"/>
          <w:rtl/>
        </w:rPr>
        <w:t xml:space="preserve">مشروع التوصية ال‍جديدة </w:t>
      </w:r>
      <w:r w:rsidRPr="00FF23E0">
        <w:t>ITU-T X.</w:t>
      </w:r>
      <w:r w:rsidR="00E52427">
        <w:t>1247</w:t>
      </w:r>
      <w:r w:rsidRPr="00FF23E0">
        <w:t> (</w:t>
      </w:r>
      <w:r w:rsidR="00E52427" w:rsidRPr="0088798E">
        <w:t>X.tfcmm</w:t>
      </w:r>
      <w:r w:rsidRPr="00FF23E0">
        <w:t>)</w:t>
      </w:r>
      <w:r w:rsidRPr="00FF23E0">
        <w:rPr>
          <w:rFonts w:hint="cs"/>
          <w:rtl/>
        </w:rPr>
        <w:t xml:space="preserve">، </w:t>
      </w:r>
      <w:r w:rsidR="00FA007A">
        <w:rPr>
          <w:rFonts w:hint="cs"/>
          <w:rtl/>
        </w:rPr>
        <w:t>الإطار التقني لمكافحة الرسائل الاقتحامية المتنقلة</w:t>
      </w:r>
      <w:r w:rsidR="00FA007A">
        <w:rPr>
          <w:rtl/>
        </w:rPr>
        <w:tab/>
      </w:r>
      <w:r w:rsidR="00FA007A">
        <w:rPr>
          <w:rtl/>
        </w:rPr>
        <w:br/>
      </w:r>
      <w:r w:rsidRPr="00FF23E0">
        <w:t>COM</w:t>
      </w:r>
      <w:r w:rsidR="00F26857">
        <w:t> </w:t>
      </w:r>
      <w:r w:rsidRPr="00FF23E0">
        <w:t>17</w:t>
      </w:r>
      <w:r w:rsidR="005145B9">
        <w:t> </w:t>
      </w:r>
      <w:r w:rsidRPr="00FF23E0">
        <w:t>–</w:t>
      </w:r>
      <w:r w:rsidR="005145B9">
        <w:t> </w:t>
      </w:r>
      <w:r w:rsidRPr="00FF23E0">
        <w:t>R</w:t>
      </w:r>
      <w:r w:rsidR="00F26857">
        <w:t> </w:t>
      </w:r>
      <w:r w:rsidR="00E52427">
        <w:t>50</w:t>
      </w:r>
      <w:r w:rsidR="00265A6D">
        <w:rPr>
          <w:rFonts w:hint="eastAsia"/>
          <w:rtl/>
          <w:lang w:bidi="ar-EG"/>
        </w:rPr>
        <w:t> </w:t>
      </w:r>
    </w:p>
    <w:p w:rsidR="00FF23E0" w:rsidRPr="00FF23E0" w:rsidRDefault="00FF23E0" w:rsidP="009F2073">
      <w:pPr>
        <w:pStyle w:val="Headingb"/>
        <w:rPr>
          <w:rtl/>
        </w:rPr>
      </w:pPr>
      <w:r w:rsidRPr="00FF23E0">
        <w:rPr>
          <w:rFonts w:hint="cs"/>
          <w:rtl/>
        </w:rPr>
        <w:t>ملخص</w:t>
      </w:r>
    </w:p>
    <w:p w:rsidR="00FF23E0" w:rsidRDefault="00FA007A" w:rsidP="007305F4">
      <w:pPr>
        <w:rPr>
          <w:rtl/>
        </w:rPr>
      </w:pPr>
      <w:r>
        <w:rPr>
          <w:rFonts w:hint="cs"/>
          <w:rtl/>
          <w:lang w:bidi="ar-EG"/>
        </w:rPr>
        <w:t xml:space="preserve">تنتشر بصورة دراماتيكية الرسائل الاقتحامية المتنقلة جنباً إلى جنب مع خدمات المراسلة المتنقلة. ولسوء الحظ، لم يثبت أي إجراء بمفرده أنه الوصفة السحرية لعلاج الرسائل الاقتحامية المتنقلة. وبالتالي، من الضروري وضع إطار تقني لمكافحة الرسائل الاقتحامية </w:t>
      </w:r>
      <w:r w:rsidRPr="00FA007A">
        <w:rPr>
          <w:rFonts w:hint="cs"/>
          <w:rtl/>
        </w:rPr>
        <w:t xml:space="preserve">المتنقلة. وتقدم التوصية </w:t>
      </w:r>
      <w:r w:rsidRPr="00FA007A">
        <w:t>ITU-T X.1247</w:t>
      </w:r>
      <w:r>
        <w:rPr>
          <w:rFonts w:hint="cs"/>
          <w:rtl/>
        </w:rPr>
        <w:t xml:space="preserve"> عرضاً مجملاً لعمليات مكافحة الرسائل الاقتحامية المتنقلة ومقترح إطاراً تقنياً لمحاربتها. وإلى جانب ذلك، توفر هذه التوصية آليات لتبادل المعلومات المتعلقة بمكافحة الرسائل الاقتحامية المتنقلة داخل الميدان الواحد لمكافحة الرسائل الاقتحامية وفيما بين هذه الميادين.</w:t>
      </w:r>
    </w:p>
    <w:p w:rsidR="00FF23E0" w:rsidRPr="00FF23E0" w:rsidRDefault="00FF23E0" w:rsidP="00FA007A">
      <w:pPr>
        <w:pStyle w:val="Headingb"/>
        <w:rPr>
          <w:rtl/>
          <w:lang w:bidi="ar-EG"/>
        </w:rPr>
      </w:pPr>
      <w:r w:rsidRPr="00FF23E0">
        <w:rPr>
          <w:rFonts w:hint="cs"/>
          <w:rtl/>
        </w:rPr>
        <w:t xml:space="preserve">مشروع التوصية ال‍جديدة </w:t>
      </w:r>
      <w:r w:rsidRPr="00FF23E0">
        <w:t>ITU-T X.</w:t>
      </w:r>
      <w:r w:rsidR="00E52427" w:rsidRPr="00CE588B">
        <w:t>1256 (X.authi</w:t>
      </w:r>
      <w:r w:rsidRPr="00FF23E0">
        <w:t>)</w:t>
      </w:r>
      <w:r w:rsidRPr="00FF23E0">
        <w:rPr>
          <w:rFonts w:hint="cs"/>
          <w:rtl/>
        </w:rPr>
        <w:t xml:space="preserve">، </w:t>
      </w:r>
      <w:r w:rsidR="00FA007A">
        <w:rPr>
          <w:rFonts w:hint="cs"/>
          <w:rtl/>
        </w:rPr>
        <w:t>مبادئ توجيهية وإطار من أجل تبادل نتائج استيقان الشبكات مع تطبيقات الخدمات</w:t>
      </w:r>
      <w:r w:rsidR="00FA007A">
        <w:rPr>
          <w:rtl/>
        </w:rPr>
        <w:tab/>
      </w:r>
      <w:r w:rsidR="00FA007A">
        <w:rPr>
          <w:rtl/>
        </w:rPr>
        <w:br/>
      </w:r>
      <w:r w:rsidRPr="00FF23E0">
        <w:t>COM</w:t>
      </w:r>
      <w:r w:rsidR="005145B9">
        <w:t> </w:t>
      </w:r>
      <w:r w:rsidRPr="00FF23E0">
        <w:t>17</w:t>
      </w:r>
      <w:r w:rsidR="005145B9">
        <w:t> </w:t>
      </w:r>
      <w:r w:rsidRPr="00FF23E0">
        <w:t>–</w:t>
      </w:r>
      <w:r w:rsidR="005145B9">
        <w:t> </w:t>
      </w:r>
      <w:r w:rsidRPr="00FF23E0">
        <w:t>R</w:t>
      </w:r>
      <w:r w:rsidR="005145B9">
        <w:t> </w:t>
      </w:r>
      <w:r w:rsidR="00811DFB">
        <w:t>54</w:t>
      </w:r>
      <w:r w:rsidR="00265A6D">
        <w:rPr>
          <w:rFonts w:hint="eastAsia"/>
          <w:rtl/>
          <w:lang w:bidi="ar-EG"/>
        </w:rPr>
        <w:t> </w:t>
      </w:r>
    </w:p>
    <w:p w:rsidR="00FF23E0" w:rsidRPr="00FF23E0" w:rsidRDefault="00FF23E0" w:rsidP="002E2427">
      <w:pPr>
        <w:pStyle w:val="Headingb"/>
        <w:rPr>
          <w:rtl/>
        </w:rPr>
      </w:pPr>
      <w:r w:rsidRPr="00FF23E0">
        <w:rPr>
          <w:rFonts w:hint="cs"/>
          <w:rtl/>
        </w:rPr>
        <w:t>ملخص</w:t>
      </w:r>
    </w:p>
    <w:p w:rsidR="00FF23E0" w:rsidRDefault="00FA007A" w:rsidP="00FA007A">
      <w:pPr>
        <w:rPr>
          <w:rtl/>
        </w:rPr>
      </w:pPr>
      <w:r>
        <w:rPr>
          <w:rFonts w:hint="cs"/>
          <w:rtl/>
        </w:rPr>
        <w:t>مع الزيادة الضخمة في أعداد الأجهزة والتطبيقات التي تنفذ إلى الإنترنت، زاد تعقيد بيئة الشبكات والخدمات. ونتيجة لذلك، هناك حاجة ملحة إلى تبسيط آلية استيقان المستعمل من أجل تحسين تجربة المستعمل وجودة الخدمة.</w:t>
      </w:r>
    </w:p>
    <w:p w:rsidR="00826D84" w:rsidRDefault="00FA007A" w:rsidP="00FA007A">
      <w:pPr>
        <w:rPr>
          <w:rtl/>
        </w:rPr>
      </w:pPr>
      <w:r>
        <w:rPr>
          <w:rFonts w:hint="cs"/>
          <w:rtl/>
        </w:rPr>
        <w:t>وقد أنهت منظمات تقييس عديدة من بينها قطاع تقييس الاتصالات بالاتحاد الكثير من الأعمال البحثية بشأن آلية موحدة للاستيقان (أي تسجيل دخول وحيد). بيد أن جل الأعمال الحالية تركز في الأساس على الاستيقان الموحد فيما بين تطبيقات الخدمات، دون النظر إلى علاقة ذلك باستيقان الشبكات.</w:t>
      </w:r>
    </w:p>
    <w:p w:rsidR="00826D84" w:rsidRDefault="00FA007A" w:rsidP="00265A6D">
      <w:pPr>
        <w:rPr>
          <w:rtl/>
          <w:lang w:bidi="ar-EG"/>
        </w:rPr>
      </w:pPr>
      <w:r>
        <w:rPr>
          <w:rFonts w:hint="cs"/>
          <w:rtl/>
          <w:lang w:bidi="ar-EG"/>
        </w:rPr>
        <w:t>ومن منظور مشغلي الشبكات، يواجه المستعملون ببعض أشكال استيقان الشبكات عند النفاذ إليها، ومع ذلك، فعند التسجيل للدخول ثانية لطلب النفاذ إلى خدمة ما، فإن استيقان الشبكات الأولى الخاص بهم لا يستعمل ثانية. وعند اعتماد آلية لتبادل نتائج الاستيقان بين الخدمات والشبكات، يمكن لتطبيقات الخدمات التعرف على هوية أي مستعمل باستخدام نتائج الاستيقان المستقاة من الشبكة</w:t>
      </w:r>
      <w:r w:rsidR="00265A6D">
        <w:rPr>
          <w:rFonts w:hint="cs"/>
          <w:rtl/>
          <w:lang w:bidi="ar-EG"/>
        </w:rPr>
        <w:t>. وتسمح هذه الآلية لأي مستعمل بأن يتم استيقانه مرة واحدة فقط من جانب الشبكة بحيث يتمتع بالنفاذ إلى الخدمة مباشرة.</w:t>
      </w:r>
    </w:p>
    <w:p w:rsidR="00826D84" w:rsidRPr="00FF23E0" w:rsidRDefault="00265A6D" w:rsidP="00265A6D">
      <w:pPr>
        <w:rPr>
          <w:rtl/>
        </w:rPr>
      </w:pPr>
      <w:r w:rsidRPr="00265A6D">
        <w:rPr>
          <w:rFonts w:hint="cs"/>
          <w:rtl/>
        </w:rPr>
        <w:lastRenderedPageBreak/>
        <w:t xml:space="preserve">وتقدم التوصية </w:t>
      </w:r>
      <w:r w:rsidRPr="00265A6D">
        <w:t>ITU-T X.1256</w:t>
      </w:r>
      <w:r>
        <w:rPr>
          <w:rFonts w:hint="cs"/>
          <w:rtl/>
        </w:rPr>
        <w:t xml:space="preserve"> مبادئ توجيهية لمشغلي الشبكات وموردي الخدمات لتبادل نتائج استيقان الشبكات، كما توفر إطاراً لتبادل النعوت الدنيا عبر خدمات متعددة في إطار علاقة ثقة راسخة.</w:t>
      </w:r>
    </w:p>
    <w:p w:rsidR="00FF23E0" w:rsidRPr="00FF23E0" w:rsidRDefault="00FF23E0" w:rsidP="00265A6D">
      <w:pPr>
        <w:pStyle w:val="Headingb"/>
        <w:rPr>
          <w:rtl/>
          <w:lang w:bidi="ar-EG"/>
        </w:rPr>
      </w:pPr>
      <w:r w:rsidRPr="00FF23E0">
        <w:rPr>
          <w:rFonts w:hint="cs"/>
          <w:rtl/>
        </w:rPr>
        <w:t xml:space="preserve">مشروع التوصية ال‍جديدة </w:t>
      </w:r>
      <w:r w:rsidRPr="00FF23E0">
        <w:t>ITU-T X.</w:t>
      </w:r>
      <w:r w:rsidR="000E744B" w:rsidRPr="004B4EF5">
        <w:t>1257 (X.iamt</w:t>
      </w:r>
      <w:r w:rsidRPr="00FF23E0">
        <w:t>)</w:t>
      </w:r>
      <w:r w:rsidRPr="00FF23E0">
        <w:rPr>
          <w:rFonts w:hint="cs"/>
          <w:rtl/>
        </w:rPr>
        <w:t xml:space="preserve">، </w:t>
      </w:r>
      <w:r w:rsidR="00265A6D">
        <w:rPr>
          <w:rFonts w:hint="cs"/>
          <w:rtl/>
        </w:rPr>
        <w:t>تصنيف إدارة الهوية والنفاذ</w:t>
      </w:r>
      <w:r w:rsidR="00265A6D">
        <w:rPr>
          <w:rtl/>
        </w:rPr>
        <w:tab/>
      </w:r>
      <w:r w:rsidRPr="00FF23E0">
        <w:rPr>
          <w:rtl/>
        </w:rPr>
        <w:br/>
      </w:r>
      <w:r w:rsidRPr="00FF23E0">
        <w:t>COM</w:t>
      </w:r>
      <w:r w:rsidR="009A4B1F">
        <w:t> </w:t>
      </w:r>
      <w:r w:rsidRPr="00FF23E0">
        <w:t>17</w:t>
      </w:r>
      <w:r w:rsidR="009A4B1F">
        <w:t> </w:t>
      </w:r>
      <w:r w:rsidRPr="00FF23E0">
        <w:t>–</w:t>
      </w:r>
      <w:r w:rsidR="009A4B1F">
        <w:t> </w:t>
      </w:r>
      <w:r w:rsidRPr="00FF23E0">
        <w:t>R</w:t>
      </w:r>
      <w:r w:rsidR="009A4B1F">
        <w:t> </w:t>
      </w:r>
      <w:r w:rsidR="000E744B">
        <w:t>55</w:t>
      </w:r>
      <w:r w:rsidR="00265A6D">
        <w:rPr>
          <w:rFonts w:hint="eastAsia"/>
          <w:rtl/>
          <w:lang w:bidi="ar-EG"/>
        </w:rPr>
        <w:t> </w:t>
      </w:r>
    </w:p>
    <w:p w:rsidR="00FF23E0" w:rsidRPr="00FF23E0" w:rsidRDefault="00FF23E0" w:rsidP="002E2427">
      <w:pPr>
        <w:pStyle w:val="Headingb"/>
        <w:rPr>
          <w:rtl/>
        </w:rPr>
      </w:pPr>
      <w:r w:rsidRPr="00FF23E0">
        <w:rPr>
          <w:rFonts w:hint="cs"/>
          <w:rtl/>
        </w:rPr>
        <w:t>ملخص</w:t>
      </w:r>
    </w:p>
    <w:p w:rsidR="00521E65" w:rsidRDefault="00265A6D" w:rsidP="00265A6D">
      <w:pPr>
        <w:rPr>
          <w:rtl/>
          <w:lang w:bidi="ar-EG"/>
        </w:rPr>
      </w:pPr>
      <w:r>
        <w:rPr>
          <w:rFonts w:hint="cs"/>
          <w:rtl/>
          <w:lang w:bidi="ar-EG"/>
        </w:rPr>
        <w:t xml:space="preserve">تضع التوصية </w:t>
      </w:r>
      <w:r w:rsidRPr="002D35C7">
        <w:t>ITU-T X.1257</w:t>
      </w:r>
      <w:r>
        <w:rPr>
          <w:rFonts w:hint="cs"/>
          <w:rtl/>
        </w:rPr>
        <w:t xml:space="preserve"> مواصفة من أجل ضمان تخصيص المعنى التجاري اللازم لأدوار إدارة الهوية والنفاذ </w:t>
      </w:r>
      <w:r>
        <w:t>(IAM)</w:t>
      </w:r>
      <w:r>
        <w:rPr>
          <w:rFonts w:hint="cs"/>
          <w:rtl/>
          <w:lang w:bidi="ar-EG"/>
        </w:rPr>
        <w:t xml:space="preserve"> وتصاريحها وأن هذا المعنى التجاري قابل للتتبع والرجوع إليه طوال فترة عملية الإدارة </w:t>
      </w:r>
      <w:r>
        <w:rPr>
          <w:lang w:bidi="ar-EG"/>
        </w:rPr>
        <w:t>IAM</w:t>
      </w:r>
      <w:r>
        <w:rPr>
          <w:rFonts w:hint="cs"/>
          <w:rtl/>
          <w:lang w:bidi="ar-EG"/>
        </w:rPr>
        <w:t xml:space="preserve"> بحيث يمكن تخصيص التصاريح بكفاءة للمستعملين وتنفيذ وسائل التحكم في الفصل بين الالتزامات بنجاح عبر التطبيقات وتنفيذ عمليات استعراض النفاذ والتوفيق بكفاءة.</w:t>
      </w:r>
    </w:p>
    <w:p w:rsidR="008C197D" w:rsidRPr="00FF23E0" w:rsidRDefault="008C197D" w:rsidP="00265A6D">
      <w:pPr>
        <w:pStyle w:val="Headingb"/>
        <w:rPr>
          <w:rtl/>
          <w:lang w:bidi="ar-SA"/>
        </w:rPr>
      </w:pPr>
      <w:r w:rsidRPr="00FF23E0">
        <w:rPr>
          <w:rFonts w:hint="cs"/>
          <w:rtl/>
        </w:rPr>
        <w:t xml:space="preserve">مشروع </w:t>
      </w:r>
      <w:r>
        <w:rPr>
          <w:rFonts w:hint="cs"/>
          <w:rtl/>
        </w:rPr>
        <w:t>مراجعة التوصية</w:t>
      </w:r>
      <w:r w:rsidRPr="00FF23E0">
        <w:rPr>
          <w:rFonts w:hint="cs"/>
          <w:rtl/>
        </w:rPr>
        <w:t xml:space="preserve"> </w:t>
      </w:r>
      <w:r w:rsidRPr="004B4EF5">
        <w:t xml:space="preserve">ITU-T </w:t>
      </w:r>
      <w:r w:rsidRPr="00DB205C">
        <w:t>X.1521 (X.cvss</w:t>
      </w:r>
      <w:r w:rsidRPr="00FF23E0">
        <w:t>)</w:t>
      </w:r>
      <w:r w:rsidRPr="00FF23E0">
        <w:rPr>
          <w:rFonts w:hint="cs"/>
          <w:rtl/>
        </w:rPr>
        <w:t xml:space="preserve">، </w:t>
      </w:r>
      <w:r w:rsidR="00265A6D">
        <w:rPr>
          <w:rFonts w:hint="cs"/>
          <w:rtl/>
        </w:rPr>
        <w:t xml:space="preserve">الإصدار </w:t>
      </w:r>
      <w:r w:rsidR="00265A6D">
        <w:t>3.0</w:t>
      </w:r>
      <w:r w:rsidR="00265A6D">
        <w:rPr>
          <w:rFonts w:hint="cs"/>
          <w:rtl/>
          <w:lang w:bidi="ar-EG"/>
        </w:rPr>
        <w:t xml:space="preserve"> من نظام تقييم مواطن الضعف الشائعة</w:t>
      </w:r>
      <w:r w:rsidR="00265A6D">
        <w:rPr>
          <w:rtl/>
          <w:lang w:bidi="ar-EG"/>
        </w:rPr>
        <w:tab/>
      </w:r>
      <w:r w:rsidR="00265A6D">
        <w:rPr>
          <w:rtl/>
          <w:lang w:bidi="ar-EG"/>
        </w:rPr>
        <w:br/>
      </w:r>
      <w:r w:rsidRPr="00FF23E0">
        <w:t>COM</w:t>
      </w:r>
      <w:r>
        <w:t> </w:t>
      </w:r>
      <w:r w:rsidRPr="00FF23E0">
        <w:t>17</w:t>
      </w:r>
      <w:r>
        <w:t> </w:t>
      </w:r>
      <w:r w:rsidRPr="00FF23E0">
        <w:t>–</w:t>
      </w:r>
      <w:r>
        <w:t> </w:t>
      </w:r>
      <w:r w:rsidRPr="00FF23E0">
        <w:t>R</w:t>
      </w:r>
      <w:r>
        <w:t> 49</w:t>
      </w:r>
      <w:r w:rsidR="00265A6D">
        <w:rPr>
          <w:rFonts w:hint="cs"/>
          <w:rtl/>
          <w:lang w:bidi="ar-SA"/>
        </w:rPr>
        <w:t> </w:t>
      </w:r>
    </w:p>
    <w:p w:rsidR="008C197D" w:rsidRPr="00FF23E0" w:rsidRDefault="008C197D" w:rsidP="008C197D">
      <w:pPr>
        <w:pStyle w:val="Headingb"/>
        <w:rPr>
          <w:rtl/>
        </w:rPr>
      </w:pPr>
      <w:r w:rsidRPr="00FF23E0">
        <w:rPr>
          <w:rFonts w:hint="cs"/>
          <w:rtl/>
        </w:rPr>
        <w:t>ملخص</w:t>
      </w:r>
    </w:p>
    <w:p w:rsidR="008C197D" w:rsidRPr="00265A6D" w:rsidRDefault="00265A6D" w:rsidP="00265A6D">
      <w:pPr>
        <w:rPr>
          <w:rtl/>
          <w:lang w:bidi="ar-EG"/>
        </w:rPr>
      </w:pPr>
      <w:r>
        <w:rPr>
          <w:rFonts w:hint="cs"/>
          <w:rtl/>
          <w:lang w:bidi="ar-EG"/>
        </w:rPr>
        <w:t xml:space="preserve">تقدم التوصية </w:t>
      </w:r>
      <w:r>
        <w:t>ITU-T X.1521</w:t>
      </w:r>
      <w:r>
        <w:rPr>
          <w:rFonts w:hint="cs"/>
          <w:rtl/>
          <w:lang w:bidi="ar-EG"/>
        </w:rPr>
        <w:t xml:space="preserve"> بشأن نظام تقييم مواطن الضعف الشائعة إطارً مفتوحاً لنقل خصائص وآثار مواطن الضعف في</w:t>
      </w:r>
      <w:r>
        <w:rPr>
          <w:rFonts w:hint="eastAsia"/>
          <w:rtl/>
          <w:lang w:bidi="ar-EG"/>
        </w:rPr>
        <w:t> </w:t>
      </w:r>
      <w:r>
        <w:rPr>
          <w:rFonts w:hint="cs"/>
          <w:rtl/>
          <w:lang w:bidi="ar-EG"/>
        </w:rPr>
        <w:t xml:space="preserve">تكنولوجيات المعلومات والاتصالات في برمجية تجارية أو مفتوحة المصدر مستعملة في شبكات الاتصالات </w:t>
      </w:r>
      <w:r w:rsidR="00827BAB">
        <w:rPr>
          <w:rFonts w:hint="cs"/>
          <w:rtl/>
          <w:lang w:bidi="ar-EG"/>
        </w:rPr>
        <w:t>أ</w:t>
      </w:r>
      <w:r>
        <w:rPr>
          <w:rFonts w:hint="cs"/>
          <w:rtl/>
          <w:lang w:bidi="ar-EG"/>
        </w:rPr>
        <w:t>و</w:t>
      </w:r>
      <w:r w:rsidR="00827BAB">
        <w:rPr>
          <w:rFonts w:hint="cs"/>
          <w:rtl/>
          <w:lang w:bidi="ar-EG"/>
        </w:rPr>
        <w:t xml:space="preserve"> أجهزة المستعملين النهائيين</w:t>
      </w:r>
      <w:r>
        <w:rPr>
          <w:rFonts w:hint="cs"/>
          <w:rtl/>
          <w:lang w:bidi="ar-EG"/>
        </w:rPr>
        <w:t xml:space="preserve"> أو أي نوع من تكنولوجيات المعلومات والاتصالات القادرة على تشغيل البرمجيات. ويتمثل هدف التوصية في تمكين مدراء تكنولوجيا المعلومات والاتصالات وموردي نشرات مواطن الضعف وموردي الخدمات الأمنية وموردي التطبيقات والباحثين في</w:t>
      </w:r>
      <w:r>
        <w:rPr>
          <w:rFonts w:hint="eastAsia"/>
          <w:rtl/>
          <w:lang w:bidi="ar-EG"/>
        </w:rPr>
        <w:t> </w:t>
      </w:r>
      <w:r>
        <w:rPr>
          <w:rFonts w:hint="cs"/>
          <w:rtl/>
          <w:lang w:bidi="ar-EG"/>
        </w:rPr>
        <w:t>التحدث بلغة مشتركة عند تقييم مواطن ضعف تكنولوجيا المعلومات والاتصالات</w:t>
      </w:r>
    </w:p>
    <w:p w:rsidR="008C197D" w:rsidRPr="00FF23E0" w:rsidRDefault="008C197D" w:rsidP="00265A6D">
      <w:pPr>
        <w:pStyle w:val="Headingb"/>
        <w:rPr>
          <w:rtl/>
          <w:lang w:bidi="ar-SA"/>
        </w:rPr>
      </w:pPr>
      <w:r w:rsidRPr="00FF23E0">
        <w:rPr>
          <w:rFonts w:hint="cs"/>
          <w:rtl/>
        </w:rPr>
        <w:t xml:space="preserve">مشروع التوصية ال‍جديدة </w:t>
      </w:r>
      <w:r w:rsidRPr="00FF23E0">
        <w:t>ITU-T X.</w:t>
      </w:r>
      <w:r w:rsidRPr="00D50AEC">
        <w:t>1602 (X.sfcse</w:t>
      </w:r>
      <w:r w:rsidRPr="00FF23E0">
        <w:t>)</w:t>
      </w:r>
      <w:r w:rsidRPr="00FF23E0">
        <w:rPr>
          <w:rFonts w:hint="cs"/>
          <w:rtl/>
        </w:rPr>
        <w:t xml:space="preserve">، </w:t>
      </w:r>
      <w:r w:rsidR="00265A6D">
        <w:rPr>
          <w:rFonts w:hint="cs"/>
          <w:rtl/>
        </w:rPr>
        <w:t>متطلبات الأمن من أجل بيئات تطبيقات البرمجية كخدمة</w:t>
      </w:r>
      <w:r w:rsidR="00265A6D">
        <w:rPr>
          <w:rtl/>
        </w:rPr>
        <w:tab/>
      </w:r>
      <w:r w:rsidR="00265A6D">
        <w:rPr>
          <w:rtl/>
        </w:rPr>
        <w:br/>
      </w:r>
      <w:r w:rsidRPr="00FF23E0">
        <w:t>COM</w:t>
      </w:r>
      <w:r>
        <w:t> </w:t>
      </w:r>
      <w:r w:rsidRPr="00FF23E0">
        <w:t>17</w:t>
      </w:r>
      <w:r>
        <w:t> </w:t>
      </w:r>
      <w:r w:rsidRPr="00FF23E0">
        <w:t>–</w:t>
      </w:r>
      <w:r>
        <w:t> </w:t>
      </w:r>
      <w:r w:rsidRPr="00FF23E0">
        <w:t>R</w:t>
      </w:r>
      <w:r>
        <w:t> </w:t>
      </w:r>
      <w:r w:rsidR="00446187">
        <w:t>52</w:t>
      </w:r>
      <w:r w:rsidR="00265A6D">
        <w:rPr>
          <w:rFonts w:hint="cs"/>
          <w:rtl/>
        </w:rPr>
        <w:t> </w:t>
      </w:r>
    </w:p>
    <w:p w:rsidR="008C197D" w:rsidRPr="00FF23E0" w:rsidRDefault="008C197D" w:rsidP="008C197D">
      <w:pPr>
        <w:pStyle w:val="Headingb"/>
        <w:rPr>
          <w:rtl/>
        </w:rPr>
      </w:pPr>
      <w:r w:rsidRPr="00FF23E0">
        <w:rPr>
          <w:rFonts w:hint="cs"/>
          <w:rtl/>
        </w:rPr>
        <w:t>ملخص</w:t>
      </w:r>
    </w:p>
    <w:p w:rsidR="008C197D" w:rsidRPr="00827BAB" w:rsidRDefault="00265A6D" w:rsidP="00827BAB">
      <w:pPr>
        <w:rPr>
          <w:rtl/>
          <w:lang w:bidi="ar-EG"/>
        </w:rPr>
      </w:pPr>
      <w:r w:rsidRPr="00827BAB">
        <w:rPr>
          <w:rFonts w:hint="cs"/>
          <w:rtl/>
          <w:lang w:bidi="ar-EG"/>
        </w:rPr>
        <w:t xml:space="preserve">تبحث التوصية </w:t>
      </w:r>
      <w:r w:rsidRPr="00827BAB">
        <w:t>ITU-T X.1602</w:t>
      </w:r>
      <w:r w:rsidRPr="00827BAB">
        <w:rPr>
          <w:rFonts w:hint="cs"/>
          <w:rtl/>
          <w:lang w:bidi="ar-EG"/>
        </w:rPr>
        <w:t xml:space="preserve"> في مستويات اكتمال تطبيقات البرمجية كخدمة </w:t>
      </w:r>
      <w:r w:rsidR="00F5198D" w:rsidRPr="00827BAB">
        <w:t>(SaaS)</w:t>
      </w:r>
      <w:r w:rsidR="00F5198D" w:rsidRPr="00827BAB">
        <w:rPr>
          <w:rFonts w:hint="cs"/>
          <w:rtl/>
        </w:rPr>
        <w:t xml:space="preserve"> وتقترح متطلبات أمن من أجل توفير بيئة متسقة وآمنة لتنفيذ الخدمات لتطبيقات البرمجية كخدمة. وتنطلق المتطلبات المقترحة من موردي الخدمات السحابية </w:t>
      </w:r>
      <w:r w:rsidR="00F5198D" w:rsidRPr="00827BAB">
        <w:t>(CSP)</w:t>
      </w:r>
      <w:r w:rsidR="00F5198D" w:rsidRPr="00827BAB">
        <w:rPr>
          <w:rFonts w:hint="cs"/>
          <w:rtl/>
          <w:lang w:bidi="ar-EG"/>
        </w:rPr>
        <w:t xml:space="preserve"> ومشاركي الخدمات السحابية </w:t>
      </w:r>
      <w:r w:rsidR="00F5198D" w:rsidRPr="00827BAB">
        <w:rPr>
          <w:lang w:bidi="ar-EG"/>
        </w:rPr>
        <w:t>(</w:t>
      </w:r>
      <w:r w:rsidR="00827BAB" w:rsidRPr="00827BAB">
        <w:rPr>
          <w:lang w:bidi="ar-EG"/>
        </w:rPr>
        <w:t>CSN</w:t>
      </w:r>
      <w:r w:rsidR="00F5198D" w:rsidRPr="00827BAB">
        <w:rPr>
          <w:lang w:bidi="ar-EG"/>
        </w:rPr>
        <w:t>)</w:t>
      </w:r>
      <w:r w:rsidR="00F5198D" w:rsidRPr="00827BAB">
        <w:rPr>
          <w:rFonts w:hint="cs"/>
          <w:rtl/>
          <w:lang w:bidi="ar-EG"/>
        </w:rPr>
        <w:t xml:space="preserve"> حيث يحتاجون إلى تطبيق من تطبيقات البرمجية كخدمة لتلبية طلباتهم فيما يتعلق بالأمن. وهذه المتطلبات عامة ولا</w:t>
      </w:r>
      <w:r w:rsidR="00F5198D" w:rsidRPr="00827BAB">
        <w:rPr>
          <w:rFonts w:hint="eastAsia"/>
          <w:rtl/>
          <w:lang w:bidi="ar-EG"/>
        </w:rPr>
        <w:t> </w:t>
      </w:r>
      <w:r w:rsidR="00F5198D" w:rsidRPr="00827BAB">
        <w:rPr>
          <w:rFonts w:hint="cs"/>
          <w:rtl/>
          <w:lang w:bidi="ar-EG"/>
        </w:rPr>
        <w:t xml:space="preserve">تعتمد على أي خدمة أو نموذج محدد بالسيناريو (مثل خدمات الويب أو نقل الحالة التمثيلية </w:t>
      </w:r>
      <w:r w:rsidR="00F5198D" w:rsidRPr="00827BAB">
        <w:rPr>
          <w:lang w:bidi="ar-EG"/>
        </w:rPr>
        <w:t>(REST)</w:t>
      </w:r>
      <w:r w:rsidR="00F5198D" w:rsidRPr="00827BAB">
        <w:rPr>
          <w:rFonts w:hint="cs"/>
          <w:rtl/>
          <w:lang w:bidi="ar-EG"/>
        </w:rPr>
        <w:t>) أو افتراضات أو</w:t>
      </w:r>
      <w:r w:rsidR="00F5198D" w:rsidRPr="00827BAB">
        <w:rPr>
          <w:rFonts w:hint="eastAsia"/>
          <w:rtl/>
          <w:lang w:bidi="ar-EG"/>
        </w:rPr>
        <w:t> </w:t>
      </w:r>
      <w:r w:rsidR="00F5198D" w:rsidRPr="00827BAB">
        <w:rPr>
          <w:rFonts w:hint="cs"/>
          <w:rtl/>
          <w:lang w:bidi="ar-EG"/>
        </w:rPr>
        <w:t>حلول.</w:t>
      </w:r>
    </w:p>
    <w:p w:rsidR="00446187" w:rsidRPr="00FF23E0" w:rsidRDefault="00446187" w:rsidP="00F5198D">
      <w:pPr>
        <w:pStyle w:val="Headingb"/>
        <w:rPr>
          <w:rtl/>
          <w:lang w:bidi="ar-SA"/>
        </w:rPr>
      </w:pPr>
      <w:r w:rsidRPr="00FF23E0">
        <w:rPr>
          <w:rFonts w:hint="cs"/>
          <w:rtl/>
        </w:rPr>
        <w:lastRenderedPageBreak/>
        <w:t xml:space="preserve">مشروع التوصية ال‍جديدة </w:t>
      </w:r>
      <w:r w:rsidRPr="00FF23E0">
        <w:t>ITU-T X.</w:t>
      </w:r>
      <w:r w:rsidRPr="0044658F">
        <w:t>1642 (X.goscc</w:t>
      </w:r>
      <w:r w:rsidRPr="00FF23E0">
        <w:t>)</w:t>
      </w:r>
      <w:r w:rsidRPr="00FF23E0">
        <w:rPr>
          <w:rFonts w:hint="cs"/>
          <w:rtl/>
        </w:rPr>
        <w:t xml:space="preserve">، </w:t>
      </w:r>
      <w:r w:rsidR="00F5198D">
        <w:rPr>
          <w:rFonts w:hint="cs"/>
          <w:rtl/>
          <w:lang w:bidi="ar-EG"/>
        </w:rPr>
        <w:t>مبادئ توجيهية من أجل الأمن التشغيلي للحوسبة السحابية</w:t>
      </w:r>
      <w:r w:rsidR="00F5198D">
        <w:rPr>
          <w:rtl/>
          <w:lang w:bidi="ar-EG"/>
        </w:rPr>
        <w:tab/>
      </w:r>
      <w:r w:rsidR="00F5198D">
        <w:rPr>
          <w:rtl/>
          <w:lang w:bidi="ar-EG"/>
        </w:rPr>
        <w:br/>
      </w:r>
      <w:r w:rsidRPr="00FF23E0">
        <w:t>COM</w:t>
      </w:r>
      <w:r>
        <w:t> </w:t>
      </w:r>
      <w:r w:rsidRPr="00FF23E0">
        <w:t>17</w:t>
      </w:r>
      <w:r>
        <w:t> </w:t>
      </w:r>
      <w:r w:rsidRPr="00FF23E0">
        <w:t>–</w:t>
      </w:r>
      <w:r>
        <w:t> </w:t>
      </w:r>
      <w:r w:rsidRPr="00FF23E0">
        <w:t>R</w:t>
      </w:r>
      <w:r>
        <w:t> 53</w:t>
      </w:r>
      <w:r w:rsidR="00F5198D">
        <w:rPr>
          <w:rFonts w:hint="cs"/>
          <w:rtl/>
        </w:rPr>
        <w:t> </w:t>
      </w:r>
    </w:p>
    <w:p w:rsidR="00446187" w:rsidRPr="00FF23E0" w:rsidRDefault="00446187" w:rsidP="00446187">
      <w:pPr>
        <w:pStyle w:val="Headingb"/>
        <w:rPr>
          <w:rtl/>
        </w:rPr>
      </w:pPr>
      <w:r w:rsidRPr="00FF23E0">
        <w:rPr>
          <w:rFonts w:hint="cs"/>
          <w:rtl/>
        </w:rPr>
        <w:t>ملخص</w:t>
      </w:r>
    </w:p>
    <w:p w:rsidR="00FF23E0" w:rsidRDefault="00F5198D" w:rsidP="00A77601">
      <w:pPr>
        <w:rPr>
          <w:rtl/>
        </w:rPr>
      </w:pPr>
      <w:r w:rsidRPr="00F5198D">
        <w:rPr>
          <w:rFonts w:hint="cs"/>
          <w:rtl/>
        </w:rPr>
        <w:t xml:space="preserve">تقدم التوصية </w:t>
      </w:r>
      <w:r w:rsidRPr="00F5198D">
        <w:t>ITU-T X.1642</w:t>
      </w:r>
      <w:r w:rsidRPr="00F5198D">
        <w:rPr>
          <w:rFonts w:hint="cs"/>
          <w:rtl/>
        </w:rPr>
        <w:t xml:space="preserve"> </w:t>
      </w:r>
      <w:r>
        <w:rPr>
          <w:rFonts w:hint="cs"/>
          <w:rtl/>
          <w:lang w:bidi="ar-EG"/>
        </w:rPr>
        <w:t>مبادئ توجيهية عامة للأمن التشغيلي للحوسبة السحابية من منظور موردي الخدمات السحابية. وهي تحلل المتطلبات والمقاييس الأمنية لتشغيل الحوسبة السحابية. كما تقدم التوصية مجموعة من التدابير الأمنية</w:t>
      </w:r>
      <w:r w:rsidR="00A77601">
        <w:rPr>
          <w:rFonts w:hint="cs"/>
          <w:rtl/>
          <w:lang w:bidi="ar-EG"/>
        </w:rPr>
        <w:t xml:space="preserve"> وأنشطة أمنية مفصلة من أجل التشغيل اليومي والصيانة لمساعدة موردي الخدمات السحابية في الحد من المخاطر الأمنية</w:t>
      </w:r>
      <w:r>
        <w:rPr>
          <w:rFonts w:hint="cs"/>
          <w:rtl/>
          <w:lang w:bidi="ar-EG"/>
        </w:rPr>
        <w:t xml:space="preserve"> ومواجهة التحديات الأمنية الخاصة بتشغيل الحوسبة السحابية.</w:t>
      </w:r>
    </w:p>
    <w:p w:rsidR="00F5198D" w:rsidRDefault="00F5198D" w:rsidP="00F5198D">
      <w:pPr>
        <w:spacing w:before="600"/>
        <w:jc w:val="center"/>
        <w:rPr>
          <w:rtl/>
        </w:rPr>
      </w:pPr>
      <w:r>
        <w:rPr>
          <w:rFonts w:hint="cs"/>
          <w:rtl/>
        </w:rPr>
        <w:t>__________</w:t>
      </w:r>
    </w:p>
    <w:sectPr w:rsidR="00F5198D" w:rsidSect="0030035F">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0F" w:rsidRDefault="00C71E0F" w:rsidP="0030035F">
      <w:pPr>
        <w:spacing w:before="0" w:line="240" w:lineRule="auto"/>
      </w:pPr>
      <w:r>
        <w:separator/>
      </w:r>
    </w:p>
  </w:endnote>
  <w:endnote w:type="continuationSeparator" w:id="0">
    <w:p w:rsidR="00C71E0F" w:rsidRDefault="00C71E0F"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973251" w:rsidRDefault="00973251" w:rsidP="009732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973251">
      <w:rPr>
        <w:rFonts w:eastAsia="Times New Roman" w:cs="Times New Roman"/>
        <w:caps/>
        <w:noProof/>
        <w:sz w:val="16"/>
        <w:szCs w:val="20"/>
        <w:lang w:val="fr-CH" w:eastAsia="en-US"/>
      </w:rPr>
      <w:t>ITU-T\BUREAU\CIRC\174</w:t>
    </w:r>
    <w:r>
      <w:rPr>
        <w:rFonts w:eastAsia="Times New Roman" w:cs="Times New Roman"/>
        <w:caps/>
        <w:noProof/>
        <w:sz w:val="16"/>
        <w:szCs w:val="20"/>
        <w:lang w:val="fr-CH" w:eastAsia="en-US"/>
      </w:rPr>
      <w:t>A</w:t>
    </w:r>
    <w:r w:rsidRPr="00973251">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2B4680" w:rsidRDefault="0030035F" w:rsidP="0030035F">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0F" w:rsidRDefault="00C71E0F" w:rsidP="0030035F">
      <w:pPr>
        <w:spacing w:before="0" w:line="240" w:lineRule="auto"/>
      </w:pPr>
      <w:r>
        <w:separator/>
      </w:r>
    </w:p>
  </w:footnote>
  <w:footnote w:type="continuationSeparator" w:id="0">
    <w:p w:rsidR="00C71E0F" w:rsidRDefault="00C71E0F"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B2044C" w:rsidP="00B2044C">
    <w:pPr>
      <w:pStyle w:val="Header"/>
      <w:bidi w:val="0"/>
      <w:spacing w:before="120" w:after="120"/>
      <w:jc w:val="center"/>
      <w:rPr>
        <w:rFonts w:cs="Calibri"/>
        <w:sz w:val="20"/>
        <w:szCs w:val="20"/>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6876D8">
      <w:rPr>
        <w:rFonts w:cs="Calibri"/>
        <w:noProof/>
        <w:sz w:val="20"/>
        <w:szCs w:val="20"/>
      </w:rPr>
      <w:t>4</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0F"/>
    <w:rsid w:val="00021E79"/>
    <w:rsid w:val="000324A9"/>
    <w:rsid w:val="00090574"/>
    <w:rsid w:val="000910C5"/>
    <w:rsid w:val="00097ABC"/>
    <w:rsid w:val="000E744B"/>
    <w:rsid w:val="000F7755"/>
    <w:rsid w:val="0015345D"/>
    <w:rsid w:val="001679EA"/>
    <w:rsid w:val="00173915"/>
    <w:rsid w:val="001A66D8"/>
    <w:rsid w:val="001A6A6B"/>
    <w:rsid w:val="002150CF"/>
    <w:rsid w:val="0023283D"/>
    <w:rsid w:val="00265A6D"/>
    <w:rsid w:val="002978F4"/>
    <w:rsid w:val="002B028D"/>
    <w:rsid w:val="002E2427"/>
    <w:rsid w:val="002E6541"/>
    <w:rsid w:val="0030035F"/>
    <w:rsid w:val="00303A70"/>
    <w:rsid w:val="00346EA2"/>
    <w:rsid w:val="00357185"/>
    <w:rsid w:val="003C18D6"/>
    <w:rsid w:val="003D2166"/>
    <w:rsid w:val="003F3A3F"/>
    <w:rsid w:val="003F678F"/>
    <w:rsid w:val="0042686F"/>
    <w:rsid w:val="00443869"/>
    <w:rsid w:val="00446187"/>
    <w:rsid w:val="004D77B9"/>
    <w:rsid w:val="00501E0E"/>
    <w:rsid w:val="005145B9"/>
    <w:rsid w:val="00521E65"/>
    <w:rsid w:val="0055516A"/>
    <w:rsid w:val="005A0987"/>
    <w:rsid w:val="005B79E9"/>
    <w:rsid w:val="005C378C"/>
    <w:rsid w:val="0061237D"/>
    <w:rsid w:val="00643E02"/>
    <w:rsid w:val="00647CB0"/>
    <w:rsid w:val="006876D8"/>
    <w:rsid w:val="006A4D4B"/>
    <w:rsid w:val="006E285E"/>
    <w:rsid w:val="006F23D5"/>
    <w:rsid w:val="006F63F7"/>
    <w:rsid w:val="00706D7A"/>
    <w:rsid w:val="00722D8F"/>
    <w:rsid w:val="007305F4"/>
    <w:rsid w:val="007B3839"/>
    <w:rsid w:val="00803F08"/>
    <w:rsid w:val="00811DFB"/>
    <w:rsid w:val="0081670D"/>
    <w:rsid w:val="008235CD"/>
    <w:rsid w:val="00826D84"/>
    <w:rsid w:val="00827BAB"/>
    <w:rsid w:val="008513CB"/>
    <w:rsid w:val="00876394"/>
    <w:rsid w:val="008C197D"/>
    <w:rsid w:val="008C1F9E"/>
    <w:rsid w:val="008C4A9F"/>
    <w:rsid w:val="00973251"/>
    <w:rsid w:val="00982B28"/>
    <w:rsid w:val="009A4B1F"/>
    <w:rsid w:val="009E6ED8"/>
    <w:rsid w:val="009F2073"/>
    <w:rsid w:val="00A77601"/>
    <w:rsid w:val="00A84685"/>
    <w:rsid w:val="00A96D6E"/>
    <w:rsid w:val="00A97F94"/>
    <w:rsid w:val="00AE69E7"/>
    <w:rsid w:val="00AE6B96"/>
    <w:rsid w:val="00B2044C"/>
    <w:rsid w:val="00B56914"/>
    <w:rsid w:val="00B6322E"/>
    <w:rsid w:val="00BB1FA2"/>
    <w:rsid w:val="00BE211E"/>
    <w:rsid w:val="00BE313D"/>
    <w:rsid w:val="00C23F7C"/>
    <w:rsid w:val="00C674FE"/>
    <w:rsid w:val="00C71E0F"/>
    <w:rsid w:val="00C75633"/>
    <w:rsid w:val="00CE2EE1"/>
    <w:rsid w:val="00CF3FFD"/>
    <w:rsid w:val="00D22647"/>
    <w:rsid w:val="00D77D0F"/>
    <w:rsid w:val="00DA1CF0"/>
    <w:rsid w:val="00DB192D"/>
    <w:rsid w:val="00DB4A65"/>
    <w:rsid w:val="00DC096E"/>
    <w:rsid w:val="00DC24B4"/>
    <w:rsid w:val="00DF16DC"/>
    <w:rsid w:val="00E17033"/>
    <w:rsid w:val="00E45211"/>
    <w:rsid w:val="00E52427"/>
    <w:rsid w:val="00E57497"/>
    <w:rsid w:val="00E666E1"/>
    <w:rsid w:val="00E90764"/>
    <w:rsid w:val="00EB6343"/>
    <w:rsid w:val="00ED4646"/>
    <w:rsid w:val="00EE0998"/>
    <w:rsid w:val="00F068E6"/>
    <w:rsid w:val="00F2170C"/>
    <w:rsid w:val="00F26857"/>
    <w:rsid w:val="00F5153B"/>
    <w:rsid w:val="00F5198D"/>
    <w:rsid w:val="00F84366"/>
    <w:rsid w:val="00F85089"/>
    <w:rsid w:val="00FA007A"/>
    <w:rsid w:val="00FA2959"/>
    <w:rsid w:val="00FC3590"/>
    <w:rsid w:val="00FF2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C7F81-7CE5-4196-AB90-537C26A6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F2073"/>
    <w:rPr>
      <w:color w:val="0000FA"/>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styleId="FollowedHyperlink">
    <w:name w:val="FollowedHyperlink"/>
    <w:basedOn w:val="DefaultParagraphFont"/>
    <w:uiPriority w:val="99"/>
    <w:semiHidden/>
    <w:unhideWhenUsed/>
    <w:rsid w:val="00D22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28431-B303-4DF3-AA90-048A63CB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dc:creator>
  <cp:keywords/>
  <dc:description>174A.DOCX  For: _x000d_Document date: _x000d_Saved by ITU51006837 at 16:43:28 on 09/11/15</dc:description>
  <cp:lastModifiedBy>Bettini, Nadine</cp:lastModifiedBy>
  <cp:revision>2</cp:revision>
  <dcterms:created xsi:type="dcterms:W3CDTF">2015-11-12T07:18:00Z</dcterms:created>
  <dcterms:modified xsi:type="dcterms:W3CDTF">2015-11-12T07:18:00Z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