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06D15" w:rsidRPr="00AB5F62" w:rsidTr="00306D15">
        <w:trPr>
          <w:cantSplit/>
        </w:trPr>
        <w:tc>
          <w:tcPr>
            <w:tcW w:w="1276" w:type="dxa"/>
            <w:vAlign w:val="center"/>
          </w:tcPr>
          <w:p w:rsidR="00306D15" w:rsidRPr="00AB5F62" w:rsidRDefault="00306D15" w:rsidP="00303D62">
            <w:pPr>
              <w:tabs>
                <w:tab w:val="right" w:pos="8732"/>
              </w:tabs>
              <w:spacing w:before="0"/>
              <w:rPr>
                <w:rFonts w:ascii="Verdana" w:hAnsi="Verdana"/>
                <w:b/>
                <w:bCs/>
                <w:color w:val="FFFFFF"/>
                <w:sz w:val="26"/>
                <w:szCs w:val="26"/>
              </w:rPr>
            </w:pPr>
            <w:bookmarkStart w:id="0" w:name="ditulogo"/>
            <w:bookmarkEnd w:id="0"/>
            <w:r w:rsidRPr="00AB5F62">
              <w:rPr>
                <w:noProof/>
                <w:lang w:val="en-US" w:eastAsia="zh-CN"/>
              </w:rPr>
              <w:drawing>
                <wp:inline distT="0" distB="0" distL="0" distR="0" wp14:anchorId="2BC42FD1" wp14:editId="206B245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91430" w:rsidRPr="00AB5F62" w:rsidRDefault="00991430" w:rsidP="00991430">
            <w:pPr>
              <w:spacing w:before="0"/>
              <w:rPr>
                <w:rFonts w:cs="Times New Roman Bold"/>
                <w:b/>
                <w:bCs/>
                <w:iCs/>
                <w:smallCaps/>
                <w:sz w:val="34"/>
                <w:szCs w:val="34"/>
              </w:rPr>
            </w:pPr>
            <w:r w:rsidRPr="00AB5F62">
              <w:rPr>
                <w:rFonts w:cs="Times New Roman Bold"/>
                <w:b/>
                <w:bCs/>
                <w:iCs/>
                <w:smallCaps/>
                <w:sz w:val="34"/>
                <w:szCs w:val="34"/>
              </w:rPr>
              <w:t>Unión Internacional de Telecomunicaciones</w:t>
            </w:r>
          </w:p>
          <w:p w:rsidR="00306D15" w:rsidRPr="00AB5F62" w:rsidRDefault="00991430" w:rsidP="00991430">
            <w:pPr>
              <w:tabs>
                <w:tab w:val="right" w:pos="8732"/>
              </w:tabs>
              <w:spacing w:before="0"/>
              <w:rPr>
                <w:rFonts w:ascii="Verdana" w:hAnsi="Verdana"/>
                <w:b/>
                <w:bCs/>
                <w:color w:val="FFFFFF"/>
                <w:sz w:val="26"/>
                <w:szCs w:val="26"/>
              </w:rPr>
            </w:pPr>
            <w:r w:rsidRPr="00AB5F62">
              <w:rPr>
                <w:rFonts w:cs="Times New Roman Bold"/>
                <w:b/>
                <w:bCs/>
                <w:iCs/>
                <w:smallCaps/>
                <w:sz w:val="28"/>
                <w:szCs w:val="28"/>
              </w:rPr>
              <w:t>Oficina de Normalización de las Telecomunicaciones</w:t>
            </w:r>
          </w:p>
        </w:tc>
        <w:tc>
          <w:tcPr>
            <w:tcW w:w="1984" w:type="dxa"/>
            <w:vAlign w:val="center"/>
          </w:tcPr>
          <w:p w:rsidR="00306D15" w:rsidRPr="00AB5F62" w:rsidRDefault="00306D15" w:rsidP="00303D62">
            <w:pPr>
              <w:spacing w:before="0"/>
              <w:jc w:val="right"/>
              <w:rPr>
                <w:rFonts w:ascii="Verdana" w:hAnsi="Verdana"/>
                <w:color w:val="FFFFFF"/>
                <w:sz w:val="26"/>
                <w:szCs w:val="26"/>
              </w:rPr>
            </w:pPr>
            <w:r w:rsidRPr="00AB5F62">
              <w:rPr>
                <w:noProof/>
                <w:lang w:val="en-US" w:eastAsia="zh-CN"/>
              </w:rPr>
              <w:drawing>
                <wp:inline distT="0" distB="0" distL="0" distR="0" wp14:anchorId="0DF918A7" wp14:editId="2833812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AB5F62" w:rsidTr="00303D62">
        <w:trPr>
          <w:cantSplit/>
        </w:trPr>
        <w:tc>
          <w:tcPr>
            <w:tcW w:w="6426" w:type="dxa"/>
            <w:gridSpan w:val="2"/>
            <w:vAlign w:val="center"/>
          </w:tcPr>
          <w:p w:rsidR="00C34772" w:rsidRPr="00AB5F62"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AB5F62" w:rsidRDefault="00C34772" w:rsidP="00303D62">
            <w:pPr>
              <w:spacing w:before="0"/>
              <w:ind w:left="993" w:hanging="993"/>
              <w:jc w:val="right"/>
              <w:rPr>
                <w:rFonts w:ascii="Verdana" w:hAnsi="Verdana"/>
                <w:sz w:val="18"/>
                <w:szCs w:val="18"/>
              </w:rPr>
            </w:pPr>
          </w:p>
        </w:tc>
      </w:tr>
    </w:tbl>
    <w:p w:rsidR="00C34772" w:rsidRPr="00AB5F62" w:rsidRDefault="00C34772" w:rsidP="00B64C95">
      <w:pPr>
        <w:tabs>
          <w:tab w:val="clear" w:pos="794"/>
          <w:tab w:val="clear" w:pos="1191"/>
          <w:tab w:val="clear" w:pos="1588"/>
          <w:tab w:val="clear" w:pos="1985"/>
          <w:tab w:val="left" w:pos="4962"/>
        </w:tabs>
      </w:pPr>
      <w:r w:rsidRPr="00AB5F62">
        <w:tab/>
        <w:t xml:space="preserve">Ginebra, </w:t>
      </w:r>
      <w:r w:rsidR="00B64C95">
        <w:rPr>
          <w:szCs w:val="24"/>
        </w:rPr>
        <w:t>11 de septiembre</w:t>
      </w:r>
      <w:r w:rsidR="003E1264" w:rsidRPr="00AB5F62">
        <w:rPr>
          <w:szCs w:val="24"/>
        </w:rPr>
        <w:t xml:space="preserve"> de 2015</w:t>
      </w:r>
    </w:p>
    <w:p w:rsidR="003E1264" w:rsidRPr="00AB5F62" w:rsidRDefault="003E1264">
      <w:pPr>
        <w:tabs>
          <w:tab w:val="clear" w:pos="794"/>
          <w:tab w:val="clear" w:pos="1191"/>
          <w:tab w:val="clear" w:pos="1588"/>
          <w:tab w:val="clear" w:pos="1985"/>
        </w:tabs>
        <w:overflowPunct/>
        <w:autoSpaceDE/>
        <w:autoSpaceDN/>
        <w:adjustRightInd/>
        <w:spacing w:before="0"/>
        <w:textAlignment w:val="auto"/>
      </w:pPr>
    </w:p>
    <w:tbl>
      <w:tblPr>
        <w:tblW w:w="9809" w:type="dxa"/>
        <w:tblInd w:w="8" w:type="dxa"/>
        <w:tblLayout w:type="fixed"/>
        <w:tblCellMar>
          <w:left w:w="0" w:type="dxa"/>
          <w:right w:w="0" w:type="dxa"/>
        </w:tblCellMar>
        <w:tblLook w:val="0000" w:firstRow="0" w:lastRow="0" w:firstColumn="0" w:lastColumn="0" w:noHBand="0" w:noVBand="0"/>
      </w:tblPr>
      <w:tblGrid>
        <w:gridCol w:w="1140"/>
        <w:gridCol w:w="3453"/>
        <w:gridCol w:w="5216"/>
      </w:tblGrid>
      <w:tr w:rsidR="003E1264" w:rsidRPr="00AB5F62" w:rsidTr="00AB5F62">
        <w:trPr>
          <w:cantSplit/>
          <w:trHeight w:val="340"/>
        </w:trPr>
        <w:tc>
          <w:tcPr>
            <w:tcW w:w="1140" w:type="dxa"/>
          </w:tcPr>
          <w:p w:rsidR="003E1264" w:rsidRPr="00E93CCF" w:rsidRDefault="003E1264" w:rsidP="00E93CCF">
            <w:pPr>
              <w:tabs>
                <w:tab w:val="left" w:pos="4111"/>
              </w:tabs>
              <w:spacing w:before="0"/>
              <w:ind w:left="57"/>
              <w:rPr>
                <w:szCs w:val="24"/>
              </w:rPr>
            </w:pPr>
            <w:r w:rsidRPr="00E93CCF">
              <w:rPr>
                <w:szCs w:val="24"/>
              </w:rPr>
              <w:t>Ref.:</w:t>
            </w:r>
          </w:p>
          <w:p w:rsidR="00B64C95" w:rsidRPr="00E93CCF" w:rsidRDefault="00B64C95" w:rsidP="00081D32">
            <w:pPr>
              <w:tabs>
                <w:tab w:val="left" w:pos="4111"/>
              </w:tabs>
              <w:ind w:left="57"/>
              <w:rPr>
                <w:szCs w:val="24"/>
              </w:rPr>
            </w:pPr>
            <w:r w:rsidRPr="00E93CCF">
              <w:rPr>
                <w:szCs w:val="24"/>
              </w:rPr>
              <w:t>Contacto:</w:t>
            </w:r>
          </w:p>
          <w:p w:rsidR="003E1264" w:rsidRPr="00E93CCF" w:rsidRDefault="00B64C95" w:rsidP="00E93CCF">
            <w:pPr>
              <w:tabs>
                <w:tab w:val="left" w:pos="4111"/>
              </w:tabs>
              <w:spacing w:before="0"/>
              <w:ind w:left="57"/>
              <w:rPr>
                <w:szCs w:val="24"/>
              </w:rPr>
            </w:pPr>
            <w:r w:rsidRPr="00E93CCF">
              <w:rPr>
                <w:szCs w:val="24"/>
              </w:rPr>
              <w:t>Tel.:</w:t>
            </w:r>
          </w:p>
          <w:p w:rsidR="00AB5F62" w:rsidRPr="00E93CCF" w:rsidRDefault="00B64C95" w:rsidP="00E93CCF">
            <w:pPr>
              <w:tabs>
                <w:tab w:val="left" w:pos="4111"/>
              </w:tabs>
              <w:spacing w:before="0"/>
              <w:ind w:left="57"/>
              <w:rPr>
                <w:szCs w:val="24"/>
              </w:rPr>
            </w:pPr>
            <w:r w:rsidRPr="00E93CCF">
              <w:rPr>
                <w:szCs w:val="24"/>
              </w:rPr>
              <w:t>Fax:</w:t>
            </w:r>
          </w:p>
          <w:p w:rsidR="003E1264" w:rsidRPr="00E93CCF" w:rsidRDefault="00B64C95" w:rsidP="00081D32">
            <w:pPr>
              <w:tabs>
                <w:tab w:val="left" w:pos="4111"/>
              </w:tabs>
              <w:ind w:left="57"/>
              <w:rPr>
                <w:szCs w:val="24"/>
              </w:rPr>
            </w:pPr>
            <w:r w:rsidRPr="00E93CCF">
              <w:rPr>
                <w:szCs w:val="24"/>
              </w:rPr>
              <w:t>Correo-e:</w:t>
            </w:r>
          </w:p>
        </w:tc>
        <w:tc>
          <w:tcPr>
            <w:tcW w:w="3453" w:type="dxa"/>
          </w:tcPr>
          <w:p w:rsidR="00081D32" w:rsidRDefault="003E1264" w:rsidP="00081D32">
            <w:pPr>
              <w:tabs>
                <w:tab w:val="left" w:pos="4111"/>
              </w:tabs>
              <w:spacing w:before="0"/>
              <w:ind w:left="57"/>
              <w:rPr>
                <w:b/>
                <w:szCs w:val="24"/>
              </w:rPr>
            </w:pPr>
            <w:r w:rsidRPr="00A74342">
              <w:rPr>
                <w:b/>
                <w:szCs w:val="24"/>
              </w:rPr>
              <w:t xml:space="preserve">Circular TSB </w:t>
            </w:r>
            <w:r w:rsidR="00B64C95" w:rsidRPr="00A74342">
              <w:rPr>
                <w:b/>
                <w:szCs w:val="24"/>
              </w:rPr>
              <w:t>172</w:t>
            </w:r>
          </w:p>
          <w:p w:rsidR="003E1264" w:rsidRPr="00E93CCF" w:rsidRDefault="003E1264" w:rsidP="00081D32">
            <w:pPr>
              <w:tabs>
                <w:tab w:val="left" w:pos="4111"/>
              </w:tabs>
              <w:ind w:left="57"/>
              <w:rPr>
                <w:szCs w:val="24"/>
              </w:rPr>
            </w:pPr>
            <w:r w:rsidRPr="00E93CCF">
              <w:rPr>
                <w:szCs w:val="24"/>
              </w:rPr>
              <w:t>Kaoru Mizuno</w:t>
            </w:r>
          </w:p>
          <w:p w:rsidR="00AB5F62" w:rsidRPr="00E93CCF" w:rsidRDefault="00B64C95" w:rsidP="00081D32">
            <w:pPr>
              <w:tabs>
                <w:tab w:val="left" w:pos="4111"/>
              </w:tabs>
              <w:spacing w:before="0"/>
              <w:ind w:left="57"/>
              <w:rPr>
                <w:szCs w:val="24"/>
              </w:rPr>
            </w:pPr>
            <w:r w:rsidRPr="00E93CCF">
              <w:rPr>
                <w:szCs w:val="24"/>
              </w:rPr>
              <w:t>+41 22 730 6226</w:t>
            </w:r>
          </w:p>
          <w:p w:rsidR="00081D32" w:rsidRDefault="00B64C95" w:rsidP="00081D32">
            <w:pPr>
              <w:tabs>
                <w:tab w:val="left" w:pos="4111"/>
              </w:tabs>
              <w:spacing w:before="0"/>
              <w:ind w:left="57"/>
              <w:rPr>
                <w:szCs w:val="24"/>
              </w:rPr>
            </w:pPr>
            <w:r w:rsidRPr="00E93CCF">
              <w:rPr>
                <w:szCs w:val="24"/>
              </w:rPr>
              <w:t>+41 22 730 5853</w:t>
            </w:r>
          </w:p>
          <w:p w:rsidR="003E1264" w:rsidRPr="00E93CCF" w:rsidRDefault="00E05955" w:rsidP="00081D32">
            <w:pPr>
              <w:tabs>
                <w:tab w:val="left" w:pos="4111"/>
              </w:tabs>
              <w:ind w:left="57"/>
              <w:rPr>
                <w:szCs w:val="24"/>
              </w:rPr>
            </w:pPr>
            <w:hyperlink r:id="rId10" w:history="1">
              <w:r w:rsidR="00A87E50" w:rsidRPr="00D7148A">
                <w:rPr>
                  <w:rStyle w:val="Hyperlink"/>
                  <w:szCs w:val="24"/>
                </w:rPr>
                <w:t>interop@itu.int</w:t>
              </w:r>
            </w:hyperlink>
          </w:p>
        </w:tc>
        <w:tc>
          <w:tcPr>
            <w:tcW w:w="5216" w:type="dxa"/>
          </w:tcPr>
          <w:p w:rsidR="003E1264" w:rsidRPr="00AB5F62" w:rsidRDefault="003E1264" w:rsidP="00B64C95">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bookmarkStart w:id="1" w:name="Addressee_S"/>
            <w:bookmarkEnd w:id="1"/>
            <w:r w:rsidRPr="00AB5F62">
              <w:rPr>
                <w:rFonts w:eastAsiaTheme="minorEastAsia"/>
                <w:szCs w:val="24"/>
              </w:rPr>
              <w:t>–</w:t>
            </w:r>
            <w:r w:rsidRPr="00AB5F62">
              <w:rPr>
                <w:rFonts w:eastAsiaTheme="minorEastAsia"/>
                <w:szCs w:val="24"/>
              </w:rPr>
              <w:tab/>
              <w:t>A las Administraciones de los Estados Miembros de la Unión;</w:t>
            </w:r>
          </w:p>
          <w:p w:rsidR="003E1264" w:rsidRPr="00AB5F62" w:rsidRDefault="003E1264" w:rsidP="00D366DC">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 xml:space="preserve">A </w:t>
            </w:r>
            <w:r w:rsidR="00D366DC">
              <w:rPr>
                <w:rFonts w:eastAsiaTheme="minorEastAsia"/>
                <w:szCs w:val="24"/>
              </w:rPr>
              <w:t>los Miembros del Sector UIT-T</w:t>
            </w:r>
            <w:r w:rsidRPr="00AB5F62">
              <w:rPr>
                <w:rFonts w:eastAsiaTheme="minorEastAsia"/>
                <w:szCs w:val="24"/>
              </w:rPr>
              <w:t>;</w:t>
            </w:r>
          </w:p>
          <w:p w:rsidR="003E1264" w:rsidRPr="00AB5F62" w:rsidRDefault="00D366DC" w:rsidP="00B64C95">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Pr>
                <w:rFonts w:eastAsiaTheme="minorEastAsia"/>
                <w:szCs w:val="24"/>
              </w:rPr>
              <w:t>–</w:t>
            </w:r>
            <w:r>
              <w:rPr>
                <w:rFonts w:eastAsiaTheme="minorEastAsia"/>
                <w:szCs w:val="24"/>
              </w:rPr>
              <w:tab/>
              <w:t>A los Asociados del</w:t>
            </w:r>
            <w:r w:rsidR="003E1264" w:rsidRPr="00AB5F62">
              <w:rPr>
                <w:rFonts w:eastAsiaTheme="minorEastAsia"/>
                <w:szCs w:val="24"/>
              </w:rPr>
              <w:t xml:space="preserve"> UIT</w:t>
            </w:r>
            <w:r>
              <w:rPr>
                <w:rFonts w:eastAsiaTheme="minorEastAsia"/>
                <w:szCs w:val="24"/>
              </w:rPr>
              <w:t>-T</w:t>
            </w:r>
            <w:r w:rsidR="003E1264" w:rsidRPr="00AB5F62">
              <w:rPr>
                <w:rFonts w:eastAsiaTheme="minorEastAsia"/>
                <w:szCs w:val="24"/>
              </w:rPr>
              <w:t>;</w:t>
            </w:r>
          </w:p>
          <w:p w:rsidR="003E1264" w:rsidRPr="00AB5F62" w:rsidRDefault="003E1264" w:rsidP="00A74342">
            <w:pPr>
              <w:tabs>
                <w:tab w:val="clear" w:pos="794"/>
                <w:tab w:val="clear" w:pos="1191"/>
                <w:tab w:val="clear" w:pos="1588"/>
                <w:tab w:val="clear" w:pos="1985"/>
                <w:tab w:val="left" w:pos="284"/>
              </w:tabs>
              <w:overflowPunct/>
              <w:autoSpaceDE/>
              <w:autoSpaceDN/>
              <w:adjustRightInd/>
              <w:spacing w:before="0"/>
              <w:ind w:left="284" w:hanging="284"/>
              <w:textAlignment w:val="auto"/>
            </w:pPr>
            <w:r w:rsidRPr="00AB5F62">
              <w:rPr>
                <w:rFonts w:eastAsiaTheme="minorEastAsia"/>
                <w:szCs w:val="24"/>
              </w:rPr>
              <w:t>–</w:t>
            </w:r>
            <w:r w:rsidRPr="00AB5F62">
              <w:rPr>
                <w:rFonts w:eastAsiaTheme="minorEastAsia"/>
                <w:szCs w:val="24"/>
              </w:rPr>
              <w:tab/>
              <w:t>A las Instituciones Académicas de la UIT</w:t>
            </w:r>
          </w:p>
        </w:tc>
      </w:tr>
      <w:tr w:rsidR="003E1264" w:rsidRPr="00AB5F62" w:rsidTr="00AB5F62">
        <w:trPr>
          <w:cantSplit/>
        </w:trPr>
        <w:tc>
          <w:tcPr>
            <w:tcW w:w="1140" w:type="dxa"/>
          </w:tcPr>
          <w:p w:rsidR="003E1264" w:rsidRPr="00E93CCF" w:rsidRDefault="003E1264" w:rsidP="00E93CCF">
            <w:pPr>
              <w:tabs>
                <w:tab w:val="left" w:pos="4111"/>
              </w:tabs>
              <w:spacing w:before="0"/>
              <w:ind w:left="57"/>
              <w:rPr>
                <w:szCs w:val="24"/>
              </w:rPr>
            </w:pPr>
          </w:p>
        </w:tc>
        <w:tc>
          <w:tcPr>
            <w:tcW w:w="3453" w:type="dxa"/>
          </w:tcPr>
          <w:p w:rsidR="003E1264" w:rsidRPr="00E93CCF" w:rsidRDefault="003E1264" w:rsidP="00E93CCF">
            <w:pPr>
              <w:tabs>
                <w:tab w:val="left" w:pos="4111"/>
              </w:tabs>
              <w:spacing w:before="0"/>
              <w:ind w:left="57"/>
              <w:rPr>
                <w:szCs w:val="24"/>
              </w:rPr>
            </w:pPr>
          </w:p>
        </w:tc>
        <w:tc>
          <w:tcPr>
            <w:tcW w:w="5216" w:type="dxa"/>
          </w:tcPr>
          <w:p w:rsidR="003E1264" w:rsidRPr="00AB5F62" w:rsidRDefault="003E1264" w:rsidP="00303D62">
            <w:pPr>
              <w:tabs>
                <w:tab w:val="left" w:pos="4111"/>
              </w:tabs>
              <w:spacing w:before="0"/>
            </w:pPr>
            <w:r w:rsidRPr="00AB5F62">
              <w:rPr>
                <w:b/>
              </w:rPr>
              <w:t>Copia</w:t>
            </w:r>
            <w:r w:rsidRPr="00AB5F62">
              <w:t>:</w:t>
            </w:r>
          </w:p>
          <w:p w:rsidR="003E1264" w:rsidRPr="00AB5F62" w:rsidRDefault="003E1264" w:rsidP="00B64C95">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Al Presidente y a los Vicepresidentes de las</w:t>
            </w:r>
            <w:r w:rsidRPr="00AB5F62">
              <w:rPr>
                <w:rFonts w:eastAsiaTheme="minorEastAsia"/>
                <w:szCs w:val="24"/>
              </w:rPr>
              <w:br/>
              <w:t>Comisiones de Estudio del UIT</w:t>
            </w:r>
            <w:r w:rsidRPr="00AB5F62">
              <w:rPr>
                <w:rFonts w:eastAsiaTheme="minorEastAsia"/>
                <w:szCs w:val="24"/>
              </w:rPr>
              <w:noBreakHyphen/>
              <w:t>T;</w:t>
            </w:r>
          </w:p>
          <w:p w:rsidR="003E1264" w:rsidRPr="00AB5F62" w:rsidRDefault="003E1264" w:rsidP="00B64C95">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Al Director de la Oficina de Desarrollo de las Telecomunicaciones;</w:t>
            </w:r>
          </w:p>
          <w:p w:rsidR="003E1264" w:rsidRPr="00AB5F62" w:rsidRDefault="003E1264" w:rsidP="00A74342">
            <w:pPr>
              <w:tabs>
                <w:tab w:val="clear" w:pos="794"/>
                <w:tab w:val="clear" w:pos="1191"/>
                <w:tab w:val="clear" w:pos="1588"/>
                <w:tab w:val="clear" w:pos="1985"/>
                <w:tab w:val="left" w:pos="284"/>
              </w:tabs>
              <w:overflowPunct/>
              <w:autoSpaceDE/>
              <w:autoSpaceDN/>
              <w:adjustRightInd/>
              <w:spacing w:before="0"/>
              <w:ind w:left="284" w:hanging="284"/>
              <w:textAlignment w:val="auto"/>
            </w:pPr>
            <w:r w:rsidRPr="00AB5F62">
              <w:rPr>
                <w:rFonts w:eastAsiaTheme="minorEastAsia"/>
                <w:szCs w:val="24"/>
              </w:rPr>
              <w:t>–</w:t>
            </w:r>
            <w:r w:rsidRPr="00AB5F62">
              <w:rPr>
                <w:rFonts w:eastAsiaTheme="minorEastAsia"/>
                <w:szCs w:val="24"/>
              </w:rPr>
              <w:tab/>
              <w:t>Al Director de la Oficina de Radioc</w:t>
            </w:r>
            <w:r w:rsidR="00B64C95">
              <w:rPr>
                <w:rFonts w:eastAsiaTheme="minorEastAsia"/>
                <w:szCs w:val="24"/>
              </w:rPr>
              <w:t>omunicaciones</w:t>
            </w:r>
          </w:p>
        </w:tc>
      </w:tr>
    </w:tbl>
    <w:p w:rsidR="003E1264" w:rsidRPr="00AB5F62" w:rsidRDefault="003E1264" w:rsidP="00B64C95">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7237"/>
      </w:tblGrid>
      <w:tr w:rsidR="003E1264" w:rsidRPr="00AB5F62" w:rsidTr="00AB5F62">
        <w:trPr>
          <w:cantSplit/>
        </w:trPr>
        <w:tc>
          <w:tcPr>
            <w:tcW w:w="1126" w:type="dxa"/>
          </w:tcPr>
          <w:p w:rsidR="003E1264" w:rsidRPr="00AB5F62" w:rsidRDefault="003E1264" w:rsidP="007A545D">
            <w:pPr>
              <w:tabs>
                <w:tab w:val="left" w:pos="4111"/>
              </w:tabs>
              <w:spacing w:before="60"/>
              <w:ind w:left="57"/>
              <w:rPr>
                <w:szCs w:val="24"/>
              </w:rPr>
            </w:pPr>
            <w:proofErr w:type="spellStart"/>
            <w:r w:rsidRPr="007A545D">
              <w:rPr>
                <w:rFonts w:eastAsiaTheme="minorEastAsia"/>
                <w:szCs w:val="24"/>
                <w:lang w:val="fr-FR"/>
              </w:rPr>
              <w:t>Asunto</w:t>
            </w:r>
            <w:proofErr w:type="spellEnd"/>
            <w:r w:rsidRPr="00AB5F62">
              <w:rPr>
                <w:szCs w:val="24"/>
              </w:rPr>
              <w:t>:</w:t>
            </w:r>
          </w:p>
        </w:tc>
        <w:tc>
          <w:tcPr>
            <w:tcW w:w="7237" w:type="dxa"/>
          </w:tcPr>
          <w:p w:rsidR="003E1264" w:rsidRPr="00AB5F62" w:rsidRDefault="003E1264" w:rsidP="00B64C95">
            <w:pPr>
              <w:tabs>
                <w:tab w:val="left" w:pos="4111"/>
              </w:tabs>
              <w:spacing w:before="60"/>
              <w:ind w:left="57"/>
              <w:rPr>
                <w:b/>
                <w:szCs w:val="24"/>
              </w:rPr>
            </w:pPr>
            <w:r w:rsidRPr="00AB5F62">
              <w:rPr>
                <w:b/>
                <w:szCs w:val="24"/>
              </w:rPr>
              <w:t xml:space="preserve">Evento </w:t>
            </w:r>
            <w:r w:rsidR="00B64C95">
              <w:rPr>
                <w:b/>
                <w:szCs w:val="24"/>
              </w:rPr>
              <w:t xml:space="preserve">de realización de pruebas de TVIP, Ginebra (Suiza), 14-15 de octubre de </w:t>
            </w:r>
            <w:r w:rsidRPr="00AB5F62">
              <w:rPr>
                <w:b/>
                <w:szCs w:val="24"/>
              </w:rPr>
              <w:t>2015</w:t>
            </w:r>
          </w:p>
        </w:tc>
      </w:tr>
    </w:tbl>
    <w:p w:rsidR="003E1264" w:rsidRPr="00AB5F62" w:rsidRDefault="003E1264" w:rsidP="00A74342">
      <w:bookmarkStart w:id="2" w:name="StartTyping_S"/>
      <w:bookmarkStart w:id="3" w:name="suitetext"/>
      <w:bookmarkStart w:id="4" w:name="text"/>
      <w:bookmarkEnd w:id="2"/>
      <w:bookmarkEnd w:id="3"/>
      <w:bookmarkEnd w:id="4"/>
      <w:r w:rsidRPr="00AB5F62">
        <w:t>Muy Señora mía/muy Señor mío:</w:t>
      </w:r>
    </w:p>
    <w:p w:rsidR="003E1264" w:rsidRPr="00AB5F62" w:rsidRDefault="003E1264" w:rsidP="00891B55">
      <w:pPr>
        <w:rPr>
          <w:bCs/>
        </w:rPr>
      </w:pPr>
      <w:r w:rsidRPr="00AB5F62">
        <w:rPr>
          <w:bCs/>
        </w:rPr>
        <w:t>1</w:t>
      </w:r>
      <w:r w:rsidRPr="00AB5F62">
        <w:rPr>
          <w:bCs/>
        </w:rPr>
        <w:tab/>
      </w:r>
      <w:r w:rsidRPr="00AB5F62">
        <w:t xml:space="preserve">Tengo el gusto de comunicarle que </w:t>
      </w:r>
      <w:r w:rsidR="00B64C95">
        <w:t xml:space="preserve">el </w:t>
      </w:r>
      <w:r w:rsidR="00B64C95" w:rsidRPr="00B64C95">
        <w:t>Evento de realización de pruebas de TVIP</w:t>
      </w:r>
      <w:r w:rsidR="00B64C95">
        <w:t xml:space="preserve"> de la UIT tendrá lugar los días 14 y 15 de octubre de 2015 en la </w:t>
      </w:r>
      <w:r w:rsidR="00081D32">
        <w:t xml:space="preserve">Sede </w:t>
      </w:r>
      <w:r w:rsidR="00B64C95">
        <w:t>de la UIT en</w:t>
      </w:r>
      <w:r w:rsidR="00B64C95" w:rsidRPr="00B64C95">
        <w:t xml:space="preserve"> Ginebra (Suiza</w:t>
      </w:r>
      <w:r w:rsidR="00B64C95">
        <w:t>)</w:t>
      </w:r>
      <w:r w:rsidRPr="00AB5F62">
        <w:t>.</w:t>
      </w:r>
    </w:p>
    <w:p w:rsidR="003E1264" w:rsidRPr="00AB5F62" w:rsidRDefault="003E1264" w:rsidP="00B64C95">
      <w:pPr>
        <w:rPr>
          <w:bCs/>
        </w:rPr>
      </w:pPr>
      <w:r w:rsidRPr="00AB5F62">
        <w:rPr>
          <w:bCs/>
        </w:rPr>
        <w:t>2</w:t>
      </w:r>
      <w:r w:rsidRPr="00AB5F62">
        <w:rPr>
          <w:bCs/>
        </w:rPr>
        <w:tab/>
      </w:r>
      <w:r w:rsidRPr="00AB5F62">
        <w:t xml:space="preserve">El evento constará de </w:t>
      </w:r>
      <w:r w:rsidR="00B64C95">
        <w:t>dos</w:t>
      </w:r>
      <w:r w:rsidRPr="00AB5F62">
        <w:t xml:space="preserve"> partes</w:t>
      </w:r>
      <w:r w:rsidR="00891B55">
        <w:t>,</w:t>
      </w:r>
      <w:r w:rsidRPr="00AB5F62">
        <w:t xml:space="preserve"> programadas como sigue:</w:t>
      </w:r>
    </w:p>
    <w:p w:rsidR="00CF4FBC" w:rsidRDefault="003E1264" w:rsidP="00081D32">
      <w:pPr>
        <w:pStyle w:val="enumlev1"/>
      </w:pPr>
      <w:r w:rsidRPr="00AB5F62">
        <w:t>1)</w:t>
      </w:r>
      <w:r w:rsidRPr="00AB5F62">
        <w:tab/>
      </w:r>
      <w:r w:rsidRPr="00AB5F62">
        <w:rPr>
          <w:b/>
          <w:bCs/>
        </w:rPr>
        <w:t>Pruebas</w:t>
      </w:r>
      <w:r w:rsidRPr="00AB5F62">
        <w:t xml:space="preserve"> de </w:t>
      </w:r>
      <w:r w:rsidR="00B64C95">
        <w:t>conformidad e interoperabilidad</w:t>
      </w:r>
      <w:r w:rsidRPr="00AB5F62">
        <w:t xml:space="preserve"> (</w:t>
      </w:r>
      <w:r w:rsidR="00B64C95">
        <w:t>14</w:t>
      </w:r>
      <w:r w:rsidRPr="00AB5F62">
        <w:t xml:space="preserve"> de </w:t>
      </w:r>
      <w:r w:rsidR="00B64C95">
        <w:t>octubre</w:t>
      </w:r>
      <w:r w:rsidRPr="00AB5F62">
        <w:t xml:space="preserve"> de 2015)</w:t>
      </w:r>
    </w:p>
    <w:p w:rsidR="003E1264" w:rsidRPr="00AB5F62" w:rsidRDefault="003E1264" w:rsidP="00081D32">
      <w:pPr>
        <w:pStyle w:val="enumlev1"/>
      </w:pPr>
      <w:r w:rsidRPr="00AB5F62">
        <w:t>2)</w:t>
      </w:r>
      <w:r w:rsidRPr="00AB5F62">
        <w:tab/>
      </w:r>
      <w:r w:rsidRPr="00AB5F62">
        <w:rPr>
          <w:b/>
          <w:bCs/>
        </w:rPr>
        <w:t>Presentaciones</w:t>
      </w:r>
      <w:r w:rsidRPr="00AB5F62">
        <w:t xml:space="preserve"> (</w:t>
      </w:r>
      <w:r w:rsidR="00B64C95">
        <w:t>15 de octubre</w:t>
      </w:r>
      <w:r w:rsidRPr="00AB5F62">
        <w:t xml:space="preserve"> de 2015).</w:t>
      </w:r>
    </w:p>
    <w:p w:rsidR="00A055C7" w:rsidRPr="00AB5F62" w:rsidRDefault="00A055C7" w:rsidP="00A74342">
      <w:pPr>
        <w:pStyle w:val="enumlev1"/>
        <w:spacing w:before="100"/>
      </w:pPr>
      <w:r w:rsidRPr="008F3965">
        <w:t>Las discusiones tendrán lugar en inglés solamente.</w:t>
      </w:r>
    </w:p>
    <w:p w:rsidR="003E1264" w:rsidRPr="00AB5F62" w:rsidRDefault="003E1264" w:rsidP="00A74342">
      <w:pPr>
        <w:spacing w:before="100"/>
      </w:pPr>
      <w:r w:rsidRPr="00AB5F62">
        <w:rPr>
          <w:bCs/>
        </w:rPr>
        <w:t>3</w:t>
      </w:r>
      <w:r w:rsidRPr="00AB5F62">
        <w:tab/>
        <w:t xml:space="preserve">De acuerdo con lo dispuesto en la </w:t>
      </w:r>
      <w:r w:rsidR="00B64C95">
        <w:t>R</w:t>
      </w:r>
      <w:r w:rsidRPr="00AB5F62">
        <w:t>esolución 177 (</w:t>
      </w:r>
      <w:r w:rsidR="00B64C95">
        <w:t xml:space="preserve">Rev. </w:t>
      </w:r>
      <w:proofErr w:type="spellStart"/>
      <w:r w:rsidR="00B64C95">
        <w:t>Busán</w:t>
      </w:r>
      <w:proofErr w:type="spellEnd"/>
      <w:r w:rsidR="00B64C95">
        <w:t>, 2014</w:t>
      </w:r>
      <w:r w:rsidRPr="00AB5F62">
        <w:t xml:space="preserve">) de la Conferencia de Plenipotenciarios de la UIT, la Unión ha estado trabajando en un </w:t>
      </w:r>
      <w:hyperlink r:id="rId11" w:history="1">
        <w:r w:rsidRPr="00AB5F62">
          <w:rPr>
            <w:rStyle w:val="Hyperlink"/>
          </w:rPr>
          <w:t xml:space="preserve">Programa </w:t>
        </w:r>
        <w:r w:rsidR="00B64C95">
          <w:rPr>
            <w:rStyle w:val="Hyperlink"/>
          </w:rPr>
          <w:t xml:space="preserve">de </w:t>
        </w:r>
        <w:r w:rsidRPr="00AB5F62">
          <w:rPr>
            <w:rStyle w:val="Hyperlink"/>
          </w:rPr>
          <w:t>C&amp;I</w:t>
        </w:r>
      </w:hyperlink>
      <w:r w:rsidRPr="00AB5F62">
        <w:t xml:space="preserve"> para garantizar la conformidad e interoperabilidad de los productos de TIC implementados de acuerdo con las Recomendaciones UIT-T o parte de las mismas. El programa se basa en cuatro pilares: Pilar 1: Evaluación de la conformidad, </w:t>
      </w:r>
      <w:r w:rsidRPr="00AB5F62">
        <w:rPr>
          <w:bCs/>
        </w:rPr>
        <w:t xml:space="preserve">Pilar 2: Eventos sobre </w:t>
      </w:r>
      <w:proofErr w:type="spellStart"/>
      <w:r w:rsidRPr="00AB5F62">
        <w:rPr>
          <w:bCs/>
        </w:rPr>
        <w:t>interoperatividad</w:t>
      </w:r>
      <w:proofErr w:type="spellEnd"/>
      <w:r w:rsidRPr="00AB5F62">
        <w:t xml:space="preserve">, </w:t>
      </w:r>
      <w:r w:rsidRPr="00AB5F62">
        <w:rPr>
          <w:bCs/>
        </w:rPr>
        <w:t>Pilar 3: Capacitación</w:t>
      </w:r>
      <w:r w:rsidRPr="00AB5F62">
        <w:t xml:space="preserve">, y </w:t>
      </w:r>
      <w:r w:rsidR="00A055C7">
        <w:rPr>
          <w:bCs/>
        </w:rPr>
        <w:t>Pilar </w:t>
      </w:r>
      <w:r w:rsidRPr="00AB5F62">
        <w:rPr>
          <w:bCs/>
        </w:rPr>
        <w:t>4: Creación de centros de prueba y programas de C&amp;I en países en desarrollo</w:t>
      </w:r>
      <w:r w:rsidRPr="00AB5F62">
        <w:t>.</w:t>
      </w:r>
    </w:p>
    <w:p w:rsidR="003E1264" w:rsidRPr="00AB5F62" w:rsidRDefault="003E1264" w:rsidP="00A74342">
      <w:pPr>
        <w:spacing w:before="100"/>
      </w:pPr>
      <w:r w:rsidRPr="00AB5F62">
        <w:t xml:space="preserve">Este evento </w:t>
      </w:r>
      <w:r w:rsidR="00B64C95">
        <w:t xml:space="preserve">forma parte de una serie de eventos de realización de pruebas de TVIP que está previsto celebrar en la </w:t>
      </w:r>
      <w:r w:rsidR="00081D32">
        <w:t xml:space="preserve">Sede </w:t>
      </w:r>
      <w:r w:rsidR="00B64C95">
        <w:t xml:space="preserve">de la UIT </w:t>
      </w:r>
      <w:r w:rsidR="0038262A">
        <w:t xml:space="preserve">en coordinación con la TVIP-GSI del UIT-T, y que están destinados a ofrecer una plataforma continua para probar productos basados en las Recomendaciones </w:t>
      </w:r>
      <w:r w:rsidR="00891B55">
        <w:t xml:space="preserve">UIT-T </w:t>
      </w:r>
      <w:r w:rsidR="0038262A">
        <w:t xml:space="preserve">sobre TVIP, tanto las existentes como las que están en fase de elaboración, a fin de responder a las necesidades del mercado que crecen con rapidez. </w:t>
      </w:r>
      <w:r w:rsidRPr="00AB5F62">
        <w:t xml:space="preserve">También se espera que el evento genere </w:t>
      </w:r>
      <w:r w:rsidR="00891B55">
        <w:t>información</w:t>
      </w:r>
      <w:r w:rsidRPr="00AB5F62">
        <w:t xml:space="preserve"> para que las Comisiones de Estudio de la UIT prosigan los estudios.</w:t>
      </w:r>
    </w:p>
    <w:p w:rsidR="00FE1628" w:rsidRDefault="003E1264" w:rsidP="00CF4FBC">
      <w:pPr>
        <w:spacing w:before="100"/>
      </w:pPr>
      <w:r w:rsidRPr="00AB5F62">
        <w:t>4</w:t>
      </w:r>
      <w:r w:rsidRPr="00AB5F62">
        <w:tab/>
      </w:r>
      <w:r w:rsidR="0038262A">
        <w:t xml:space="preserve">En el ámbito de la </w:t>
      </w:r>
      <w:r w:rsidR="0038262A" w:rsidRPr="0038262A">
        <w:rPr>
          <w:b/>
          <w:bCs/>
        </w:rPr>
        <w:t>realización</w:t>
      </w:r>
      <w:r w:rsidRPr="0038262A">
        <w:rPr>
          <w:b/>
          <w:bCs/>
        </w:rPr>
        <w:t xml:space="preserve"> de</w:t>
      </w:r>
      <w:r w:rsidRPr="00AB5F62">
        <w:t xml:space="preserve"> </w:t>
      </w:r>
      <w:r w:rsidRPr="00AB5F62">
        <w:rPr>
          <w:b/>
          <w:bCs/>
        </w:rPr>
        <w:t>pruebas</w:t>
      </w:r>
      <w:r w:rsidRPr="00AB5F62">
        <w:t xml:space="preserve"> </w:t>
      </w:r>
      <w:r w:rsidR="0038262A">
        <w:t xml:space="preserve">se incluirán pruebas de conformidad e interoperabilidad de productos que están basados en </w:t>
      </w:r>
      <w:r w:rsidR="00081D32">
        <w:t xml:space="preserve">Recomendaciones </w:t>
      </w:r>
      <w:r w:rsidR="0038262A">
        <w:t>del UIT-T, incluidas, entre otras, UIT-T</w:t>
      </w:r>
      <w:r w:rsidR="0038262A" w:rsidRPr="0038262A">
        <w:t xml:space="preserve"> H.701 (Recuperación de errores), </w:t>
      </w:r>
      <w:r w:rsidR="0038262A">
        <w:t>UIT-T</w:t>
      </w:r>
      <w:r w:rsidR="0038262A" w:rsidRPr="0038262A">
        <w:t xml:space="preserve"> H.721 (Dispositivos terminales de TVIP), </w:t>
      </w:r>
      <w:r w:rsidR="0038262A">
        <w:t>UIT</w:t>
      </w:r>
      <w:r w:rsidR="00CF4FBC">
        <w:noBreakHyphen/>
      </w:r>
      <w:r w:rsidR="0038262A">
        <w:t>T</w:t>
      </w:r>
      <w:r w:rsidR="00CF4FBC">
        <w:t> </w:t>
      </w:r>
      <w:r w:rsidR="0038262A" w:rsidRPr="0038262A">
        <w:t>H.750 (metadat</w:t>
      </w:r>
      <w:r w:rsidR="0038262A">
        <w:t>os</w:t>
      </w:r>
      <w:r w:rsidR="0038262A" w:rsidRPr="0038262A">
        <w:t xml:space="preserve">), </w:t>
      </w:r>
      <w:r w:rsidR="0038262A">
        <w:t>UIT-T</w:t>
      </w:r>
      <w:r w:rsidR="0038262A" w:rsidRPr="0038262A">
        <w:t xml:space="preserve"> H.761 (</w:t>
      </w:r>
      <w:proofErr w:type="spellStart"/>
      <w:r w:rsidR="0038262A" w:rsidRPr="0038262A">
        <w:t>Ginga</w:t>
      </w:r>
      <w:proofErr w:type="spellEnd"/>
      <w:r w:rsidR="0038262A" w:rsidRPr="0038262A">
        <w:t xml:space="preserve">-NCL), </w:t>
      </w:r>
      <w:r w:rsidR="0038262A">
        <w:t>UIT-T</w:t>
      </w:r>
      <w:r w:rsidR="0038262A" w:rsidRPr="0038262A">
        <w:t xml:space="preserve"> H.762 (LIME: Entorno de multimedios interactivo), </w:t>
      </w:r>
      <w:r w:rsidR="0038262A">
        <w:t>UIT-T</w:t>
      </w:r>
      <w:r w:rsidR="0038262A" w:rsidRPr="0038262A">
        <w:t xml:space="preserve"> H.764 (</w:t>
      </w:r>
      <w:r w:rsidR="00A0637A" w:rsidRPr="00A0637A">
        <w:t xml:space="preserve">Lenguaje de </w:t>
      </w:r>
      <w:proofErr w:type="spellStart"/>
      <w:r w:rsidR="00A0637A" w:rsidRPr="00A0637A">
        <w:t>guión</w:t>
      </w:r>
      <w:proofErr w:type="spellEnd"/>
      <w:r w:rsidR="0038262A" w:rsidRPr="0038262A">
        <w:t xml:space="preserve">), </w:t>
      </w:r>
      <w:r w:rsidR="0038262A">
        <w:t>UIT-T</w:t>
      </w:r>
      <w:r w:rsidR="0038262A" w:rsidRPr="0038262A">
        <w:t xml:space="preserve"> H.770 </w:t>
      </w:r>
      <w:r w:rsidR="00FE1628">
        <w:t xml:space="preserve">(Descubrimiento de servicios), así como cualquier otra Recomendación del UIT-T sobre TVIP existente o en fase de elaboración.  </w:t>
      </w:r>
    </w:p>
    <w:p w:rsidR="00FE1628" w:rsidRDefault="00FE1628" w:rsidP="00A74342">
      <w:pPr>
        <w:spacing w:before="100"/>
      </w:pPr>
      <w:r>
        <w:lastRenderedPageBreak/>
        <w:t xml:space="preserve">Durante la realización de pruebas de conformidad, la Universidad de </w:t>
      </w:r>
      <w:proofErr w:type="spellStart"/>
      <w:r>
        <w:t>Keio</w:t>
      </w:r>
      <w:proofErr w:type="spellEnd"/>
      <w:r>
        <w:t xml:space="preserve"> (Japón) pondrá a prueba los productos de los participantes respecto de </w:t>
      </w:r>
      <w:r w:rsidR="00891B55">
        <w:t>aquell</w:t>
      </w:r>
      <w:r>
        <w:t xml:space="preserve">as Recomendaciones UIT-T sobre TVIP que escojan. Los participantes podrán estudiar la posibilidad de proponer aquellos de sus productos que hayan pasado la prueba correspondiente para </w:t>
      </w:r>
      <w:r w:rsidR="00891B55">
        <w:t>su inclusión en</w:t>
      </w:r>
      <w:r>
        <w:t xml:space="preserve"> la </w:t>
      </w:r>
      <w:hyperlink r:id="rId12" w:history="1">
        <w:r w:rsidRPr="008D263E">
          <w:rPr>
            <w:rStyle w:val="Hyperlink"/>
          </w:rPr>
          <w:t>Base de Datos sobre Conformidad de Productos de la UIT</w:t>
        </w:r>
      </w:hyperlink>
      <w:r>
        <w:t xml:space="preserve">. </w:t>
      </w:r>
    </w:p>
    <w:p w:rsidR="003E1264" w:rsidRPr="00AB5F62" w:rsidRDefault="003E1264" w:rsidP="00A74342">
      <w:pPr>
        <w:spacing w:before="100"/>
      </w:pPr>
      <w:r w:rsidRPr="00AB5F62">
        <w:t xml:space="preserve">Los resultados de estas pruebas de interoperabilidad pueden compartirse entre los participantes mediante acuerdos, tales como acuerdos de no divulgación (NDA). </w:t>
      </w:r>
    </w:p>
    <w:p w:rsidR="003E1264" w:rsidRPr="00AB5F62" w:rsidRDefault="00FE1628" w:rsidP="00A74342">
      <w:pPr>
        <w:spacing w:before="100"/>
      </w:pPr>
      <w:r>
        <w:t>5</w:t>
      </w:r>
      <w:r>
        <w:tab/>
      </w:r>
      <w:r w:rsidR="003E1264" w:rsidRPr="00AB5F62">
        <w:t xml:space="preserve">La parte de </w:t>
      </w:r>
      <w:r w:rsidR="003E1264" w:rsidRPr="00AB5F62">
        <w:rPr>
          <w:b/>
          <w:bCs/>
        </w:rPr>
        <w:t>presentaciones</w:t>
      </w:r>
      <w:r w:rsidR="003E1264" w:rsidRPr="00AB5F62">
        <w:t xml:space="preserve"> del evento consistirá en una demostración de nuevos productos proporcionados por fabricantes e institutos de investigación participantes. Esta parte tiene como objetivo destacar los avances tecnológicos y los trabajos de normalización que se están llevando a cabo en el UIT-T. </w:t>
      </w:r>
    </w:p>
    <w:p w:rsidR="003E1264" w:rsidRPr="00AB5F62" w:rsidRDefault="00A205FB" w:rsidP="00A74342">
      <w:pPr>
        <w:keepLines/>
        <w:spacing w:before="100"/>
      </w:pPr>
      <w:r>
        <w:rPr>
          <w:bCs/>
        </w:rPr>
        <w:t>6</w:t>
      </w:r>
      <w:r w:rsidR="003E1264" w:rsidRPr="00AB5F62">
        <w:tab/>
        <w:t xml:space="preserve">El evento está abierto a la participación de todos los actores de las TIC, los Estados Miembros de la UIT, vendedores, operadores, centros de investigación </w:t>
      </w:r>
      <w:r>
        <w:t xml:space="preserve">e </w:t>
      </w:r>
      <w:r w:rsidR="00081D32">
        <w:t>Instituciones Académicas</w:t>
      </w:r>
      <w:r w:rsidR="003E1264" w:rsidRPr="00AB5F62">
        <w:t xml:space="preserve">. La </w:t>
      </w:r>
      <w:r w:rsidR="003E1264" w:rsidRPr="00891B55">
        <w:rPr>
          <w:b/>
          <w:bCs/>
        </w:rPr>
        <w:t>cuota</w:t>
      </w:r>
      <w:r w:rsidR="003E1264" w:rsidRPr="00AB5F62">
        <w:t xml:space="preserve"> para participar en las pruebas </w:t>
      </w:r>
      <w:r w:rsidR="00891B55">
        <w:t xml:space="preserve">de este evento </w:t>
      </w:r>
      <w:r w:rsidR="003E1264" w:rsidRPr="00AB5F62">
        <w:t xml:space="preserve">será de </w:t>
      </w:r>
      <w:r w:rsidRPr="00A205FB">
        <w:rPr>
          <w:b/>
          <w:bCs/>
        </w:rPr>
        <w:t>1</w:t>
      </w:r>
      <w:r w:rsidR="00081D32">
        <w:rPr>
          <w:b/>
          <w:bCs/>
        </w:rPr>
        <w:t>.</w:t>
      </w:r>
      <w:r w:rsidRPr="00A205FB">
        <w:rPr>
          <w:b/>
          <w:bCs/>
        </w:rPr>
        <w:t>000 CHF</w:t>
      </w:r>
      <w:r w:rsidR="003E1264" w:rsidRPr="00AB5F62">
        <w:t xml:space="preserve"> por organización. Esta cantidad cubrirá los </w:t>
      </w:r>
      <w:r>
        <w:t xml:space="preserve">derechos para participar en otros dos eventos que está previsto se celebren en la </w:t>
      </w:r>
      <w:r w:rsidR="00081D32">
        <w:t xml:space="preserve">Sede </w:t>
      </w:r>
      <w:r>
        <w:t xml:space="preserve">de la UIT. Las Instituciones Académicas de la UIT estarán exentas del pago de esta cuota. </w:t>
      </w:r>
      <w:r w:rsidR="007A545D">
        <w:t>La participación e</w:t>
      </w:r>
      <w:r w:rsidR="003E1264" w:rsidRPr="007A545D">
        <w:t xml:space="preserve">n la exposición </w:t>
      </w:r>
      <w:r w:rsidR="00596D9D">
        <w:t>(ya sea como expositor o como visitante) es</w:t>
      </w:r>
      <w:r w:rsidR="003E1264" w:rsidRPr="007A545D">
        <w:t xml:space="preserve"> gratuita, pero no se concederán becas.</w:t>
      </w:r>
      <w:r w:rsidR="00891B55">
        <w:t xml:space="preserve"> </w:t>
      </w:r>
      <w:r w:rsidR="003E1264" w:rsidRPr="00AB5F62">
        <w:t xml:space="preserve">En el sitio web del UIT-T se podrá consultar </w:t>
      </w:r>
      <w:r w:rsidR="00596D9D">
        <w:t>otras informaciones</w:t>
      </w:r>
      <w:r w:rsidR="003E1264" w:rsidRPr="00AB5F62">
        <w:t xml:space="preserve">, en la dirección: </w:t>
      </w:r>
      <w:hyperlink r:id="rId13" w:history="1">
        <w:r w:rsidR="00596D9D" w:rsidRPr="00387A47">
          <w:rPr>
            <w:rStyle w:val="Hyperlink"/>
          </w:rPr>
          <w:t>http://www.itu.int/en/ITU-T/C-I/interop/Pages/IPTV201510.aspx</w:t>
        </w:r>
      </w:hyperlink>
      <w:r w:rsidR="003E1264" w:rsidRPr="00AB5F62">
        <w:t xml:space="preserve"> </w:t>
      </w:r>
    </w:p>
    <w:p w:rsidR="003E1264" w:rsidRDefault="003E1264" w:rsidP="00A74342">
      <w:pPr>
        <w:spacing w:before="100"/>
      </w:pPr>
      <w:r w:rsidRPr="00AB5F62">
        <w:t>7</w:t>
      </w:r>
      <w:r w:rsidRPr="00AB5F62">
        <w:rPr>
          <w:b/>
          <w:bCs/>
        </w:rPr>
        <w:tab/>
        <w:t>Inscripción</w:t>
      </w:r>
      <w:r w:rsidRPr="00AB5F62">
        <w:t xml:space="preserve">: para que </w:t>
      </w:r>
      <w:r w:rsidR="00596D9D">
        <w:t>la TSB</w:t>
      </w:r>
      <w:r w:rsidRPr="00AB5F62">
        <w:t xml:space="preserve"> pueda tomar las medidas necesarias referentes a la organización del evento, </w:t>
      </w:r>
      <w:r w:rsidR="00596D9D">
        <w:t>le agradecería</w:t>
      </w:r>
      <w:r w:rsidRPr="00AB5F62">
        <w:t xml:space="preserve"> que </w:t>
      </w:r>
      <w:r w:rsidR="00596D9D">
        <w:t xml:space="preserve">se inscriba en línea en la dirección: </w:t>
      </w:r>
      <w:hyperlink r:id="rId14" w:history="1">
        <w:r w:rsidR="00596D9D" w:rsidRPr="00387A47">
          <w:rPr>
            <w:rStyle w:val="Hyperlink"/>
          </w:rPr>
          <w:t>http://www.itu.int/en/ITU-T/C-I/interop/Pages/IPTV201510.aspx</w:t>
        </w:r>
      </w:hyperlink>
      <w:r w:rsidR="00596D9D">
        <w:t xml:space="preserve"> lo antes posible </w:t>
      </w:r>
      <w:r w:rsidRPr="00AB5F62">
        <w:t>pero</w:t>
      </w:r>
      <w:r w:rsidR="00596D9D">
        <w:t>,</w:t>
      </w:r>
      <w:r w:rsidRPr="00AB5F62">
        <w:t xml:space="preserve"> </w:t>
      </w:r>
      <w:r w:rsidRPr="00AB5F62">
        <w:rPr>
          <w:b/>
          <w:bCs/>
        </w:rPr>
        <w:t>a más tardar</w:t>
      </w:r>
      <w:r w:rsidR="00596D9D">
        <w:rPr>
          <w:b/>
          <w:bCs/>
        </w:rPr>
        <w:t>,</w:t>
      </w:r>
      <w:r w:rsidRPr="00AB5F62">
        <w:rPr>
          <w:b/>
          <w:bCs/>
        </w:rPr>
        <w:t xml:space="preserve"> el </w:t>
      </w:r>
      <w:r w:rsidR="00596D9D">
        <w:rPr>
          <w:b/>
          <w:bCs/>
        </w:rPr>
        <w:t>30 de septiembre</w:t>
      </w:r>
      <w:r w:rsidRPr="00AB5F62">
        <w:rPr>
          <w:b/>
          <w:bCs/>
        </w:rPr>
        <w:t xml:space="preserve"> de 2015</w:t>
      </w:r>
      <w:r w:rsidRPr="00AB5F62">
        <w:t xml:space="preserve">. </w:t>
      </w:r>
    </w:p>
    <w:p w:rsidR="00596D9D" w:rsidRDefault="00596D9D" w:rsidP="00A74342">
      <w:pPr>
        <w:spacing w:before="100"/>
      </w:pPr>
      <w:r>
        <w:t>8</w:t>
      </w:r>
      <w:r>
        <w:tab/>
        <w:t xml:space="preserve">Le recordamos que los ciudadanos procedentes de ciertos países necesitan visado para entrar y permanecer en Suiza. </w:t>
      </w:r>
      <w:r w:rsidRPr="00596D9D">
        <w:rPr>
          <w:b/>
          <w:bCs/>
        </w:rPr>
        <w:t xml:space="preserve">Ese visado debe solicitarse al menos cuatro (4) semanas antes de la fecha de inicio del </w:t>
      </w:r>
      <w:r>
        <w:rPr>
          <w:b/>
          <w:bCs/>
        </w:rPr>
        <w:t>Evento</w:t>
      </w:r>
      <w:r>
        <w:t xml:space="preserve"> en la oficina (embajada o consulado) que representa a Suiza en su país o, en su defecto, en la más próxima a su país de partida.</w:t>
      </w:r>
    </w:p>
    <w:p w:rsidR="00596D9D" w:rsidRDefault="00596D9D" w:rsidP="00A74342">
      <w:pPr>
        <w:spacing w:before="100"/>
      </w:pPr>
      <w:r>
        <w:tab/>
        <w:t xml:space="preserve">Si un </w:t>
      </w:r>
      <w:r w:rsidRPr="00596D9D">
        <w:rPr>
          <w:b/>
          <w:bCs/>
        </w:rPr>
        <w:t xml:space="preserve">Estado Miembro, un Miembro de Sector, un Asociado o una Institución Académica de la UIT </w:t>
      </w:r>
      <w:proofErr w:type="gramStart"/>
      <w:r>
        <w:t>tropieza</w:t>
      </w:r>
      <w:proofErr w:type="gramEnd"/>
      <w:r>
        <w:t xml:space="preserve"> con dificultades, y previa solicitud oficial de su parte a la TSB, la Unión puede intervenir ante las autoridades suizas competentes para facilitar la expedición de ese visado pero solamente durante el periodo mencionado de seis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 T correspondiente, y remitirse a la TSB con la indicación </w:t>
      </w:r>
      <w:r w:rsidRPr="00596D9D">
        <w:rPr>
          <w:b/>
          <w:bCs/>
        </w:rPr>
        <w:t>''solicitud de visado''</w:t>
      </w:r>
      <w:r>
        <w:t>, por fax (+41 22 730 5853) o correo electrónico (</w:t>
      </w:r>
      <w:hyperlink r:id="rId15" w:history="1">
        <w:r w:rsidR="00891B55" w:rsidRPr="00EF464C">
          <w:rPr>
            <w:rStyle w:val="Hyperlink"/>
          </w:rPr>
          <w:t>tsbreg@itu.int</w:t>
        </w:r>
      </w:hyperlink>
      <w:r w:rsidR="00891B55">
        <w:t>)</w:t>
      </w:r>
      <w:r>
        <w:t xml:space="preserve">. </w:t>
      </w:r>
      <w:r w:rsidRPr="00596D9D">
        <w:rPr>
          <w:b/>
          <w:bCs/>
        </w:rPr>
        <w:t>Sírvase observar también que la UIT puede ayudar únicamente a los representantes de los Estados Miembros, Miembros de Sector, Asociados e Instituciones Académicas de la UIT</w:t>
      </w:r>
      <w:r>
        <w:t>.</w:t>
      </w:r>
    </w:p>
    <w:p w:rsidR="003E1264" w:rsidRPr="00AB5F62" w:rsidRDefault="00596D9D" w:rsidP="00A74342">
      <w:pPr>
        <w:spacing w:before="100"/>
        <w:rPr>
          <w:rFonts w:eastAsiaTheme="minorEastAsia"/>
          <w:szCs w:val="24"/>
        </w:rPr>
      </w:pPr>
      <w:bookmarkStart w:id="5" w:name="_GoBack"/>
      <w:bookmarkEnd w:id="5"/>
      <w:r>
        <w:t>Le saluda muy atentamente,</w:t>
      </w:r>
    </w:p>
    <w:p w:rsidR="00401C20" w:rsidRPr="00AB5F62" w:rsidRDefault="00AF3479" w:rsidP="00455B08">
      <w:pPr>
        <w:spacing w:before="1200"/>
      </w:pPr>
      <w:r w:rsidRPr="00AB5F62">
        <w:t>Chaesub Lee</w:t>
      </w:r>
      <w:r w:rsidR="00C34772" w:rsidRPr="00AB5F62">
        <w:br/>
        <w:t>Director de la Oficina de</w:t>
      </w:r>
      <w:r w:rsidR="00C34772" w:rsidRPr="00AB5F62">
        <w:br/>
        <w:t>Normalización de las Telecomunicaciones</w:t>
      </w:r>
    </w:p>
    <w:sectPr w:rsidR="00401C20" w:rsidRPr="00AB5F62" w:rsidSect="00596D9D">
      <w:headerReference w:type="default" r:id="rId16"/>
      <w:footerReference w:type="default" r:id="rId17"/>
      <w:footerReference w:type="first" r:id="rId18"/>
      <w:pgSz w:w="11907" w:h="16840" w:code="9"/>
      <w:pgMar w:top="1021" w:right="1089" w:bottom="1021"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BD" w:rsidRDefault="00187CBD">
      <w:r>
        <w:separator/>
      </w:r>
    </w:p>
  </w:endnote>
  <w:endnote w:type="continuationSeparator" w:id="0">
    <w:p w:rsidR="00187CBD" w:rsidRDefault="0018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42" w:rsidRPr="00455B08" w:rsidRDefault="00455B08" w:rsidP="00455B08">
    <w:pPr>
      <w:pStyle w:val="Footer"/>
      <w:rPr>
        <w:lang w:val="fr-CH"/>
      </w:rPr>
    </w:pPr>
    <w:r w:rsidRPr="00455B08">
      <w:rPr>
        <w:sz w:val="16"/>
        <w:szCs w:val="16"/>
        <w:lang w:val="fr-CH"/>
      </w:rPr>
      <w:t>ITU-T\BUREAU\CIRC\172</w:t>
    </w:r>
    <w:r>
      <w:rPr>
        <w:sz w:val="16"/>
        <w:szCs w:val="16"/>
        <w:lang w:val="fr-CH"/>
      </w:rPr>
      <w:t>S</w:t>
    </w:r>
    <w:r w:rsidRPr="00455B08">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42" w:rsidRDefault="00A74342" w:rsidP="00A74342">
    <w:pPr>
      <w:pStyle w:val="FirstFooter"/>
      <w:ind w:left="-397" w:right="-397"/>
      <w:jc w:val="center"/>
      <w:rPr>
        <w:color w:val="3E8EDE"/>
        <w:szCs w:val="22"/>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BD" w:rsidRDefault="00187CBD">
      <w:r>
        <w:t>____________________</w:t>
      </w:r>
    </w:p>
  </w:footnote>
  <w:footnote w:type="continuationSeparator" w:id="0">
    <w:p w:rsidR="00187CBD" w:rsidRDefault="0018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354322"/>
      <w:docPartObj>
        <w:docPartGallery w:val="Page Numbers (Top of Page)"/>
        <w:docPartUnique/>
      </w:docPartObj>
    </w:sdtPr>
    <w:sdtEndPr>
      <w:rPr>
        <w:noProof/>
      </w:rPr>
    </w:sdtEndPr>
    <w:sdtContent>
      <w:p w:rsidR="00A205FB" w:rsidRDefault="00A205FB">
        <w:pPr>
          <w:pStyle w:val="Header"/>
        </w:pPr>
        <w:r w:rsidRPr="007D6231">
          <w:rPr>
            <w:sz w:val="18"/>
            <w:szCs w:val="18"/>
          </w:rPr>
          <w:fldChar w:fldCharType="begin"/>
        </w:r>
        <w:r w:rsidRPr="007D6231">
          <w:rPr>
            <w:sz w:val="18"/>
            <w:szCs w:val="18"/>
          </w:rPr>
          <w:instrText xml:space="preserve"> PAGE   \* MERGEFORMAT </w:instrText>
        </w:r>
        <w:r w:rsidRPr="007D6231">
          <w:rPr>
            <w:sz w:val="18"/>
            <w:szCs w:val="18"/>
          </w:rPr>
          <w:fldChar w:fldCharType="separate"/>
        </w:r>
        <w:r w:rsidR="00E05955">
          <w:rPr>
            <w:noProof/>
            <w:sz w:val="18"/>
            <w:szCs w:val="18"/>
          </w:rPr>
          <w:t>2</w:t>
        </w:r>
        <w:r w:rsidRPr="007D6231">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64"/>
    <w:rsid w:val="00002529"/>
    <w:rsid w:val="00056F9C"/>
    <w:rsid w:val="00081D32"/>
    <w:rsid w:val="000C382F"/>
    <w:rsid w:val="001173CC"/>
    <w:rsid w:val="00187CBD"/>
    <w:rsid w:val="001A54CC"/>
    <w:rsid w:val="001D6213"/>
    <w:rsid w:val="00257FB4"/>
    <w:rsid w:val="00303D62"/>
    <w:rsid w:val="00306D15"/>
    <w:rsid w:val="00335367"/>
    <w:rsid w:val="00370C2D"/>
    <w:rsid w:val="003761A9"/>
    <w:rsid w:val="0038262A"/>
    <w:rsid w:val="003D1E8D"/>
    <w:rsid w:val="003D673B"/>
    <w:rsid w:val="003E1264"/>
    <w:rsid w:val="003F2855"/>
    <w:rsid w:val="00401C20"/>
    <w:rsid w:val="004063B5"/>
    <w:rsid w:val="00455B08"/>
    <w:rsid w:val="004C4144"/>
    <w:rsid w:val="00596D9D"/>
    <w:rsid w:val="00626465"/>
    <w:rsid w:val="006536FB"/>
    <w:rsid w:val="0068488F"/>
    <w:rsid w:val="006969B4"/>
    <w:rsid w:val="006D391D"/>
    <w:rsid w:val="00766C24"/>
    <w:rsid w:val="00781E2A"/>
    <w:rsid w:val="007A545D"/>
    <w:rsid w:val="007D6231"/>
    <w:rsid w:val="00807CF3"/>
    <w:rsid w:val="00814396"/>
    <w:rsid w:val="008258C2"/>
    <w:rsid w:val="008505BD"/>
    <w:rsid w:val="00850C78"/>
    <w:rsid w:val="00891B55"/>
    <w:rsid w:val="008C17AD"/>
    <w:rsid w:val="008D02CD"/>
    <w:rsid w:val="008D263E"/>
    <w:rsid w:val="008F3965"/>
    <w:rsid w:val="0095172A"/>
    <w:rsid w:val="0095464A"/>
    <w:rsid w:val="00987C6E"/>
    <w:rsid w:val="00991430"/>
    <w:rsid w:val="00A055C7"/>
    <w:rsid w:val="00A0637A"/>
    <w:rsid w:val="00A205FB"/>
    <w:rsid w:val="00A54E47"/>
    <w:rsid w:val="00A74342"/>
    <w:rsid w:val="00A87E50"/>
    <w:rsid w:val="00AB5F62"/>
    <w:rsid w:val="00AE7093"/>
    <w:rsid w:val="00AF3479"/>
    <w:rsid w:val="00B37BF6"/>
    <w:rsid w:val="00B422BC"/>
    <w:rsid w:val="00B43F77"/>
    <w:rsid w:val="00B64C95"/>
    <w:rsid w:val="00B95F0A"/>
    <w:rsid w:val="00B96180"/>
    <w:rsid w:val="00BA06B9"/>
    <w:rsid w:val="00C17AC0"/>
    <w:rsid w:val="00C34772"/>
    <w:rsid w:val="00C51603"/>
    <w:rsid w:val="00C959A3"/>
    <w:rsid w:val="00CD591A"/>
    <w:rsid w:val="00CE1692"/>
    <w:rsid w:val="00CF4FBC"/>
    <w:rsid w:val="00D366DC"/>
    <w:rsid w:val="00D81346"/>
    <w:rsid w:val="00DD77C9"/>
    <w:rsid w:val="00E05955"/>
    <w:rsid w:val="00E60EEB"/>
    <w:rsid w:val="00E653B6"/>
    <w:rsid w:val="00E839B0"/>
    <w:rsid w:val="00E9195D"/>
    <w:rsid w:val="00E92C09"/>
    <w:rsid w:val="00E93CCF"/>
    <w:rsid w:val="00EE13B2"/>
    <w:rsid w:val="00F6461F"/>
    <w:rsid w:val="00F95CBE"/>
    <w:rsid w:val="00FD1978"/>
    <w:rsid w:val="00FD2B2D"/>
    <w:rsid w:val="00FE1628"/>
    <w:rsid w:val="00FF39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3E479A-A5F0-48C8-91A8-B6924F28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3E1264"/>
    <w:rPr>
      <w:rFonts w:asciiTheme="minorHAnsi" w:hAnsiTheme="minorHAnsi"/>
      <w:sz w:val="24"/>
      <w:lang w:val="es-ES_tradnl" w:eastAsia="en-US"/>
    </w:rPr>
  </w:style>
  <w:style w:type="paragraph" w:customStyle="1" w:styleId="Reasons">
    <w:name w:val="Reasons"/>
    <w:basedOn w:val="Normal"/>
    <w:qFormat/>
    <w:rsid w:val="00EE13B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1D62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621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IPTV201510.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net/itu-t/cdb/ConformityDB.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s/ITU-T/C-I/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interop@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C-I/interop/Pages/IPTV201510.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F689-D4F6-48BD-8115-2B88E06F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TotalTime>
  <Pages>2</Pages>
  <Words>988</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6632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Aveline, Marion</cp:lastModifiedBy>
  <cp:revision>4</cp:revision>
  <cp:lastPrinted>2015-09-18T14:22:00Z</cp:lastPrinted>
  <dcterms:created xsi:type="dcterms:W3CDTF">2015-09-18T14:21:00Z</dcterms:created>
  <dcterms:modified xsi:type="dcterms:W3CDTF">2015-09-18T14:22:00Z</dcterms:modified>
</cp:coreProperties>
</file>