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center" w:tblpY="664"/>
        <w:tblOverlap w:val="never"/>
        <w:tblW w:w="9781" w:type="dxa"/>
        <w:tblLayout w:type="fixed"/>
        <w:tblCellMar>
          <w:left w:w="0" w:type="dxa"/>
          <w:right w:w="0" w:type="dxa"/>
        </w:tblCellMar>
        <w:tblLook w:val="0000" w:firstRow="0" w:lastRow="0" w:firstColumn="0" w:lastColumn="0" w:noHBand="0" w:noVBand="0"/>
      </w:tblPr>
      <w:tblGrid>
        <w:gridCol w:w="1143"/>
        <w:gridCol w:w="133"/>
        <w:gridCol w:w="4111"/>
        <w:gridCol w:w="2410"/>
        <w:gridCol w:w="1984"/>
      </w:tblGrid>
      <w:tr w:rsidR="00344BEA" w14:paraId="22675CBD" w14:textId="77777777" w:rsidTr="00F01D97">
        <w:trPr>
          <w:cantSplit/>
          <w:trHeight w:val="80"/>
        </w:trPr>
        <w:tc>
          <w:tcPr>
            <w:tcW w:w="1276" w:type="dxa"/>
            <w:gridSpan w:val="2"/>
            <w:vAlign w:val="center"/>
          </w:tcPr>
          <w:p w14:paraId="6A592DB5" w14:textId="4446517F" w:rsidR="00344BEA" w:rsidRPr="009A54D9" w:rsidRDefault="00344BEA" w:rsidP="00344BEA">
            <w:pPr>
              <w:pStyle w:val="Tabletext"/>
              <w:jc w:val="center"/>
            </w:pPr>
            <w:bookmarkStart w:id="0" w:name="_GoBack"/>
            <w:bookmarkEnd w:id="0"/>
            <w:r>
              <w:rPr>
                <w:noProof/>
                <w:lang w:eastAsia="zh-CN"/>
              </w:rPr>
              <w:drawing>
                <wp:inline distT="0" distB="0" distL="0" distR="0" wp14:anchorId="1AD6642F" wp14:editId="2DCE194C">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14:paraId="7A3B779B" w14:textId="77777777" w:rsidR="00F01D97" w:rsidRDefault="00F01D97" w:rsidP="00F01D97">
            <w:pPr>
              <w:spacing w:before="0"/>
              <w:rPr>
                <w:rFonts w:cs="Times New Roman Bold"/>
                <w:b/>
                <w:bCs/>
                <w:smallCaps/>
                <w:sz w:val="26"/>
                <w:szCs w:val="26"/>
              </w:rPr>
            </w:pPr>
            <w:r w:rsidRPr="00C27BDB">
              <w:rPr>
                <w:rFonts w:cs="Times New Roman Bold"/>
                <w:b/>
                <w:bCs/>
                <w:smallCaps/>
                <w:sz w:val="36"/>
                <w:szCs w:val="36"/>
              </w:rPr>
              <w:t>International telecommunication union</w:t>
            </w:r>
          </w:p>
          <w:p w14:paraId="56686301" w14:textId="77777777" w:rsidR="00344BEA" w:rsidRPr="00F50108" w:rsidRDefault="00F01D97" w:rsidP="00F01D97">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14:paraId="7DAAF434" w14:textId="77777777" w:rsidR="00344BEA" w:rsidRPr="00F50108" w:rsidRDefault="00344BEA" w:rsidP="00344BEA">
            <w:pPr>
              <w:spacing w:before="0"/>
              <w:jc w:val="right"/>
              <w:rPr>
                <w:rFonts w:ascii="Verdana" w:hAnsi="Verdana"/>
                <w:color w:val="FFFFFF"/>
                <w:sz w:val="26"/>
                <w:szCs w:val="26"/>
              </w:rPr>
            </w:pPr>
            <w:r>
              <w:rPr>
                <w:noProof/>
                <w:lang w:eastAsia="zh-CN"/>
              </w:rPr>
              <w:drawing>
                <wp:inline distT="0" distB="0" distL="0" distR="0" wp14:anchorId="56AD3141" wp14:editId="4D4770BD">
                  <wp:extent cx="1181100" cy="8855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0logo-Blue-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224" cy="902187"/>
                          </a:xfrm>
                          <a:prstGeom prst="rect">
                            <a:avLst/>
                          </a:prstGeom>
                        </pic:spPr>
                      </pic:pic>
                    </a:graphicData>
                  </a:graphic>
                </wp:inline>
              </w:drawing>
            </w:r>
          </w:p>
        </w:tc>
      </w:tr>
      <w:tr w:rsidR="003D38E3" w14:paraId="36493953" w14:textId="77777777" w:rsidTr="00A5354B">
        <w:trPr>
          <w:cantSplit/>
          <w:trHeight w:val="80"/>
        </w:trPr>
        <w:tc>
          <w:tcPr>
            <w:tcW w:w="5387" w:type="dxa"/>
            <w:gridSpan w:val="3"/>
            <w:vAlign w:val="center"/>
          </w:tcPr>
          <w:p w14:paraId="725D7D39" w14:textId="77777777" w:rsidR="003D38E3" w:rsidRDefault="003D38E3" w:rsidP="00932E45">
            <w:pPr>
              <w:pStyle w:val="Tabletext"/>
              <w:jc w:val="right"/>
            </w:pPr>
          </w:p>
        </w:tc>
        <w:tc>
          <w:tcPr>
            <w:tcW w:w="4394" w:type="dxa"/>
            <w:gridSpan w:val="2"/>
            <w:vAlign w:val="center"/>
          </w:tcPr>
          <w:p w14:paraId="0799E740" w14:textId="7F1F5CA0" w:rsidR="003D38E3" w:rsidRDefault="007B3067" w:rsidP="000448CD">
            <w:pPr>
              <w:pStyle w:val="Tabletext"/>
              <w:spacing w:before="480" w:after="120"/>
            </w:pPr>
            <w:r>
              <w:t xml:space="preserve">Geneva, </w:t>
            </w:r>
            <w:r w:rsidR="000448CD">
              <w:t xml:space="preserve">11 </w:t>
            </w:r>
            <w:r w:rsidR="00F53189">
              <w:t>September</w:t>
            </w:r>
            <w:r w:rsidR="006B7B51">
              <w:t xml:space="preserve"> 2015</w:t>
            </w:r>
          </w:p>
        </w:tc>
      </w:tr>
      <w:tr w:rsidR="00932E45" w14:paraId="1C7F94B3" w14:textId="77777777" w:rsidTr="00A5354B">
        <w:trPr>
          <w:cantSplit/>
          <w:trHeight w:val="700"/>
        </w:trPr>
        <w:tc>
          <w:tcPr>
            <w:tcW w:w="1143" w:type="dxa"/>
          </w:tcPr>
          <w:p w14:paraId="3228EC09" w14:textId="77777777" w:rsidR="00932E45" w:rsidRPr="00F36AC4" w:rsidRDefault="00932E45" w:rsidP="0088403A">
            <w:pPr>
              <w:pStyle w:val="Tabletext"/>
              <w:rPr>
                <w:rFonts w:ascii="Futura Lt BT" w:hAnsi="Futura Lt BT"/>
              </w:rPr>
            </w:pPr>
            <w:r w:rsidRPr="00F36AC4">
              <w:t>Ref:</w:t>
            </w:r>
          </w:p>
        </w:tc>
        <w:tc>
          <w:tcPr>
            <w:tcW w:w="4244" w:type="dxa"/>
            <w:gridSpan w:val="2"/>
          </w:tcPr>
          <w:p w14:paraId="3631A1F7" w14:textId="66972947" w:rsidR="00932E45" w:rsidRPr="00F36AC4" w:rsidRDefault="00932E45" w:rsidP="000448CD">
            <w:pPr>
              <w:pStyle w:val="Tabletext"/>
            </w:pPr>
            <w:r w:rsidRPr="00F36AC4">
              <w:rPr>
                <w:b/>
              </w:rPr>
              <w:t>TSB Circular</w:t>
            </w:r>
            <w:r w:rsidR="00F53189">
              <w:rPr>
                <w:b/>
              </w:rPr>
              <w:t xml:space="preserve"> </w:t>
            </w:r>
            <w:r w:rsidR="000448CD">
              <w:rPr>
                <w:b/>
              </w:rPr>
              <w:t>172</w:t>
            </w:r>
          </w:p>
        </w:tc>
        <w:tc>
          <w:tcPr>
            <w:tcW w:w="4394" w:type="dxa"/>
            <w:gridSpan w:val="2"/>
            <w:vMerge w:val="restart"/>
          </w:tcPr>
          <w:p w14:paraId="291F6343" w14:textId="77777777" w:rsidR="00932E45" w:rsidRDefault="00932E45" w:rsidP="00222D56">
            <w:pPr>
              <w:pStyle w:val="Tabletext"/>
              <w:ind w:left="283" w:hanging="283"/>
            </w:pPr>
            <w:bookmarkStart w:id="1" w:name="Addressee_E"/>
            <w:bookmarkEnd w:id="1"/>
            <w:r>
              <w:t>-</w:t>
            </w:r>
            <w:r>
              <w:tab/>
              <w:t>To Administrations of Member States of the Union;</w:t>
            </w:r>
          </w:p>
          <w:p w14:paraId="342FD5B6" w14:textId="60525520" w:rsidR="00932E45" w:rsidRDefault="00C27376" w:rsidP="00222D56">
            <w:pPr>
              <w:pStyle w:val="Tabletext"/>
              <w:ind w:left="283" w:hanging="283"/>
              <w:rPr>
                <w:color w:val="000000"/>
              </w:rPr>
            </w:pPr>
            <w:r>
              <w:rPr>
                <w:color w:val="000000"/>
              </w:rPr>
              <w:t>-</w:t>
            </w:r>
            <w:r>
              <w:rPr>
                <w:color w:val="000000"/>
              </w:rPr>
              <w:tab/>
              <w:t>To ITU</w:t>
            </w:r>
            <w:r w:rsidR="006B7B51">
              <w:rPr>
                <w:color w:val="000000"/>
              </w:rPr>
              <w:t>-T</w:t>
            </w:r>
            <w:r w:rsidR="00932E45">
              <w:rPr>
                <w:color w:val="000000"/>
              </w:rPr>
              <w:t xml:space="preserve"> Sector Members;</w:t>
            </w:r>
          </w:p>
          <w:p w14:paraId="2A266ED3" w14:textId="600C098E" w:rsidR="00932E45" w:rsidRDefault="00C27376" w:rsidP="00222D56">
            <w:pPr>
              <w:pStyle w:val="Tabletext"/>
              <w:ind w:left="283" w:hanging="283"/>
              <w:rPr>
                <w:color w:val="000000"/>
              </w:rPr>
            </w:pPr>
            <w:r>
              <w:rPr>
                <w:color w:val="000000"/>
              </w:rPr>
              <w:t>-</w:t>
            </w:r>
            <w:r>
              <w:rPr>
                <w:color w:val="000000"/>
              </w:rPr>
              <w:tab/>
              <w:t>To ITU</w:t>
            </w:r>
            <w:r w:rsidR="006B7B51">
              <w:rPr>
                <w:color w:val="000000"/>
              </w:rPr>
              <w:t>-T</w:t>
            </w:r>
            <w:r w:rsidR="00932E45">
              <w:rPr>
                <w:color w:val="000000"/>
              </w:rPr>
              <w:t xml:space="preserve"> Associates;</w:t>
            </w:r>
          </w:p>
          <w:p w14:paraId="7DA7A59E" w14:textId="77777777" w:rsidR="00932E45" w:rsidRDefault="00932E45" w:rsidP="00C27376">
            <w:pPr>
              <w:pStyle w:val="Tabletext"/>
              <w:ind w:left="283" w:hanging="283"/>
              <w:rPr>
                <w:color w:val="000000"/>
              </w:rPr>
            </w:pPr>
            <w:r>
              <w:rPr>
                <w:color w:val="000000"/>
              </w:rPr>
              <w:t>-</w:t>
            </w:r>
            <w:r>
              <w:rPr>
                <w:color w:val="000000"/>
              </w:rPr>
              <w:tab/>
              <w:t>To ITU Academia</w:t>
            </w:r>
          </w:p>
          <w:p w14:paraId="1F7667FA" w14:textId="15F3C01E" w:rsidR="00CA49A2" w:rsidRDefault="00CA49A2" w:rsidP="00C27376">
            <w:pPr>
              <w:pStyle w:val="Tabletext"/>
              <w:ind w:left="283" w:hanging="283"/>
            </w:pPr>
          </w:p>
        </w:tc>
      </w:tr>
      <w:tr w:rsidR="00932E45" w14:paraId="74080ACA" w14:textId="77777777" w:rsidTr="00A5354B">
        <w:trPr>
          <w:cantSplit/>
          <w:trHeight w:val="289"/>
        </w:trPr>
        <w:tc>
          <w:tcPr>
            <w:tcW w:w="1143" w:type="dxa"/>
          </w:tcPr>
          <w:p w14:paraId="65785750" w14:textId="77777777" w:rsidR="00932E45" w:rsidRPr="00F36AC4" w:rsidRDefault="00932E45" w:rsidP="009B6449">
            <w:pPr>
              <w:pStyle w:val="Tabletext"/>
            </w:pPr>
            <w:r w:rsidRPr="00F36AC4">
              <w:t>Contact</w:t>
            </w:r>
            <w:r>
              <w:t>:</w:t>
            </w:r>
          </w:p>
        </w:tc>
        <w:tc>
          <w:tcPr>
            <w:tcW w:w="4244" w:type="dxa"/>
            <w:gridSpan w:val="2"/>
          </w:tcPr>
          <w:p w14:paraId="54BA926B" w14:textId="12DDC16E" w:rsidR="00932E45" w:rsidRPr="006B7B51" w:rsidRDefault="006B7B51" w:rsidP="006B7B51">
            <w:pPr>
              <w:pStyle w:val="Tabletext"/>
              <w:rPr>
                <w:bCs/>
              </w:rPr>
            </w:pPr>
            <w:r>
              <w:rPr>
                <w:bCs/>
              </w:rPr>
              <w:t>Kaoru Mizu</w:t>
            </w:r>
            <w:r w:rsidRPr="006B7B51">
              <w:rPr>
                <w:bCs/>
              </w:rPr>
              <w:t>n</w:t>
            </w:r>
            <w:r>
              <w:rPr>
                <w:bCs/>
              </w:rPr>
              <w:t>o</w:t>
            </w:r>
          </w:p>
        </w:tc>
        <w:tc>
          <w:tcPr>
            <w:tcW w:w="4394" w:type="dxa"/>
            <w:gridSpan w:val="2"/>
            <w:vMerge/>
          </w:tcPr>
          <w:p w14:paraId="14900477" w14:textId="77777777" w:rsidR="00932E45" w:rsidRDefault="00932E45" w:rsidP="00932E45">
            <w:pPr>
              <w:pStyle w:val="Tabletext"/>
              <w:ind w:left="142" w:hanging="142"/>
            </w:pPr>
          </w:p>
        </w:tc>
      </w:tr>
      <w:tr w:rsidR="00932E45" w14:paraId="35544E7E" w14:textId="77777777" w:rsidTr="00A5354B">
        <w:trPr>
          <w:cantSplit/>
          <w:trHeight w:val="221"/>
        </w:trPr>
        <w:tc>
          <w:tcPr>
            <w:tcW w:w="1143" w:type="dxa"/>
          </w:tcPr>
          <w:p w14:paraId="7392E51C" w14:textId="77777777" w:rsidR="00932E45" w:rsidRPr="00F36AC4" w:rsidRDefault="00932E45" w:rsidP="009B6449">
            <w:pPr>
              <w:pStyle w:val="Tabletext"/>
            </w:pPr>
            <w:r w:rsidRPr="00F36AC4">
              <w:t>Tel:</w:t>
            </w:r>
          </w:p>
        </w:tc>
        <w:tc>
          <w:tcPr>
            <w:tcW w:w="4244" w:type="dxa"/>
            <w:gridSpan w:val="2"/>
          </w:tcPr>
          <w:p w14:paraId="656C5B94" w14:textId="77777777" w:rsidR="00932E45" w:rsidRPr="00F36AC4" w:rsidRDefault="00932E45" w:rsidP="009B6449">
            <w:pPr>
              <w:pStyle w:val="Tabletext"/>
              <w:rPr>
                <w:b/>
              </w:rPr>
            </w:pPr>
            <w:r w:rsidRPr="00F36AC4">
              <w:t>+41 22 730</w:t>
            </w:r>
            <w:r w:rsidR="00C27376">
              <w:t xml:space="preserve"> 6226</w:t>
            </w:r>
          </w:p>
        </w:tc>
        <w:tc>
          <w:tcPr>
            <w:tcW w:w="4394" w:type="dxa"/>
            <w:gridSpan w:val="2"/>
            <w:vMerge/>
          </w:tcPr>
          <w:p w14:paraId="09023913" w14:textId="77777777" w:rsidR="00932E45" w:rsidRDefault="00932E45" w:rsidP="00932E45">
            <w:pPr>
              <w:pStyle w:val="Tabletext"/>
              <w:ind w:left="142" w:hanging="142"/>
            </w:pPr>
          </w:p>
        </w:tc>
      </w:tr>
      <w:tr w:rsidR="00932E45" w14:paraId="0CFEEF8B" w14:textId="77777777" w:rsidTr="00A5354B">
        <w:trPr>
          <w:cantSplit/>
          <w:trHeight w:val="282"/>
        </w:trPr>
        <w:tc>
          <w:tcPr>
            <w:tcW w:w="1143" w:type="dxa"/>
          </w:tcPr>
          <w:p w14:paraId="7E540146" w14:textId="77777777" w:rsidR="00932E45" w:rsidRPr="00F36AC4" w:rsidRDefault="00932E45" w:rsidP="009B6449">
            <w:pPr>
              <w:pStyle w:val="Tabletext"/>
            </w:pPr>
            <w:r w:rsidRPr="00F36AC4">
              <w:t>Fax:</w:t>
            </w:r>
          </w:p>
        </w:tc>
        <w:tc>
          <w:tcPr>
            <w:tcW w:w="4244" w:type="dxa"/>
            <w:gridSpan w:val="2"/>
          </w:tcPr>
          <w:p w14:paraId="77C1E1E6" w14:textId="77777777" w:rsidR="00932E45" w:rsidRPr="00F36AC4" w:rsidRDefault="00932E45" w:rsidP="009B6449">
            <w:pPr>
              <w:pStyle w:val="Tabletext"/>
              <w:rPr>
                <w:b/>
              </w:rPr>
            </w:pPr>
            <w:r w:rsidRPr="00F36AC4">
              <w:t>+41 22 730 5853</w:t>
            </w:r>
          </w:p>
        </w:tc>
        <w:tc>
          <w:tcPr>
            <w:tcW w:w="4394" w:type="dxa"/>
            <w:gridSpan w:val="2"/>
            <w:vMerge/>
          </w:tcPr>
          <w:p w14:paraId="64041DFA" w14:textId="77777777" w:rsidR="00932E45" w:rsidRDefault="00932E45" w:rsidP="00932E45">
            <w:pPr>
              <w:pStyle w:val="Tabletext"/>
              <w:ind w:left="142" w:hanging="142"/>
            </w:pPr>
          </w:p>
        </w:tc>
      </w:tr>
      <w:tr w:rsidR="00870336" w14:paraId="66C998E7" w14:textId="77777777" w:rsidTr="00A5354B">
        <w:trPr>
          <w:cantSplit/>
          <w:trHeight w:val="1381"/>
        </w:trPr>
        <w:tc>
          <w:tcPr>
            <w:tcW w:w="1143" w:type="dxa"/>
          </w:tcPr>
          <w:p w14:paraId="2B38544E" w14:textId="77777777" w:rsidR="0087300D" w:rsidRPr="00F36AC4" w:rsidRDefault="0087300D" w:rsidP="009B6449">
            <w:pPr>
              <w:pStyle w:val="Tabletext"/>
            </w:pPr>
            <w:r w:rsidRPr="00F36AC4">
              <w:t>E-mail:</w:t>
            </w:r>
          </w:p>
        </w:tc>
        <w:tc>
          <w:tcPr>
            <w:tcW w:w="4244" w:type="dxa"/>
            <w:gridSpan w:val="2"/>
          </w:tcPr>
          <w:p w14:paraId="2B06FFA4" w14:textId="31C1E98B" w:rsidR="0087300D" w:rsidRPr="00F36AC4" w:rsidRDefault="004D23EF" w:rsidP="009B6449">
            <w:pPr>
              <w:pStyle w:val="Tabletext"/>
            </w:pPr>
            <w:hyperlink r:id="rId10" w:history="1">
              <w:r w:rsidR="00F53189" w:rsidRPr="00797F33">
                <w:rPr>
                  <w:rStyle w:val="Hyperlink"/>
                  <w:szCs w:val="22"/>
                </w:rPr>
                <w:t>interop@itu.int</w:t>
              </w:r>
            </w:hyperlink>
            <w:r w:rsidR="0087300D" w:rsidRPr="00F36AC4">
              <w:t xml:space="preserve"> </w:t>
            </w:r>
          </w:p>
        </w:tc>
        <w:tc>
          <w:tcPr>
            <w:tcW w:w="4394" w:type="dxa"/>
            <w:gridSpan w:val="2"/>
          </w:tcPr>
          <w:p w14:paraId="4689FF1C" w14:textId="77777777" w:rsidR="0087300D" w:rsidRDefault="0087300D" w:rsidP="009B6449">
            <w:pPr>
              <w:pStyle w:val="Tabletext"/>
              <w:rPr>
                <w:b/>
              </w:rPr>
            </w:pPr>
            <w:r>
              <w:rPr>
                <w:b/>
              </w:rPr>
              <w:t>Copy:</w:t>
            </w:r>
          </w:p>
          <w:p w14:paraId="03EF061C" w14:textId="142306F4" w:rsidR="00E516FD" w:rsidRDefault="0087300D" w:rsidP="00E516FD">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w:t>
            </w:r>
            <w:r w:rsidR="00932E45">
              <w:tab/>
            </w:r>
            <w:r w:rsidR="00E516FD">
              <w:t>To the Chairmen and Vice-Chairmen of all ITU-T Study Groups</w:t>
            </w:r>
            <w:r w:rsidR="000D48FF">
              <w:t>;</w:t>
            </w:r>
          </w:p>
          <w:p w14:paraId="7BA5E324" w14:textId="3EB72DA2" w:rsidR="00932E45" w:rsidRDefault="006F3BE6" w:rsidP="00222D56">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r>
              <w:t xml:space="preserve">-    </w:t>
            </w:r>
            <w:r w:rsidR="0087300D">
              <w:t>To the Director of the Telecommunication Development Bureau;</w:t>
            </w:r>
          </w:p>
          <w:p w14:paraId="2607C6DA" w14:textId="12A72C6C" w:rsidR="00C27376" w:rsidRDefault="0087300D" w:rsidP="00C27376">
            <w:pPr>
              <w:spacing w:before="0"/>
              <w:ind w:left="284" w:hanging="284"/>
            </w:pPr>
            <w:r>
              <w:t>-</w:t>
            </w:r>
            <w:r w:rsidR="00932E45">
              <w:tab/>
            </w:r>
            <w:r>
              <w:t xml:space="preserve">To the Director of the </w:t>
            </w:r>
            <w:proofErr w:type="spellStart"/>
            <w:r>
              <w:t>Radiocommunication</w:t>
            </w:r>
            <w:proofErr w:type="spellEnd"/>
            <w:r>
              <w:t xml:space="preserve"> Bureau</w:t>
            </w:r>
          </w:p>
          <w:p w14:paraId="0EB23C8D" w14:textId="2A016BC8" w:rsidR="0087300D" w:rsidRDefault="0087300D" w:rsidP="00F53189">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ind w:left="283" w:hanging="283"/>
            </w:pPr>
          </w:p>
        </w:tc>
      </w:tr>
      <w:tr w:rsidR="00222D56" w:rsidRPr="009B6449" w14:paraId="5E31A202" w14:textId="77777777" w:rsidTr="00A5354B">
        <w:trPr>
          <w:cantSplit/>
          <w:trHeight w:val="80"/>
        </w:trPr>
        <w:tc>
          <w:tcPr>
            <w:tcW w:w="1143" w:type="dxa"/>
          </w:tcPr>
          <w:p w14:paraId="5EFBD226" w14:textId="77777777" w:rsidR="00222D56" w:rsidRPr="009B6449" w:rsidRDefault="00222D56" w:rsidP="009B6449">
            <w:pPr>
              <w:pStyle w:val="Tabletext"/>
            </w:pPr>
            <w:r w:rsidRPr="009B6449">
              <w:t>Subject:</w:t>
            </w:r>
          </w:p>
        </w:tc>
        <w:tc>
          <w:tcPr>
            <w:tcW w:w="8638" w:type="dxa"/>
            <w:gridSpan w:val="4"/>
          </w:tcPr>
          <w:p w14:paraId="7DB9DBC9" w14:textId="21D2A9FA" w:rsidR="00222D56" w:rsidRPr="009B6449" w:rsidRDefault="00FD157A" w:rsidP="00E516FD">
            <w:pPr>
              <w:pStyle w:val="Tabletext"/>
            </w:pPr>
            <w:r>
              <w:rPr>
                <w:b/>
                <w:bCs/>
              </w:rPr>
              <w:t xml:space="preserve">IPTV </w:t>
            </w:r>
            <w:r w:rsidR="00786171">
              <w:rPr>
                <w:b/>
                <w:bCs/>
              </w:rPr>
              <w:t>testing</w:t>
            </w:r>
            <w:r>
              <w:rPr>
                <w:b/>
                <w:bCs/>
              </w:rPr>
              <w:t xml:space="preserve"> event, Geneva</w:t>
            </w:r>
            <w:r w:rsidR="00C27376">
              <w:rPr>
                <w:b/>
                <w:bCs/>
              </w:rPr>
              <w:t xml:space="preserve">, </w:t>
            </w:r>
            <w:r>
              <w:rPr>
                <w:b/>
                <w:bCs/>
              </w:rPr>
              <w:t>Switzerland, 14-15</w:t>
            </w:r>
            <w:r w:rsidR="00C27376">
              <w:rPr>
                <w:b/>
                <w:bCs/>
              </w:rPr>
              <w:t xml:space="preserve"> </w:t>
            </w:r>
            <w:r>
              <w:rPr>
                <w:b/>
                <w:bCs/>
              </w:rPr>
              <w:t>October</w:t>
            </w:r>
            <w:r w:rsidR="00C27376">
              <w:rPr>
                <w:b/>
                <w:bCs/>
              </w:rPr>
              <w:t xml:space="preserve"> </w:t>
            </w:r>
            <w:r w:rsidR="006402EE">
              <w:rPr>
                <w:b/>
                <w:bCs/>
              </w:rPr>
              <w:t>2015</w:t>
            </w:r>
          </w:p>
        </w:tc>
      </w:tr>
    </w:tbl>
    <w:p w14:paraId="31210776" w14:textId="77777777" w:rsidR="0087300D" w:rsidRDefault="0087300D" w:rsidP="0013103F">
      <w:pPr>
        <w:pStyle w:val="Normalaftertitle0"/>
        <w:spacing w:before="360"/>
      </w:pPr>
      <w:bookmarkStart w:id="2" w:name="StartTyping_E"/>
      <w:bookmarkEnd w:id="2"/>
      <w:r>
        <w:t>Dear Sir/Madam,</w:t>
      </w:r>
    </w:p>
    <w:p w14:paraId="5B280073" w14:textId="1FD7ED50" w:rsidR="00037833" w:rsidRPr="00037833" w:rsidRDefault="0087300D">
      <w:pPr>
        <w:jc w:val="both"/>
        <w:rPr>
          <w:rFonts w:cstheme="majorBidi"/>
          <w:szCs w:val="24"/>
        </w:rPr>
      </w:pPr>
      <w:bookmarkStart w:id="3" w:name="suitetext"/>
      <w:bookmarkStart w:id="4" w:name="text"/>
      <w:bookmarkEnd w:id="3"/>
      <w:bookmarkEnd w:id="4"/>
      <w:r>
        <w:rPr>
          <w:bCs/>
        </w:rPr>
        <w:t>1</w:t>
      </w:r>
      <w:r>
        <w:tab/>
        <w:t xml:space="preserve">I would like to inform you </w:t>
      </w:r>
      <w:r w:rsidRPr="00037833">
        <w:t xml:space="preserve">that </w:t>
      </w:r>
      <w:r w:rsidR="00A3603E">
        <w:t xml:space="preserve">the ITU IPTV </w:t>
      </w:r>
      <w:r w:rsidR="00786171">
        <w:t xml:space="preserve">testing </w:t>
      </w:r>
      <w:r w:rsidR="00A3603E">
        <w:t>event</w:t>
      </w:r>
      <w:r w:rsidR="00037833" w:rsidRPr="00037833">
        <w:rPr>
          <w:rFonts w:cstheme="majorBidi"/>
          <w:szCs w:val="24"/>
        </w:rPr>
        <w:t xml:space="preserve"> will take place from </w:t>
      </w:r>
      <w:r w:rsidR="00A3603E">
        <w:rPr>
          <w:rFonts w:cstheme="majorBidi"/>
          <w:szCs w:val="24"/>
        </w:rPr>
        <w:t>14 to 15</w:t>
      </w:r>
      <w:r w:rsidR="00037833" w:rsidRPr="00037833">
        <w:rPr>
          <w:rFonts w:cstheme="majorBidi"/>
          <w:szCs w:val="24"/>
        </w:rPr>
        <w:t xml:space="preserve"> </w:t>
      </w:r>
      <w:r w:rsidR="00A3603E">
        <w:rPr>
          <w:rFonts w:cstheme="majorBidi"/>
          <w:szCs w:val="24"/>
        </w:rPr>
        <w:t>October</w:t>
      </w:r>
      <w:r w:rsidR="00037833" w:rsidRPr="00037833">
        <w:rPr>
          <w:rFonts w:cstheme="majorBidi"/>
          <w:szCs w:val="24"/>
        </w:rPr>
        <w:t xml:space="preserve"> </w:t>
      </w:r>
      <w:r w:rsidR="00037833">
        <w:rPr>
          <w:rFonts w:cstheme="majorBidi"/>
          <w:szCs w:val="24"/>
        </w:rPr>
        <w:t>2015</w:t>
      </w:r>
      <w:r w:rsidR="00037833" w:rsidRPr="00037833">
        <w:rPr>
          <w:rFonts w:cstheme="majorBidi"/>
          <w:szCs w:val="24"/>
        </w:rPr>
        <w:t xml:space="preserve"> </w:t>
      </w:r>
      <w:r w:rsidR="00A3603E">
        <w:rPr>
          <w:rFonts w:cstheme="majorBidi"/>
          <w:szCs w:val="24"/>
        </w:rPr>
        <w:t>at ITU headquarters</w:t>
      </w:r>
      <w:r w:rsidR="00037833" w:rsidRPr="00037833">
        <w:rPr>
          <w:rFonts w:cstheme="majorBidi"/>
          <w:szCs w:val="24"/>
        </w:rPr>
        <w:t xml:space="preserve">, </w:t>
      </w:r>
      <w:r w:rsidR="00A3603E">
        <w:rPr>
          <w:rFonts w:cstheme="majorBidi"/>
          <w:szCs w:val="24"/>
        </w:rPr>
        <w:t>Geneva, Switzerland</w:t>
      </w:r>
      <w:r w:rsidR="00037833" w:rsidRPr="00037833">
        <w:rPr>
          <w:rFonts w:cstheme="majorBidi"/>
          <w:szCs w:val="24"/>
        </w:rPr>
        <w:t xml:space="preserve">. </w:t>
      </w:r>
    </w:p>
    <w:p w14:paraId="28A619AA" w14:textId="40881D57" w:rsidR="00037833" w:rsidRPr="00037833" w:rsidRDefault="0087300D" w:rsidP="00A3603E">
      <w:pPr>
        <w:jc w:val="both"/>
        <w:rPr>
          <w:rFonts w:cstheme="majorBidi"/>
          <w:szCs w:val="24"/>
        </w:rPr>
      </w:pPr>
      <w:r>
        <w:rPr>
          <w:bCs/>
        </w:rPr>
        <w:t>2</w:t>
      </w:r>
      <w:r>
        <w:tab/>
      </w:r>
      <w:r w:rsidR="00037833" w:rsidRPr="00037833">
        <w:rPr>
          <w:rFonts w:cstheme="majorBidi"/>
          <w:szCs w:val="24"/>
        </w:rPr>
        <w:t xml:space="preserve">The event will consist of the following </w:t>
      </w:r>
      <w:r w:rsidR="00A3603E">
        <w:rPr>
          <w:rFonts w:cstheme="majorBidi"/>
          <w:szCs w:val="24"/>
        </w:rPr>
        <w:t>two</w:t>
      </w:r>
      <w:r w:rsidR="00037833" w:rsidRPr="00037833">
        <w:rPr>
          <w:rFonts w:cstheme="majorBidi"/>
          <w:szCs w:val="24"/>
        </w:rPr>
        <w:t xml:space="preserve"> parts scheduled as follows:</w:t>
      </w:r>
    </w:p>
    <w:p w14:paraId="07335917" w14:textId="3825982D" w:rsidR="00037833" w:rsidRPr="00037833" w:rsidRDefault="00A3603E" w:rsidP="00A3603E">
      <w:pPr>
        <w:pStyle w:val="ListParagraph"/>
        <w:numPr>
          <w:ilvl w:val="0"/>
          <w:numId w:val="1"/>
        </w:numPr>
        <w:rPr>
          <w:rFonts w:asciiTheme="minorHAnsi" w:hAnsiTheme="minorHAnsi" w:cstheme="majorBidi"/>
          <w:szCs w:val="24"/>
        </w:rPr>
      </w:pPr>
      <w:r>
        <w:rPr>
          <w:rFonts w:asciiTheme="minorHAnsi" w:hAnsiTheme="minorHAnsi" w:cstheme="majorBidi"/>
          <w:szCs w:val="24"/>
        </w:rPr>
        <w:t>Confo</w:t>
      </w:r>
      <w:r w:rsidR="00626DC3">
        <w:rPr>
          <w:rFonts w:asciiTheme="minorHAnsi" w:hAnsiTheme="minorHAnsi" w:cstheme="majorBidi"/>
          <w:szCs w:val="24"/>
        </w:rPr>
        <w:t>rmance</w:t>
      </w:r>
      <w:r>
        <w:rPr>
          <w:rFonts w:asciiTheme="minorHAnsi" w:hAnsiTheme="minorHAnsi" w:cstheme="majorBidi"/>
          <w:szCs w:val="24"/>
        </w:rPr>
        <w:t xml:space="preserve"> and interoperability </w:t>
      </w:r>
      <w:r w:rsidR="00037833" w:rsidRPr="00037833">
        <w:rPr>
          <w:rFonts w:asciiTheme="minorHAnsi" w:hAnsiTheme="minorHAnsi" w:cstheme="majorBidi"/>
          <w:b/>
          <w:bCs/>
          <w:szCs w:val="24"/>
        </w:rPr>
        <w:t xml:space="preserve">testing </w:t>
      </w:r>
      <w:r w:rsidR="00037833" w:rsidRPr="00037833">
        <w:rPr>
          <w:rFonts w:asciiTheme="minorHAnsi" w:hAnsiTheme="minorHAnsi" w:cstheme="majorBidi"/>
          <w:szCs w:val="24"/>
        </w:rPr>
        <w:t>(</w:t>
      </w:r>
      <w:r>
        <w:rPr>
          <w:rFonts w:asciiTheme="minorHAnsi" w:hAnsiTheme="minorHAnsi" w:cstheme="majorBidi"/>
          <w:szCs w:val="24"/>
        </w:rPr>
        <w:t>14</w:t>
      </w:r>
      <w:r w:rsidR="00037833" w:rsidRPr="00037833">
        <w:rPr>
          <w:rFonts w:asciiTheme="minorHAnsi" w:hAnsiTheme="minorHAnsi" w:cstheme="majorBidi"/>
          <w:szCs w:val="24"/>
        </w:rPr>
        <w:t xml:space="preserve"> </w:t>
      </w:r>
      <w:r>
        <w:rPr>
          <w:rFonts w:asciiTheme="minorHAnsi" w:hAnsiTheme="minorHAnsi" w:cstheme="majorBidi"/>
          <w:szCs w:val="24"/>
        </w:rPr>
        <w:t>October</w:t>
      </w:r>
      <w:r w:rsidR="00037833">
        <w:rPr>
          <w:rFonts w:asciiTheme="minorHAnsi" w:hAnsiTheme="minorHAnsi" w:cstheme="majorBidi"/>
          <w:szCs w:val="24"/>
        </w:rPr>
        <w:t xml:space="preserve"> 2015</w:t>
      </w:r>
      <w:r w:rsidR="00037833" w:rsidRPr="00037833">
        <w:rPr>
          <w:rFonts w:asciiTheme="minorHAnsi" w:hAnsiTheme="minorHAnsi" w:cstheme="majorBidi"/>
          <w:szCs w:val="24"/>
        </w:rPr>
        <w:t>)</w:t>
      </w:r>
    </w:p>
    <w:p w14:paraId="51ACFD9D" w14:textId="08480C67" w:rsidR="00E516FD" w:rsidRDefault="00037833" w:rsidP="00E516FD">
      <w:pPr>
        <w:pStyle w:val="ListParagraph"/>
        <w:numPr>
          <w:ilvl w:val="0"/>
          <w:numId w:val="1"/>
        </w:numPr>
        <w:rPr>
          <w:rFonts w:asciiTheme="minorHAnsi" w:hAnsiTheme="minorHAnsi" w:cstheme="majorBidi"/>
          <w:szCs w:val="24"/>
        </w:rPr>
      </w:pPr>
      <w:r w:rsidRPr="00037833">
        <w:rPr>
          <w:rFonts w:asciiTheme="minorHAnsi" w:hAnsiTheme="minorHAnsi" w:cstheme="majorBidi"/>
          <w:b/>
          <w:bCs/>
          <w:szCs w:val="24"/>
        </w:rPr>
        <w:lastRenderedPageBreak/>
        <w:t>Showcasing</w:t>
      </w:r>
      <w:r w:rsidRPr="00037833">
        <w:rPr>
          <w:rFonts w:asciiTheme="minorHAnsi" w:hAnsiTheme="minorHAnsi" w:cstheme="majorBidi"/>
          <w:szCs w:val="24"/>
        </w:rPr>
        <w:t xml:space="preserve"> (</w:t>
      </w:r>
      <w:r w:rsidR="00A3603E">
        <w:rPr>
          <w:rFonts w:asciiTheme="minorHAnsi" w:hAnsiTheme="minorHAnsi" w:cstheme="majorBidi"/>
          <w:szCs w:val="24"/>
        </w:rPr>
        <w:t>15</w:t>
      </w:r>
      <w:r w:rsidRPr="00037833">
        <w:rPr>
          <w:rFonts w:asciiTheme="minorHAnsi" w:hAnsiTheme="minorHAnsi" w:cstheme="majorBidi"/>
          <w:szCs w:val="24"/>
        </w:rPr>
        <w:t xml:space="preserve"> </w:t>
      </w:r>
      <w:r w:rsidR="00A3603E">
        <w:rPr>
          <w:rFonts w:asciiTheme="minorHAnsi" w:hAnsiTheme="minorHAnsi" w:cstheme="majorBidi"/>
          <w:szCs w:val="24"/>
        </w:rPr>
        <w:t>October</w:t>
      </w:r>
      <w:r>
        <w:rPr>
          <w:rFonts w:asciiTheme="minorHAnsi" w:hAnsiTheme="minorHAnsi" w:cstheme="majorBidi"/>
          <w:szCs w:val="24"/>
        </w:rPr>
        <w:t xml:space="preserve"> 2015</w:t>
      </w:r>
      <w:r w:rsidRPr="00037833">
        <w:rPr>
          <w:rFonts w:asciiTheme="minorHAnsi" w:hAnsiTheme="minorHAnsi" w:cstheme="majorBidi"/>
          <w:szCs w:val="24"/>
        </w:rPr>
        <w:t>)</w:t>
      </w:r>
    </w:p>
    <w:p w14:paraId="371C5049" w14:textId="17A189B8" w:rsidR="00E516FD" w:rsidRPr="006F3BE6" w:rsidRDefault="00E516FD" w:rsidP="00E516FD">
      <w:pPr>
        <w:rPr>
          <w:rFonts w:cstheme="majorBidi"/>
          <w:szCs w:val="24"/>
        </w:rPr>
      </w:pPr>
      <w:r>
        <w:rPr>
          <w:rFonts w:cstheme="majorBidi"/>
          <w:szCs w:val="24"/>
        </w:rPr>
        <w:t>Discussions will be held in English only.</w:t>
      </w:r>
    </w:p>
    <w:p w14:paraId="0BF41D3B" w14:textId="54ABB508" w:rsidR="007903CB" w:rsidRPr="007903CB" w:rsidRDefault="0087300D" w:rsidP="00CF760A">
      <w:pPr>
        <w:adjustRightInd/>
      </w:pPr>
      <w:r>
        <w:t>3</w:t>
      </w:r>
      <w:r>
        <w:tab/>
      </w:r>
      <w:r w:rsidR="00E25A3D">
        <w:rPr>
          <w:rFonts w:cstheme="majorBidi"/>
          <w:szCs w:val="24"/>
          <w:lang w:val="en-US"/>
        </w:rPr>
        <w:t>In accordance with the ITU Plenipotentiary Conference Resolution 177</w:t>
      </w:r>
      <w:r w:rsidR="000448CD">
        <w:rPr>
          <w:rFonts w:cstheme="majorBidi"/>
          <w:szCs w:val="24"/>
          <w:lang w:val="en-US"/>
        </w:rPr>
        <w:t xml:space="preserve"> (</w:t>
      </w:r>
      <w:r w:rsidR="00CF760A">
        <w:rPr>
          <w:rFonts w:cstheme="majorBidi"/>
          <w:szCs w:val="24"/>
          <w:lang w:val="en-US"/>
        </w:rPr>
        <w:t>Rev. Busan</w:t>
      </w:r>
      <w:r w:rsidR="000448CD">
        <w:rPr>
          <w:rFonts w:cstheme="majorBidi"/>
          <w:szCs w:val="24"/>
          <w:lang w:val="en-US"/>
        </w:rPr>
        <w:t>, 2014</w:t>
      </w:r>
      <w:r w:rsidR="00E25A3D">
        <w:rPr>
          <w:rFonts w:cstheme="majorBidi"/>
          <w:szCs w:val="24"/>
          <w:lang w:val="en-US"/>
        </w:rPr>
        <w:t>)</w:t>
      </w:r>
      <w:r w:rsidR="007903CB" w:rsidRPr="007903CB">
        <w:rPr>
          <w:rFonts w:cstheme="majorBidi"/>
          <w:szCs w:val="24"/>
        </w:rPr>
        <w:t xml:space="preserve">, ITU has been working on a </w:t>
      </w:r>
      <w:hyperlink r:id="rId11" w:history="1">
        <w:r w:rsidR="007903CB" w:rsidRPr="007903CB">
          <w:rPr>
            <w:rStyle w:val="Hyperlink"/>
            <w:rFonts w:cstheme="majorBidi"/>
            <w:szCs w:val="24"/>
          </w:rPr>
          <w:t>C&amp;I Programme</w:t>
        </w:r>
      </w:hyperlink>
      <w:r w:rsidR="007903CB" w:rsidRPr="007903CB">
        <w:rPr>
          <w:rFonts w:cstheme="majorBidi"/>
          <w:szCs w:val="24"/>
        </w:rPr>
        <w:t xml:space="preserve"> to ensure the conformance and interoperability of ICT products implemented according to ITU-T Recommendations or part thereof. The programme is based on four pillars: </w:t>
      </w:r>
      <w:r w:rsidR="007903CB" w:rsidRPr="007903CB">
        <w:t>Pillar 1: Conformity assessment; Pillar 2: Interoperability events; Pillar 3: Capacity building and Pillar 4: Assi</w:t>
      </w:r>
      <w:bookmarkStart w:id="5" w:name="ditulogo"/>
      <w:bookmarkEnd w:id="5"/>
      <w:r w:rsidR="007903CB" w:rsidRPr="007903CB">
        <w:t>stance in the</w:t>
      </w:r>
      <w:r w:rsidR="007903CB" w:rsidRPr="007903CB">
        <w:rPr>
          <w:lang w:eastAsia="zh-CN"/>
        </w:rPr>
        <w:t xml:space="preserve"> </w:t>
      </w:r>
      <w:r w:rsidR="007903CB" w:rsidRPr="007903CB">
        <w:t>establishment of test centres and C&amp;I programmes in developing countries.</w:t>
      </w:r>
      <w:r w:rsidR="00A3603E">
        <w:t xml:space="preserve"> </w:t>
      </w:r>
    </w:p>
    <w:p w14:paraId="2F120D04" w14:textId="5AC1448B" w:rsidR="007903CB" w:rsidRPr="007903CB" w:rsidRDefault="007903CB" w:rsidP="00786171">
      <w:pPr>
        <w:adjustRightInd/>
        <w:rPr>
          <w:rFonts w:cstheme="majorBidi"/>
          <w:szCs w:val="24"/>
        </w:rPr>
      </w:pPr>
      <w:r w:rsidRPr="007903CB">
        <w:rPr>
          <w:rFonts w:cstheme="majorBidi"/>
          <w:szCs w:val="24"/>
        </w:rPr>
        <w:t xml:space="preserve">This  event </w:t>
      </w:r>
      <w:r w:rsidR="007673B0">
        <w:rPr>
          <w:rFonts w:cstheme="majorBidi"/>
          <w:szCs w:val="24"/>
        </w:rPr>
        <w:t xml:space="preserve">is a part of a series of regular IPTV </w:t>
      </w:r>
      <w:r w:rsidR="009E7EBA">
        <w:rPr>
          <w:rFonts w:cstheme="majorBidi"/>
          <w:szCs w:val="24"/>
        </w:rPr>
        <w:t>testing</w:t>
      </w:r>
      <w:r w:rsidR="007673B0">
        <w:rPr>
          <w:rFonts w:cstheme="majorBidi"/>
          <w:szCs w:val="24"/>
        </w:rPr>
        <w:t xml:space="preserve"> events which are planned to be held at ITU headquarters collocated with ITU-T IPTV-GSI, to offer a continuous platform to test products based on </w:t>
      </w:r>
      <w:r w:rsidR="007E011D">
        <w:rPr>
          <w:rFonts w:cstheme="majorBidi"/>
          <w:szCs w:val="24"/>
        </w:rPr>
        <w:t xml:space="preserve">ITU-T IPTV Recommendations including </w:t>
      </w:r>
      <w:r w:rsidR="003F29F0">
        <w:rPr>
          <w:rFonts w:cstheme="majorBidi"/>
          <w:szCs w:val="24"/>
        </w:rPr>
        <w:t xml:space="preserve">both </w:t>
      </w:r>
      <w:r w:rsidR="007673B0">
        <w:rPr>
          <w:rFonts w:cstheme="majorBidi"/>
          <w:szCs w:val="24"/>
        </w:rPr>
        <w:t xml:space="preserve">existing and </w:t>
      </w:r>
      <w:r w:rsidR="00E516FD">
        <w:rPr>
          <w:rFonts w:cstheme="majorBidi"/>
          <w:szCs w:val="24"/>
        </w:rPr>
        <w:t xml:space="preserve">being developed, in order </w:t>
      </w:r>
      <w:r w:rsidR="007673B0">
        <w:rPr>
          <w:rFonts w:cstheme="majorBidi"/>
          <w:szCs w:val="24"/>
        </w:rPr>
        <w:t xml:space="preserve">to meet </w:t>
      </w:r>
      <w:r w:rsidR="00E516FD">
        <w:rPr>
          <w:rFonts w:cstheme="majorBidi"/>
          <w:szCs w:val="24"/>
        </w:rPr>
        <w:t xml:space="preserve">the </w:t>
      </w:r>
      <w:r w:rsidR="007673B0">
        <w:rPr>
          <w:rFonts w:cstheme="majorBidi"/>
          <w:szCs w:val="24"/>
        </w:rPr>
        <w:t xml:space="preserve">rapidly growing market needs. </w:t>
      </w:r>
      <w:r w:rsidRPr="007903CB">
        <w:rPr>
          <w:rFonts w:cstheme="majorBidi"/>
          <w:szCs w:val="24"/>
        </w:rPr>
        <w:t xml:space="preserve">It is also expected that the event </w:t>
      </w:r>
      <w:r w:rsidR="00E516FD">
        <w:rPr>
          <w:rFonts w:cstheme="majorBidi"/>
          <w:szCs w:val="24"/>
        </w:rPr>
        <w:t xml:space="preserve">will </w:t>
      </w:r>
      <w:r w:rsidRPr="007903CB">
        <w:rPr>
          <w:rFonts w:cstheme="majorBidi"/>
          <w:szCs w:val="24"/>
        </w:rPr>
        <w:t>generate feedback to the ITU</w:t>
      </w:r>
      <w:r w:rsidR="006402EE">
        <w:rPr>
          <w:rFonts w:cstheme="majorBidi"/>
          <w:szCs w:val="24"/>
        </w:rPr>
        <w:t>-T</w:t>
      </w:r>
      <w:r w:rsidRPr="007903CB">
        <w:rPr>
          <w:rFonts w:cstheme="majorBidi"/>
          <w:szCs w:val="24"/>
        </w:rPr>
        <w:t xml:space="preserve"> Study Groups for further study.</w:t>
      </w:r>
    </w:p>
    <w:p w14:paraId="1392A5A4" w14:textId="4C8F47DF" w:rsidR="006F3CAF" w:rsidRDefault="0087300D" w:rsidP="00A35072">
      <w:pPr>
        <w:adjustRightInd/>
        <w:rPr>
          <w:rFonts w:cstheme="majorBidi"/>
          <w:szCs w:val="24"/>
        </w:rPr>
      </w:pPr>
      <w:r>
        <w:t>4</w:t>
      </w:r>
      <w:r>
        <w:tab/>
      </w:r>
      <w:r w:rsidR="00620565" w:rsidRPr="00B2718A">
        <w:rPr>
          <w:rFonts w:cstheme="majorBidi"/>
          <w:szCs w:val="24"/>
        </w:rPr>
        <w:t xml:space="preserve">The </w:t>
      </w:r>
      <w:r w:rsidR="00F053AB">
        <w:rPr>
          <w:rFonts w:cstheme="majorBidi"/>
          <w:szCs w:val="24"/>
        </w:rPr>
        <w:t xml:space="preserve">scope of </w:t>
      </w:r>
      <w:r w:rsidR="00620565" w:rsidRPr="00B2718A">
        <w:rPr>
          <w:rFonts w:cstheme="majorBidi"/>
          <w:b/>
          <w:bCs/>
          <w:szCs w:val="24"/>
        </w:rPr>
        <w:t xml:space="preserve">testing </w:t>
      </w:r>
      <w:r w:rsidR="007673B0">
        <w:rPr>
          <w:rFonts w:cstheme="majorBidi"/>
          <w:szCs w:val="24"/>
        </w:rPr>
        <w:t>will include a</w:t>
      </w:r>
      <w:r w:rsidR="00620565" w:rsidRPr="00B2718A">
        <w:rPr>
          <w:rFonts w:cstheme="majorBidi"/>
          <w:szCs w:val="24"/>
        </w:rPr>
        <w:t xml:space="preserve"> </w:t>
      </w:r>
      <w:r w:rsidR="007673B0">
        <w:rPr>
          <w:rFonts w:cstheme="majorBidi"/>
          <w:szCs w:val="24"/>
        </w:rPr>
        <w:t>confo</w:t>
      </w:r>
      <w:r w:rsidR="00626DC3">
        <w:rPr>
          <w:rFonts w:cstheme="majorBidi"/>
          <w:szCs w:val="24"/>
        </w:rPr>
        <w:t>rmance</w:t>
      </w:r>
      <w:r w:rsidR="007673B0">
        <w:rPr>
          <w:rFonts w:cstheme="majorBidi"/>
          <w:szCs w:val="24"/>
        </w:rPr>
        <w:t xml:space="preserve"> and </w:t>
      </w:r>
      <w:r w:rsidR="00620565" w:rsidRPr="00B2718A">
        <w:rPr>
          <w:rFonts w:cstheme="majorBidi"/>
          <w:szCs w:val="24"/>
        </w:rPr>
        <w:t>interoperability testing of products which are based on the ITU-T Recommendations</w:t>
      </w:r>
      <w:r w:rsidR="00F053AB">
        <w:rPr>
          <w:rFonts w:cstheme="majorBidi"/>
          <w:szCs w:val="24"/>
        </w:rPr>
        <w:t xml:space="preserve">, including but not limited to, ITU-T H.701 (error recovery), ITU-T H.721 (IPTV terminal), ITU-T H.750 (metadata), ITU-T H.761 </w:t>
      </w:r>
      <w:r w:rsidR="00254423">
        <w:rPr>
          <w:rFonts w:cstheme="majorBidi"/>
          <w:szCs w:val="24"/>
        </w:rPr>
        <w:t>(</w:t>
      </w:r>
      <w:proofErr w:type="spellStart"/>
      <w:r w:rsidR="00254423">
        <w:rPr>
          <w:rFonts w:cstheme="majorBidi"/>
          <w:szCs w:val="24"/>
        </w:rPr>
        <w:t>Ginga</w:t>
      </w:r>
      <w:proofErr w:type="spellEnd"/>
      <w:r w:rsidR="00254423">
        <w:rPr>
          <w:rFonts w:cstheme="majorBidi"/>
          <w:szCs w:val="24"/>
        </w:rPr>
        <w:t>-NCL), ITU-T H.762 (LIME: interactive multimedia),</w:t>
      </w:r>
      <w:r w:rsidR="00897548">
        <w:rPr>
          <w:rFonts w:cstheme="majorBidi"/>
          <w:szCs w:val="24"/>
        </w:rPr>
        <w:t xml:space="preserve"> ITU-T H.764 (script language),</w:t>
      </w:r>
      <w:r w:rsidR="00254423">
        <w:rPr>
          <w:rFonts w:cstheme="majorBidi"/>
          <w:szCs w:val="24"/>
        </w:rPr>
        <w:t xml:space="preserve"> ITU-T H.770 (service discovery), as well as any other ITU-T IPTV Recommendations</w:t>
      </w:r>
      <w:r w:rsidR="00A35072">
        <w:rPr>
          <w:rFonts w:cstheme="majorBidi"/>
          <w:szCs w:val="24"/>
        </w:rPr>
        <w:t xml:space="preserve"> including existing and</w:t>
      </w:r>
      <w:r w:rsidR="00E516FD">
        <w:rPr>
          <w:rFonts w:cstheme="majorBidi"/>
          <w:szCs w:val="24"/>
        </w:rPr>
        <w:t xml:space="preserve"> being developed</w:t>
      </w:r>
      <w:r w:rsidR="00620565" w:rsidRPr="00B2718A">
        <w:rPr>
          <w:rFonts w:cstheme="majorBidi"/>
          <w:szCs w:val="24"/>
        </w:rPr>
        <w:t xml:space="preserve">. </w:t>
      </w:r>
    </w:p>
    <w:p w14:paraId="745BA4A7" w14:textId="3FF7C9C4" w:rsidR="003F29F0" w:rsidRDefault="00284888" w:rsidP="003D3E31">
      <w:pPr>
        <w:adjustRightInd/>
        <w:rPr>
          <w:rFonts w:cstheme="majorBidi"/>
          <w:szCs w:val="24"/>
        </w:rPr>
      </w:pPr>
      <w:r>
        <w:rPr>
          <w:rFonts w:cstheme="majorBidi"/>
          <w:szCs w:val="24"/>
        </w:rPr>
        <w:lastRenderedPageBreak/>
        <w:t>During the conform</w:t>
      </w:r>
      <w:r w:rsidR="00626DC3">
        <w:rPr>
          <w:rFonts w:cstheme="majorBidi"/>
          <w:szCs w:val="24"/>
        </w:rPr>
        <w:t>ance</w:t>
      </w:r>
      <w:r>
        <w:rPr>
          <w:rFonts w:cstheme="majorBidi"/>
          <w:szCs w:val="24"/>
        </w:rPr>
        <w:t xml:space="preserve"> testing, Keio University</w:t>
      </w:r>
      <w:r w:rsidR="007459F1">
        <w:rPr>
          <w:rFonts w:cstheme="majorBidi"/>
          <w:szCs w:val="24"/>
        </w:rPr>
        <w:t xml:space="preserve"> (Japan)</w:t>
      </w:r>
      <w:r w:rsidR="006F3CAF">
        <w:rPr>
          <w:rFonts w:cstheme="majorBidi"/>
          <w:szCs w:val="24"/>
        </w:rPr>
        <w:t xml:space="preserve"> will test participants’</w:t>
      </w:r>
      <w:r>
        <w:rPr>
          <w:rFonts w:cstheme="majorBidi"/>
          <w:szCs w:val="24"/>
        </w:rPr>
        <w:t xml:space="preserve"> products </w:t>
      </w:r>
      <w:r w:rsidR="006F3CAF">
        <w:rPr>
          <w:rFonts w:cstheme="majorBidi"/>
          <w:szCs w:val="24"/>
        </w:rPr>
        <w:t xml:space="preserve">against </w:t>
      </w:r>
      <w:r w:rsidR="00E53311">
        <w:rPr>
          <w:rFonts w:cstheme="majorBidi"/>
          <w:szCs w:val="24"/>
        </w:rPr>
        <w:t>ITU-T</w:t>
      </w:r>
      <w:r w:rsidR="006F3CAF">
        <w:rPr>
          <w:rFonts w:cstheme="majorBidi"/>
          <w:szCs w:val="24"/>
        </w:rPr>
        <w:t xml:space="preserve"> IPTV</w:t>
      </w:r>
      <w:r w:rsidR="00E53311">
        <w:rPr>
          <w:rFonts w:cstheme="majorBidi"/>
          <w:szCs w:val="24"/>
        </w:rPr>
        <w:t xml:space="preserve"> Recommendations</w:t>
      </w:r>
      <w:r w:rsidR="006F3CAF">
        <w:rPr>
          <w:rFonts w:cstheme="majorBidi"/>
          <w:szCs w:val="24"/>
        </w:rPr>
        <w:t xml:space="preserve"> of their choice</w:t>
      </w:r>
      <w:r w:rsidR="00E53311">
        <w:rPr>
          <w:rFonts w:cstheme="majorBidi"/>
          <w:szCs w:val="24"/>
        </w:rPr>
        <w:t xml:space="preserve">. The participants will be able to consider submitting entries </w:t>
      </w:r>
      <w:r w:rsidR="00E516FD">
        <w:rPr>
          <w:rFonts w:cstheme="majorBidi"/>
          <w:szCs w:val="24"/>
        </w:rPr>
        <w:t xml:space="preserve">of </w:t>
      </w:r>
      <w:r w:rsidR="00E53311">
        <w:rPr>
          <w:rFonts w:cstheme="majorBidi"/>
          <w:szCs w:val="24"/>
        </w:rPr>
        <w:t xml:space="preserve">their products which passed the </w:t>
      </w:r>
      <w:r w:rsidR="00A03F34">
        <w:rPr>
          <w:rFonts w:cstheme="majorBidi"/>
          <w:szCs w:val="24"/>
        </w:rPr>
        <w:t xml:space="preserve">relevant </w:t>
      </w:r>
      <w:r w:rsidR="00E53311">
        <w:rPr>
          <w:rFonts w:cstheme="majorBidi"/>
          <w:szCs w:val="24"/>
        </w:rPr>
        <w:t xml:space="preserve">test to </w:t>
      </w:r>
      <w:r w:rsidR="00A03F34">
        <w:rPr>
          <w:rFonts w:cstheme="majorBidi"/>
          <w:szCs w:val="24"/>
        </w:rPr>
        <w:t xml:space="preserve">populate </w:t>
      </w:r>
      <w:r>
        <w:rPr>
          <w:rFonts w:cstheme="majorBidi"/>
          <w:szCs w:val="24"/>
        </w:rPr>
        <w:t xml:space="preserve">the </w:t>
      </w:r>
      <w:hyperlink r:id="rId12" w:history="1">
        <w:r w:rsidRPr="00284888">
          <w:rPr>
            <w:rStyle w:val="Hyperlink"/>
            <w:rFonts w:cstheme="majorBidi"/>
            <w:szCs w:val="24"/>
          </w:rPr>
          <w:t>ITU Product Conformity Database</w:t>
        </w:r>
      </w:hyperlink>
      <w:r>
        <w:rPr>
          <w:rFonts w:cstheme="majorBidi"/>
          <w:szCs w:val="24"/>
        </w:rPr>
        <w:t xml:space="preserve">. </w:t>
      </w:r>
    </w:p>
    <w:p w14:paraId="06B3D480" w14:textId="7AC88BBB" w:rsidR="004A5BB1" w:rsidRPr="00B2718A" w:rsidRDefault="00E53311" w:rsidP="006F3CAF">
      <w:pPr>
        <w:adjustRightInd/>
        <w:rPr>
          <w:rFonts w:cstheme="majorBidi"/>
          <w:szCs w:val="24"/>
        </w:rPr>
      </w:pPr>
      <w:r w:rsidRPr="00B2718A">
        <w:rPr>
          <w:rFonts w:cstheme="majorBidi"/>
          <w:szCs w:val="24"/>
        </w:rPr>
        <w:t xml:space="preserve">The </w:t>
      </w:r>
      <w:r>
        <w:rPr>
          <w:rFonts w:cstheme="majorBidi"/>
          <w:szCs w:val="24"/>
        </w:rPr>
        <w:t xml:space="preserve">results of the </w:t>
      </w:r>
      <w:r w:rsidRPr="00B2718A">
        <w:rPr>
          <w:rFonts w:cstheme="majorBidi"/>
          <w:szCs w:val="24"/>
        </w:rPr>
        <w:t xml:space="preserve">testing can be </w:t>
      </w:r>
      <w:r w:rsidRPr="004D6E07">
        <w:rPr>
          <w:rFonts w:cstheme="majorBidi"/>
          <w:szCs w:val="24"/>
        </w:rPr>
        <w:t>shared among the participants upon agreement, such as nondisclosure agreements (NDAs).</w:t>
      </w:r>
    </w:p>
    <w:p w14:paraId="2FDF3E91" w14:textId="7AA588E1" w:rsidR="008E0ADC" w:rsidRPr="004D6E07" w:rsidRDefault="003F29F0" w:rsidP="00254423">
      <w:pPr>
        <w:adjustRightInd/>
      </w:pPr>
      <w:r>
        <w:rPr>
          <w:rFonts w:cstheme="majorBidi"/>
          <w:szCs w:val="24"/>
        </w:rPr>
        <w:t>5</w:t>
      </w:r>
      <w:r>
        <w:rPr>
          <w:rFonts w:cstheme="majorBidi"/>
          <w:szCs w:val="24"/>
        </w:rPr>
        <w:tab/>
      </w:r>
      <w:r w:rsidR="00620565" w:rsidRPr="004D6E07">
        <w:rPr>
          <w:rFonts w:cstheme="majorBidi"/>
          <w:szCs w:val="24"/>
        </w:rPr>
        <w:t xml:space="preserve">The </w:t>
      </w:r>
      <w:r w:rsidR="00620565" w:rsidRPr="004D6E07">
        <w:rPr>
          <w:rFonts w:cstheme="majorBidi"/>
          <w:b/>
          <w:bCs/>
          <w:szCs w:val="24"/>
        </w:rPr>
        <w:t>showcasing</w:t>
      </w:r>
      <w:r w:rsidR="00620565" w:rsidRPr="004D6E07">
        <w:rPr>
          <w:rFonts w:cstheme="majorBidi"/>
          <w:szCs w:val="24"/>
        </w:rPr>
        <w:t xml:space="preserve"> part </w:t>
      </w:r>
      <w:r w:rsidR="0013444E" w:rsidRPr="004D6E07">
        <w:rPr>
          <w:rFonts w:cstheme="majorBidi"/>
          <w:szCs w:val="24"/>
        </w:rPr>
        <w:t xml:space="preserve">of the event </w:t>
      </w:r>
      <w:r w:rsidR="00620565" w:rsidRPr="004D6E07">
        <w:rPr>
          <w:rFonts w:cstheme="majorBidi"/>
          <w:szCs w:val="24"/>
        </w:rPr>
        <w:t xml:space="preserve">will be a demonstration of the emerging products provided by participating manufacturers and research institutes. This part aims to underscore advanced technologies and ongoing standardization work at ITU-T. </w:t>
      </w:r>
    </w:p>
    <w:p w14:paraId="0A07BCD3" w14:textId="2B72E06E" w:rsidR="00620565" w:rsidRPr="00E367DB" w:rsidRDefault="003F29F0" w:rsidP="00943341">
      <w:pPr>
        <w:adjustRightInd/>
        <w:rPr>
          <w:szCs w:val="24"/>
        </w:rPr>
      </w:pPr>
      <w:r>
        <w:rPr>
          <w:bCs/>
        </w:rPr>
        <w:t>6</w:t>
      </w:r>
      <w:r w:rsidR="0087300D" w:rsidRPr="004D6E07">
        <w:tab/>
      </w:r>
      <w:r w:rsidR="00620565" w:rsidRPr="004D6E07">
        <w:rPr>
          <w:rFonts w:cstheme="majorBidi"/>
          <w:szCs w:val="24"/>
        </w:rPr>
        <w:t>The event is op</w:t>
      </w:r>
      <w:r w:rsidR="003D3156" w:rsidRPr="004D6E07">
        <w:rPr>
          <w:rFonts w:cstheme="majorBidi"/>
          <w:szCs w:val="24"/>
        </w:rPr>
        <w:t xml:space="preserve">en to all ICT players of </w:t>
      </w:r>
      <w:r w:rsidR="00620565" w:rsidRPr="004D6E07">
        <w:rPr>
          <w:rFonts w:cstheme="majorBidi"/>
          <w:szCs w:val="24"/>
        </w:rPr>
        <w:t>ITU</w:t>
      </w:r>
      <w:r w:rsidR="003D3156" w:rsidRPr="004D6E07">
        <w:rPr>
          <w:rFonts w:cstheme="majorBidi"/>
          <w:szCs w:val="24"/>
        </w:rPr>
        <w:t xml:space="preserve"> member states</w:t>
      </w:r>
      <w:r w:rsidR="00254423">
        <w:rPr>
          <w:rFonts w:cstheme="majorBidi"/>
          <w:szCs w:val="24"/>
        </w:rPr>
        <w:t>,</w:t>
      </w:r>
      <w:r w:rsidR="003D3156" w:rsidRPr="004D6E07">
        <w:rPr>
          <w:rFonts w:cstheme="majorBidi"/>
          <w:szCs w:val="24"/>
        </w:rPr>
        <w:t xml:space="preserve"> including</w:t>
      </w:r>
      <w:r w:rsidR="00620565" w:rsidRPr="004D6E07">
        <w:rPr>
          <w:rFonts w:cstheme="majorBidi"/>
          <w:szCs w:val="24"/>
        </w:rPr>
        <w:t xml:space="preserve"> vendors, operators</w:t>
      </w:r>
      <w:r w:rsidR="003D3156" w:rsidRPr="004D6E07">
        <w:rPr>
          <w:rFonts w:cstheme="majorBidi"/>
          <w:szCs w:val="24"/>
        </w:rPr>
        <w:t>, research institutes</w:t>
      </w:r>
      <w:r>
        <w:rPr>
          <w:rFonts w:cstheme="majorBidi"/>
          <w:szCs w:val="24"/>
        </w:rPr>
        <w:t xml:space="preserve">, </w:t>
      </w:r>
      <w:r w:rsidR="009E7EBA">
        <w:rPr>
          <w:rFonts w:cstheme="majorBidi"/>
          <w:szCs w:val="24"/>
        </w:rPr>
        <w:t xml:space="preserve">and </w:t>
      </w:r>
      <w:r>
        <w:rPr>
          <w:rFonts w:cstheme="majorBidi"/>
          <w:szCs w:val="24"/>
        </w:rPr>
        <w:t>academia</w:t>
      </w:r>
      <w:r w:rsidR="00254423">
        <w:rPr>
          <w:rFonts w:cstheme="majorBidi"/>
          <w:szCs w:val="24"/>
        </w:rPr>
        <w:t xml:space="preserve">. </w:t>
      </w:r>
      <w:r w:rsidR="00254423" w:rsidRPr="002250A0">
        <w:rPr>
          <w:rFonts w:cstheme="majorBidi"/>
          <w:szCs w:val="24"/>
        </w:rPr>
        <w:t xml:space="preserve">The </w:t>
      </w:r>
      <w:r w:rsidR="00620565" w:rsidRPr="002250A0">
        <w:rPr>
          <w:rFonts w:cstheme="majorBidi"/>
          <w:b/>
          <w:bCs/>
          <w:szCs w:val="24"/>
        </w:rPr>
        <w:t>fee</w:t>
      </w:r>
      <w:r w:rsidR="00620565" w:rsidRPr="002250A0">
        <w:rPr>
          <w:rFonts w:cstheme="majorBidi"/>
          <w:szCs w:val="24"/>
        </w:rPr>
        <w:t xml:space="preserve"> </w:t>
      </w:r>
      <w:r w:rsidR="00E367DB" w:rsidRPr="002250A0">
        <w:rPr>
          <w:rFonts w:cstheme="majorBidi"/>
          <w:szCs w:val="24"/>
        </w:rPr>
        <w:t>for participation in the</w:t>
      </w:r>
      <w:r w:rsidR="00254423" w:rsidRPr="002250A0">
        <w:rPr>
          <w:rFonts w:cstheme="majorBidi"/>
          <w:szCs w:val="24"/>
        </w:rPr>
        <w:t xml:space="preserve"> t</w:t>
      </w:r>
      <w:r w:rsidR="00620565" w:rsidRPr="002250A0">
        <w:rPr>
          <w:rFonts w:cstheme="majorBidi"/>
          <w:szCs w:val="24"/>
        </w:rPr>
        <w:t xml:space="preserve">esting </w:t>
      </w:r>
      <w:r w:rsidR="00E367DB" w:rsidRPr="002250A0">
        <w:rPr>
          <w:rFonts w:cstheme="majorBidi"/>
          <w:szCs w:val="24"/>
        </w:rPr>
        <w:t xml:space="preserve">of this event </w:t>
      </w:r>
      <w:r w:rsidR="00620565" w:rsidRPr="002250A0">
        <w:rPr>
          <w:rFonts w:cstheme="majorBidi"/>
          <w:szCs w:val="24"/>
        </w:rPr>
        <w:t xml:space="preserve">will be </w:t>
      </w:r>
      <w:r w:rsidR="00254423" w:rsidRPr="006F3CAF">
        <w:rPr>
          <w:rFonts w:cstheme="majorBidi"/>
          <w:b/>
          <w:bCs/>
          <w:szCs w:val="24"/>
        </w:rPr>
        <w:t>CHF</w:t>
      </w:r>
      <w:r w:rsidR="00943341">
        <w:rPr>
          <w:rFonts w:cstheme="majorBidi"/>
          <w:b/>
          <w:bCs/>
          <w:szCs w:val="24"/>
        </w:rPr>
        <w:t> </w:t>
      </w:r>
      <w:r w:rsidR="00254423" w:rsidRPr="006F3CAF">
        <w:rPr>
          <w:rFonts w:cstheme="majorBidi"/>
          <w:b/>
          <w:bCs/>
          <w:szCs w:val="24"/>
        </w:rPr>
        <w:t>1,000</w:t>
      </w:r>
      <w:r w:rsidR="00254423" w:rsidRPr="002250A0">
        <w:rPr>
          <w:rFonts w:cstheme="majorBidi"/>
          <w:szCs w:val="24"/>
        </w:rPr>
        <w:t xml:space="preserve"> per organization</w:t>
      </w:r>
      <w:r w:rsidR="00620565" w:rsidRPr="002250A0">
        <w:rPr>
          <w:rFonts w:cstheme="majorBidi"/>
          <w:szCs w:val="24"/>
        </w:rPr>
        <w:t>.</w:t>
      </w:r>
      <w:r w:rsidR="002250A0" w:rsidRPr="002250A0">
        <w:rPr>
          <w:rFonts w:cstheme="majorBidi"/>
          <w:szCs w:val="24"/>
        </w:rPr>
        <w:t xml:space="preserve"> This fee c</w:t>
      </w:r>
      <w:r w:rsidR="002250A0">
        <w:rPr>
          <w:rFonts w:cstheme="majorBidi"/>
          <w:szCs w:val="24"/>
        </w:rPr>
        <w:t xml:space="preserve">overs the right to participate in other two future ITU IPTV </w:t>
      </w:r>
      <w:r w:rsidR="009E7EBA">
        <w:rPr>
          <w:rFonts w:cstheme="majorBidi"/>
          <w:szCs w:val="24"/>
        </w:rPr>
        <w:t>testing</w:t>
      </w:r>
      <w:r w:rsidR="002250A0">
        <w:rPr>
          <w:rFonts w:cstheme="majorBidi"/>
          <w:szCs w:val="24"/>
        </w:rPr>
        <w:t xml:space="preserve"> events which are planned to </w:t>
      </w:r>
      <w:r w:rsidR="006F3CAF">
        <w:rPr>
          <w:rFonts w:cstheme="majorBidi"/>
          <w:szCs w:val="24"/>
        </w:rPr>
        <w:t>be held at ITU headquarters</w:t>
      </w:r>
      <w:r w:rsidR="002250A0">
        <w:rPr>
          <w:rFonts w:cstheme="majorBidi"/>
          <w:szCs w:val="24"/>
        </w:rPr>
        <w:t xml:space="preserve">. </w:t>
      </w:r>
      <w:r w:rsidR="00620565" w:rsidRPr="004D6E07">
        <w:rPr>
          <w:rFonts w:cstheme="majorBidi"/>
          <w:szCs w:val="24"/>
        </w:rPr>
        <w:t xml:space="preserve"> </w:t>
      </w:r>
      <w:r>
        <w:rPr>
          <w:rFonts w:cstheme="majorBidi"/>
          <w:szCs w:val="24"/>
        </w:rPr>
        <w:t xml:space="preserve">The ITU academia membership will be exempted from this fee. </w:t>
      </w:r>
      <w:r w:rsidR="00E367DB">
        <w:rPr>
          <w:rFonts w:cstheme="majorBidi"/>
          <w:szCs w:val="24"/>
        </w:rPr>
        <w:t xml:space="preserve">Participation in </w:t>
      </w:r>
      <w:r w:rsidR="004D3B25" w:rsidRPr="004D6E07">
        <w:rPr>
          <w:szCs w:val="24"/>
        </w:rPr>
        <w:t xml:space="preserve">the showcasing </w:t>
      </w:r>
      <w:r w:rsidR="002250A0">
        <w:rPr>
          <w:szCs w:val="24"/>
        </w:rPr>
        <w:t xml:space="preserve">(as both exhibitor and visitor) </w:t>
      </w:r>
      <w:r w:rsidR="00E367DB">
        <w:rPr>
          <w:szCs w:val="24"/>
        </w:rPr>
        <w:t>is</w:t>
      </w:r>
      <w:r w:rsidR="00AE29A1" w:rsidRPr="004D6E07">
        <w:rPr>
          <w:szCs w:val="24"/>
        </w:rPr>
        <w:t xml:space="preserve"> free of charge</w:t>
      </w:r>
      <w:r w:rsidR="004D3B25" w:rsidRPr="004D6E07">
        <w:rPr>
          <w:szCs w:val="24"/>
        </w:rPr>
        <w:t>,</w:t>
      </w:r>
      <w:r w:rsidR="00AE29A1" w:rsidRPr="004D6E07">
        <w:rPr>
          <w:szCs w:val="24"/>
        </w:rPr>
        <w:t xml:space="preserve"> but no fellowships will be granted. </w:t>
      </w:r>
      <w:r w:rsidR="00AC2048">
        <w:rPr>
          <w:szCs w:val="24"/>
        </w:rPr>
        <w:t xml:space="preserve">Any further information will be available on the event website at: </w:t>
      </w:r>
      <w:hyperlink r:id="rId13" w:history="1">
        <w:r w:rsidR="00AC2048" w:rsidRPr="00BA5DCC">
          <w:rPr>
            <w:rStyle w:val="Hyperlink"/>
          </w:rPr>
          <w:t>http://www.itu.int/en/ITU-T/C-I/interop/Pages/IPTV201510.aspx</w:t>
        </w:r>
      </w:hyperlink>
      <w:r w:rsidR="00AC2048">
        <w:rPr>
          <w:szCs w:val="24"/>
        </w:rPr>
        <w:t xml:space="preserve"> .</w:t>
      </w:r>
    </w:p>
    <w:p w14:paraId="0C618FE8" w14:textId="4DD6FE5E" w:rsidR="00620565" w:rsidRDefault="00E8553B" w:rsidP="00F8269E">
      <w:pPr>
        <w:adjustRightInd/>
      </w:pPr>
      <w:r>
        <w:t>7</w:t>
      </w:r>
      <w:r>
        <w:tab/>
      </w:r>
      <w:r w:rsidR="00620565" w:rsidRPr="00E8553B">
        <w:rPr>
          <w:b/>
          <w:bCs/>
        </w:rPr>
        <w:t>Registration</w:t>
      </w:r>
      <w:r w:rsidR="00620565" w:rsidRPr="00E8553B">
        <w:t xml:space="preserve">: </w:t>
      </w:r>
      <w:r w:rsidR="00F8269E">
        <w:t>To enable TSB to make the necessary arrangements concerning the organization of the event, I should be grateful i</w:t>
      </w:r>
      <w:r w:rsidR="003F29F0">
        <w:t xml:space="preserve">f you would register online at: </w:t>
      </w:r>
      <w:hyperlink r:id="rId14" w:history="1">
        <w:r w:rsidR="003F29F0" w:rsidRPr="00BA5DCC">
          <w:rPr>
            <w:rStyle w:val="Hyperlink"/>
          </w:rPr>
          <w:t>http://www.itu.int/en/ITU-T/C-I/interop/Pages/IPTV201510.aspx</w:t>
        </w:r>
      </w:hyperlink>
      <w:r w:rsidR="003F29F0">
        <w:t xml:space="preserve"> </w:t>
      </w:r>
      <w:r w:rsidR="00F8269E">
        <w:t xml:space="preserve">, as soon as possible, </w:t>
      </w:r>
      <w:proofErr w:type="gramStart"/>
      <w:r w:rsidR="00F8269E">
        <w:t>but</w:t>
      </w:r>
      <w:proofErr w:type="gramEnd"/>
      <w:r w:rsidR="00F8269E">
        <w:t xml:space="preserve"> </w:t>
      </w:r>
      <w:r w:rsidR="00F8269E">
        <w:rPr>
          <w:b/>
        </w:rPr>
        <w:t>not later than 30 September 2015</w:t>
      </w:r>
      <w:r w:rsidR="00F8269E">
        <w:t>.</w:t>
      </w:r>
    </w:p>
    <w:p w14:paraId="6931F6FD" w14:textId="6F4B99A0" w:rsidR="00F8269E" w:rsidRDefault="00F8269E" w:rsidP="00F8269E">
      <w:pPr>
        <w:pStyle w:val="BodyText2"/>
      </w:pPr>
      <w:r>
        <w:t>8</w:t>
      </w:r>
      <w:r>
        <w:tab/>
      </w:r>
      <w:r>
        <w:tab/>
        <w:t xml:space="preserve">I would remind you that citizens of some countries are required to obtain a visa in order to enter and spend any time in Switzerland. </w:t>
      </w:r>
      <w:r w:rsidRPr="00C91490">
        <w:rPr>
          <w:b/>
          <w:bCs/>
        </w:rPr>
        <w:t xml:space="preserve">The visa must be requested at least </w:t>
      </w:r>
      <w:r>
        <w:rPr>
          <w:b/>
          <w:bCs/>
        </w:rPr>
        <w:t>four (4)</w:t>
      </w:r>
      <w:r w:rsidRPr="00C91490">
        <w:rPr>
          <w:b/>
          <w:bCs/>
        </w:rPr>
        <w:t xml:space="preserve"> weeks before the date of beginning of the </w:t>
      </w:r>
      <w:r>
        <w:rPr>
          <w:b/>
          <w:bCs/>
        </w:rPr>
        <w:t>event</w:t>
      </w:r>
      <w:r>
        <w:t xml:space="preserve"> and obtained from the office (embassy or consulate) representing Switzerland in your country or, if there is no such office in your country, from the one that is closest to the country of departure.</w:t>
      </w:r>
    </w:p>
    <w:p w14:paraId="3CDD39BA" w14:textId="77777777" w:rsidR="00F8269E" w:rsidRDefault="00F8269E" w:rsidP="00F8269E">
      <w:pPr>
        <w:tabs>
          <w:tab w:val="left" w:pos="1418"/>
          <w:tab w:val="left" w:pos="1702"/>
          <w:tab w:val="left" w:pos="2160"/>
        </w:tabs>
        <w:ind w:right="92"/>
      </w:pPr>
      <w:r>
        <w:tab/>
        <w:t xml:space="preserve">If problems are encountered by </w:t>
      </w:r>
      <w:r w:rsidRPr="003F1355">
        <w:rPr>
          <w:b/>
          <w:bCs/>
        </w:rPr>
        <w:t>ITU Member States, Sector Members</w:t>
      </w:r>
      <w:r>
        <w:rPr>
          <w:b/>
          <w:bCs/>
        </w:rPr>
        <w:t>,</w:t>
      </w:r>
      <w:r w:rsidRPr="003F1355">
        <w:rPr>
          <w:b/>
          <w:bCs/>
        </w:rPr>
        <w:t xml:space="preserve"> Associates</w:t>
      </w:r>
      <w:r>
        <w:rPr>
          <w:b/>
          <w:bCs/>
        </w:rPr>
        <w:t xml:space="preserve"> or Academic Institutions</w:t>
      </w:r>
      <w:r>
        <w:t xml:space="preserve">, and at the official request made by them to TSB, the Union can approach the competent Swiss authorities in order to facilitate delivery of the visa but only within the period mentioned of </w:t>
      </w:r>
      <w:r w:rsidRPr="00332E9D">
        <w:rPr>
          <w:b/>
          <w:bCs/>
        </w:rPr>
        <w:t>four</w:t>
      </w:r>
      <w:r>
        <w:t xml:space="preserve"> weeks. Any such</w:t>
      </w:r>
      <w:r>
        <w:rPr>
          <w:lang w:val="en-US"/>
        </w:rPr>
        <w:t xml:space="preserve"> request should be made by official letter from the administration or entity you represent. This letter must specify the name and functions, date of birth, number, dates of issue and expiry of passport of the individual(s) for whom the visa(s) is/are requested and be accompanied by a copy of the notification of confirmation of registration approved for the ITU-T workshop in question, and must be sent to TSB by fax (+41 22 730 5853) or e-mail (</w:t>
      </w:r>
      <w:hyperlink r:id="rId15" w:history="1">
        <w:r w:rsidRPr="003A6A3B">
          <w:rPr>
            <w:rStyle w:val="Hyperlink"/>
            <w:lang w:val="en-US"/>
          </w:rPr>
          <w:t>tsbreg@itu.int</w:t>
        </w:r>
      </w:hyperlink>
      <w:r>
        <w:rPr>
          <w:lang w:val="en-US"/>
        </w:rPr>
        <w:t xml:space="preserve">), bearing the words </w:t>
      </w:r>
      <w:r w:rsidRPr="00064F18">
        <w:rPr>
          <w:b/>
          <w:bCs/>
          <w:lang w:val="en-US"/>
        </w:rPr>
        <w:t>“visa request</w:t>
      </w:r>
      <w:r>
        <w:rPr>
          <w:b/>
          <w:bCs/>
          <w:lang w:val="en-US"/>
        </w:rPr>
        <w:t>”</w:t>
      </w:r>
      <w:r>
        <w:rPr>
          <w:lang w:val="en-US"/>
        </w:rPr>
        <w:t xml:space="preserve">. </w:t>
      </w:r>
      <w:r>
        <w:rPr>
          <w:b/>
          <w:bCs/>
          <w:u w:val="single"/>
        </w:rPr>
        <w:t>Please also note that ITU can assist only representatives of ITU Member States, ITU Sector Members, ITU Associates and ITU Academic Institutions</w:t>
      </w:r>
      <w:r>
        <w:rPr>
          <w:b/>
          <w:bCs/>
        </w:rPr>
        <w:t>.</w:t>
      </w:r>
    </w:p>
    <w:p w14:paraId="39BCD6D5" w14:textId="1C8A82FF" w:rsidR="003F29F0" w:rsidRDefault="0087300D" w:rsidP="003F29F0">
      <w:pPr>
        <w:spacing w:before="480"/>
        <w:ind w:right="92"/>
      </w:pPr>
      <w:r>
        <w:lastRenderedPageBreak/>
        <w:t>Yours faithfully,</w:t>
      </w:r>
    </w:p>
    <w:p w14:paraId="5E1E356E" w14:textId="77777777" w:rsidR="009F6599" w:rsidRDefault="009F6599" w:rsidP="003F29F0">
      <w:pPr>
        <w:spacing w:before="480"/>
        <w:ind w:right="92"/>
      </w:pPr>
    </w:p>
    <w:p w14:paraId="16FCE289" w14:textId="77777777" w:rsidR="00F111CC" w:rsidRDefault="00F7771A" w:rsidP="00F111CC">
      <w:pPr>
        <w:spacing w:before="480"/>
        <w:ind w:right="92"/>
      </w:pPr>
      <w:proofErr w:type="spellStart"/>
      <w:r>
        <w:rPr>
          <w:szCs w:val="24"/>
        </w:rPr>
        <w:t>Chaesub</w:t>
      </w:r>
      <w:proofErr w:type="spellEnd"/>
      <w:r>
        <w:rPr>
          <w:szCs w:val="24"/>
        </w:rPr>
        <w:t xml:space="preserve"> Lee</w:t>
      </w:r>
      <w:r w:rsidR="0087300D">
        <w:br/>
        <w:t>Director of the Telecommunication</w:t>
      </w:r>
      <w:r w:rsidR="0087300D">
        <w:br/>
        <w:t>Standardization Bureau</w:t>
      </w:r>
    </w:p>
    <w:sectPr w:rsidR="00F111CC" w:rsidSect="00AD7192">
      <w:headerReference w:type="default" r:id="rId16"/>
      <w:footerReference w:type="default" r:id="rId17"/>
      <w:footerReference w:type="first" r:id="rId18"/>
      <w:type w:val="oddPage"/>
      <w:pgSz w:w="11907" w:h="16834" w:code="9"/>
      <w:pgMar w:top="567" w:right="1089" w:bottom="567" w:left="1089" w:header="567" w:footer="567"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DA59" w14:textId="77777777" w:rsidR="00E80230" w:rsidRDefault="00E80230">
      <w:r>
        <w:separator/>
      </w:r>
    </w:p>
  </w:endnote>
  <w:endnote w:type="continuationSeparator" w:id="0">
    <w:p w14:paraId="6E70152F" w14:textId="77777777" w:rsidR="00E80230" w:rsidRDefault="00E80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369FD" w14:textId="15CE94D6" w:rsidR="00332E9D" w:rsidRPr="00196AB1" w:rsidRDefault="001F6BCF" w:rsidP="00332E9D">
    <w:pPr>
      <w:pStyle w:val="Footer"/>
      <w:rPr>
        <w:lang w:val="fr-CH"/>
      </w:rPr>
    </w:pPr>
    <w:r>
      <w:rPr>
        <w:lang w:val="fr-CH"/>
      </w:rPr>
      <w:t>ITU-T\BUREAU\CIRC\172</w:t>
    </w:r>
    <w:r w:rsidR="00332E9D">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081F8" w14:textId="77777777" w:rsidR="00D2180F" w:rsidRPr="004E3CF9" w:rsidRDefault="00D2180F" w:rsidP="00D2180F">
    <w:pPr>
      <w:pStyle w:val="FirstFooter"/>
      <w:ind w:left="-397" w:right="-397"/>
      <w:jc w:val="center"/>
    </w:pPr>
    <w:r w:rsidRPr="00026CF8">
      <w:rPr>
        <w:sz w:val="18"/>
        <w:szCs w:val="18"/>
        <w:lang w:val="fr-CH"/>
      </w:rPr>
      <w:t xml:space="preserve">International </w:t>
    </w:r>
    <w:proofErr w:type="spellStart"/>
    <w:r w:rsidRPr="00026CF8">
      <w:rPr>
        <w:sz w:val="18"/>
        <w:szCs w:val="18"/>
        <w:lang w:val="fr-CH"/>
      </w:rPr>
      <w:t>Telecommunication</w:t>
    </w:r>
    <w:proofErr w:type="spellEnd"/>
    <w:r w:rsidRPr="00026CF8">
      <w:rPr>
        <w:sz w:val="18"/>
        <w:szCs w:val="18"/>
        <w:lang w:val="fr-CH"/>
      </w:rPr>
      <w:t xml:space="preserve"> Union • Place des Nations • CH</w:t>
    </w:r>
    <w:r w:rsidRPr="00026CF8">
      <w:rPr>
        <w:sz w:val="18"/>
        <w:szCs w:val="18"/>
        <w:lang w:val="fr-CH"/>
      </w:rPr>
      <w:noBreakHyphen/>
      <w:t xml:space="preserve">1211 Geneva 20 • </w:t>
    </w:r>
    <w:proofErr w:type="spellStart"/>
    <w:r w:rsidRPr="00026CF8">
      <w:rPr>
        <w:sz w:val="18"/>
        <w:szCs w:val="18"/>
        <w:lang w:val="fr-CH"/>
      </w:rPr>
      <w:t>Switzerland</w:t>
    </w:r>
    <w:proofErr w:type="spellEnd"/>
    <w:r w:rsidRPr="00026CF8">
      <w:rPr>
        <w:sz w:val="18"/>
        <w:szCs w:val="18"/>
        <w:lang w:val="fr-CH"/>
      </w:rPr>
      <w:t xml:space="preserve">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39CF5" w14:textId="77777777" w:rsidR="00E80230" w:rsidRDefault="00E80230">
      <w:r>
        <w:t>____________________</w:t>
      </w:r>
    </w:p>
  </w:footnote>
  <w:footnote w:type="continuationSeparator" w:id="0">
    <w:p w14:paraId="5C152CE3" w14:textId="77777777" w:rsidR="00E80230" w:rsidRDefault="00E80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244B5" w14:textId="77777777" w:rsidR="00FA124A" w:rsidRDefault="00FA124A" w:rsidP="00932E45">
    <w:pPr>
      <w:pStyle w:val="Header"/>
      <w:rPr>
        <w:rStyle w:val="PageNumber"/>
      </w:rPr>
    </w:pPr>
    <w:r>
      <w:rPr>
        <w:lang w:val="en-US"/>
      </w:rPr>
      <w:t xml:space="preserve">- </w:t>
    </w:r>
    <w:r w:rsidR="000D49FB">
      <w:rPr>
        <w:rStyle w:val="PageNumber"/>
      </w:rPr>
      <w:fldChar w:fldCharType="begin"/>
    </w:r>
    <w:r>
      <w:rPr>
        <w:rStyle w:val="PageNumber"/>
      </w:rPr>
      <w:instrText xml:space="preserve"> PAGE </w:instrText>
    </w:r>
    <w:r w:rsidR="000D49FB">
      <w:rPr>
        <w:rStyle w:val="PageNumber"/>
      </w:rPr>
      <w:fldChar w:fldCharType="separate"/>
    </w:r>
    <w:r w:rsidR="004D23EF">
      <w:rPr>
        <w:rStyle w:val="PageNumber"/>
        <w:noProof/>
      </w:rPr>
      <w:t>2</w:t>
    </w:r>
    <w:r w:rsidR="000D49FB">
      <w:rPr>
        <w:rStyle w:val="PageNumber"/>
      </w:rPr>
      <w:fldChar w:fldCharType="end"/>
    </w:r>
    <w:r>
      <w:rPr>
        <w:rStyle w:val="PageNumber"/>
      </w:rPr>
      <w:t xml:space="preserve"> -</w:t>
    </w:r>
  </w:p>
  <w:p w14:paraId="44D2D35B" w14:textId="77777777" w:rsidR="00932E45" w:rsidRDefault="00932E45" w:rsidP="00932E45">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A480D"/>
    <w:multiLevelType w:val="hybridMultilevel"/>
    <w:tmpl w:val="AC12ABC2"/>
    <w:lvl w:ilvl="0" w:tplc="FE8E218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D4B73"/>
    <w:multiLevelType w:val="hybridMultilevel"/>
    <w:tmpl w:val="6C6E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153E"/>
    <w:multiLevelType w:val="hybridMultilevel"/>
    <w:tmpl w:val="079EAC86"/>
    <w:lvl w:ilvl="0" w:tplc="C4767B3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2C94375"/>
    <w:multiLevelType w:val="hybridMultilevel"/>
    <w:tmpl w:val="02EC72D8"/>
    <w:lvl w:ilvl="0" w:tplc="FE8E2182">
      <w:start w:val="1"/>
      <w:numFmt w:val="decimal"/>
      <w:lvlText w:val="%1)"/>
      <w:lvlJc w:val="left"/>
      <w:pPr>
        <w:ind w:left="643" w:hanging="360"/>
      </w:pPr>
      <w:rPr>
        <w:rFonts w:cs="Times New Roman" w:hint="default"/>
      </w:rPr>
    </w:lvl>
    <w:lvl w:ilvl="1" w:tplc="08090019" w:tentative="1">
      <w:start w:val="1"/>
      <w:numFmt w:val="lowerLetter"/>
      <w:lvlText w:val="%2."/>
      <w:lvlJc w:val="left"/>
      <w:pPr>
        <w:ind w:left="1363" w:hanging="360"/>
      </w:pPr>
      <w:rPr>
        <w:rFonts w:cs="Times New Roman"/>
      </w:rPr>
    </w:lvl>
    <w:lvl w:ilvl="2" w:tplc="0809001B" w:tentative="1">
      <w:start w:val="1"/>
      <w:numFmt w:val="lowerRoman"/>
      <w:lvlText w:val="%3."/>
      <w:lvlJc w:val="right"/>
      <w:pPr>
        <w:ind w:left="2083" w:hanging="180"/>
      </w:pPr>
      <w:rPr>
        <w:rFonts w:cs="Times New Roman"/>
      </w:rPr>
    </w:lvl>
    <w:lvl w:ilvl="3" w:tplc="0809000F" w:tentative="1">
      <w:start w:val="1"/>
      <w:numFmt w:val="decimal"/>
      <w:lvlText w:val="%4."/>
      <w:lvlJc w:val="left"/>
      <w:pPr>
        <w:ind w:left="2803" w:hanging="360"/>
      </w:pPr>
      <w:rPr>
        <w:rFonts w:cs="Times New Roman"/>
      </w:rPr>
    </w:lvl>
    <w:lvl w:ilvl="4" w:tplc="08090019" w:tentative="1">
      <w:start w:val="1"/>
      <w:numFmt w:val="lowerLetter"/>
      <w:lvlText w:val="%5."/>
      <w:lvlJc w:val="left"/>
      <w:pPr>
        <w:ind w:left="3523" w:hanging="360"/>
      </w:pPr>
      <w:rPr>
        <w:rFonts w:cs="Times New Roman"/>
      </w:rPr>
    </w:lvl>
    <w:lvl w:ilvl="5" w:tplc="0809001B" w:tentative="1">
      <w:start w:val="1"/>
      <w:numFmt w:val="lowerRoman"/>
      <w:lvlText w:val="%6."/>
      <w:lvlJc w:val="right"/>
      <w:pPr>
        <w:ind w:left="4243" w:hanging="180"/>
      </w:pPr>
      <w:rPr>
        <w:rFonts w:cs="Times New Roman"/>
      </w:rPr>
    </w:lvl>
    <w:lvl w:ilvl="6" w:tplc="0809000F" w:tentative="1">
      <w:start w:val="1"/>
      <w:numFmt w:val="decimal"/>
      <w:lvlText w:val="%7."/>
      <w:lvlJc w:val="left"/>
      <w:pPr>
        <w:ind w:left="4963" w:hanging="360"/>
      </w:pPr>
      <w:rPr>
        <w:rFonts w:cs="Times New Roman"/>
      </w:rPr>
    </w:lvl>
    <w:lvl w:ilvl="7" w:tplc="08090019" w:tentative="1">
      <w:start w:val="1"/>
      <w:numFmt w:val="lowerLetter"/>
      <w:lvlText w:val="%8."/>
      <w:lvlJc w:val="left"/>
      <w:pPr>
        <w:ind w:left="5683" w:hanging="360"/>
      </w:pPr>
      <w:rPr>
        <w:rFonts w:cs="Times New Roman"/>
      </w:rPr>
    </w:lvl>
    <w:lvl w:ilvl="8" w:tplc="0809001B" w:tentative="1">
      <w:start w:val="1"/>
      <w:numFmt w:val="lowerRoman"/>
      <w:lvlText w:val="%9."/>
      <w:lvlJc w:val="right"/>
      <w:pPr>
        <w:ind w:left="6403" w:hanging="180"/>
      </w:pPr>
      <w:rPr>
        <w:rFonts w:cs="Times New Roman"/>
      </w:rPr>
    </w:lvl>
  </w:abstractNum>
  <w:abstractNum w:abstractNumId="4" w15:restartNumberingAfterBreak="0">
    <w:nsid w:val="246E3E12"/>
    <w:multiLevelType w:val="hybridMultilevel"/>
    <w:tmpl w:val="D2BABFB8"/>
    <w:lvl w:ilvl="0" w:tplc="C9381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E91EE4"/>
    <w:multiLevelType w:val="hybridMultilevel"/>
    <w:tmpl w:val="A5622716"/>
    <w:lvl w:ilvl="0" w:tplc="D870FCCC">
      <w:start w:val="1"/>
      <w:numFmt w:val="lowerLetter"/>
      <w:lvlText w:val="%1)"/>
      <w:lvlJc w:val="left"/>
      <w:pPr>
        <w:tabs>
          <w:tab w:val="num" w:pos="720"/>
        </w:tabs>
        <w:ind w:left="720" w:hanging="360"/>
      </w:pPr>
    </w:lvl>
    <w:lvl w:ilvl="1" w:tplc="DC7877E0">
      <w:start w:val="1"/>
      <w:numFmt w:val="lowerLetter"/>
      <w:lvlText w:val="%2)"/>
      <w:lvlJc w:val="left"/>
      <w:pPr>
        <w:tabs>
          <w:tab w:val="num" w:pos="1440"/>
        </w:tabs>
        <w:ind w:left="1440" w:hanging="360"/>
      </w:pPr>
    </w:lvl>
    <w:lvl w:ilvl="2" w:tplc="4F34EB76" w:tentative="1">
      <w:start w:val="1"/>
      <w:numFmt w:val="lowerLetter"/>
      <w:lvlText w:val="%3)"/>
      <w:lvlJc w:val="left"/>
      <w:pPr>
        <w:tabs>
          <w:tab w:val="num" w:pos="2160"/>
        </w:tabs>
        <w:ind w:left="2160" w:hanging="360"/>
      </w:pPr>
    </w:lvl>
    <w:lvl w:ilvl="3" w:tplc="D30AA5D0" w:tentative="1">
      <w:start w:val="1"/>
      <w:numFmt w:val="lowerLetter"/>
      <w:lvlText w:val="%4)"/>
      <w:lvlJc w:val="left"/>
      <w:pPr>
        <w:tabs>
          <w:tab w:val="num" w:pos="2880"/>
        </w:tabs>
        <w:ind w:left="2880" w:hanging="360"/>
      </w:pPr>
    </w:lvl>
    <w:lvl w:ilvl="4" w:tplc="A482BD1E" w:tentative="1">
      <w:start w:val="1"/>
      <w:numFmt w:val="lowerLetter"/>
      <w:lvlText w:val="%5)"/>
      <w:lvlJc w:val="left"/>
      <w:pPr>
        <w:tabs>
          <w:tab w:val="num" w:pos="3600"/>
        </w:tabs>
        <w:ind w:left="3600" w:hanging="360"/>
      </w:pPr>
    </w:lvl>
    <w:lvl w:ilvl="5" w:tplc="98C66EC2" w:tentative="1">
      <w:start w:val="1"/>
      <w:numFmt w:val="lowerLetter"/>
      <w:lvlText w:val="%6)"/>
      <w:lvlJc w:val="left"/>
      <w:pPr>
        <w:tabs>
          <w:tab w:val="num" w:pos="4320"/>
        </w:tabs>
        <w:ind w:left="4320" w:hanging="360"/>
      </w:pPr>
    </w:lvl>
    <w:lvl w:ilvl="6" w:tplc="9842BF7C" w:tentative="1">
      <w:start w:val="1"/>
      <w:numFmt w:val="lowerLetter"/>
      <w:lvlText w:val="%7)"/>
      <w:lvlJc w:val="left"/>
      <w:pPr>
        <w:tabs>
          <w:tab w:val="num" w:pos="5040"/>
        </w:tabs>
        <w:ind w:left="5040" w:hanging="360"/>
      </w:pPr>
    </w:lvl>
    <w:lvl w:ilvl="7" w:tplc="93E6869C" w:tentative="1">
      <w:start w:val="1"/>
      <w:numFmt w:val="lowerLetter"/>
      <w:lvlText w:val="%8)"/>
      <w:lvlJc w:val="left"/>
      <w:pPr>
        <w:tabs>
          <w:tab w:val="num" w:pos="5760"/>
        </w:tabs>
        <w:ind w:left="5760" w:hanging="360"/>
      </w:pPr>
    </w:lvl>
    <w:lvl w:ilvl="8" w:tplc="A9603622" w:tentative="1">
      <w:start w:val="1"/>
      <w:numFmt w:val="lowerLetter"/>
      <w:lvlText w:val="%9)"/>
      <w:lvlJc w:val="left"/>
      <w:pPr>
        <w:tabs>
          <w:tab w:val="num" w:pos="6480"/>
        </w:tabs>
        <w:ind w:left="6480" w:hanging="360"/>
      </w:pPr>
    </w:lvl>
  </w:abstractNum>
  <w:abstractNum w:abstractNumId="6" w15:restartNumberingAfterBreak="0">
    <w:nsid w:val="434453EA"/>
    <w:multiLevelType w:val="hybridMultilevel"/>
    <w:tmpl w:val="229E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B4B55"/>
    <w:multiLevelType w:val="hybridMultilevel"/>
    <w:tmpl w:val="6FAA51A6"/>
    <w:lvl w:ilvl="0" w:tplc="3F089A56">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41002F"/>
    <w:multiLevelType w:val="hybridMultilevel"/>
    <w:tmpl w:val="7ECE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956B3F"/>
    <w:multiLevelType w:val="hybridMultilevel"/>
    <w:tmpl w:val="2FB6CC9C"/>
    <w:lvl w:ilvl="0" w:tplc="C9381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996A05"/>
    <w:multiLevelType w:val="hybridMultilevel"/>
    <w:tmpl w:val="039A8C92"/>
    <w:lvl w:ilvl="0" w:tplc="C93815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D11DA"/>
    <w:multiLevelType w:val="hybridMultilevel"/>
    <w:tmpl w:val="5BB0044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10"/>
  </w:num>
  <w:num w:numId="4">
    <w:abstractNumId w:val="4"/>
  </w:num>
  <w:num w:numId="5">
    <w:abstractNumId w:val="9"/>
  </w:num>
  <w:num w:numId="6">
    <w:abstractNumId w:val="5"/>
  </w:num>
  <w:num w:numId="7">
    <w:abstractNumId w:val="3"/>
  </w:num>
  <w:num w:numId="8">
    <w:abstractNumId w:val="2"/>
  </w:num>
  <w:num w:numId="9">
    <w:abstractNumId w:val="11"/>
  </w:num>
  <w:num w:numId="10">
    <w:abstractNumId w:val="8"/>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1"/>
  <w:activeWritingStyle w:appName="MSWord" w:lang="fr-CH"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EEE"/>
    <w:rsid w:val="000069D4"/>
    <w:rsid w:val="000174AD"/>
    <w:rsid w:val="00037833"/>
    <w:rsid w:val="000448CD"/>
    <w:rsid w:val="000569B1"/>
    <w:rsid w:val="00061BAE"/>
    <w:rsid w:val="000A7D55"/>
    <w:rsid w:val="000C2E8E"/>
    <w:rsid w:val="000C4702"/>
    <w:rsid w:val="000D48FF"/>
    <w:rsid w:val="000D49FB"/>
    <w:rsid w:val="000E0E7C"/>
    <w:rsid w:val="000F1B4B"/>
    <w:rsid w:val="0012744F"/>
    <w:rsid w:val="0013103F"/>
    <w:rsid w:val="0013444E"/>
    <w:rsid w:val="00156DFF"/>
    <w:rsid w:val="00156F66"/>
    <w:rsid w:val="00182528"/>
    <w:rsid w:val="0018500B"/>
    <w:rsid w:val="00196A19"/>
    <w:rsid w:val="001A278D"/>
    <w:rsid w:val="001B5B22"/>
    <w:rsid w:val="001C1DD9"/>
    <w:rsid w:val="001E393F"/>
    <w:rsid w:val="001F6BCF"/>
    <w:rsid w:val="00202DC1"/>
    <w:rsid w:val="002116EE"/>
    <w:rsid w:val="00222D56"/>
    <w:rsid w:val="002250A0"/>
    <w:rsid w:val="002309D8"/>
    <w:rsid w:val="00246FC1"/>
    <w:rsid w:val="00254423"/>
    <w:rsid w:val="00284888"/>
    <w:rsid w:val="002A7FE2"/>
    <w:rsid w:val="002C3530"/>
    <w:rsid w:val="002E1B4F"/>
    <w:rsid w:val="002E2807"/>
    <w:rsid w:val="002F2E67"/>
    <w:rsid w:val="00306AEB"/>
    <w:rsid w:val="00315546"/>
    <w:rsid w:val="00330567"/>
    <w:rsid w:val="00332E9D"/>
    <w:rsid w:val="00344BEA"/>
    <w:rsid w:val="00351DA5"/>
    <w:rsid w:val="00355D59"/>
    <w:rsid w:val="00371B6F"/>
    <w:rsid w:val="00386A9D"/>
    <w:rsid w:val="00391081"/>
    <w:rsid w:val="003978E5"/>
    <w:rsid w:val="003B2789"/>
    <w:rsid w:val="003B794D"/>
    <w:rsid w:val="003C13CE"/>
    <w:rsid w:val="003D3156"/>
    <w:rsid w:val="003D38E3"/>
    <w:rsid w:val="003D3E31"/>
    <w:rsid w:val="003E2518"/>
    <w:rsid w:val="003F29F0"/>
    <w:rsid w:val="00420B1C"/>
    <w:rsid w:val="004475A7"/>
    <w:rsid w:val="00476C0D"/>
    <w:rsid w:val="004A4412"/>
    <w:rsid w:val="004A5BB1"/>
    <w:rsid w:val="004B1EF7"/>
    <w:rsid w:val="004B3FAD"/>
    <w:rsid w:val="004D23EF"/>
    <w:rsid w:val="004D3B25"/>
    <w:rsid w:val="004D6E07"/>
    <w:rsid w:val="004E1460"/>
    <w:rsid w:val="00501DCA"/>
    <w:rsid w:val="00513A47"/>
    <w:rsid w:val="00521349"/>
    <w:rsid w:val="00535BDE"/>
    <w:rsid w:val="005408DF"/>
    <w:rsid w:val="00566333"/>
    <w:rsid w:val="00570416"/>
    <w:rsid w:val="00573344"/>
    <w:rsid w:val="00583F9B"/>
    <w:rsid w:val="005867E1"/>
    <w:rsid w:val="005C4D90"/>
    <w:rsid w:val="005E1223"/>
    <w:rsid w:val="005E2EBB"/>
    <w:rsid w:val="005E506A"/>
    <w:rsid w:val="005E5C10"/>
    <w:rsid w:val="005F2C78"/>
    <w:rsid w:val="00611AEA"/>
    <w:rsid w:val="006144E4"/>
    <w:rsid w:val="00620565"/>
    <w:rsid w:val="00626DC3"/>
    <w:rsid w:val="006402EE"/>
    <w:rsid w:val="00640A88"/>
    <w:rsid w:val="00650299"/>
    <w:rsid w:val="00655FC5"/>
    <w:rsid w:val="006563EE"/>
    <w:rsid w:val="00673782"/>
    <w:rsid w:val="006B7B51"/>
    <w:rsid w:val="006F3BE6"/>
    <w:rsid w:val="006F3CAF"/>
    <w:rsid w:val="007145BC"/>
    <w:rsid w:val="007459F1"/>
    <w:rsid w:val="007476F0"/>
    <w:rsid w:val="0075712D"/>
    <w:rsid w:val="007673B0"/>
    <w:rsid w:val="00781C67"/>
    <w:rsid w:val="00786171"/>
    <w:rsid w:val="00787A3C"/>
    <w:rsid w:val="007903CB"/>
    <w:rsid w:val="007B3067"/>
    <w:rsid w:val="007B6029"/>
    <w:rsid w:val="007D2F64"/>
    <w:rsid w:val="007E011D"/>
    <w:rsid w:val="007E6EF5"/>
    <w:rsid w:val="007F0B45"/>
    <w:rsid w:val="00822581"/>
    <w:rsid w:val="008309DD"/>
    <w:rsid w:val="0083227A"/>
    <w:rsid w:val="00843D7C"/>
    <w:rsid w:val="008667CB"/>
    <w:rsid w:val="00866900"/>
    <w:rsid w:val="00870336"/>
    <w:rsid w:val="0087300D"/>
    <w:rsid w:val="00877242"/>
    <w:rsid w:val="00881BA1"/>
    <w:rsid w:val="008820D0"/>
    <w:rsid w:val="0088403A"/>
    <w:rsid w:val="0089732E"/>
    <w:rsid w:val="00897548"/>
    <w:rsid w:val="008A0A55"/>
    <w:rsid w:val="008A637E"/>
    <w:rsid w:val="008C26B8"/>
    <w:rsid w:val="008E0ADC"/>
    <w:rsid w:val="00917FF3"/>
    <w:rsid w:val="009273EC"/>
    <w:rsid w:val="00932E45"/>
    <w:rsid w:val="00943341"/>
    <w:rsid w:val="00960DA6"/>
    <w:rsid w:val="00982084"/>
    <w:rsid w:val="00991A72"/>
    <w:rsid w:val="00995963"/>
    <w:rsid w:val="00996E64"/>
    <w:rsid w:val="009A12C1"/>
    <w:rsid w:val="009B12C8"/>
    <w:rsid w:val="009B61EB"/>
    <w:rsid w:val="009B6449"/>
    <w:rsid w:val="009C0A83"/>
    <w:rsid w:val="009C2064"/>
    <w:rsid w:val="009C2EEE"/>
    <w:rsid w:val="009D0C76"/>
    <w:rsid w:val="009D1697"/>
    <w:rsid w:val="009E7A0F"/>
    <w:rsid w:val="009E7EBA"/>
    <w:rsid w:val="009F6599"/>
    <w:rsid w:val="00A014F8"/>
    <w:rsid w:val="00A03F34"/>
    <w:rsid w:val="00A11DCA"/>
    <w:rsid w:val="00A27B36"/>
    <w:rsid w:val="00A35072"/>
    <w:rsid w:val="00A3603E"/>
    <w:rsid w:val="00A5173C"/>
    <w:rsid w:val="00A5354B"/>
    <w:rsid w:val="00A575A0"/>
    <w:rsid w:val="00A61AEF"/>
    <w:rsid w:val="00A63123"/>
    <w:rsid w:val="00A65226"/>
    <w:rsid w:val="00A77C53"/>
    <w:rsid w:val="00AA7466"/>
    <w:rsid w:val="00AB0FFD"/>
    <w:rsid w:val="00AC2048"/>
    <w:rsid w:val="00AD171A"/>
    <w:rsid w:val="00AD7192"/>
    <w:rsid w:val="00AE29A1"/>
    <w:rsid w:val="00AF173A"/>
    <w:rsid w:val="00B066A4"/>
    <w:rsid w:val="00B07A13"/>
    <w:rsid w:val="00B143E2"/>
    <w:rsid w:val="00B2718A"/>
    <w:rsid w:val="00B4279B"/>
    <w:rsid w:val="00B45FC9"/>
    <w:rsid w:val="00B57895"/>
    <w:rsid w:val="00B616F0"/>
    <w:rsid w:val="00B83461"/>
    <w:rsid w:val="00B87A55"/>
    <w:rsid w:val="00BC7CCF"/>
    <w:rsid w:val="00BD73BE"/>
    <w:rsid w:val="00BE470B"/>
    <w:rsid w:val="00C27376"/>
    <w:rsid w:val="00C43D04"/>
    <w:rsid w:val="00C505E3"/>
    <w:rsid w:val="00C57A91"/>
    <w:rsid w:val="00C617F6"/>
    <w:rsid w:val="00C72B10"/>
    <w:rsid w:val="00C771F5"/>
    <w:rsid w:val="00CA49A2"/>
    <w:rsid w:val="00CC01C2"/>
    <w:rsid w:val="00CF21F2"/>
    <w:rsid w:val="00CF5F34"/>
    <w:rsid w:val="00CF760A"/>
    <w:rsid w:val="00D02712"/>
    <w:rsid w:val="00D214D0"/>
    <w:rsid w:val="00D2180F"/>
    <w:rsid w:val="00D26B8C"/>
    <w:rsid w:val="00D6546B"/>
    <w:rsid w:val="00D74684"/>
    <w:rsid w:val="00D97C31"/>
    <w:rsid w:val="00DA3BF8"/>
    <w:rsid w:val="00DD4BED"/>
    <w:rsid w:val="00DE39F0"/>
    <w:rsid w:val="00DE5657"/>
    <w:rsid w:val="00DE7736"/>
    <w:rsid w:val="00DF0AF3"/>
    <w:rsid w:val="00E25A3D"/>
    <w:rsid w:val="00E27D7E"/>
    <w:rsid w:val="00E34935"/>
    <w:rsid w:val="00E367DB"/>
    <w:rsid w:val="00E42E13"/>
    <w:rsid w:val="00E516FD"/>
    <w:rsid w:val="00E53311"/>
    <w:rsid w:val="00E6257C"/>
    <w:rsid w:val="00E63C59"/>
    <w:rsid w:val="00E6485D"/>
    <w:rsid w:val="00E80230"/>
    <w:rsid w:val="00E8553B"/>
    <w:rsid w:val="00E95A7B"/>
    <w:rsid w:val="00E95BDE"/>
    <w:rsid w:val="00EA21B8"/>
    <w:rsid w:val="00EA552D"/>
    <w:rsid w:val="00EE1399"/>
    <w:rsid w:val="00F01D97"/>
    <w:rsid w:val="00F053AB"/>
    <w:rsid w:val="00F111CC"/>
    <w:rsid w:val="00F328D4"/>
    <w:rsid w:val="00F375FA"/>
    <w:rsid w:val="00F53189"/>
    <w:rsid w:val="00F54EF2"/>
    <w:rsid w:val="00F7771A"/>
    <w:rsid w:val="00F8269E"/>
    <w:rsid w:val="00F84434"/>
    <w:rsid w:val="00F965A3"/>
    <w:rsid w:val="00FA124A"/>
    <w:rsid w:val="00FB4169"/>
    <w:rsid w:val="00FC08DD"/>
    <w:rsid w:val="00FC2316"/>
    <w:rsid w:val="00FC2CFD"/>
    <w:rsid w:val="00FD157A"/>
    <w:rsid w:val="00FD2C24"/>
    <w:rsid w:val="00FD5A61"/>
    <w:rsid w:val="00FD5B33"/>
    <w:rsid w:val="00FE01D8"/>
    <w:rsid w:val="00FF1B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2E498B"/>
  <w15:docId w15:val="{B52C89B4-02E0-4B15-BBA3-FA961E47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MS Mincho"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03F"/>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uiPriority w:val="99"/>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9273EC"/>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uiPriority w:val="99"/>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clear" w:pos="1134"/>
        <w:tab w:val="clear" w:pos="1871"/>
        <w:tab w:val="clear" w:pos="2268"/>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clear" w:pos="1134"/>
        <w:tab w:val="clear" w:pos="1871"/>
        <w:tab w:val="clear" w:pos="2268"/>
        <w:tab w:val="left" w:pos="794"/>
        <w:tab w:val="left" w:pos="1191"/>
        <w:tab w:val="left" w:pos="1418"/>
        <w:tab w:val="left" w:pos="1588"/>
        <w:tab w:val="left" w:pos="1702"/>
        <w:tab w:val="left" w:pos="1985"/>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tabs>
        <w:tab w:val="clear" w:pos="1134"/>
        <w:tab w:val="clear" w:pos="1871"/>
        <w:tab w:val="clear" w:pos="2268"/>
        <w:tab w:val="left" w:pos="794"/>
        <w:tab w:val="left" w:pos="1191"/>
        <w:tab w:val="left" w:pos="1588"/>
        <w:tab w:val="left" w:pos="1985"/>
      </w:tabs>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table" w:customStyle="1" w:styleId="TableGridLight1">
    <w:name w:val="Table Grid Light1"/>
    <w:basedOn w:val="TableNormal"/>
    <w:uiPriority w:val="40"/>
    <w:rsid w:val="00344B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99"/>
    <w:qFormat/>
    <w:rsid w:val="00037833"/>
    <w:pPr>
      <w:tabs>
        <w:tab w:val="clear" w:pos="1134"/>
        <w:tab w:val="clear" w:pos="1871"/>
        <w:tab w:val="clear" w:pos="2268"/>
        <w:tab w:val="left" w:pos="794"/>
        <w:tab w:val="left" w:pos="1191"/>
        <w:tab w:val="left" w:pos="1588"/>
        <w:tab w:val="left" w:pos="1985"/>
      </w:tabs>
      <w:overflowPunct/>
      <w:autoSpaceDE/>
      <w:autoSpaceDN/>
      <w:adjustRightInd/>
      <w:ind w:left="720"/>
      <w:contextualSpacing/>
      <w:textAlignment w:val="auto"/>
    </w:pPr>
    <w:rPr>
      <w:rFonts w:ascii="Times New Roman" w:hAnsi="Times New Roman"/>
    </w:rPr>
  </w:style>
  <w:style w:type="paragraph" w:styleId="NormalWeb">
    <w:name w:val="Normal (Web)"/>
    <w:basedOn w:val="Normal"/>
    <w:uiPriority w:val="99"/>
    <w:rsid w:val="00620565"/>
    <w:pPr>
      <w:tabs>
        <w:tab w:val="clear" w:pos="1134"/>
        <w:tab w:val="clear" w:pos="1871"/>
        <w:tab w:val="clear" w:pos="2268"/>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BodyText">
    <w:name w:val="Body Text"/>
    <w:basedOn w:val="Normal"/>
    <w:link w:val="BodyTextChar"/>
    <w:semiHidden/>
    <w:unhideWhenUsed/>
    <w:rsid w:val="00B616F0"/>
    <w:pPr>
      <w:spacing w:after="120"/>
    </w:pPr>
  </w:style>
  <w:style w:type="character" w:customStyle="1" w:styleId="BodyTextChar">
    <w:name w:val="Body Text Char"/>
    <w:basedOn w:val="DefaultParagraphFont"/>
    <w:link w:val="BodyText"/>
    <w:semiHidden/>
    <w:rsid w:val="00B616F0"/>
    <w:rPr>
      <w:rFonts w:asciiTheme="minorHAnsi" w:hAnsiTheme="minorHAnsi"/>
      <w:sz w:val="24"/>
      <w:lang w:val="en-GB" w:eastAsia="en-US"/>
    </w:rPr>
  </w:style>
  <w:style w:type="character" w:customStyle="1" w:styleId="Heading1Char">
    <w:name w:val="Heading 1 Char"/>
    <w:basedOn w:val="DefaultParagraphFont"/>
    <w:link w:val="Heading1"/>
    <w:uiPriority w:val="99"/>
    <w:rsid w:val="00B616F0"/>
    <w:rPr>
      <w:rFonts w:asciiTheme="minorHAnsi" w:hAnsiTheme="minorHAnsi"/>
      <w:b/>
      <w:sz w:val="28"/>
      <w:lang w:val="en-GB" w:eastAsia="en-US"/>
    </w:rPr>
  </w:style>
  <w:style w:type="character" w:customStyle="1" w:styleId="FooterChar">
    <w:name w:val="Footer Char"/>
    <w:basedOn w:val="DefaultParagraphFont"/>
    <w:link w:val="Footer"/>
    <w:uiPriority w:val="99"/>
    <w:rsid w:val="00B616F0"/>
    <w:rPr>
      <w:rFonts w:asciiTheme="minorHAnsi" w:hAnsiTheme="minorHAnsi"/>
      <w:caps/>
      <w:noProof/>
      <w:sz w:val="16"/>
      <w:lang w:val="en-GB" w:eastAsia="en-US"/>
    </w:rPr>
  </w:style>
  <w:style w:type="character" w:styleId="CommentReference">
    <w:name w:val="annotation reference"/>
    <w:basedOn w:val="DefaultParagraphFont"/>
    <w:semiHidden/>
    <w:unhideWhenUsed/>
    <w:rsid w:val="00C617F6"/>
    <w:rPr>
      <w:sz w:val="16"/>
      <w:szCs w:val="16"/>
    </w:rPr>
  </w:style>
  <w:style w:type="paragraph" w:styleId="CommentText">
    <w:name w:val="annotation text"/>
    <w:basedOn w:val="Normal"/>
    <w:link w:val="CommentTextChar"/>
    <w:semiHidden/>
    <w:unhideWhenUsed/>
    <w:rsid w:val="00C617F6"/>
    <w:rPr>
      <w:sz w:val="20"/>
    </w:rPr>
  </w:style>
  <w:style w:type="character" w:customStyle="1" w:styleId="CommentTextChar">
    <w:name w:val="Comment Text Char"/>
    <w:basedOn w:val="DefaultParagraphFont"/>
    <w:link w:val="CommentText"/>
    <w:semiHidden/>
    <w:rsid w:val="00C617F6"/>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C617F6"/>
    <w:rPr>
      <w:b/>
      <w:bCs/>
    </w:rPr>
  </w:style>
  <w:style w:type="character" w:customStyle="1" w:styleId="CommentSubjectChar">
    <w:name w:val="Comment Subject Char"/>
    <w:basedOn w:val="CommentTextChar"/>
    <w:link w:val="CommentSubject"/>
    <w:semiHidden/>
    <w:rsid w:val="00C617F6"/>
    <w:rPr>
      <w:rFonts w:asciiTheme="minorHAnsi" w:hAnsiTheme="minorHAnsi"/>
      <w:b/>
      <w:bCs/>
      <w:lang w:val="en-GB" w:eastAsia="en-US"/>
    </w:rPr>
  </w:style>
  <w:style w:type="paragraph" w:styleId="Revision">
    <w:name w:val="Revision"/>
    <w:hidden/>
    <w:uiPriority w:val="99"/>
    <w:semiHidden/>
    <w:rsid w:val="00C617F6"/>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C-I/interop/Pages/IPTV201510.asp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u.int/net/itu-t/cdb/ConformityDB.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C-I/Pages/default.aspx" TargetMode="External"/><Relationship Id="rId5" Type="http://schemas.openxmlformats.org/officeDocument/2006/relationships/webSettings" Target="webSettings.xml"/><Relationship Id="rId15" Type="http://schemas.openxmlformats.org/officeDocument/2006/relationships/hyperlink" Target="mailto:tsbreg@itu.int" TargetMode="External"/><Relationship Id="rId10" Type="http://schemas.openxmlformats.org/officeDocument/2006/relationships/hyperlink" Target="mailto:interop@itu.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C-I/interop/Pages/IPTV201510.asp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no\AppData\Roaming\Microsoft\Templates\TSB%20DOC\WORKSHO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FE75A-0422-4D74-94BF-265C43C45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WORKSHOP-E.dotx</Template>
  <TotalTime>0</TotalTime>
  <Pages>2</Pages>
  <Words>841</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Mizuno, Kaoru</dc:creator>
  <cp:lastModifiedBy>Bettini, Nadine</cp:lastModifiedBy>
  <cp:revision>2</cp:revision>
  <cp:lastPrinted>2015-09-11T11:11:00Z</cp:lastPrinted>
  <dcterms:created xsi:type="dcterms:W3CDTF">2015-09-11T13:36:00Z</dcterms:created>
  <dcterms:modified xsi:type="dcterms:W3CDTF">2015-09-11T13:36:00Z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