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9E722D">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9E722D">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9E722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9E722D">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9E722D">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9E722D">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93619D">
              <w:rPr>
                <w:rFonts w:hint="eastAsia"/>
                <w:lang w:eastAsia="zh-CN"/>
              </w:rPr>
              <w:t>9</w:t>
            </w:r>
            <w:r>
              <w:rPr>
                <w:rFonts w:hint="eastAsia"/>
                <w:lang w:eastAsia="zh-CN"/>
              </w:rPr>
              <w:t>月</w:t>
            </w:r>
            <w:r w:rsidR="0093619D">
              <w:rPr>
                <w:rFonts w:hint="eastAsia"/>
                <w:lang w:eastAsia="zh-CN"/>
              </w:rPr>
              <w:t>11</w:t>
            </w:r>
            <w:r>
              <w:rPr>
                <w:rFonts w:hint="eastAsia"/>
                <w:lang w:eastAsia="zh-CN"/>
              </w:rPr>
              <w:t>日，日内瓦</w:t>
            </w:r>
          </w:p>
        </w:tc>
      </w:tr>
      <w:tr w:rsidR="00113BC0" w:rsidRPr="00F50108" w:rsidTr="00595FA2">
        <w:trPr>
          <w:cantSplit/>
          <w:trHeight w:val="997"/>
        </w:trPr>
        <w:tc>
          <w:tcPr>
            <w:tcW w:w="1276" w:type="dxa"/>
          </w:tcPr>
          <w:p w:rsidR="00113BC0" w:rsidRPr="003F27BD" w:rsidRDefault="00113BC0" w:rsidP="009E722D">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42A15" w:rsidRPr="00C42A15" w:rsidRDefault="00113BC0" w:rsidP="009E722D">
            <w:pPr>
              <w:tabs>
                <w:tab w:val="right" w:pos="8732"/>
              </w:tabs>
              <w:spacing w:before="0"/>
              <w:rPr>
                <w:rFonts w:ascii="Verdana" w:hAnsi="Verdana"/>
                <w:bCs/>
                <w:iCs/>
                <w:sz w:val="18"/>
                <w:szCs w:val="18"/>
                <w:lang w:eastAsia="zh-CN"/>
              </w:rPr>
            </w:pPr>
            <w:r w:rsidRPr="00841612">
              <w:rPr>
                <w:rFonts w:hint="eastAsia"/>
                <w:b/>
                <w:szCs w:val="24"/>
                <w:lang w:eastAsia="zh-CN"/>
              </w:rPr>
              <w:t>电信标准化局第</w:t>
            </w:r>
            <w:r w:rsidR="00C42A15">
              <w:rPr>
                <w:b/>
                <w:lang w:eastAsia="zh-CN"/>
              </w:rPr>
              <w:t>1</w:t>
            </w:r>
            <w:r w:rsidR="0093619D">
              <w:rPr>
                <w:rFonts w:hint="eastAsia"/>
                <w:b/>
                <w:lang w:eastAsia="zh-CN"/>
              </w:rPr>
              <w:t>72</w:t>
            </w:r>
            <w:r w:rsidRPr="00841612">
              <w:rPr>
                <w:rFonts w:hint="eastAsia"/>
                <w:b/>
                <w:szCs w:val="24"/>
                <w:lang w:eastAsia="zh-CN"/>
              </w:rPr>
              <w:t>号通函</w:t>
            </w:r>
          </w:p>
        </w:tc>
        <w:tc>
          <w:tcPr>
            <w:tcW w:w="3969" w:type="dxa"/>
            <w:gridSpan w:val="2"/>
            <w:vMerge w:val="restart"/>
          </w:tcPr>
          <w:p w:rsidR="00113BC0" w:rsidRDefault="00113BC0" w:rsidP="009E722D">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9E722D">
            <w:pPr>
              <w:pStyle w:val="Tabletext"/>
              <w:ind w:left="284" w:hanging="284"/>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9E722D">
            <w:pPr>
              <w:pStyle w:val="Tabletext"/>
              <w:ind w:left="284" w:hanging="284"/>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9E722D">
            <w:pPr>
              <w:pStyle w:val="Tabletext"/>
              <w:ind w:left="284" w:hanging="284"/>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p>
          <w:p w:rsidR="00113BC0" w:rsidRPr="00F50108" w:rsidRDefault="00113BC0" w:rsidP="009E722D">
            <w:pPr>
              <w:pStyle w:val="Tabletext"/>
              <w:ind w:left="284" w:hanging="284"/>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C1340F" w:rsidRPr="00F50108" w:rsidTr="00595FA2">
        <w:trPr>
          <w:cantSplit/>
          <w:trHeight w:val="397"/>
        </w:trPr>
        <w:tc>
          <w:tcPr>
            <w:tcW w:w="1276" w:type="dxa"/>
          </w:tcPr>
          <w:p w:rsidR="00C1340F" w:rsidRPr="003F27BD" w:rsidRDefault="00082938" w:rsidP="009E722D">
            <w:pPr>
              <w:tabs>
                <w:tab w:val="right" w:pos="8732"/>
              </w:tabs>
              <w:spacing w:before="0"/>
              <w:rPr>
                <w:szCs w:val="24"/>
                <w:lang w:eastAsia="zh-CN"/>
              </w:rPr>
            </w:pPr>
            <w:r>
              <w:rPr>
                <w:rFonts w:hint="eastAsia"/>
                <w:lang w:eastAsia="zh-CN"/>
              </w:rPr>
              <w:t>联系</w:t>
            </w:r>
            <w:r>
              <w:rPr>
                <w:lang w:eastAsia="zh-CN"/>
              </w:rPr>
              <w:t>人</w:t>
            </w:r>
            <w:r w:rsidR="00C1340F">
              <w:rPr>
                <w:rFonts w:hint="eastAsia"/>
                <w:lang w:eastAsia="zh-CN"/>
              </w:rPr>
              <w:t>：</w:t>
            </w:r>
          </w:p>
        </w:tc>
        <w:tc>
          <w:tcPr>
            <w:tcW w:w="4394" w:type="dxa"/>
            <w:gridSpan w:val="2"/>
          </w:tcPr>
          <w:p w:rsidR="00C1340F" w:rsidRPr="009E722D" w:rsidRDefault="00B826CD" w:rsidP="009E722D">
            <w:pPr>
              <w:tabs>
                <w:tab w:val="right" w:pos="8732"/>
              </w:tabs>
              <w:spacing w:before="0"/>
              <w:rPr>
                <w:bCs/>
                <w:szCs w:val="24"/>
                <w:lang w:eastAsia="zh-CN"/>
              </w:rPr>
            </w:pPr>
            <w:r w:rsidRPr="009E722D">
              <w:rPr>
                <w:rFonts w:hint="eastAsia"/>
                <w:bCs/>
                <w:lang w:eastAsia="zh-CN"/>
              </w:rPr>
              <w:t>Kaoru Mizuno</w:t>
            </w:r>
          </w:p>
        </w:tc>
        <w:tc>
          <w:tcPr>
            <w:tcW w:w="3969" w:type="dxa"/>
            <w:gridSpan w:val="2"/>
            <w:vMerge/>
          </w:tcPr>
          <w:p w:rsidR="00C1340F" w:rsidRPr="0033229B" w:rsidRDefault="00C1340F" w:rsidP="009E722D">
            <w:pPr>
              <w:tabs>
                <w:tab w:val="clear" w:pos="794"/>
                <w:tab w:val="left" w:pos="559"/>
                <w:tab w:val="left" w:pos="4111"/>
              </w:tabs>
              <w:spacing w:before="0"/>
              <w:ind w:left="559" w:hanging="559"/>
              <w:rPr>
                <w:szCs w:val="24"/>
                <w:lang w:eastAsia="zh-CN"/>
              </w:rPr>
            </w:pPr>
          </w:p>
        </w:tc>
      </w:tr>
      <w:tr w:rsidR="00113BC0" w:rsidRPr="00F50108" w:rsidTr="00595FA2">
        <w:trPr>
          <w:cantSplit/>
          <w:trHeight w:val="416"/>
        </w:trPr>
        <w:tc>
          <w:tcPr>
            <w:tcW w:w="1276" w:type="dxa"/>
          </w:tcPr>
          <w:p w:rsidR="00113BC0" w:rsidRPr="003F27BD" w:rsidRDefault="00113BC0" w:rsidP="009E722D">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9E722D">
            <w:pPr>
              <w:tabs>
                <w:tab w:val="right" w:pos="8732"/>
              </w:tabs>
              <w:spacing w:before="0"/>
              <w:rPr>
                <w:rFonts w:ascii="Verdana" w:hAnsi="Verdana"/>
                <w:b/>
                <w:bCs/>
                <w:iCs/>
                <w:sz w:val="18"/>
                <w:szCs w:val="18"/>
                <w:lang w:eastAsia="zh-CN"/>
              </w:rPr>
            </w:pPr>
            <w:r w:rsidRPr="00841612">
              <w:rPr>
                <w:szCs w:val="24"/>
                <w:lang w:eastAsia="zh-CN"/>
              </w:rPr>
              <w:t xml:space="preserve">+41 22 730 </w:t>
            </w:r>
            <w:r>
              <w:rPr>
                <w:rFonts w:hint="eastAsia"/>
                <w:lang w:eastAsia="zh-CN"/>
              </w:rPr>
              <w:t>6</w:t>
            </w:r>
            <w:r w:rsidR="00B826CD">
              <w:rPr>
                <w:rFonts w:hint="eastAsia"/>
                <w:lang w:eastAsia="zh-CN"/>
              </w:rPr>
              <w:t>226</w:t>
            </w:r>
          </w:p>
        </w:tc>
        <w:tc>
          <w:tcPr>
            <w:tcW w:w="3969" w:type="dxa"/>
            <w:gridSpan w:val="2"/>
            <w:vMerge/>
          </w:tcPr>
          <w:p w:rsidR="00113BC0" w:rsidRPr="00F50108" w:rsidRDefault="00113BC0" w:rsidP="009E722D">
            <w:pPr>
              <w:spacing w:before="0"/>
              <w:ind w:left="993" w:hanging="993"/>
              <w:rPr>
                <w:rFonts w:ascii="Verdana" w:hAnsi="Verdana"/>
                <w:sz w:val="18"/>
                <w:szCs w:val="18"/>
                <w:lang w:val="en-US" w:eastAsia="zh-CN"/>
              </w:rPr>
            </w:pPr>
          </w:p>
        </w:tc>
      </w:tr>
      <w:tr w:rsidR="00113BC0" w:rsidRPr="00F50108" w:rsidTr="00595FA2">
        <w:trPr>
          <w:cantSplit/>
          <w:trHeight w:val="397"/>
        </w:trPr>
        <w:tc>
          <w:tcPr>
            <w:tcW w:w="1276" w:type="dxa"/>
          </w:tcPr>
          <w:p w:rsidR="00113BC0" w:rsidRPr="003F27BD" w:rsidRDefault="00113BC0" w:rsidP="009E722D">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113BC0" w:rsidP="009E722D">
            <w:pPr>
              <w:tabs>
                <w:tab w:val="right" w:pos="8732"/>
              </w:tabs>
              <w:spacing w:before="0"/>
              <w:rPr>
                <w:rFonts w:ascii="Verdana" w:hAnsi="Verdana"/>
                <w:b/>
                <w:bCs/>
                <w:iCs/>
                <w:sz w:val="18"/>
                <w:szCs w:val="18"/>
                <w:lang w:eastAsia="zh-CN"/>
              </w:rPr>
            </w:pPr>
            <w:r w:rsidRPr="00841612">
              <w:rPr>
                <w:szCs w:val="24"/>
                <w:lang w:eastAsia="zh-CN"/>
              </w:rPr>
              <w:t>+41 22 730 5853</w:t>
            </w:r>
          </w:p>
        </w:tc>
        <w:tc>
          <w:tcPr>
            <w:tcW w:w="3969" w:type="dxa"/>
            <w:gridSpan w:val="2"/>
            <w:vMerge/>
          </w:tcPr>
          <w:p w:rsidR="00113BC0" w:rsidRPr="00F50108" w:rsidRDefault="00113BC0" w:rsidP="009E722D">
            <w:pPr>
              <w:spacing w:before="0"/>
              <w:ind w:left="993" w:hanging="993"/>
              <w:rPr>
                <w:rFonts w:ascii="Verdana" w:hAnsi="Verdana"/>
                <w:sz w:val="18"/>
                <w:szCs w:val="18"/>
                <w:lang w:val="en-US" w:eastAsia="zh-CN"/>
              </w:rPr>
            </w:pPr>
          </w:p>
        </w:tc>
      </w:tr>
      <w:tr w:rsidR="00113BC0" w:rsidRPr="00F50108" w:rsidTr="00595FA2">
        <w:trPr>
          <w:cantSplit/>
          <w:trHeight w:val="399"/>
        </w:trPr>
        <w:tc>
          <w:tcPr>
            <w:tcW w:w="1276" w:type="dxa"/>
          </w:tcPr>
          <w:p w:rsidR="00113BC0" w:rsidRPr="003F27BD" w:rsidRDefault="00113BC0" w:rsidP="009E722D">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661F1B" w:rsidP="009E722D">
            <w:pPr>
              <w:tabs>
                <w:tab w:val="right" w:pos="8732"/>
              </w:tabs>
              <w:spacing w:before="0"/>
              <w:rPr>
                <w:rFonts w:ascii="Verdana" w:hAnsi="Verdana"/>
                <w:b/>
                <w:bCs/>
                <w:iCs/>
                <w:sz w:val="18"/>
                <w:szCs w:val="18"/>
                <w:lang w:eastAsia="zh-CN"/>
              </w:rPr>
            </w:pPr>
            <w:hyperlink r:id="rId10" w:history="1">
              <w:r w:rsidR="0093619D" w:rsidRPr="0093619D">
                <w:rPr>
                  <w:rFonts w:ascii="Calibri" w:eastAsia="MS Mincho" w:hAnsi="Calibri"/>
                  <w:color w:val="0000FF"/>
                  <w:szCs w:val="22"/>
                  <w:u w:val="single"/>
                </w:rPr>
                <w:t>interop@itu.int</w:t>
              </w:r>
            </w:hyperlink>
          </w:p>
        </w:tc>
        <w:tc>
          <w:tcPr>
            <w:tcW w:w="3969" w:type="dxa"/>
            <w:gridSpan w:val="2"/>
          </w:tcPr>
          <w:p w:rsidR="00C42A15" w:rsidRDefault="00C42A15" w:rsidP="009E722D">
            <w:pPr>
              <w:tabs>
                <w:tab w:val="clear" w:pos="794"/>
                <w:tab w:val="left" w:pos="284"/>
                <w:tab w:val="left" w:pos="4111"/>
              </w:tabs>
              <w:spacing w:before="40" w:after="40"/>
              <w:ind w:left="57"/>
              <w:rPr>
                <w:b/>
                <w:bCs/>
                <w:lang w:eastAsia="zh-CN"/>
              </w:rPr>
            </w:pPr>
            <w:r>
              <w:rPr>
                <w:rFonts w:hint="eastAsia"/>
                <w:b/>
                <w:bCs/>
                <w:lang w:eastAsia="zh-CN"/>
              </w:rPr>
              <w:t>抄送：</w:t>
            </w:r>
          </w:p>
          <w:p w:rsidR="00C42A15" w:rsidRDefault="00595FA2" w:rsidP="009E722D">
            <w:pPr>
              <w:tabs>
                <w:tab w:val="clear" w:pos="794"/>
                <w:tab w:val="left" w:pos="284"/>
                <w:tab w:val="left" w:pos="4111"/>
              </w:tabs>
              <w:spacing w:before="40" w:after="40"/>
              <w:rPr>
                <w:b/>
                <w:bCs/>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ITU-T</w:t>
            </w:r>
            <w:r w:rsidR="00C42A15">
              <w:rPr>
                <w:rFonts w:hint="eastAsia"/>
                <w:lang w:eastAsia="zh-CN"/>
              </w:rPr>
              <w:t>研究组正副主席；</w:t>
            </w:r>
          </w:p>
          <w:p w:rsidR="00C42A15" w:rsidRDefault="00595FA2" w:rsidP="009E722D">
            <w:pPr>
              <w:tabs>
                <w:tab w:val="clear" w:pos="794"/>
                <w:tab w:val="left" w:pos="284"/>
                <w:tab w:val="left" w:pos="4111"/>
              </w:tabs>
              <w:spacing w:before="40" w:after="40"/>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电信发展局主任；</w:t>
            </w:r>
          </w:p>
          <w:p w:rsidR="00C1340F" w:rsidRPr="0093619D" w:rsidRDefault="00595FA2" w:rsidP="009E722D">
            <w:pPr>
              <w:pStyle w:val="Tabletext"/>
              <w:rPr>
                <w:rFonts w:eastAsia="SimSun"/>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sidRPr="00C42A15">
              <w:rPr>
                <w:rFonts w:eastAsia="SimSun" w:hint="eastAsia"/>
                <w:lang w:eastAsia="zh-CN"/>
              </w:rPr>
              <w:t>无线电通信局主任</w:t>
            </w:r>
          </w:p>
        </w:tc>
      </w:tr>
      <w:tr w:rsidR="00113BC0" w:rsidRPr="00F50108" w:rsidTr="0057420A">
        <w:trPr>
          <w:cantSplit/>
          <w:trHeight w:val="433"/>
        </w:trPr>
        <w:tc>
          <w:tcPr>
            <w:tcW w:w="1276" w:type="dxa"/>
          </w:tcPr>
          <w:p w:rsidR="00113BC0" w:rsidRPr="003F27BD" w:rsidRDefault="00113BC0" w:rsidP="009E722D">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93619D" w:rsidP="009E722D">
            <w:pPr>
              <w:rPr>
                <w:rFonts w:ascii="Verdana" w:hAnsi="Verdana"/>
                <w:sz w:val="18"/>
                <w:szCs w:val="18"/>
                <w:lang w:val="en-US" w:eastAsia="zh-CN"/>
              </w:rPr>
            </w:pPr>
            <w:r>
              <w:rPr>
                <w:b/>
                <w:bCs/>
                <w:lang w:eastAsia="zh-CN"/>
              </w:rPr>
              <w:t>IPTV</w:t>
            </w:r>
            <w:r>
              <w:rPr>
                <w:rFonts w:hint="eastAsia"/>
                <w:b/>
                <w:bCs/>
                <w:lang w:eastAsia="zh-CN"/>
              </w:rPr>
              <w:t>测试活动</w:t>
            </w:r>
            <w:r w:rsidR="009E722D">
              <w:rPr>
                <w:rFonts w:hint="eastAsia"/>
                <w:b/>
                <w:bCs/>
                <w:lang w:eastAsia="zh-CN"/>
              </w:rPr>
              <w:t>，</w:t>
            </w:r>
            <w:r w:rsidR="00113BC0">
              <w:rPr>
                <w:rFonts w:hint="eastAsia"/>
                <w:b/>
                <w:lang w:eastAsia="zh-CN"/>
              </w:rPr>
              <w:t>2015</w:t>
            </w:r>
            <w:r w:rsidR="00113BC0">
              <w:rPr>
                <w:rFonts w:hint="eastAsia"/>
                <w:b/>
                <w:lang w:eastAsia="zh-CN"/>
              </w:rPr>
              <w:t>年</w:t>
            </w:r>
            <w:r>
              <w:rPr>
                <w:rFonts w:hint="eastAsia"/>
                <w:b/>
                <w:lang w:eastAsia="zh-CN"/>
              </w:rPr>
              <w:t>10</w:t>
            </w:r>
            <w:r w:rsidR="00113BC0">
              <w:rPr>
                <w:rFonts w:hint="eastAsia"/>
                <w:b/>
                <w:lang w:eastAsia="zh-CN"/>
              </w:rPr>
              <w:t>月</w:t>
            </w:r>
            <w:r>
              <w:rPr>
                <w:b/>
                <w:bCs/>
                <w:lang w:eastAsia="zh-CN"/>
              </w:rPr>
              <w:t>14-15</w:t>
            </w:r>
            <w:r w:rsidR="00113BC0">
              <w:rPr>
                <w:rFonts w:hint="eastAsia"/>
                <w:b/>
                <w:lang w:eastAsia="zh-CN"/>
              </w:rPr>
              <w:t>日，</w:t>
            </w:r>
            <w:r>
              <w:rPr>
                <w:rFonts w:hint="eastAsia"/>
                <w:b/>
                <w:lang w:eastAsia="zh-CN"/>
              </w:rPr>
              <w:t>瑞士日内瓦</w:t>
            </w:r>
          </w:p>
        </w:tc>
      </w:tr>
    </w:tbl>
    <w:p w:rsidR="000D1DA5" w:rsidRPr="00C04472" w:rsidRDefault="000D1DA5" w:rsidP="009E722D">
      <w:pPr>
        <w:pStyle w:val="Normalaftertitle"/>
        <w:spacing w:before="360"/>
        <w:rPr>
          <w:rFonts w:eastAsiaTheme="minorEastAsia"/>
          <w:lang w:eastAsia="zh-CN"/>
        </w:rPr>
      </w:pPr>
      <w:bookmarkStart w:id="1" w:name="StartTyping_E"/>
      <w:bookmarkEnd w:id="1"/>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2837B9" w:rsidRPr="0047716E" w:rsidRDefault="002837B9" w:rsidP="00583077">
      <w:pPr>
        <w:rPr>
          <w:lang w:eastAsia="zh-CN"/>
        </w:rPr>
      </w:pPr>
      <w:r w:rsidRPr="0047716E">
        <w:rPr>
          <w:lang w:eastAsia="zh-CN"/>
        </w:rPr>
        <w:t>1</w:t>
      </w:r>
      <w:r w:rsidRPr="0047716E">
        <w:rPr>
          <w:lang w:eastAsia="zh-CN"/>
        </w:rPr>
        <w:tab/>
      </w:r>
      <w:r w:rsidRPr="0047716E">
        <w:rPr>
          <w:rFonts w:hint="eastAsia"/>
          <w:lang w:eastAsia="zh-CN"/>
        </w:rPr>
        <w:t>我谨通知您，</w:t>
      </w:r>
      <w:r w:rsidR="00B826CD" w:rsidRPr="0047716E">
        <w:rPr>
          <w:rFonts w:hint="eastAsia"/>
          <w:lang w:eastAsia="zh-CN"/>
        </w:rPr>
        <w:t>国际电联</w:t>
      </w:r>
      <w:r w:rsidR="0093619D" w:rsidRPr="0093619D">
        <w:rPr>
          <w:lang w:eastAsia="zh-CN"/>
        </w:rPr>
        <w:t>IPTV</w:t>
      </w:r>
      <w:r w:rsidR="0093619D" w:rsidRPr="0093619D">
        <w:rPr>
          <w:rFonts w:hint="eastAsia"/>
          <w:lang w:eastAsia="zh-CN"/>
        </w:rPr>
        <w:t>测试活动</w:t>
      </w:r>
      <w:r w:rsidRPr="0047716E">
        <w:rPr>
          <w:rFonts w:hint="eastAsia"/>
          <w:lang w:eastAsia="zh-CN"/>
        </w:rPr>
        <w:t>将于</w:t>
      </w:r>
      <w:r w:rsidR="0093619D" w:rsidRPr="0093619D">
        <w:rPr>
          <w:lang w:eastAsia="zh-CN"/>
        </w:rPr>
        <w:t>2015</w:t>
      </w:r>
      <w:r w:rsidR="0093619D" w:rsidRPr="0093619D">
        <w:rPr>
          <w:rFonts w:hint="eastAsia"/>
          <w:lang w:eastAsia="zh-CN"/>
        </w:rPr>
        <w:t>年</w:t>
      </w:r>
      <w:r w:rsidR="0093619D" w:rsidRPr="0093619D">
        <w:rPr>
          <w:lang w:eastAsia="zh-CN"/>
        </w:rPr>
        <w:t>10</w:t>
      </w:r>
      <w:r w:rsidR="0093619D" w:rsidRPr="0093619D">
        <w:rPr>
          <w:rFonts w:hint="eastAsia"/>
          <w:lang w:eastAsia="zh-CN"/>
        </w:rPr>
        <w:t>月</w:t>
      </w:r>
      <w:r w:rsidR="0093619D" w:rsidRPr="0093619D">
        <w:rPr>
          <w:lang w:eastAsia="zh-CN"/>
        </w:rPr>
        <w:t>14</w:t>
      </w:r>
      <w:r w:rsidR="009E722D">
        <w:rPr>
          <w:rFonts w:hint="eastAsia"/>
          <w:lang w:eastAsia="zh-CN"/>
        </w:rPr>
        <w:t>日</w:t>
      </w:r>
      <w:r w:rsidR="0093619D">
        <w:rPr>
          <w:rFonts w:hint="eastAsia"/>
          <w:lang w:eastAsia="zh-CN"/>
        </w:rPr>
        <w:t>至</w:t>
      </w:r>
      <w:r w:rsidR="0093619D" w:rsidRPr="0093619D">
        <w:rPr>
          <w:lang w:eastAsia="zh-CN"/>
        </w:rPr>
        <w:t>15</w:t>
      </w:r>
      <w:r w:rsidR="0093619D" w:rsidRPr="0093619D">
        <w:rPr>
          <w:rFonts w:hint="eastAsia"/>
          <w:lang w:eastAsia="zh-CN"/>
        </w:rPr>
        <w:t>日在瑞士日内瓦</w:t>
      </w:r>
      <w:r w:rsidR="0093619D">
        <w:rPr>
          <w:rFonts w:hint="eastAsia"/>
          <w:lang w:eastAsia="zh-CN"/>
        </w:rPr>
        <w:t>国际电联总部</w:t>
      </w:r>
      <w:r w:rsidRPr="0047716E">
        <w:rPr>
          <w:rFonts w:hint="eastAsia"/>
          <w:lang w:eastAsia="zh-CN"/>
        </w:rPr>
        <w:t>举办。</w:t>
      </w:r>
    </w:p>
    <w:p w:rsidR="00A7249B" w:rsidRPr="00E31B46" w:rsidRDefault="00A7249B" w:rsidP="009E722D">
      <w:pPr>
        <w:rPr>
          <w:lang w:eastAsia="zh-CN"/>
        </w:rPr>
      </w:pPr>
      <w:r w:rsidRPr="00E31B46">
        <w:rPr>
          <w:lang w:eastAsia="zh-CN"/>
        </w:rPr>
        <w:t>2</w:t>
      </w:r>
      <w:r w:rsidRPr="00E31B46">
        <w:rPr>
          <w:lang w:eastAsia="zh-CN"/>
        </w:rPr>
        <w:tab/>
      </w:r>
      <w:r w:rsidR="009E722D">
        <w:rPr>
          <w:rFonts w:hint="eastAsia"/>
          <w:lang w:val="zh-CN" w:eastAsia="zh-CN"/>
        </w:rPr>
        <w:t>此</w:t>
      </w:r>
      <w:r w:rsidRPr="00E31B46">
        <w:rPr>
          <w:lang w:val="zh-CN" w:eastAsia="zh-CN"/>
        </w:rPr>
        <w:t>活动将包括</w:t>
      </w:r>
      <w:r w:rsidR="0093619D">
        <w:rPr>
          <w:rFonts w:hint="eastAsia"/>
          <w:lang w:val="zh-CN" w:eastAsia="zh-CN"/>
        </w:rPr>
        <w:t>两</w:t>
      </w:r>
      <w:r w:rsidRPr="00E31B46">
        <w:rPr>
          <w:lang w:val="zh-CN" w:eastAsia="zh-CN"/>
        </w:rPr>
        <w:t>部分</w:t>
      </w:r>
      <w:r w:rsidR="0093619D">
        <w:rPr>
          <w:rFonts w:hint="eastAsia"/>
          <w:lang w:val="zh-CN" w:eastAsia="zh-CN"/>
        </w:rPr>
        <w:t>内容，安排如</w:t>
      </w:r>
      <w:r w:rsidR="0093619D" w:rsidRPr="00E31B46">
        <w:rPr>
          <w:lang w:val="zh-CN" w:eastAsia="zh-CN"/>
        </w:rPr>
        <w:t>下</w:t>
      </w:r>
      <w:r w:rsidRPr="00E31B46">
        <w:rPr>
          <w:lang w:eastAsia="zh-CN"/>
        </w:rPr>
        <w:t>：</w:t>
      </w:r>
    </w:p>
    <w:p w:rsidR="00A7249B" w:rsidRPr="00E31B46" w:rsidRDefault="0047716E" w:rsidP="009E722D">
      <w:pPr>
        <w:pStyle w:val="enumlev1"/>
        <w:rPr>
          <w:lang w:eastAsia="zh-CN"/>
        </w:rPr>
      </w:pPr>
      <w:r>
        <w:rPr>
          <w:rFonts w:hint="eastAsia"/>
          <w:lang w:val="zh-CN" w:eastAsia="zh-CN"/>
        </w:rPr>
        <w:t>1</w:t>
      </w:r>
      <w:r>
        <w:rPr>
          <w:lang w:val="en-US" w:eastAsia="zh-CN"/>
        </w:rPr>
        <w:t>)</w:t>
      </w:r>
      <w:r>
        <w:rPr>
          <w:lang w:val="en-US" w:eastAsia="zh-CN"/>
        </w:rPr>
        <w:tab/>
      </w:r>
      <w:r w:rsidR="0093619D">
        <w:rPr>
          <w:rFonts w:hint="eastAsia"/>
          <w:lang w:val="en-US" w:eastAsia="zh-CN"/>
        </w:rPr>
        <w:t>一致性和</w:t>
      </w:r>
      <w:r w:rsidR="00A7249B" w:rsidRPr="00E31B46">
        <w:rPr>
          <w:lang w:val="zh-CN" w:eastAsia="zh-CN"/>
        </w:rPr>
        <w:t>互操作性</w:t>
      </w:r>
      <w:r w:rsidR="00A7249B" w:rsidRPr="0093619D">
        <w:rPr>
          <w:b/>
          <w:bCs/>
          <w:lang w:val="zh-CN" w:eastAsia="zh-CN"/>
        </w:rPr>
        <w:t>测试</w:t>
      </w:r>
      <w:r w:rsidR="00A7249B">
        <w:rPr>
          <w:rFonts w:hint="eastAsia"/>
          <w:lang w:val="zh-CN" w:eastAsia="zh-CN"/>
        </w:rPr>
        <w:t>（</w:t>
      </w:r>
      <w:r w:rsidR="00A7249B">
        <w:rPr>
          <w:rFonts w:hint="eastAsia"/>
          <w:lang w:val="zh-CN" w:eastAsia="zh-CN"/>
        </w:rPr>
        <w:t>2015</w:t>
      </w:r>
      <w:r w:rsidR="00A7249B">
        <w:rPr>
          <w:rFonts w:hint="eastAsia"/>
          <w:lang w:val="zh-CN" w:eastAsia="zh-CN"/>
        </w:rPr>
        <w:t>年</w:t>
      </w:r>
      <w:r w:rsidR="0093619D" w:rsidRPr="0093619D">
        <w:rPr>
          <w:lang w:val="zh-CN" w:eastAsia="zh-CN"/>
        </w:rPr>
        <w:t>10</w:t>
      </w:r>
      <w:r w:rsidR="0093619D" w:rsidRPr="0093619D">
        <w:rPr>
          <w:rFonts w:hint="eastAsia"/>
          <w:lang w:val="zh-CN" w:eastAsia="zh-CN"/>
        </w:rPr>
        <w:t>月</w:t>
      </w:r>
      <w:r w:rsidR="0093619D" w:rsidRPr="0093619D">
        <w:rPr>
          <w:lang w:val="zh-CN" w:eastAsia="zh-CN"/>
        </w:rPr>
        <w:t>14</w:t>
      </w:r>
      <w:r w:rsidR="0093619D" w:rsidRPr="0093619D">
        <w:rPr>
          <w:rFonts w:hint="eastAsia"/>
          <w:lang w:val="zh-CN" w:eastAsia="zh-CN"/>
        </w:rPr>
        <w:t>日</w:t>
      </w:r>
      <w:r w:rsidR="00A7249B">
        <w:rPr>
          <w:rFonts w:hint="eastAsia"/>
          <w:lang w:val="zh-CN" w:eastAsia="zh-CN"/>
        </w:rPr>
        <w:t>）</w:t>
      </w:r>
    </w:p>
    <w:p w:rsidR="00A7249B" w:rsidRPr="00E31B46" w:rsidRDefault="0047716E" w:rsidP="009E722D">
      <w:pPr>
        <w:pStyle w:val="enumlev1"/>
        <w:rPr>
          <w:lang w:eastAsia="zh-CN"/>
        </w:rPr>
      </w:pPr>
      <w:r w:rsidRPr="0047716E">
        <w:rPr>
          <w:rFonts w:hint="eastAsia"/>
          <w:lang w:val="zh-CN" w:eastAsia="zh-CN"/>
        </w:rPr>
        <w:t>2)</w:t>
      </w:r>
      <w:r>
        <w:rPr>
          <w:rFonts w:hint="eastAsia"/>
          <w:b/>
          <w:bCs/>
          <w:lang w:val="zh-CN" w:eastAsia="zh-CN"/>
        </w:rPr>
        <w:tab/>
      </w:r>
      <w:r w:rsidR="00A7249B" w:rsidRPr="00E31B46">
        <w:rPr>
          <w:b/>
          <w:bCs/>
          <w:lang w:val="zh-CN" w:eastAsia="zh-CN"/>
        </w:rPr>
        <w:t>展示</w:t>
      </w:r>
      <w:r w:rsidR="0093619D">
        <w:rPr>
          <w:rFonts w:hint="eastAsia"/>
          <w:lang w:val="zh-CN" w:eastAsia="zh-CN"/>
        </w:rPr>
        <w:t>（</w:t>
      </w:r>
      <w:r w:rsidR="0093619D">
        <w:rPr>
          <w:rFonts w:hint="eastAsia"/>
          <w:lang w:val="zh-CN" w:eastAsia="zh-CN"/>
        </w:rPr>
        <w:t>2015</w:t>
      </w:r>
      <w:r w:rsidR="0093619D">
        <w:rPr>
          <w:rFonts w:hint="eastAsia"/>
          <w:lang w:val="zh-CN" w:eastAsia="zh-CN"/>
        </w:rPr>
        <w:t>年</w:t>
      </w:r>
      <w:r w:rsidR="0093619D" w:rsidRPr="0093619D">
        <w:rPr>
          <w:lang w:val="zh-CN" w:eastAsia="zh-CN"/>
        </w:rPr>
        <w:t>10</w:t>
      </w:r>
      <w:r w:rsidR="0093619D" w:rsidRPr="0093619D">
        <w:rPr>
          <w:rFonts w:hint="eastAsia"/>
          <w:lang w:val="zh-CN" w:eastAsia="zh-CN"/>
        </w:rPr>
        <w:t>月</w:t>
      </w:r>
      <w:r w:rsidR="0093619D" w:rsidRPr="0093619D">
        <w:rPr>
          <w:lang w:val="zh-CN" w:eastAsia="zh-CN"/>
        </w:rPr>
        <w:t>1</w:t>
      </w:r>
      <w:r w:rsidR="0093619D">
        <w:rPr>
          <w:rFonts w:hint="eastAsia"/>
          <w:lang w:val="zh-CN" w:eastAsia="zh-CN"/>
        </w:rPr>
        <w:t>5</w:t>
      </w:r>
      <w:r w:rsidR="0093619D" w:rsidRPr="0093619D">
        <w:rPr>
          <w:rFonts w:hint="eastAsia"/>
          <w:lang w:val="zh-CN" w:eastAsia="zh-CN"/>
        </w:rPr>
        <w:t>日</w:t>
      </w:r>
      <w:r w:rsidR="0093619D">
        <w:rPr>
          <w:rFonts w:hint="eastAsia"/>
          <w:lang w:val="zh-CN" w:eastAsia="zh-CN"/>
        </w:rPr>
        <w:t>）</w:t>
      </w:r>
    </w:p>
    <w:p w:rsidR="00A7249B" w:rsidRPr="00A7249B" w:rsidRDefault="00B66649" w:rsidP="009E722D">
      <w:pPr>
        <w:spacing w:after="20"/>
        <w:ind w:firstLineChars="200" w:firstLine="480"/>
        <w:rPr>
          <w:lang w:eastAsia="zh-CN"/>
        </w:rPr>
      </w:pPr>
      <w:r>
        <w:rPr>
          <w:rFonts w:hint="eastAsia"/>
          <w:lang w:eastAsia="zh-CN"/>
        </w:rPr>
        <w:t>讨论将仅用</w:t>
      </w:r>
      <w:r w:rsidR="00A7249B" w:rsidRPr="00A7249B">
        <w:rPr>
          <w:rFonts w:hint="eastAsia"/>
          <w:lang w:eastAsia="zh-CN"/>
        </w:rPr>
        <w:t>英语进行。</w:t>
      </w:r>
    </w:p>
    <w:p w:rsidR="00A7249B" w:rsidRPr="0047716E" w:rsidRDefault="00A7249B" w:rsidP="009E722D">
      <w:pPr>
        <w:rPr>
          <w:lang w:eastAsia="zh-CN"/>
        </w:rPr>
      </w:pPr>
      <w:r w:rsidRPr="0047716E">
        <w:rPr>
          <w:lang w:eastAsia="zh-CN"/>
        </w:rPr>
        <w:t>3</w:t>
      </w:r>
      <w:r w:rsidRPr="0047716E">
        <w:rPr>
          <w:lang w:eastAsia="zh-CN"/>
        </w:rPr>
        <w:tab/>
      </w:r>
      <w:r w:rsidRPr="0047716E">
        <w:rPr>
          <w:rFonts w:hint="eastAsia"/>
          <w:lang w:eastAsia="zh-CN"/>
        </w:rPr>
        <w:t>根据国际电联全权代表大会第</w:t>
      </w:r>
      <w:r w:rsidRPr="0047716E">
        <w:rPr>
          <w:rFonts w:hint="eastAsia"/>
          <w:lang w:eastAsia="zh-CN"/>
        </w:rPr>
        <w:t>177</w:t>
      </w:r>
      <w:r w:rsidRPr="0047716E">
        <w:rPr>
          <w:rFonts w:hint="eastAsia"/>
          <w:lang w:eastAsia="zh-CN"/>
        </w:rPr>
        <w:t>号决议（</w:t>
      </w:r>
      <w:r w:rsidR="00B66649">
        <w:rPr>
          <w:rFonts w:hint="eastAsia"/>
          <w:lang w:eastAsia="zh-CN"/>
        </w:rPr>
        <w:t>2014</w:t>
      </w:r>
      <w:r w:rsidRPr="0047716E">
        <w:rPr>
          <w:rFonts w:hint="eastAsia"/>
          <w:lang w:eastAsia="zh-CN"/>
        </w:rPr>
        <w:t>年，</w:t>
      </w:r>
      <w:r w:rsidR="00B66649">
        <w:rPr>
          <w:rFonts w:hint="eastAsia"/>
          <w:lang w:eastAsia="zh-CN"/>
        </w:rPr>
        <w:t>釜山，修订版</w:t>
      </w:r>
      <w:r w:rsidRPr="0047716E">
        <w:rPr>
          <w:rFonts w:hint="eastAsia"/>
          <w:lang w:eastAsia="zh-CN"/>
        </w:rPr>
        <w:t>），国际电联一直在致力于研究</w:t>
      </w:r>
      <w:r w:rsidR="00FA494C">
        <w:fldChar w:fldCharType="begin"/>
      </w:r>
      <w:r w:rsidR="00FA494C">
        <w:rPr>
          <w:lang w:eastAsia="zh-CN"/>
        </w:rPr>
        <w:instrText xml:space="preserve"> HYPERLINK "http://www.itu.int/en/ITU-T/C-I/Pages/default.aspx" </w:instrText>
      </w:r>
      <w:r w:rsidR="00FA494C">
        <w:fldChar w:fldCharType="separate"/>
      </w:r>
      <w:r w:rsidRPr="0047716E">
        <w:rPr>
          <w:rStyle w:val="Hyperlink"/>
          <w:rFonts w:hint="eastAsia"/>
          <w:lang w:eastAsia="zh-CN"/>
        </w:rPr>
        <w:t>C&amp;I</w:t>
      </w:r>
      <w:r w:rsidRPr="0047716E">
        <w:rPr>
          <w:rStyle w:val="Hyperlink"/>
          <w:rFonts w:hint="eastAsia"/>
          <w:lang w:eastAsia="zh-CN"/>
        </w:rPr>
        <w:t>计划</w:t>
      </w:r>
      <w:r w:rsidR="00FA494C">
        <w:rPr>
          <w:rStyle w:val="Hyperlink"/>
          <w:lang w:eastAsia="zh-CN"/>
        </w:rPr>
        <w:fldChar w:fldCharType="end"/>
      </w:r>
      <w:r w:rsidRPr="0047716E">
        <w:rPr>
          <w:rFonts w:hint="eastAsia"/>
          <w:lang w:eastAsia="zh-CN"/>
        </w:rPr>
        <w:t>，以确保根据</w:t>
      </w:r>
      <w:r w:rsidRPr="0047716E">
        <w:rPr>
          <w:rFonts w:hint="eastAsia"/>
          <w:lang w:eastAsia="zh-CN"/>
        </w:rPr>
        <w:t>ITU-T</w:t>
      </w:r>
      <w:r w:rsidRPr="0047716E">
        <w:rPr>
          <w:rFonts w:hint="eastAsia"/>
          <w:lang w:eastAsia="zh-CN"/>
        </w:rPr>
        <w:t>的</w:t>
      </w:r>
      <w:r w:rsidR="009E722D">
        <w:rPr>
          <w:rFonts w:hint="eastAsia"/>
          <w:lang w:eastAsia="zh-CN"/>
        </w:rPr>
        <w:t>建议</w:t>
      </w:r>
      <w:r w:rsidR="009E722D">
        <w:rPr>
          <w:lang w:eastAsia="zh-CN"/>
        </w:rPr>
        <w:t>书</w:t>
      </w:r>
      <w:r w:rsidRPr="0047716E">
        <w:rPr>
          <w:rFonts w:hint="eastAsia"/>
          <w:lang w:eastAsia="zh-CN"/>
        </w:rPr>
        <w:t>或部分建议书来实现</w:t>
      </w:r>
      <w:r w:rsidRPr="0047716E">
        <w:rPr>
          <w:rFonts w:hint="eastAsia"/>
          <w:lang w:eastAsia="zh-CN"/>
        </w:rPr>
        <w:t>ICT</w:t>
      </w:r>
      <w:r w:rsidRPr="0047716E">
        <w:rPr>
          <w:rFonts w:hint="eastAsia"/>
          <w:lang w:eastAsia="zh-CN"/>
        </w:rPr>
        <w:t>产品的一致性和互操作性。此计划基于四个支柱：支柱</w:t>
      </w:r>
      <w:r w:rsidRPr="0047716E">
        <w:rPr>
          <w:rFonts w:hint="eastAsia"/>
          <w:lang w:eastAsia="zh-CN"/>
        </w:rPr>
        <w:t>1</w:t>
      </w:r>
      <w:r w:rsidRPr="0047716E">
        <w:rPr>
          <w:rFonts w:hint="eastAsia"/>
          <w:lang w:eastAsia="zh-CN"/>
        </w:rPr>
        <w:t>：一致性评估；支柱</w:t>
      </w:r>
      <w:r w:rsidRPr="0047716E">
        <w:rPr>
          <w:rFonts w:hint="eastAsia"/>
          <w:lang w:eastAsia="zh-CN"/>
        </w:rPr>
        <w:t>2</w:t>
      </w:r>
      <w:r w:rsidRPr="0047716E">
        <w:rPr>
          <w:rFonts w:hint="eastAsia"/>
          <w:lang w:eastAsia="zh-CN"/>
        </w:rPr>
        <w:t>：互操作性活动；支柱</w:t>
      </w:r>
      <w:r w:rsidRPr="0047716E">
        <w:rPr>
          <w:rFonts w:hint="eastAsia"/>
          <w:lang w:eastAsia="zh-CN"/>
        </w:rPr>
        <w:t>3</w:t>
      </w:r>
      <w:r w:rsidRPr="0047716E">
        <w:rPr>
          <w:rFonts w:hint="eastAsia"/>
          <w:lang w:eastAsia="zh-CN"/>
        </w:rPr>
        <w:t>：能力建设</w:t>
      </w:r>
      <w:r w:rsidR="005149DE">
        <w:rPr>
          <w:rFonts w:hint="eastAsia"/>
          <w:lang w:eastAsia="zh-CN"/>
        </w:rPr>
        <w:t>；</w:t>
      </w:r>
      <w:r w:rsidRPr="0047716E">
        <w:rPr>
          <w:rFonts w:hint="eastAsia"/>
          <w:lang w:eastAsia="zh-CN"/>
        </w:rPr>
        <w:t>支柱</w:t>
      </w:r>
      <w:r w:rsidRPr="0047716E">
        <w:rPr>
          <w:rFonts w:hint="eastAsia"/>
          <w:lang w:eastAsia="zh-CN"/>
        </w:rPr>
        <w:t>4</w:t>
      </w:r>
      <w:r w:rsidRPr="0047716E">
        <w:rPr>
          <w:rFonts w:hint="eastAsia"/>
          <w:lang w:eastAsia="zh-CN"/>
        </w:rPr>
        <w:t>：帮助发展中国家</w:t>
      </w:r>
      <w:r w:rsidR="009E722D">
        <w:rPr>
          <w:rFonts w:hint="eastAsia"/>
          <w:lang w:eastAsia="zh-CN"/>
        </w:rPr>
        <w:t>成</w:t>
      </w:r>
      <w:r w:rsidRPr="0047716E">
        <w:rPr>
          <w:rFonts w:hint="eastAsia"/>
          <w:lang w:eastAsia="zh-CN"/>
        </w:rPr>
        <w:t>立测试中心和</w:t>
      </w:r>
      <w:r w:rsidR="009E722D">
        <w:rPr>
          <w:rFonts w:hint="eastAsia"/>
          <w:lang w:eastAsia="zh-CN"/>
        </w:rPr>
        <w:t>建立</w:t>
      </w:r>
      <w:r w:rsidRPr="0047716E">
        <w:rPr>
          <w:lang w:eastAsia="zh-CN"/>
        </w:rPr>
        <w:t>C&amp;I</w:t>
      </w:r>
      <w:r w:rsidRPr="0047716E">
        <w:rPr>
          <w:rFonts w:hint="eastAsia"/>
          <w:lang w:eastAsia="zh-CN"/>
        </w:rPr>
        <w:t>项目。</w:t>
      </w:r>
    </w:p>
    <w:p w:rsidR="00A7249B" w:rsidRPr="0047716E" w:rsidRDefault="00B66649" w:rsidP="009E722D">
      <w:pPr>
        <w:ind w:firstLineChars="200" w:firstLine="480"/>
        <w:rPr>
          <w:lang w:eastAsia="zh-CN"/>
        </w:rPr>
      </w:pPr>
      <w:r>
        <w:rPr>
          <w:rFonts w:hint="eastAsia"/>
          <w:lang w:eastAsia="zh-CN"/>
        </w:rPr>
        <w:t>此</w:t>
      </w:r>
      <w:r w:rsidR="00A7249B" w:rsidRPr="0047716E">
        <w:rPr>
          <w:lang w:eastAsia="zh-CN"/>
        </w:rPr>
        <w:t>活动</w:t>
      </w:r>
      <w:r w:rsidR="009A49D6">
        <w:rPr>
          <w:rFonts w:hint="eastAsia"/>
          <w:lang w:eastAsia="zh-CN"/>
        </w:rPr>
        <w:t>是一系列定期开展的</w:t>
      </w:r>
      <w:r w:rsidR="009A49D6" w:rsidRPr="009A49D6">
        <w:rPr>
          <w:lang w:eastAsia="zh-CN"/>
        </w:rPr>
        <w:t>IPTV</w:t>
      </w:r>
      <w:r w:rsidR="009A49D6" w:rsidRPr="009A49D6">
        <w:rPr>
          <w:rFonts w:hint="eastAsia"/>
          <w:lang w:eastAsia="zh-CN"/>
        </w:rPr>
        <w:t>测试活动</w:t>
      </w:r>
      <w:r w:rsidR="009A49D6">
        <w:rPr>
          <w:rFonts w:cstheme="majorBidi" w:hint="eastAsia"/>
          <w:szCs w:val="24"/>
          <w:lang w:eastAsia="zh-CN"/>
        </w:rPr>
        <w:t>的一部分，</w:t>
      </w:r>
      <w:r w:rsidR="009E722D">
        <w:rPr>
          <w:rFonts w:cstheme="majorBidi" w:hint="eastAsia"/>
          <w:szCs w:val="24"/>
          <w:lang w:eastAsia="zh-CN"/>
        </w:rPr>
        <w:t>这</w:t>
      </w:r>
      <w:r w:rsidR="009E722D">
        <w:rPr>
          <w:rFonts w:cstheme="majorBidi"/>
          <w:szCs w:val="24"/>
          <w:lang w:eastAsia="zh-CN"/>
        </w:rPr>
        <w:t>些</w:t>
      </w:r>
      <w:r w:rsidR="009A49D6">
        <w:rPr>
          <w:rFonts w:cstheme="majorBidi" w:hint="eastAsia"/>
          <w:szCs w:val="24"/>
          <w:lang w:eastAsia="zh-CN"/>
        </w:rPr>
        <w:t>活动</w:t>
      </w:r>
      <w:r w:rsidR="009E722D">
        <w:rPr>
          <w:rFonts w:cstheme="majorBidi" w:hint="eastAsia"/>
          <w:szCs w:val="24"/>
          <w:lang w:eastAsia="zh-CN"/>
        </w:rPr>
        <w:t>旨</w:t>
      </w:r>
      <w:r w:rsidR="009E722D">
        <w:rPr>
          <w:rFonts w:cstheme="majorBidi"/>
          <w:szCs w:val="24"/>
          <w:lang w:eastAsia="zh-CN"/>
        </w:rPr>
        <w:t>在</w:t>
      </w:r>
      <w:r w:rsidR="009A49D6">
        <w:rPr>
          <w:rFonts w:cstheme="majorBidi" w:hint="eastAsia"/>
          <w:szCs w:val="24"/>
          <w:lang w:eastAsia="zh-CN"/>
        </w:rPr>
        <w:t>与</w:t>
      </w:r>
      <w:r w:rsidR="009A49D6" w:rsidRPr="009A49D6">
        <w:rPr>
          <w:rFonts w:cstheme="majorBidi" w:hint="eastAsia"/>
          <w:szCs w:val="24"/>
          <w:lang w:eastAsia="zh-CN"/>
        </w:rPr>
        <w:t>IP</w:t>
      </w:r>
      <w:r w:rsidR="009A49D6" w:rsidRPr="009A49D6">
        <w:rPr>
          <w:rFonts w:cstheme="majorBidi" w:hint="eastAsia"/>
          <w:szCs w:val="24"/>
          <w:lang w:eastAsia="zh-CN"/>
        </w:rPr>
        <w:t>电视</w:t>
      </w:r>
      <w:r w:rsidR="009A49D6" w:rsidRPr="009A49D6">
        <w:rPr>
          <w:rFonts w:cstheme="majorBidi" w:hint="eastAsia"/>
          <w:szCs w:val="24"/>
          <w:lang w:eastAsia="zh-CN"/>
        </w:rPr>
        <w:t>-</w:t>
      </w:r>
      <w:r w:rsidR="009A49D6" w:rsidRPr="009A49D6">
        <w:rPr>
          <w:rFonts w:cstheme="majorBidi" w:hint="eastAsia"/>
          <w:szCs w:val="24"/>
          <w:lang w:eastAsia="zh-CN"/>
        </w:rPr>
        <w:t>全球标准举措</w:t>
      </w:r>
      <w:r w:rsidR="009A49D6">
        <w:rPr>
          <w:rFonts w:cstheme="majorBidi" w:hint="eastAsia"/>
          <w:szCs w:val="24"/>
          <w:lang w:val="en-US" w:eastAsia="zh-CN"/>
        </w:rPr>
        <w:t>活动</w:t>
      </w:r>
      <w:r w:rsidR="009E722D">
        <w:rPr>
          <w:rFonts w:cstheme="majorBidi" w:hint="eastAsia"/>
          <w:szCs w:val="24"/>
          <w:lang w:val="en-US" w:eastAsia="zh-CN"/>
        </w:rPr>
        <w:t>一</w:t>
      </w:r>
      <w:r w:rsidR="009A49D6">
        <w:rPr>
          <w:rFonts w:cstheme="majorBidi" w:hint="eastAsia"/>
          <w:szCs w:val="24"/>
          <w:lang w:eastAsia="zh-CN"/>
        </w:rPr>
        <w:t>同在国际电联总部举办，以便为基于</w:t>
      </w:r>
      <w:r w:rsidR="009A49D6">
        <w:rPr>
          <w:rFonts w:cstheme="majorBidi"/>
          <w:szCs w:val="24"/>
          <w:lang w:eastAsia="zh-CN"/>
        </w:rPr>
        <w:t>ITU-T IPTV</w:t>
      </w:r>
      <w:r w:rsidR="009A49D6">
        <w:rPr>
          <w:rFonts w:cstheme="majorBidi" w:hint="eastAsia"/>
          <w:szCs w:val="24"/>
          <w:lang w:eastAsia="zh-CN"/>
        </w:rPr>
        <w:t>建议书的、现有和正在开发的产品的测试提供持续平台，从而满足迅速增长的市场需要。</w:t>
      </w:r>
      <w:r w:rsidR="00A7249B" w:rsidRPr="0047716E">
        <w:rPr>
          <w:lang w:eastAsia="zh-CN"/>
        </w:rPr>
        <w:t>预计此活动</w:t>
      </w:r>
      <w:r w:rsidR="009E722D">
        <w:rPr>
          <w:rFonts w:hint="eastAsia"/>
          <w:lang w:eastAsia="zh-CN"/>
        </w:rPr>
        <w:t>还</w:t>
      </w:r>
      <w:r w:rsidR="00A7249B" w:rsidRPr="0047716E">
        <w:rPr>
          <w:lang w:eastAsia="zh-CN"/>
        </w:rPr>
        <w:t>将向</w:t>
      </w:r>
      <w:r w:rsidR="00E972A8" w:rsidRPr="0047716E">
        <w:rPr>
          <w:rFonts w:hint="eastAsia"/>
          <w:lang w:eastAsia="zh-CN"/>
        </w:rPr>
        <w:t>ITU-T</w:t>
      </w:r>
      <w:r w:rsidR="00A7249B" w:rsidRPr="0047716E">
        <w:rPr>
          <w:lang w:eastAsia="zh-CN"/>
        </w:rPr>
        <w:t>研究组提供相关反馈</w:t>
      </w:r>
      <w:r w:rsidR="0047716E">
        <w:rPr>
          <w:rFonts w:hint="eastAsia"/>
          <w:lang w:eastAsia="zh-CN"/>
        </w:rPr>
        <w:t>，</w:t>
      </w:r>
      <w:r w:rsidR="00A7249B" w:rsidRPr="0047716E">
        <w:rPr>
          <w:lang w:eastAsia="zh-CN"/>
        </w:rPr>
        <w:t>以便后者就此问题展开进一步研究。</w:t>
      </w:r>
    </w:p>
    <w:p w:rsidR="004921E1" w:rsidRDefault="00A7249B" w:rsidP="009E722D">
      <w:pPr>
        <w:rPr>
          <w:lang w:eastAsia="zh-CN"/>
        </w:rPr>
      </w:pPr>
      <w:r w:rsidRPr="0047716E">
        <w:rPr>
          <w:lang w:eastAsia="zh-CN"/>
        </w:rPr>
        <w:t>4</w:t>
      </w:r>
      <w:r w:rsidRPr="0047716E">
        <w:rPr>
          <w:lang w:eastAsia="zh-CN"/>
        </w:rPr>
        <w:tab/>
      </w:r>
      <w:r w:rsidRPr="0047716E">
        <w:rPr>
          <w:b/>
          <w:bCs/>
          <w:lang w:eastAsia="zh-CN"/>
        </w:rPr>
        <w:t>测试</w:t>
      </w:r>
      <w:r w:rsidR="004921E1" w:rsidRPr="0047716E">
        <w:rPr>
          <w:lang w:eastAsia="zh-CN"/>
        </w:rPr>
        <w:t>的</w:t>
      </w:r>
      <w:r w:rsidR="004921E1">
        <w:rPr>
          <w:rFonts w:hint="eastAsia"/>
          <w:lang w:eastAsia="zh-CN"/>
        </w:rPr>
        <w:t>范围</w:t>
      </w:r>
      <w:r w:rsidRPr="0047716E">
        <w:rPr>
          <w:lang w:eastAsia="zh-CN"/>
        </w:rPr>
        <w:t>将包括对基于</w:t>
      </w:r>
      <w:r w:rsidRPr="0047716E">
        <w:rPr>
          <w:lang w:eastAsia="zh-CN"/>
        </w:rPr>
        <w:t>ITU-T</w:t>
      </w:r>
      <w:r w:rsidRPr="0047716E">
        <w:rPr>
          <w:lang w:eastAsia="zh-CN"/>
        </w:rPr>
        <w:t>建议书的产品的</w:t>
      </w:r>
      <w:r w:rsidR="00B946CA">
        <w:rPr>
          <w:rFonts w:hint="eastAsia"/>
          <w:lang w:eastAsia="zh-CN"/>
        </w:rPr>
        <w:t>一致性和</w:t>
      </w:r>
      <w:r w:rsidRPr="0047716E">
        <w:rPr>
          <w:lang w:eastAsia="zh-CN"/>
        </w:rPr>
        <w:t>互操作性测试。</w:t>
      </w:r>
      <w:r w:rsidR="00B946CA">
        <w:rPr>
          <w:rFonts w:hint="eastAsia"/>
          <w:lang w:eastAsia="zh-CN"/>
        </w:rPr>
        <w:t>这些建议书包括但不局限于</w:t>
      </w:r>
      <w:r w:rsidR="00B946CA">
        <w:rPr>
          <w:rFonts w:cstheme="majorBidi"/>
          <w:szCs w:val="24"/>
          <w:lang w:eastAsia="zh-CN"/>
        </w:rPr>
        <w:t>ITU-T H.701</w:t>
      </w:r>
      <w:r w:rsidR="00B946CA">
        <w:rPr>
          <w:rFonts w:cstheme="majorBidi" w:hint="eastAsia"/>
          <w:szCs w:val="24"/>
          <w:lang w:eastAsia="zh-CN"/>
        </w:rPr>
        <w:t>（错误校正）、</w:t>
      </w:r>
      <w:r w:rsidR="00B946CA">
        <w:rPr>
          <w:rFonts w:cstheme="majorBidi"/>
          <w:szCs w:val="24"/>
          <w:lang w:eastAsia="zh-CN"/>
        </w:rPr>
        <w:t>ITU-T H.721</w:t>
      </w:r>
      <w:r w:rsidR="00B946CA">
        <w:rPr>
          <w:rFonts w:cstheme="majorBidi" w:hint="eastAsia"/>
          <w:szCs w:val="24"/>
          <w:lang w:eastAsia="zh-CN"/>
        </w:rPr>
        <w:t>（</w:t>
      </w:r>
      <w:r w:rsidR="00B946CA">
        <w:rPr>
          <w:rFonts w:cstheme="majorBidi"/>
          <w:szCs w:val="24"/>
          <w:lang w:eastAsia="zh-CN"/>
        </w:rPr>
        <w:t>IPTV</w:t>
      </w:r>
      <w:r w:rsidR="00B946CA">
        <w:rPr>
          <w:rFonts w:cstheme="majorBidi" w:hint="eastAsia"/>
          <w:szCs w:val="24"/>
          <w:lang w:eastAsia="zh-CN"/>
        </w:rPr>
        <w:t>终端）、</w:t>
      </w:r>
      <w:r w:rsidR="00B946CA">
        <w:rPr>
          <w:rFonts w:cstheme="majorBidi"/>
          <w:szCs w:val="24"/>
          <w:lang w:eastAsia="zh-CN"/>
        </w:rPr>
        <w:t>ITU-T H.750</w:t>
      </w:r>
      <w:r w:rsidR="00B946CA">
        <w:rPr>
          <w:rFonts w:cstheme="majorBidi" w:hint="eastAsia"/>
          <w:szCs w:val="24"/>
          <w:lang w:eastAsia="zh-CN"/>
        </w:rPr>
        <w:t>（元数据）、</w:t>
      </w:r>
      <w:r w:rsidR="00B946CA">
        <w:rPr>
          <w:rFonts w:cstheme="majorBidi"/>
          <w:szCs w:val="24"/>
          <w:lang w:eastAsia="zh-CN"/>
        </w:rPr>
        <w:t>ITU-T H.761</w:t>
      </w:r>
      <w:r w:rsidR="00B946CA">
        <w:rPr>
          <w:rFonts w:cstheme="majorBidi" w:hint="eastAsia"/>
          <w:szCs w:val="24"/>
          <w:lang w:eastAsia="zh-CN"/>
        </w:rPr>
        <w:t>（</w:t>
      </w:r>
      <w:proofErr w:type="spellStart"/>
      <w:r w:rsidR="00B946CA">
        <w:rPr>
          <w:rFonts w:cstheme="majorBidi"/>
          <w:szCs w:val="24"/>
          <w:lang w:eastAsia="zh-CN"/>
        </w:rPr>
        <w:t>Ginga</w:t>
      </w:r>
      <w:proofErr w:type="spellEnd"/>
      <w:r w:rsidR="00B946CA">
        <w:rPr>
          <w:rFonts w:cstheme="majorBidi"/>
          <w:szCs w:val="24"/>
          <w:lang w:eastAsia="zh-CN"/>
        </w:rPr>
        <w:t>-NCL</w:t>
      </w:r>
      <w:r w:rsidR="00B946CA">
        <w:rPr>
          <w:rFonts w:cstheme="majorBidi" w:hint="eastAsia"/>
          <w:szCs w:val="24"/>
          <w:lang w:eastAsia="zh-CN"/>
        </w:rPr>
        <w:t>）、</w:t>
      </w:r>
      <w:r w:rsidR="00B946CA">
        <w:rPr>
          <w:rFonts w:cstheme="majorBidi"/>
          <w:szCs w:val="24"/>
          <w:lang w:eastAsia="zh-CN"/>
        </w:rPr>
        <w:t>ITU-T H.762</w:t>
      </w:r>
      <w:r w:rsidR="00B946CA">
        <w:rPr>
          <w:rFonts w:cstheme="majorBidi" w:hint="eastAsia"/>
          <w:szCs w:val="24"/>
          <w:lang w:eastAsia="zh-CN"/>
        </w:rPr>
        <w:t>（</w:t>
      </w:r>
      <w:r w:rsidR="00B946CA">
        <w:rPr>
          <w:rFonts w:cstheme="majorBidi"/>
          <w:szCs w:val="24"/>
          <w:lang w:eastAsia="zh-CN"/>
        </w:rPr>
        <w:t>LIME</w:t>
      </w:r>
      <w:r w:rsidR="00B946CA">
        <w:rPr>
          <w:rFonts w:cstheme="majorBidi" w:hint="eastAsia"/>
          <w:szCs w:val="24"/>
          <w:lang w:eastAsia="zh-CN"/>
        </w:rPr>
        <w:t>：交互式多媒体）、</w:t>
      </w:r>
      <w:r w:rsidR="00B946CA">
        <w:rPr>
          <w:rFonts w:cstheme="majorBidi"/>
          <w:szCs w:val="24"/>
          <w:lang w:eastAsia="zh-CN"/>
        </w:rPr>
        <w:t>ITU-T H.764</w:t>
      </w:r>
      <w:r w:rsidR="00B946CA">
        <w:rPr>
          <w:rFonts w:cstheme="majorBidi" w:hint="eastAsia"/>
          <w:szCs w:val="24"/>
          <w:lang w:eastAsia="zh-CN"/>
        </w:rPr>
        <w:t>（脚本语言）、</w:t>
      </w:r>
      <w:r w:rsidR="00B946CA">
        <w:rPr>
          <w:rFonts w:cstheme="majorBidi"/>
          <w:szCs w:val="24"/>
          <w:lang w:eastAsia="zh-CN"/>
        </w:rPr>
        <w:t>ITU-T H.770</w:t>
      </w:r>
      <w:r w:rsidR="00B946CA">
        <w:rPr>
          <w:rFonts w:cstheme="majorBidi" w:hint="eastAsia"/>
          <w:szCs w:val="24"/>
          <w:lang w:eastAsia="zh-CN"/>
        </w:rPr>
        <w:t>（业务恢复）以及其它任何现有和正在开发的</w:t>
      </w:r>
      <w:r w:rsidR="00B946CA">
        <w:rPr>
          <w:rFonts w:cstheme="majorBidi"/>
          <w:szCs w:val="24"/>
          <w:lang w:eastAsia="zh-CN"/>
        </w:rPr>
        <w:t>ITU-T IPTV</w:t>
      </w:r>
      <w:r w:rsidR="00B946CA">
        <w:rPr>
          <w:rFonts w:cstheme="majorBidi" w:hint="eastAsia"/>
          <w:szCs w:val="24"/>
          <w:lang w:eastAsia="zh-CN"/>
        </w:rPr>
        <w:t>建议书。</w:t>
      </w:r>
    </w:p>
    <w:p w:rsidR="004921E1" w:rsidRDefault="00B946CA" w:rsidP="009E722D">
      <w:pPr>
        <w:keepNext/>
        <w:adjustRightInd/>
        <w:ind w:firstLineChars="200" w:firstLine="480"/>
        <w:rPr>
          <w:rFonts w:cstheme="majorBidi"/>
          <w:szCs w:val="24"/>
          <w:lang w:eastAsia="zh-CN"/>
        </w:rPr>
      </w:pPr>
      <w:r>
        <w:rPr>
          <w:rFonts w:cstheme="majorBidi" w:hint="eastAsia"/>
          <w:szCs w:val="24"/>
          <w:lang w:eastAsia="zh-CN"/>
        </w:rPr>
        <w:lastRenderedPageBreak/>
        <w:t>在</w:t>
      </w:r>
      <w:r w:rsidR="00751578">
        <w:rPr>
          <w:rFonts w:hint="eastAsia"/>
          <w:lang w:eastAsia="zh-CN"/>
        </w:rPr>
        <w:t>互操作性测试</w:t>
      </w:r>
      <w:r w:rsidR="00751578">
        <w:rPr>
          <w:rFonts w:cstheme="majorBidi" w:hint="eastAsia"/>
          <w:szCs w:val="24"/>
          <w:lang w:eastAsia="zh-CN"/>
        </w:rPr>
        <w:t>期间，（日本）</w:t>
      </w:r>
      <w:r w:rsidR="00751578" w:rsidRPr="00751578">
        <w:rPr>
          <w:rFonts w:cstheme="majorBidi"/>
          <w:szCs w:val="24"/>
          <w:lang w:eastAsia="zh-CN"/>
        </w:rPr>
        <w:t>庆应义塾</w:t>
      </w:r>
      <w:r w:rsidR="00751578">
        <w:rPr>
          <w:rFonts w:cstheme="majorBidi" w:hint="eastAsia"/>
          <w:szCs w:val="24"/>
          <w:lang w:eastAsia="zh-CN"/>
        </w:rPr>
        <w:t>大学将</w:t>
      </w:r>
      <w:r w:rsidR="009E722D">
        <w:rPr>
          <w:rFonts w:cstheme="majorBidi" w:hint="eastAsia"/>
          <w:szCs w:val="24"/>
          <w:lang w:eastAsia="zh-CN"/>
        </w:rPr>
        <w:t>根据</w:t>
      </w:r>
      <w:r w:rsidR="009E722D">
        <w:rPr>
          <w:rFonts w:cstheme="majorBidi"/>
          <w:szCs w:val="24"/>
          <w:lang w:eastAsia="zh-CN"/>
        </w:rPr>
        <w:t>参</w:t>
      </w:r>
      <w:r w:rsidR="00751578">
        <w:rPr>
          <w:rFonts w:cstheme="majorBidi" w:hint="eastAsia"/>
          <w:szCs w:val="24"/>
          <w:lang w:eastAsia="zh-CN"/>
        </w:rPr>
        <w:t>与者选择的</w:t>
      </w:r>
      <w:r w:rsidR="00751578">
        <w:rPr>
          <w:rFonts w:cstheme="majorBidi"/>
          <w:szCs w:val="24"/>
          <w:lang w:eastAsia="zh-CN"/>
        </w:rPr>
        <w:t>ITU-T IPTV</w:t>
      </w:r>
      <w:r w:rsidR="00751578">
        <w:rPr>
          <w:rFonts w:cstheme="majorBidi" w:hint="eastAsia"/>
          <w:szCs w:val="24"/>
          <w:lang w:eastAsia="zh-CN"/>
        </w:rPr>
        <w:t>建议书测试其产品。</w:t>
      </w:r>
      <w:r w:rsidR="009E722D">
        <w:rPr>
          <w:rFonts w:cstheme="majorBidi" w:hint="eastAsia"/>
          <w:szCs w:val="24"/>
          <w:lang w:eastAsia="zh-CN"/>
        </w:rPr>
        <w:t>参</w:t>
      </w:r>
      <w:r w:rsidR="00751578">
        <w:rPr>
          <w:rFonts w:cstheme="majorBidi" w:hint="eastAsia"/>
          <w:szCs w:val="24"/>
          <w:lang w:eastAsia="zh-CN"/>
        </w:rPr>
        <w:t>与者将可考虑提交已通过相关测试</w:t>
      </w:r>
      <w:r w:rsidR="009E722D">
        <w:rPr>
          <w:rFonts w:cstheme="majorBidi" w:hint="eastAsia"/>
          <w:szCs w:val="24"/>
          <w:lang w:eastAsia="zh-CN"/>
        </w:rPr>
        <w:t>的</w:t>
      </w:r>
      <w:r w:rsidR="00751578">
        <w:rPr>
          <w:rFonts w:cstheme="majorBidi" w:hint="eastAsia"/>
          <w:szCs w:val="24"/>
          <w:lang w:eastAsia="zh-CN"/>
        </w:rPr>
        <w:t>其产品的条目，以充实</w:t>
      </w:r>
      <w:hyperlink r:id="rId11" w:history="1">
        <w:r w:rsidR="00751578">
          <w:rPr>
            <w:rStyle w:val="Hyperlink"/>
            <w:rFonts w:cstheme="majorBidi" w:hint="eastAsia"/>
            <w:szCs w:val="24"/>
            <w:lang w:eastAsia="zh-CN"/>
          </w:rPr>
          <w:t>国际电联产品一致性数据库</w:t>
        </w:r>
      </w:hyperlink>
      <w:r w:rsidR="00751578">
        <w:rPr>
          <w:rFonts w:cstheme="majorBidi" w:hint="eastAsia"/>
          <w:szCs w:val="24"/>
          <w:lang w:eastAsia="zh-CN"/>
        </w:rPr>
        <w:t>。</w:t>
      </w:r>
    </w:p>
    <w:p w:rsidR="00A7249B" w:rsidRPr="00277235" w:rsidRDefault="00A7249B" w:rsidP="009E722D">
      <w:pPr>
        <w:ind w:firstLineChars="200" w:firstLine="480"/>
        <w:rPr>
          <w:lang w:eastAsia="zh-CN"/>
        </w:rPr>
      </w:pPr>
      <w:r w:rsidRPr="0047716E">
        <w:rPr>
          <w:lang w:eastAsia="zh-CN"/>
        </w:rPr>
        <w:t>参与者可通过</w:t>
      </w:r>
      <w:r w:rsidRPr="00E31B46">
        <w:rPr>
          <w:lang w:val="zh-CN" w:eastAsia="zh-CN"/>
        </w:rPr>
        <w:t>如保密协议</w:t>
      </w:r>
      <w:r w:rsidRPr="00E31B46">
        <w:rPr>
          <w:lang w:eastAsia="zh-CN"/>
        </w:rPr>
        <w:t>（</w:t>
      </w:r>
      <w:r w:rsidRPr="00E31B46">
        <w:rPr>
          <w:lang w:eastAsia="zh-CN"/>
        </w:rPr>
        <w:t>NDA</w:t>
      </w:r>
      <w:r w:rsidRPr="00E31B46">
        <w:rPr>
          <w:lang w:eastAsia="zh-CN"/>
        </w:rPr>
        <w:t>）</w:t>
      </w:r>
      <w:r w:rsidR="00B27655">
        <w:rPr>
          <w:rFonts w:hint="eastAsia"/>
          <w:lang w:eastAsia="zh-CN"/>
        </w:rPr>
        <w:t>之类的协议</w:t>
      </w:r>
      <w:r w:rsidRPr="00E31B46">
        <w:rPr>
          <w:lang w:val="zh-CN" w:eastAsia="zh-CN"/>
        </w:rPr>
        <w:t>共享测试结果</w:t>
      </w:r>
    </w:p>
    <w:p w:rsidR="00B27655" w:rsidRPr="0047716E" w:rsidRDefault="00B27655" w:rsidP="009E722D">
      <w:pPr>
        <w:rPr>
          <w:lang w:eastAsia="zh-CN"/>
        </w:rPr>
      </w:pPr>
      <w:r>
        <w:rPr>
          <w:rFonts w:hint="eastAsia"/>
          <w:lang w:val="zh-CN" w:eastAsia="zh-CN"/>
        </w:rPr>
        <w:t>5</w:t>
      </w:r>
      <w:r>
        <w:rPr>
          <w:rFonts w:hint="eastAsia"/>
          <w:lang w:val="zh-CN" w:eastAsia="zh-CN"/>
        </w:rPr>
        <w:tab/>
      </w:r>
      <w:r w:rsidR="002B7D9C" w:rsidRPr="002B7D9C">
        <w:rPr>
          <w:rFonts w:hint="eastAsia"/>
          <w:lang w:val="zh-CN" w:eastAsia="zh-CN"/>
        </w:rPr>
        <w:t>活动的</w:t>
      </w:r>
      <w:r w:rsidR="00A7249B" w:rsidRPr="00E31B46">
        <w:rPr>
          <w:b/>
          <w:bCs/>
          <w:lang w:val="zh-CN" w:eastAsia="zh-CN"/>
        </w:rPr>
        <w:t>展示</w:t>
      </w:r>
      <w:r w:rsidR="00A7249B" w:rsidRPr="00E31B46">
        <w:rPr>
          <w:lang w:val="zh-CN" w:eastAsia="zh-CN"/>
        </w:rPr>
        <w:t>部分将演示由</w:t>
      </w:r>
      <w:r w:rsidR="009E722D">
        <w:rPr>
          <w:rFonts w:hint="eastAsia"/>
          <w:lang w:val="zh-CN" w:eastAsia="zh-CN"/>
        </w:rPr>
        <w:t>参</w:t>
      </w:r>
      <w:r w:rsidR="00A7249B" w:rsidRPr="00E31B46">
        <w:rPr>
          <w:lang w:val="zh-CN" w:eastAsia="zh-CN"/>
        </w:rPr>
        <w:t>与制造商和科研院所生产的新兴产品。</w:t>
      </w:r>
      <w:r w:rsidR="009E722D">
        <w:rPr>
          <w:rFonts w:hint="eastAsia"/>
          <w:lang w:val="zh-CN" w:eastAsia="zh-CN"/>
        </w:rPr>
        <w:t>此</w:t>
      </w:r>
      <w:r w:rsidR="00A7249B" w:rsidRPr="00E31B46">
        <w:rPr>
          <w:lang w:val="zh-CN" w:eastAsia="zh-CN"/>
        </w:rPr>
        <w:t>部分旨在强调先进技术和</w:t>
      </w:r>
      <w:r w:rsidR="00A7249B" w:rsidRPr="00E31B46">
        <w:rPr>
          <w:lang w:eastAsia="zh-CN"/>
        </w:rPr>
        <w:t>ITU-T</w:t>
      </w:r>
      <w:r w:rsidR="00A7249B" w:rsidRPr="00E31B46">
        <w:rPr>
          <w:lang w:val="zh-CN" w:eastAsia="zh-CN"/>
        </w:rPr>
        <w:t>当前的标准化工作</w:t>
      </w:r>
      <w:r>
        <w:rPr>
          <w:rFonts w:hint="eastAsia"/>
          <w:lang w:val="zh-CN" w:eastAsia="zh-CN"/>
        </w:rPr>
        <w:t>。</w:t>
      </w:r>
    </w:p>
    <w:p w:rsidR="00A7249B" w:rsidRPr="0047716E" w:rsidRDefault="00B27655" w:rsidP="009E722D">
      <w:pPr>
        <w:adjustRightInd/>
        <w:rPr>
          <w:lang w:eastAsia="zh-CN"/>
        </w:rPr>
      </w:pPr>
      <w:r>
        <w:rPr>
          <w:rFonts w:hint="eastAsia"/>
          <w:lang w:eastAsia="zh-CN"/>
        </w:rPr>
        <w:t>6</w:t>
      </w:r>
      <w:r w:rsidR="00A7249B" w:rsidRPr="0047716E">
        <w:rPr>
          <w:lang w:eastAsia="zh-CN"/>
        </w:rPr>
        <w:tab/>
      </w:r>
      <w:r w:rsidR="00A7249B" w:rsidRPr="0047716E">
        <w:rPr>
          <w:lang w:val="zh-CN" w:eastAsia="zh-CN"/>
        </w:rPr>
        <w:t>活动</w:t>
      </w:r>
      <w:r w:rsidR="00F715CA">
        <w:rPr>
          <w:rFonts w:hint="eastAsia"/>
          <w:lang w:val="zh-CN" w:eastAsia="zh-CN"/>
        </w:rPr>
        <w:t>向</w:t>
      </w:r>
      <w:r w:rsidR="002B7D9C" w:rsidRPr="0047716E">
        <w:rPr>
          <w:lang w:val="zh-CN" w:eastAsia="zh-CN"/>
        </w:rPr>
        <w:t>国际电联成员国</w:t>
      </w:r>
      <w:r w:rsidR="002B7D9C" w:rsidRPr="0047716E">
        <w:rPr>
          <w:rFonts w:hint="eastAsia"/>
          <w:lang w:val="zh-CN" w:eastAsia="zh-CN"/>
        </w:rPr>
        <w:t>的</w:t>
      </w:r>
      <w:r>
        <w:rPr>
          <w:rFonts w:hint="eastAsia"/>
          <w:lang w:val="zh-CN" w:eastAsia="zh-CN"/>
        </w:rPr>
        <w:t>所有</w:t>
      </w:r>
      <w:r w:rsidR="00A7249B" w:rsidRPr="0047716E">
        <w:rPr>
          <w:lang w:eastAsia="zh-CN"/>
        </w:rPr>
        <w:t>ICT</w:t>
      </w:r>
      <w:r>
        <w:rPr>
          <w:rFonts w:hint="eastAsia"/>
          <w:lang w:eastAsia="zh-CN"/>
        </w:rPr>
        <w:t>参与</w:t>
      </w:r>
      <w:r w:rsidR="00A7249B" w:rsidRPr="0047716E">
        <w:rPr>
          <w:lang w:eastAsia="zh-CN"/>
        </w:rPr>
        <w:t>方</w:t>
      </w:r>
      <w:r w:rsidR="00A7249B" w:rsidRPr="0047716E">
        <w:rPr>
          <w:lang w:val="zh-CN" w:eastAsia="zh-CN"/>
        </w:rPr>
        <w:t>开放</w:t>
      </w:r>
      <w:r w:rsidR="00A7249B" w:rsidRPr="0047716E">
        <w:rPr>
          <w:lang w:eastAsia="zh-CN"/>
        </w:rPr>
        <w:t>，其中</w:t>
      </w:r>
      <w:r w:rsidR="00A7249B" w:rsidRPr="0047716E">
        <w:rPr>
          <w:lang w:val="zh-CN" w:eastAsia="zh-CN"/>
        </w:rPr>
        <w:t>包括厂商</w:t>
      </w:r>
      <w:r w:rsidR="00A7249B" w:rsidRPr="0047716E">
        <w:rPr>
          <w:lang w:eastAsia="zh-CN"/>
        </w:rPr>
        <w:t>、</w:t>
      </w:r>
      <w:r w:rsidR="00A7249B" w:rsidRPr="0047716E">
        <w:rPr>
          <w:lang w:val="zh-CN" w:eastAsia="zh-CN"/>
        </w:rPr>
        <w:t>运营商</w:t>
      </w:r>
      <w:r w:rsidR="00A7249B" w:rsidRPr="0047716E">
        <w:rPr>
          <w:lang w:eastAsia="zh-CN"/>
        </w:rPr>
        <w:t>、</w:t>
      </w:r>
      <w:r>
        <w:rPr>
          <w:rFonts w:hint="eastAsia"/>
          <w:lang w:eastAsia="zh-CN"/>
        </w:rPr>
        <w:t>科</w:t>
      </w:r>
      <w:r>
        <w:rPr>
          <w:rFonts w:hint="eastAsia"/>
          <w:lang w:val="zh-CN" w:eastAsia="zh-CN"/>
        </w:rPr>
        <w:t>研</w:t>
      </w:r>
      <w:r w:rsidR="002B7D9C" w:rsidRPr="0047716E">
        <w:rPr>
          <w:rFonts w:hint="eastAsia"/>
          <w:lang w:val="zh-CN" w:eastAsia="zh-CN"/>
        </w:rPr>
        <w:t>机构及</w:t>
      </w:r>
      <w:r w:rsidR="00F715CA">
        <w:rPr>
          <w:rFonts w:hint="eastAsia"/>
          <w:lang w:val="zh-CN" w:eastAsia="zh-CN"/>
        </w:rPr>
        <w:t>学术成员</w:t>
      </w:r>
      <w:r w:rsidR="00A7249B" w:rsidRPr="0047716E">
        <w:rPr>
          <w:lang w:val="zh-CN" w:eastAsia="zh-CN"/>
        </w:rPr>
        <w:t>。参与</w:t>
      </w:r>
      <w:r>
        <w:rPr>
          <w:rFonts w:hint="eastAsia"/>
          <w:lang w:val="zh-CN" w:eastAsia="zh-CN"/>
        </w:rPr>
        <w:t>此活动</w:t>
      </w:r>
      <w:r w:rsidR="00A7249B" w:rsidRPr="0047716E">
        <w:rPr>
          <w:lang w:val="zh-CN" w:eastAsia="zh-CN"/>
        </w:rPr>
        <w:t>测试的</w:t>
      </w:r>
      <w:r w:rsidR="00AC2013" w:rsidRPr="009E722D">
        <w:rPr>
          <w:b/>
          <w:bCs/>
          <w:lang w:val="zh-CN" w:eastAsia="zh-CN"/>
        </w:rPr>
        <w:t>费</w:t>
      </w:r>
      <w:r w:rsidR="00AC2013" w:rsidRPr="009E722D">
        <w:rPr>
          <w:rFonts w:hint="eastAsia"/>
          <w:b/>
          <w:bCs/>
          <w:lang w:val="zh-CN" w:eastAsia="zh-CN"/>
        </w:rPr>
        <w:t>用</w:t>
      </w:r>
      <w:r w:rsidR="00AC2013">
        <w:rPr>
          <w:rFonts w:hint="eastAsia"/>
          <w:lang w:val="zh-CN" w:eastAsia="zh-CN"/>
        </w:rPr>
        <w:t>为每个组织</w:t>
      </w:r>
      <w:r w:rsidRPr="00AC2013">
        <w:rPr>
          <w:rFonts w:hint="eastAsia"/>
          <w:b/>
          <w:bCs/>
          <w:lang w:val="zh-CN" w:eastAsia="zh-CN"/>
        </w:rPr>
        <w:t>1</w:t>
      </w:r>
      <w:r w:rsidR="009E722D">
        <w:rPr>
          <w:b/>
          <w:bCs/>
          <w:lang w:val="en-US" w:eastAsia="zh-CN"/>
        </w:rPr>
        <w:t> </w:t>
      </w:r>
      <w:r w:rsidRPr="00AC2013">
        <w:rPr>
          <w:rFonts w:hint="eastAsia"/>
          <w:b/>
          <w:bCs/>
          <w:lang w:val="zh-CN" w:eastAsia="zh-CN"/>
        </w:rPr>
        <w:t>0</w:t>
      </w:r>
      <w:r w:rsidR="00A7249B" w:rsidRPr="00AC2013">
        <w:rPr>
          <w:b/>
          <w:bCs/>
          <w:lang w:eastAsia="zh-CN"/>
        </w:rPr>
        <w:t>00</w:t>
      </w:r>
      <w:r w:rsidRPr="00AC2013">
        <w:rPr>
          <w:rFonts w:hint="eastAsia"/>
          <w:b/>
          <w:bCs/>
          <w:lang w:val="zh-CN" w:eastAsia="zh-CN"/>
        </w:rPr>
        <w:t>瑞郎</w:t>
      </w:r>
      <w:r w:rsidR="00AC2013">
        <w:rPr>
          <w:rFonts w:hint="eastAsia"/>
          <w:lang w:val="zh-CN" w:eastAsia="zh-CN"/>
        </w:rPr>
        <w:t>。此费用涵盖计划今后在国际电联总部举办的两项</w:t>
      </w:r>
      <w:r w:rsidR="00AC2013">
        <w:rPr>
          <w:rFonts w:cstheme="majorBidi"/>
          <w:szCs w:val="24"/>
          <w:lang w:eastAsia="zh-CN"/>
        </w:rPr>
        <w:t>ITU IPTV</w:t>
      </w:r>
      <w:r w:rsidR="00AC2013">
        <w:rPr>
          <w:rFonts w:cstheme="majorBidi" w:hint="eastAsia"/>
          <w:szCs w:val="24"/>
          <w:lang w:eastAsia="zh-CN"/>
        </w:rPr>
        <w:t>测试活动的参与费用。国际电联的学术成员将免予收费。参加</w:t>
      </w:r>
      <w:r w:rsidR="00AC2013" w:rsidRPr="0047716E">
        <w:rPr>
          <w:rFonts w:ascii="SimSun" w:hAnsi="SimSun" w:cs="SimSun" w:hint="eastAsia"/>
          <w:color w:val="222222"/>
          <w:lang w:eastAsia="zh-CN"/>
        </w:rPr>
        <w:t>展示活动</w:t>
      </w:r>
      <w:r w:rsidR="00AC2013">
        <w:rPr>
          <w:rFonts w:ascii="SimSun" w:hAnsi="SimSun" w:cs="SimSun" w:hint="eastAsia"/>
          <w:color w:val="222222"/>
          <w:lang w:eastAsia="zh-CN"/>
        </w:rPr>
        <w:t>时如果</w:t>
      </w:r>
      <w:r w:rsidR="00AC2013">
        <w:rPr>
          <w:rFonts w:cstheme="majorBidi" w:hint="eastAsia"/>
          <w:szCs w:val="24"/>
          <w:lang w:eastAsia="zh-CN"/>
        </w:rPr>
        <w:t>既是展商又为观众则可免费</w:t>
      </w:r>
      <w:r w:rsidR="009E722D">
        <w:rPr>
          <w:rFonts w:cstheme="majorBidi" w:hint="eastAsia"/>
          <w:szCs w:val="24"/>
          <w:lang w:eastAsia="zh-CN"/>
        </w:rPr>
        <w:t>，</w:t>
      </w:r>
      <w:r w:rsidR="00AC2013">
        <w:rPr>
          <w:rFonts w:cstheme="majorBidi" w:hint="eastAsia"/>
          <w:szCs w:val="24"/>
          <w:lang w:eastAsia="zh-CN"/>
        </w:rPr>
        <w:t>但不提供与会补贴。</w:t>
      </w:r>
      <w:r w:rsidR="00AC2013">
        <w:rPr>
          <w:rFonts w:hint="eastAsia"/>
          <w:lang w:val="zh-CN" w:eastAsia="zh-CN"/>
        </w:rPr>
        <w:t>进一步的信息将</w:t>
      </w:r>
      <w:r w:rsidR="00AC2013" w:rsidRPr="0047716E">
        <w:rPr>
          <w:rFonts w:hint="eastAsia"/>
          <w:lang w:val="zh-CN" w:eastAsia="zh-CN"/>
        </w:rPr>
        <w:t>在以下活动网站提供</w:t>
      </w:r>
      <w:r w:rsidR="00AC2013" w:rsidRPr="0047716E">
        <w:rPr>
          <w:rFonts w:hint="eastAsia"/>
          <w:lang w:eastAsia="zh-CN"/>
        </w:rPr>
        <w:t>：</w:t>
      </w:r>
      <w:hyperlink r:id="rId12" w:history="1">
        <w:r w:rsidR="00AC2013">
          <w:rPr>
            <w:rStyle w:val="Hyperlink"/>
            <w:lang w:eastAsia="zh-CN"/>
          </w:rPr>
          <w:t>http://www.itu.int/en/ITU-T/C-I/interop/Pages/IPTV201510.aspx</w:t>
        </w:r>
      </w:hyperlink>
      <w:r w:rsidR="00AC2013" w:rsidRPr="0047716E">
        <w:rPr>
          <w:rFonts w:ascii="SimSun" w:hAnsi="SimSun" w:cs="SimSun" w:hint="eastAsia"/>
          <w:color w:val="222222"/>
          <w:lang w:eastAsia="zh-CN"/>
        </w:rPr>
        <w:t>。</w:t>
      </w:r>
    </w:p>
    <w:p w:rsidR="00A7249B" w:rsidRDefault="00F715CA" w:rsidP="009E722D">
      <w:pPr>
        <w:adjustRightInd/>
        <w:rPr>
          <w:lang w:eastAsia="zh-CN"/>
        </w:rPr>
      </w:pPr>
      <w:r>
        <w:rPr>
          <w:rFonts w:hint="eastAsia"/>
          <w:lang w:eastAsia="zh-CN"/>
        </w:rPr>
        <w:t>7</w:t>
      </w:r>
      <w:r w:rsidR="006C0FA3" w:rsidRPr="0047716E">
        <w:rPr>
          <w:lang w:eastAsia="zh-CN"/>
        </w:rPr>
        <w:tab/>
      </w:r>
      <w:r w:rsidR="00A7249B" w:rsidRPr="00973520">
        <w:rPr>
          <w:b/>
          <w:bCs/>
          <w:lang w:eastAsia="zh-CN"/>
        </w:rPr>
        <w:t>注册</w:t>
      </w:r>
      <w:r w:rsidR="00A7249B" w:rsidRPr="00973520">
        <w:rPr>
          <w:lang w:eastAsia="zh-CN"/>
        </w:rPr>
        <w:t>：为</w:t>
      </w:r>
      <w:r w:rsidR="00732968">
        <w:rPr>
          <w:rFonts w:hint="eastAsia"/>
          <w:lang w:eastAsia="zh-CN"/>
        </w:rPr>
        <w:t>方便电信标准化局</w:t>
      </w:r>
      <w:r w:rsidR="00732968">
        <w:rPr>
          <w:lang w:eastAsia="zh-CN"/>
        </w:rPr>
        <w:t>就活动的组织做出必要安排，</w:t>
      </w:r>
      <w:r w:rsidR="00A7249B" w:rsidRPr="00973520">
        <w:rPr>
          <w:lang w:eastAsia="zh-CN"/>
        </w:rPr>
        <w:t>请</w:t>
      </w:r>
      <w:r w:rsidR="00732968">
        <w:rPr>
          <w:rFonts w:hint="eastAsia"/>
          <w:lang w:eastAsia="zh-CN"/>
        </w:rPr>
        <w:t>您</w:t>
      </w:r>
      <w:r w:rsidR="00A7249B" w:rsidRPr="00973520">
        <w:rPr>
          <w:lang w:eastAsia="zh-CN"/>
        </w:rPr>
        <w:t>尽快</w:t>
      </w:r>
      <w:r w:rsidR="00A7249B" w:rsidRPr="009E722D">
        <w:rPr>
          <w:lang w:eastAsia="zh-CN"/>
        </w:rPr>
        <w:t>但</w:t>
      </w:r>
      <w:r w:rsidR="00A7249B" w:rsidRPr="009E722D">
        <w:rPr>
          <w:b/>
          <w:bCs/>
          <w:lang w:eastAsia="zh-CN"/>
        </w:rPr>
        <w:t>不迟于</w:t>
      </w:r>
      <w:r w:rsidR="00A7249B" w:rsidRPr="009E722D">
        <w:rPr>
          <w:b/>
          <w:bCs/>
          <w:lang w:eastAsia="zh-CN"/>
        </w:rPr>
        <w:t>201</w:t>
      </w:r>
      <w:r w:rsidR="006C0FA3" w:rsidRPr="009E722D">
        <w:rPr>
          <w:rFonts w:hint="eastAsia"/>
          <w:b/>
          <w:bCs/>
          <w:lang w:eastAsia="zh-CN"/>
        </w:rPr>
        <w:t>5</w:t>
      </w:r>
      <w:r w:rsidR="00A7249B" w:rsidRPr="009E722D">
        <w:rPr>
          <w:b/>
          <w:bCs/>
          <w:lang w:eastAsia="zh-CN"/>
        </w:rPr>
        <w:t>年</w:t>
      </w:r>
      <w:r w:rsidR="00732968" w:rsidRPr="009E722D">
        <w:rPr>
          <w:rFonts w:hint="eastAsia"/>
          <w:b/>
          <w:bCs/>
          <w:lang w:eastAsia="zh-CN"/>
        </w:rPr>
        <w:t>9</w:t>
      </w:r>
      <w:r w:rsidR="00A7249B" w:rsidRPr="009E722D">
        <w:rPr>
          <w:b/>
          <w:bCs/>
          <w:lang w:eastAsia="zh-CN"/>
        </w:rPr>
        <w:t>月</w:t>
      </w:r>
      <w:r w:rsidR="00732968" w:rsidRPr="009E722D">
        <w:rPr>
          <w:rFonts w:hint="eastAsia"/>
          <w:b/>
          <w:bCs/>
          <w:lang w:eastAsia="zh-CN"/>
        </w:rPr>
        <w:t>30</w:t>
      </w:r>
      <w:r w:rsidR="00A7249B" w:rsidRPr="009E722D">
        <w:rPr>
          <w:b/>
          <w:bCs/>
          <w:lang w:eastAsia="zh-CN"/>
        </w:rPr>
        <w:t>日</w:t>
      </w:r>
      <w:r w:rsidR="00732968">
        <w:rPr>
          <w:rFonts w:hint="eastAsia"/>
          <w:lang w:eastAsia="zh-CN"/>
        </w:rPr>
        <w:t>在网上</w:t>
      </w:r>
      <w:r w:rsidR="00A7249B" w:rsidRPr="00973520">
        <w:rPr>
          <w:lang w:eastAsia="zh-CN"/>
        </w:rPr>
        <w:t>注册：</w:t>
      </w:r>
      <w:hyperlink r:id="rId13" w:history="1">
        <w:r w:rsidR="005D0520">
          <w:rPr>
            <w:rStyle w:val="Hyperlink"/>
          </w:rPr>
          <w:t>http://www.itu.int/en/ITU-T/C-I/interop/Pages/IPTV201510.aspx</w:t>
        </w:r>
      </w:hyperlink>
      <w:r w:rsidR="00A7249B" w:rsidRPr="00973520">
        <w:rPr>
          <w:rFonts w:hint="eastAsia"/>
          <w:lang w:eastAsia="zh-CN"/>
        </w:rPr>
        <w:t>。</w:t>
      </w:r>
    </w:p>
    <w:p w:rsidR="00F715CA" w:rsidRDefault="00F715CA" w:rsidP="009E722D">
      <w:pPr>
        <w:tabs>
          <w:tab w:val="left" w:pos="1418"/>
          <w:tab w:val="left" w:pos="1702"/>
          <w:tab w:val="left" w:pos="2160"/>
        </w:tabs>
        <w:spacing w:before="100" w:after="20"/>
        <w:ind w:right="92"/>
        <w:jc w:val="both"/>
        <w:rPr>
          <w:lang w:eastAsia="zh-CN"/>
        </w:rPr>
      </w:pPr>
      <w:r>
        <w:rPr>
          <w:rFonts w:hint="eastAsia"/>
          <w:lang w:eastAsia="zh-CN"/>
        </w:rPr>
        <w:t>8</w:t>
      </w:r>
      <w:r>
        <w:rPr>
          <w:rFonts w:hint="eastAsia"/>
          <w:lang w:eastAsia="zh-CN"/>
        </w:rPr>
        <w:tab/>
      </w:r>
      <w:r w:rsidR="005D0520">
        <w:rPr>
          <w:rFonts w:hint="eastAsia"/>
          <w:lang w:eastAsia="zh-CN"/>
        </w:rPr>
        <w:t>我</w:t>
      </w:r>
      <w:r>
        <w:rPr>
          <w:rFonts w:hint="eastAsia"/>
          <w:lang w:val="fr-CH" w:eastAsia="zh-CN"/>
        </w:rPr>
        <w:t>谨</w:t>
      </w:r>
      <w:r>
        <w:rPr>
          <w:rFonts w:hint="eastAsia"/>
          <w:lang w:eastAsia="zh-CN"/>
        </w:rPr>
        <w:t>在此提醒您，一些国家的公民需要获得签证才能入境瑞士并在此逗留。</w:t>
      </w:r>
      <w:r>
        <w:rPr>
          <w:rFonts w:hint="eastAsia"/>
          <w:b/>
          <w:lang w:eastAsia="zh-CN"/>
        </w:rPr>
        <w:t>签证必须至少在会议召开日的四（</w:t>
      </w:r>
      <w:r>
        <w:rPr>
          <w:b/>
          <w:lang w:eastAsia="zh-CN"/>
        </w:rPr>
        <w:t>4</w:t>
      </w:r>
      <w:r>
        <w:rPr>
          <w:rFonts w:hint="eastAsia"/>
          <w:b/>
          <w:lang w:eastAsia="zh-CN"/>
        </w:rPr>
        <w:t>）个星期前</w:t>
      </w:r>
      <w:r w:rsidRPr="00D34402">
        <w:rPr>
          <w:rFonts w:hint="eastAsia"/>
          <w:bCs/>
          <w:lang w:eastAsia="zh-CN"/>
        </w:rPr>
        <w:t>向驻贵国的瑞士代表机构（使馆或领事馆）</w:t>
      </w:r>
      <w:r>
        <w:rPr>
          <w:rFonts w:hint="eastAsia"/>
          <w:b/>
          <w:lang w:eastAsia="zh-CN"/>
        </w:rPr>
        <w:t>申请，</w:t>
      </w:r>
      <w:r w:rsidRPr="00D34402">
        <w:rPr>
          <w:rFonts w:hint="eastAsia"/>
          <w:bCs/>
          <w:lang w:eastAsia="zh-CN"/>
        </w:rPr>
        <w:t>并随后领取</w:t>
      </w:r>
      <w:r>
        <w:rPr>
          <w:rFonts w:hint="eastAsia"/>
          <w:bCs/>
          <w:lang w:eastAsia="zh-CN"/>
        </w:rPr>
        <w:t>。</w:t>
      </w:r>
      <w:r>
        <w:rPr>
          <w:rFonts w:hint="eastAsia"/>
          <w:lang w:eastAsia="zh-CN"/>
        </w:rPr>
        <w:t>如贵国没有此类机构，则请向驻离贵国最近的国家的此类机构申请并领取。</w:t>
      </w:r>
    </w:p>
    <w:p w:rsidR="00F715CA" w:rsidRDefault="00F715CA" w:rsidP="009E722D">
      <w:pPr>
        <w:tabs>
          <w:tab w:val="left" w:pos="1418"/>
          <w:tab w:val="left" w:pos="1702"/>
          <w:tab w:val="left" w:pos="2160"/>
        </w:tabs>
        <w:spacing w:before="100" w:after="20"/>
        <w:ind w:right="92" w:firstLineChars="200" w:firstLine="480"/>
        <w:jc w:val="both"/>
        <w:rPr>
          <w:lang w:val="en-US" w:eastAsia="zh-CN"/>
        </w:rPr>
      </w:pPr>
      <w:r>
        <w:rPr>
          <w:rFonts w:hint="eastAsia"/>
          <w:szCs w:val="23"/>
          <w:lang w:eastAsia="zh-CN"/>
        </w:rPr>
        <w:t>如果</w:t>
      </w:r>
      <w:r>
        <w:rPr>
          <w:rFonts w:hint="eastAsia"/>
          <w:b/>
          <w:bCs/>
          <w:lang w:eastAsia="zh-CN"/>
        </w:rPr>
        <w:t>国际电联成员国、部门成员、部门准成员或学术成员</w:t>
      </w:r>
      <w:r>
        <w:rPr>
          <w:rFonts w:hint="eastAsia"/>
          <w:szCs w:val="23"/>
          <w:lang w:eastAsia="zh-CN"/>
        </w:rPr>
        <w:t>遇到了问题，国际电联可根据他们向电信标准化局提出的正式请求与相关瑞士当局接触，</w:t>
      </w:r>
      <w:r>
        <w:rPr>
          <w:rFonts w:hint="eastAsia"/>
          <w:lang w:eastAsia="zh-CN"/>
        </w:rPr>
        <w:t>以便为发放签证提供方便，但仅限于在所述的</w:t>
      </w:r>
      <w:r>
        <w:rPr>
          <w:rFonts w:hint="eastAsia"/>
          <w:b/>
          <w:bCs/>
          <w:lang w:eastAsia="zh-CN"/>
        </w:rPr>
        <w:t>四</w:t>
      </w:r>
      <w:r>
        <w:rPr>
          <w:rFonts w:hint="eastAsia"/>
          <w:lang w:eastAsia="zh-CN"/>
        </w:rPr>
        <w:t>个星期内办理。此类请求必须</w:t>
      </w:r>
      <w:r>
        <w:rPr>
          <w:rFonts w:hint="eastAsia"/>
          <w:szCs w:val="24"/>
          <w:lang w:eastAsia="zh-CN"/>
        </w:rPr>
        <w:t>通过您所代表的主管部门或公司发出的正式信函提出。该函必须</w:t>
      </w:r>
      <w:r>
        <w:rPr>
          <w:rFonts w:hint="eastAsia"/>
          <w:lang w:eastAsia="zh-CN"/>
        </w:rPr>
        <w:t>说明申请签证人员的姓名和职务、出生日期、护照号码以及护照颁发日期和截止日期，并需附有一份经</w:t>
      </w:r>
      <w:r>
        <w:rPr>
          <w:spacing w:val="-10"/>
          <w:szCs w:val="24"/>
          <w:lang w:eastAsia="zh-CN"/>
        </w:rPr>
        <w:t>ITU-T</w:t>
      </w:r>
      <w:r>
        <w:rPr>
          <w:rFonts w:hint="eastAsia"/>
          <w:lang w:eastAsia="zh-CN"/>
        </w:rPr>
        <w:t>所述讲习班批准的注册确认通知，而且必须通过传真（传真号码：</w:t>
      </w:r>
      <w:r>
        <w:rPr>
          <w:lang w:eastAsia="zh-CN"/>
        </w:rPr>
        <w:t>+41 22 730 5853</w:t>
      </w:r>
      <w:r>
        <w:rPr>
          <w:rFonts w:hint="eastAsia"/>
          <w:lang w:eastAsia="zh-CN"/>
        </w:rPr>
        <w:t>）或电子邮件（</w:t>
      </w:r>
      <w:hyperlink r:id="rId14" w:history="1">
        <w:r>
          <w:rPr>
            <w:rStyle w:val="Hyperlink"/>
            <w:lang w:eastAsia="zh-CN"/>
          </w:rPr>
          <w:t>tsbreg@itu.int</w:t>
        </w:r>
      </w:hyperlink>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r>
        <w:rPr>
          <w:rFonts w:hint="eastAsia"/>
          <w:b/>
          <w:bCs/>
          <w:szCs w:val="23"/>
          <w:u w:val="single"/>
          <w:lang w:eastAsia="zh-CN"/>
        </w:rPr>
        <w:t>另请注意，国际电联仅能向国际电联成员国、国际电联部门成员、国际电联部门准成员和</w:t>
      </w:r>
      <w:r w:rsidR="00732968">
        <w:rPr>
          <w:rFonts w:hint="eastAsia"/>
          <w:b/>
          <w:bCs/>
          <w:szCs w:val="23"/>
          <w:u w:val="single"/>
          <w:lang w:eastAsia="zh-CN"/>
        </w:rPr>
        <w:t>国际电联</w:t>
      </w:r>
      <w:r>
        <w:rPr>
          <w:rFonts w:hint="eastAsia"/>
          <w:b/>
          <w:bCs/>
          <w:szCs w:val="23"/>
          <w:u w:val="single"/>
          <w:lang w:eastAsia="zh-CN"/>
        </w:rPr>
        <w:t>学术成员的代表提供</w:t>
      </w:r>
      <w:r w:rsidR="009E722D">
        <w:rPr>
          <w:b/>
          <w:bCs/>
          <w:szCs w:val="23"/>
          <w:u w:val="single"/>
          <w:lang w:eastAsia="zh-CN"/>
        </w:rPr>
        <w:t>协</w:t>
      </w:r>
      <w:r>
        <w:rPr>
          <w:rFonts w:hint="eastAsia"/>
          <w:b/>
          <w:bCs/>
          <w:szCs w:val="23"/>
          <w:u w:val="single"/>
          <w:lang w:eastAsia="zh-CN"/>
        </w:rPr>
        <w:t>助。</w:t>
      </w:r>
    </w:p>
    <w:p w:rsidR="00F715CA" w:rsidRDefault="00F715CA" w:rsidP="009E722D">
      <w:pPr>
        <w:spacing w:before="240"/>
        <w:ind w:firstLineChars="200" w:firstLine="480"/>
        <w:rPr>
          <w:lang w:val="en-US" w:eastAsia="zh-CN"/>
        </w:rPr>
      </w:pPr>
      <w:bookmarkStart w:id="2" w:name="_GoBack"/>
      <w:bookmarkEnd w:id="2"/>
      <w:r>
        <w:rPr>
          <w:rFonts w:hint="eastAsia"/>
          <w:lang w:eastAsia="zh-CN"/>
        </w:rPr>
        <w:t>顺致敬意</w:t>
      </w:r>
      <w:r>
        <w:rPr>
          <w:lang w:val="en-US" w:eastAsia="zh-CN"/>
        </w:rPr>
        <w:t>!</w:t>
      </w:r>
    </w:p>
    <w:p w:rsidR="00F715CA" w:rsidRDefault="00F715CA" w:rsidP="009E722D">
      <w:pPr>
        <w:spacing w:before="1200"/>
        <w:rPr>
          <w:lang w:eastAsia="zh-CN"/>
        </w:rPr>
      </w:pPr>
      <w:r>
        <w:rPr>
          <w:rFonts w:hint="eastAsia"/>
          <w:lang w:eastAsia="zh-CN"/>
        </w:rPr>
        <w:t>电信标准化局主任</w:t>
      </w:r>
      <w:r>
        <w:rPr>
          <w:lang w:eastAsia="zh-CN"/>
        </w:rPr>
        <w:br/>
      </w:r>
      <w:r>
        <w:rPr>
          <w:rFonts w:hint="eastAsia"/>
          <w:lang w:eastAsia="zh-CN"/>
        </w:rPr>
        <w:t>李在摄</w:t>
      </w:r>
    </w:p>
    <w:sectPr w:rsidR="00F715CA" w:rsidSect="005149DE">
      <w:headerReference w:type="default" r:id="rId15"/>
      <w:footerReference w:type="default" r:id="rId16"/>
      <w:footerReference w:type="first" r:id="rId17"/>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A7" w:rsidRDefault="00330AA7">
      <w:r>
        <w:separator/>
      </w:r>
    </w:p>
  </w:endnote>
  <w:endnote w:type="continuationSeparator" w:id="0">
    <w:p w:rsidR="00330AA7" w:rsidRDefault="003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Futura L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20" w:rsidRPr="004062B7" w:rsidRDefault="004062B7" w:rsidP="004062B7">
    <w:pPr>
      <w:pStyle w:val="Footer"/>
      <w:rPr>
        <w:sz w:val="16"/>
        <w:lang w:val="fr-CH"/>
      </w:rPr>
    </w:pPr>
    <w:r w:rsidRPr="004062B7">
      <w:rPr>
        <w:sz w:val="16"/>
        <w:szCs w:val="16"/>
        <w:lang w:val="fr-CH"/>
      </w:rPr>
      <w:t>TU-T\BUREAU\CIRC\172</w:t>
    </w:r>
    <w:r>
      <w:rPr>
        <w:sz w:val="16"/>
        <w:szCs w:val="16"/>
        <w:lang w:val="fr-CH"/>
      </w:rPr>
      <w:t>C</w:t>
    </w:r>
    <w:r w:rsidRPr="004062B7">
      <w:rPr>
        <w:sz w:val="16"/>
        <w:szCs w:val="16"/>
        <w:lang w:val="fr-CH"/>
      </w:rPr>
      <w:t>.DOC</w:t>
    </w:r>
    <w:r w:rsidR="00583077" w:rsidRPr="004062B7">
      <w:rPr>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20" w:rsidRPr="009E722D" w:rsidRDefault="009E722D" w:rsidP="009E722D">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A7" w:rsidRDefault="00330AA7">
      <w:r>
        <w:separator/>
      </w:r>
    </w:p>
  </w:footnote>
  <w:footnote w:type="continuationSeparator" w:id="0">
    <w:p w:rsidR="00330AA7" w:rsidRDefault="00330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20" w:rsidRDefault="005D0520" w:rsidP="0047716E">
    <w:pPr>
      <w:pStyle w:val="Header"/>
      <w:rPr>
        <w:sz w:val="18"/>
        <w:szCs w:val="18"/>
      </w:rPr>
    </w:pPr>
    <w:r>
      <w:rPr>
        <w:sz w:val="18"/>
        <w:szCs w:val="18"/>
        <w:lang w:val="en-US"/>
      </w:rPr>
      <w:t xml:space="preserve">- </w:t>
    </w:r>
    <w:r w:rsidRPr="00DF2821">
      <w:rPr>
        <w:sz w:val="18"/>
        <w:szCs w:val="18"/>
      </w:rPr>
      <w:fldChar w:fldCharType="begin"/>
    </w:r>
    <w:r w:rsidRPr="00DF2821">
      <w:rPr>
        <w:sz w:val="18"/>
        <w:szCs w:val="18"/>
      </w:rPr>
      <w:instrText>PAGE</w:instrText>
    </w:r>
    <w:r w:rsidRPr="00DF2821">
      <w:rPr>
        <w:sz w:val="18"/>
        <w:szCs w:val="18"/>
      </w:rPr>
      <w:fldChar w:fldCharType="separate"/>
    </w:r>
    <w:r w:rsidR="00661F1B">
      <w:rPr>
        <w:noProof/>
        <w:sz w:val="18"/>
        <w:szCs w:val="18"/>
      </w:rPr>
      <w:t>2</w:t>
    </w:r>
    <w:r w:rsidRPr="00DF2821">
      <w:rPr>
        <w:sz w:val="18"/>
        <w:szCs w:val="18"/>
      </w:rPr>
      <w:fldChar w:fldCharType="end"/>
    </w:r>
    <w:r>
      <w:rPr>
        <w:sz w:val="18"/>
        <w:szCs w:val="18"/>
      </w:rPr>
      <w:t xml:space="preserve"> -</w:t>
    </w:r>
  </w:p>
  <w:p w:rsidR="009E722D" w:rsidRPr="0047716E" w:rsidRDefault="009E722D" w:rsidP="00477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80D"/>
    <w:multiLevelType w:val="hybridMultilevel"/>
    <w:tmpl w:val="AC12ABC2"/>
    <w:lvl w:ilvl="0" w:tplc="FE8E218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E6A7C2B"/>
    <w:multiLevelType w:val="hybridMultilevel"/>
    <w:tmpl w:val="C50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94375"/>
    <w:multiLevelType w:val="hybridMultilevel"/>
    <w:tmpl w:val="02EC72D8"/>
    <w:lvl w:ilvl="0" w:tplc="FE8E2182">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4" w15:restartNumberingAfterBreak="0">
    <w:nsid w:val="246E3E12"/>
    <w:multiLevelType w:val="hybridMultilevel"/>
    <w:tmpl w:val="D2BABFB8"/>
    <w:lvl w:ilvl="0" w:tplc="C9381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B4B55"/>
    <w:multiLevelType w:val="hybridMultilevel"/>
    <w:tmpl w:val="6FAA51A6"/>
    <w:lvl w:ilvl="0" w:tplc="3F089A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D11DA"/>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34303"/>
    <w:rsid w:val="00072C4C"/>
    <w:rsid w:val="000776E5"/>
    <w:rsid w:val="00081BA5"/>
    <w:rsid w:val="00082938"/>
    <w:rsid w:val="00090E72"/>
    <w:rsid w:val="00094C0B"/>
    <w:rsid w:val="000A2484"/>
    <w:rsid w:val="000A6A3A"/>
    <w:rsid w:val="000C02AE"/>
    <w:rsid w:val="000C4F7A"/>
    <w:rsid w:val="000D1DA5"/>
    <w:rsid w:val="000D205A"/>
    <w:rsid w:val="000E2EFE"/>
    <w:rsid w:val="000F67FA"/>
    <w:rsid w:val="000F7CEA"/>
    <w:rsid w:val="00113BC0"/>
    <w:rsid w:val="001154A8"/>
    <w:rsid w:val="00117471"/>
    <w:rsid w:val="00124A1E"/>
    <w:rsid w:val="0012558E"/>
    <w:rsid w:val="00143253"/>
    <w:rsid w:val="00160A43"/>
    <w:rsid w:val="001973C8"/>
    <w:rsid w:val="001D6E70"/>
    <w:rsid w:val="001D737E"/>
    <w:rsid w:val="001E6C28"/>
    <w:rsid w:val="00204823"/>
    <w:rsid w:val="00210C1D"/>
    <w:rsid w:val="002217BC"/>
    <w:rsid w:val="002255DE"/>
    <w:rsid w:val="00227FB0"/>
    <w:rsid w:val="002331F8"/>
    <w:rsid w:val="00234A9B"/>
    <w:rsid w:val="002466F4"/>
    <w:rsid w:val="00267EEF"/>
    <w:rsid w:val="00272B42"/>
    <w:rsid w:val="00277235"/>
    <w:rsid w:val="00282732"/>
    <w:rsid w:val="002837B9"/>
    <w:rsid w:val="00284869"/>
    <w:rsid w:val="0028751B"/>
    <w:rsid w:val="002A22D4"/>
    <w:rsid w:val="002A47E8"/>
    <w:rsid w:val="002A653A"/>
    <w:rsid w:val="002B71E7"/>
    <w:rsid w:val="002B7D9C"/>
    <w:rsid w:val="002C631B"/>
    <w:rsid w:val="002D3D14"/>
    <w:rsid w:val="002E05E3"/>
    <w:rsid w:val="002E6F22"/>
    <w:rsid w:val="003036BC"/>
    <w:rsid w:val="00303A2A"/>
    <w:rsid w:val="003062D0"/>
    <w:rsid w:val="003064AD"/>
    <w:rsid w:val="00313DAE"/>
    <w:rsid w:val="00330AA7"/>
    <w:rsid w:val="00334A24"/>
    <w:rsid w:val="00343E77"/>
    <w:rsid w:val="0035674D"/>
    <w:rsid w:val="00363F72"/>
    <w:rsid w:val="00372530"/>
    <w:rsid w:val="0038372D"/>
    <w:rsid w:val="00386D3F"/>
    <w:rsid w:val="003B2CB1"/>
    <w:rsid w:val="003B3FAC"/>
    <w:rsid w:val="003F1CCA"/>
    <w:rsid w:val="003F27BD"/>
    <w:rsid w:val="004062B7"/>
    <w:rsid w:val="00422060"/>
    <w:rsid w:val="00464015"/>
    <w:rsid w:val="0046665B"/>
    <w:rsid w:val="004731F5"/>
    <w:rsid w:val="0047716E"/>
    <w:rsid w:val="00481991"/>
    <w:rsid w:val="00481B30"/>
    <w:rsid w:val="00486359"/>
    <w:rsid w:val="004921E1"/>
    <w:rsid w:val="0049488D"/>
    <w:rsid w:val="00494C67"/>
    <w:rsid w:val="004F0EAF"/>
    <w:rsid w:val="004F3FC7"/>
    <w:rsid w:val="004F72BB"/>
    <w:rsid w:val="00501FC4"/>
    <w:rsid w:val="005149DE"/>
    <w:rsid w:val="00533EE6"/>
    <w:rsid w:val="005476D3"/>
    <w:rsid w:val="00551186"/>
    <w:rsid w:val="00553A60"/>
    <w:rsid w:val="00561B75"/>
    <w:rsid w:val="0057420A"/>
    <w:rsid w:val="00583077"/>
    <w:rsid w:val="00590119"/>
    <w:rsid w:val="00594CFE"/>
    <w:rsid w:val="00595FA2"/>
    <w:rsid w:val="00597BE4"/>
    <w:rsid w:val="005B44B0"/>
    <w:rsid w:val="005C26FD"/>
    <w:rsid w:val="005D0520"/>
    <w:rsid w:val="005D5A45"/>
    <w:rsid w:val="005F0821"/>
    <w:rsid w:val="00621618"/>
    <w:rsid w:val="00627AE8"/>
    <w:rsid w:val="0063445E"/>
    <w:rsid w:val="00661F1B"/>
    <w:rsid w:val="006A10A9"/>
    <w:rsid w:val="006A6022"/>
    <w:rsid w:val="006A6F92"/>
    <w:rsid w:val="006B463C"/>
    <w:rsid w:val="006C0FA3"/>
    <w:rsid w:val="006C5799"/>
    <w:rsid w:val="006D22B1"/>
    <w:rsid w:val="006D42C6"/>
    <w:rsid w:val="006E512A"/>
    <w:rsid w:val="006F469D"/>
    <w:rsid w:val="00732968"/>
    <w:rsid w:val="00733B98"/>
    <w:rsid w:val="00747EAE"/>
    <w:rsid w:val="00751578"/>
    <w:rsid w:val="00752AE3"/>
    <w:rsid w:val="00752C9E"/>
    <w:rsid w:val="007568DA"/>
    <w:rsid w:val="007A1E12"/>
    <w:rsid w:val="007A4CF9"/>
    <w:rsid w:val="007E6AE2"/>
    <w:rsid w:val="007E6F35"/>
    <w:rsid w:val="00823393"/>
    <w:rsid w:val="00841612"/>
    <w:rsid w:val="0084436D"/>
    <w:rsid w:val="008504BA"/>
    <w:rsid w:val="00854D34"/>
    <w:rsid w:val="00866744"/>
    <w:rsid w:val="0087102F"/>
    <w:rsid w:val="008B2BDA"/>
    <w:rsid w:val="00906E8C"/>
    <w:rsid w:val="009128F1"/>
    <w:rsid w:val="00924188"/>
    <w:rsid w:val="00925255"/>
    <w:rsid w:val="0093619D"/>
    <w:rsid w:val="009424FC"/>
    <w:rsid w:val="00956C56"/>
    <w:rsid w:val="00956D38"/>
    <w:rsid w:val="009727EA"/>
    <w:rsid w:val="00973520"/>
    <w:rsid w:val="00974486"/>
    <w:rsid w:val="009A49D6"/>
    <w:rsid w:val="009A513F"/>
    <w:rsid w:val="009C2FF6"/>
    <w:rsid w:val="009D173C"/>
    <w:rsid w:val="009D3253"/>
    <w:rsid w:val="009E2379"/>
    <w:rsid w:val="009E5F17"/>
    <w:rsid w:val="009E722D"/>
    <w:rsid w:val="00A1090D"/>
    <w:rsid w:val="00A16AB0"/>
    <w:rsid w:val="00A25576"/>
    <w:rsid w:val="00A504DB"/>
    <w:rsid w:val="00A556CF"/>
    <w:rsid w:val="00A55D76"/>
    <w:rsid w:val="00A7249B"/>
    <w:rsid w:val="00A85FAD"/>
    <w:rsid w:val="00A903D4"/>
    <w:rsid w:val="00AA35BE"/>
    <w:rsid w:val="00AC148C"/>
    <w:rsid w:val="00AC2013"/>
    <w:rsid w:val="00AC79FD"/>
    <w:rsid w:val="00AE1D7D"/>
    <w:rsid w:val="00AE479C"/>
    <w:rsid w:val="00B01F79"/>
    <w:rsid w:val="00B235FA"/>
    <w:rsid w:val="00B27655"/>
    <w:rsid w:val="00B27F3C"/>
    <w:rsid w:val="00B33117"/>
    <w:rsid w:val="00B50E18"/>
    <w:rsid w:val="00B56B75"/>
    <w:rsid w:val="00B66649"/>
    <w:rsid w:val="00B826CD"/>
    <w:rsid w:val="00B9194C"/>
    <w:rsid w:val="00B946CA"/>
    <w:rsid w:val="00B9729F"/>
    <w:rsid w:val="00BA46C8"/>
    <w:rsid w:val="00BB5392"/>
    <w:rsid w:val="00BC7AEE"/>
    <w:rsid w:val="00BD100F"/>
    <w:rsid w:val="00BD6499"/>
    <w:rsid w:val="00BE31D6"/>
    <w:rsid w:val="00BE339D"/>
    <w:rsid w:val="00BE49E3"/>
    <w:rsid w:val="00C03E87"/>
    <w:rsid w:val="00C04472"/>
    <w:rsid w:val="00C1340F"/>
    <w:rsid w:val="00C22768"/>
    <w:rsid w:val="00C42A15"/>
    <w:rsid w:val="00C55DE8"/>
    <w:rsid w:val="00C6016A"/>
    <w:rsid w:val="00C65B69"/>
    <w:rsid w:val="00C7008A"/>
    <w:rsid w:val="00C916ED"/>
    <w:rsid w:val="00CB0A60"/>
    <w:rsid w:val="00CF2CEE"/>
    <w:rsid w:val="00D0193F"/>
    <w:rsid w:val="00D04D27"/>
    <w:rsid w:val="00D05C2D"/>
    <w:rsid w:val="00D153D8"/>
    <w:rsid w:val="00D16F47"/>
    <w:rsid w:val="00D17037"/>
    <w:rsid w:val="00D34402"/>
    <w:rsid w:val="00D34F86"/>
    <w:rsid w:val="00D54F3F"/>
    <w:rsid w:val="00D61807"/>
    <w:rsid w:val="00D63234"/>
    <w:rsid w:val="00D92EE2"/>
    <w:rsid w:val="00DD0718"/>
    <w:rsid w:val="00DE1C1D"/>
    <w:rsid w:val="00DF2821"/>
    <w:rsid w:val="00E021ED"/>
    <w:rsid w:val="00E35907"/>
    <w:rsid w:val="00E41E39"/>
    <w:rsid w:val="00E47AFF"/>
    <w:rsid w:val="00E65F9A"/>
    <w:rsid w:val="00E94A00"/>
    <w:rsid w:val="00E972A8"/>
    <w:rsid w:val="00EB6547"/>
    <w:rsid w:val="00EC52D2"/>
    <w:rsid w:val="00EE0B16"/>
    <w:rsid w:val="00EF41E0"/>
    <w:rsid w:val="00F07A3C"/>
    <w:rsid w:val="00F1605C"/>
    <w:rsid w:val="00F2245E"/>
    <w:rsid w:val="00F304AF"/>
    <w:rsid w:val="00F346AB"/>
    <w:rsid w:val="00F432DB"/>
    <w:rsid w:val="00F444AC"/>
    <w:rsid w:val="00F715CA"/>
    <w:rsid w:val="00F9383A"/>
    <w:rsid w:val="00FA494C"/>
    <w:rsid w:val="00FA5998"/>
    <w:rsid w:val="00FA7DA6"/>
    <w:rsid w:val="00FC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28B7D3-D7D7-4097-9D63-A619D4F8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99"/>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uiPriority w:val="99"/>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character" w:customStyle="1" w:styleId="shorttext">
    <w:name w:val="short_text"/>
    <w:basedOn w:val="DefaultParagraphFont"/>
    <w:rsid w:val="00A7249B"/>
  </w:style>
  <w:style w:type="character" w:customStyle="1" w:styleId="st1">
    <w:name w:val="st1"/>
    <w:basedOn w:val="DefaultParagraphFont"/>
    <w:rsid w:val="0075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0894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18114902">
      <w:bodyDiv w:val="1"/>
      <w:marLeft w:val="0"/>
      <w:marRight w:val="0"/>
      <w:marTop w:val="0"/>
      <w:marBottom w:val="0"/>
      <w:divBdr>
        <w:top w:val="none" w:sz="0" w:space="0" w:color="auto"/>
        <w:left w:val="none" w:sz="0" w:space="0" w:color="auto"/>
        <w:bottom w:val="none" w:sz="0" w:space="0" w:color="auto"/>
        <w:right w:val="none" w:sz="0" w:space="0" w:color="auto"/>
      </w:divBdr>
    </w:div>
    <w:div w:id="1099981953">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IPTV201510.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C-I/interop/Pages/IPTV201510.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cdb/ConformityDB.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terop@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E57F9-84E4-4B36-B4EA-DC47A58F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2302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Aveline, Marion</cp:lastModifiedBy>
  <cp:revision>6</cp:revision>
  <cp:lastPrinted>2015-09-18T14:16:00Z</cp:lastPrinted>
  <dcterms:created xsi:type="dcterms:W3CDTF">2015-09-18T14:14:00Z</dcterms:created>
  <dcterms:modified xsi:type="dcterms:W3CDTF">2015-09-18T14:23:00Z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