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1B1D07F0" w14:textId="77777777" w:rsidTr="00C27BD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872C8E3" w14:textId="77777777" w:rsidR="00803ACB" w:rsidRPr="009A54D9" w:rsidRDefault="00803ACB" w:rsidP="00803ACB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B2769B" wp14:editId="4A7CE9D5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469196DD" w14:textId="77777777" w:rsidR="00C27BDB" w:rsidRDefault="00C27BDB" w:rsidP="00C27BD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A55736D" w14:textId="77777777" w:rsidR="00803ACB" w:rsidRPr="00C27BDB" w:rsidRDefault="00C27BDB" w:rsidP="00C27BDB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1B39FFF5" w14:textId="77777777" w:rsidR="00803ACB" w:rsidRPr="00F50108" w:rsidRDefault="00803ACB" w:rsidP="00803A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235BD5" wp14:editId="2886D0D9">
                  <wp:extent cx="1181100" cy="885598"/>
                  <wp:effectExtent l="0" t="0" r="0" b="0"/>
                  <wp:docPr id="6" name="Picture 6" title="ITU logo - 150th birthday - 1865 -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C9867FF" w14:textId="77777777" w:rsidTr="00D63425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3C642ED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802558A" w14:textId="17D66CF3" w:rsidR="000305E1" w:rsidRDefault="00162032" w:rsidP="009529A8">
            <w:pPr>
              <w:pStyle w:val="Tabletext"/>
              <w:spacing w:before="240" w:after="120"/>
            </w:pPr>
            <w:r>
              <w:t xml:space="preserve">Geneva, </w:t>
            </w:r>
            <w:r w:rsidR="009529A8">
              <w:t>20</w:t>
            </w:r>
            <w:r w:rsidR="00727746">
              <w:t xml:space="preserve"> July 2015</w:t>
            </w:r>
          </w:p>
        </w:tc>
      </w:tr>
      <w:tr w:rsidR="00C27BDB" w14:paraId="7790F341" w14:textId="77777777" w:rsidTr="00C27BDB">
        <w:trPr>
          <w:cantSplit/>
          <w:trHeight w:val="835"/>
        </w:trPr>
        <w:tc>
          <w:tcPr>
            <w:tcW w:w="1134" w:type="dxa"/>
          </w:tcPr>
          <w:p w14:paraId="7DDA8BCF" w14:textId="77777777" w:rsidR="00C27BDB" w:rsidRPr="00F36AC4" w:rsidRDefault="00C27BDB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44326CE0" w14:textId="77777777" w:rsidR="00C27BDB" w:rsidRPr="000305E1" w:rsidRDefault="00C27BDB" w:rsidP="00727746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727746">
              <w:rPr>
                <w:b/>
                <w:bCs/>
              </w:rPr>
              <w:t>163</w:t>
            </w:r>
          </w:p>
          <w:p w14:paraId="5D879DC6" w14:textId="40408013" w:rsidR="00C27BDB" w:rsidRPr="00F36AC4" w:rsidRDefault="00C27BDB" w:rsidP="00727746">
            <w:pPr>
              <w:pStyle w:val="Tabletext"/>
            </w:pPr>
          </w:p>
        </w:tc>
        <w:tc>
          <w:tcPr>
            <w:tcW w:w="4394" w:type="dxa"/>
            <w:gridSpan w:val="2"/>
            <w:vMerge w:val="restart"/>
          </w:tcPr>
          <w:p w14:paraId="36BC8AF3" w14:textId="77777777" w:rsidR="00727746" w:rsidRDefault="00727746" w:rsidP="00727746">
            <w:pPr>
              <w:pStyle w:val="BDTDistributionEmdash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To:</w:t>
            </w:r>
          </w:p>
          <w:p w14:paraId="7A2B53D5" w14:textId="489E6A68" w:rsidR="00727746" w:rsidRPr="00AC67A3" w:rsidRDefault="00727746" w:rsidP="00727746">
            <w:pPr>
              <w:pStyle w:val="BDTDistributionEmdash"/>
              <w:numPr>
                <w:ilvl w:val="0"/>
                <w:numId w:val="12"/>
              </w:numPr>
              <w:tabs>
                <w:tab w:val="left" w:pos="720"/>
              </w:tabs>
              <w:spacing w:before="0" w:after="0"/>
              <w:ind w:left="357" w:hanging="357"/>
              <w:rPr>
                <w:rFonts w:asciiTheme="minorHAnsi" w:hAnsiTheme="minorHAnsi" w:cs="Traditional Arabic"/>
                <w:sz w:val="24"/>
                <w:szCs w:val="24"/>
              </w:rPr>
            </w:pPr>
            <w:r w:rsidRPr="00AC67A3">
              <w:rPr>
                <w:rFonts w:asciiTheme="minorHAnsi" w:hAnsiTheme="minorHAnsi"/>
                <w:sz w:val="24"/>
                <w:szCs w:val="24"/>
              </w:rPr>
              <w:t>Administrations of Member States</w:t>
            </w:r>
            <w:r w:rsidR="00AC67A3" w:rsidRPr="00AC67A3">
              <w:rPr>
                <w:rFonts w:asciiTheme="minorHAnsi" w:hAnsiTheme="minorHAnsi"/>
                <w:sz w:val="24"/>
                <w:szCs w:val="24"/>
              </w:rPr>
              <w:t xml:space="preserve"> of the Union</w:t>
            </w:r>
            <w:r w:rsidRPr="00AC67A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6B2FD074" w14:textId="3FCF37EA" w:rsidR="00AC67A3" w:rsidRPr="00AC67A3" w:rsidRDefault="00AC67A3" w:rsidP="00AC67A3">
            <w:pPr>
              <w:pStyle w:val="BDTDistributionEmdash"/>
              <w:numPr>
                <w:ilvl w:val="0"/>
                <w:numId w:val="12"/>
              </w:numPr>
              <w:tabs>
                <w:tab w:val="left" w:pos="720"/>
              </w:tabs>
              <w:spacing w:before="0" w:after="0"/>
              <w:ind w:left="357" w:hanging="357"/>
              <w:rPr>
                <w:rFonts w:asciiTheme="minorHAnsi" w:hAnsiTheme="minorHAnsi"/>
                <w:sz w:val="24"/>
                <w:szCs w:val="24"/>
              </w:rPr>
            </w:pPr>
            <w:r w:rsidRPr="00AC67A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ITU-T </w:t>
            </w:r>
            <w:r w:rsidRPr="00AC67A3">
              <w:rPr>
                <w:rFonts w:asciiTheme="minorHAnsi" w:hAnsiTheme="minorHAnsi"/>
                <w:sz w:val="24"/>
                <w:szCs w:val="24"/>
              </w:rPr>
              <w:t>Sector Members</w:t>
            </w:r>
            <w:r w:rsidR="00F2145C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55A4026F" w14:textId="59540E34" w:rsidR="00AC67A3" w:rsidRPr="00AC67A3" w:rsidRDefault="00AC67A3" w:rsidP="00AC67A3">
            <w:pPr>
              <w:pStyle w:val="BDTDistributionEmdash"/>
              <w:numPr>
                <w:ilvl w:val="0"/>
                <w:numId w:val="12"/>
              </w:numPr>
              <w:tabs>
                <w:tab w:val="left" w:pos="720"/>
              </w:tabs>
              <w:spacing w:before="0" w:after="0"/>
              <w:ind w:left="357" w:hanging="357"/>
              <w:rPr>
                <w:rFonts w:asciiTheme="minorHAnsi" w:hAnsiTheme="minorHAnsi"/>
                <w:sz w:val="24"/>
                <w:szCs w:val="24"/>
              </w:rPr>
            </w:pPr>
            <w:r w:rsidRPr="00AC67A3">
              <w:rPr>
                <w:rFonts w:asciiTheme="minorHAnsi" w:hAnsiTheme="minorHAnsi"/>
                <w:sz w:val="24"/>
                <w:szCs w:val="24"/>
                <w:lang w:val="fr-CH"/>
              </w:rPr>
              <w:t>ITU-T SG3 Associates</w:t>
            </w:r>
            <w:r w:rsidR="00F2145C">
              <w:rPr>
                <w:rFonts w:asciiTheme="minorHAnsi" w:hAnsiTheme="minorHAnsi"/>
                <w:sz w:val="24"/>
                <w:szCs w:val="24"/>
                <w:lang w:val="fr-CH"/>
              </w:rPr>
              <w:t>;</w:t>
            </w:r>
          </w:p>
          <w:p w14:paraId="6B3BFE20" w14:textId="1051D8A1" w:rsidR="00A80ADF" w:rsidRPr="00D17F16" w:rsidRDefault="00AC67A3" w:rsidP="00AC67A3">
            <w:pPr>
              <w:pStyle w:val="BDTDistributionEmdash"/>
              <w:numPr>
                <w:ilvl w:val="0"/>
                <w:numId w:val="12"/>
              </w:numPr>
              <w:tabs>
                <w:tab w:val="left" w:pos="720"/>
              </w:tabs>
              <w:spacing w:before="0" w:after="0"/>
              <w:ind w:left="357" w:hanging="357"/>
              <w:rPr>
                <w:rFonts w:asciiTheme="minorHAnsi" w:hAnsiTheme="minorHAnsi"/>
                <w:szCs w:val="22"/>
              </w:rPr>
            </w:pPr>
            <w:r w:rsidRPr="00AC67A3">
              <w:rPr>
                <w:rFonts w:asciiTheme="minorHAnsi" w:hAnsiTheme="minorHAnsi"/>
                <w:sz w:val="24"/>
                <w:szCs w:val="24"/>
                <w:lang w:val="fr-CH"/>
              </w:rPr>
              <w:t>ITU Academia</w:t>
            </w:r>
            <w:r w:rsidRPr="00AC67A3">
              <w:rPr>
                <w:rFonts w:asciiTheme="minorHAnsi" w:hAnsiTheme="minorHAnsi"/>
                <w:szCs w:val="22"/>
                <w:lang w:val="fr-CH"/>
              </w:rPr>
              <w:t xml:space="preserve"> </w:t>
            </w:r>
          </w:p>
        </w:tc>
      </w:tr>
      <w:bookmarkEnd w:id="1"/>
      <w:tr w:rsidR="00951309" w14:paraId="01ABA453" w14:textId="77777777" w:rsidTr="00D63425">
        <w:trPr>
          <w:cantSplit/>
          <w:trHeight w:val="221"/>
        </w:trPr>
        <w:tc>
          <w:tcPr>
            <w:tcW w:w="1134" w:type="dxa"/>
          </w:tcPr>
          <w:p w14:paraId="0ED0F888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01DB2CE3" w14:textId="77777777" w:rsidR="00951309" w:rsidRPr="00F36AC4" w:rsidRDefault="00951309" w:rsidP="00727746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727746">
              <w:t>5884</w:t>
            </w:r>
          </w:p>
        </w:tc>
        <w:tc>
          <w:tcPr>
            <w:tcW w:w="4394" w:type="dxa"/>
            <w:gridSpan w:val="2"/>
            <w:vMerge/>
          </w:tcPr>
          <w:p w14:paraId="5055ABC6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012B0DD" w14:textId="77777777" w:rsidTr="00D63425">
        <w:trPr>
          <w:cantSplit/>
          <w:trHeight w:val="282"/>
        </w:trPr>
        <w:tc>
          <w:tcPr>
            <w:tcW w:w="1134" w:type="dxa"/>
          </w:tcPr>
          <w:p w14:paraId="30CBC305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14055982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C478DAB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35C4B513" w14:textId="77777777" w:rsidTr="00695793">
        <w:trPr>
          <w:cantSplit/>
          <w:trHeight w:val="362"/>
        </w:trPr>
        <w:tc>
          <w:tcPr>
            <w:tcW w:w="1134" w:type="dxa"/>
          </w:tcPr>
          <w:p w14:paraId="7817DCA8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46791915" w14:textId="3092F1C5" w:rsidR="00951309" w:rsidRPr="00F36AC4" w:rsidRDefault="00AC67A3" w:rsidP="00727746">
            <w:pPr>
              <w:pStyle w:val="Tabletext"/>
            </w:pPr>
            <w:hyperlink r:id="rId10" w:history="1">
              <w:r w:rsidRPr="00951D23">
                <w:rPr>
                  <w:rStyle w:val="Hyperlink"/>
                </w:rPr>
                <w:t>tsbworkshops@itu.int</w:t>
              </w:r>
            </w:hyperlink>
            <w:r>
              <w:t xml:space="preserve"> </w:t>
            </w:r>
            <w:r w:rsidR="00777BBA">
              <w:t xml:space="preserve"> </w:t>
            </w:r>
          </w:p>
        </w:tc>
        <w:tc>
          <w:tcPr>
            <w:tcW w:w="4394" w:type="dxa"/>
            <w:gridSpan w:val="2"/>
          </w:tcPr>
          <w:p w14:paraId="2EC424CE" w14:textId="77777777" w:rsidR="00951309" w:rsidRDefault="00951309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</w:p>
        </w:tc>
      </w:tr>
      <w:tr w:rsidR="00951309" w:rsidRPr="009B6449" w14:paraId="629CB31B" w14:textId="77777777" w:rsidTr="00D63425">
        <w:trPr>
          <w:cantSplit/>
          <w:trHeight w:val="80"/>
        </w:trPr>
        <w:tc>
          <w:tcPr>
            <w:tcW w:w="1134" w:type="dxa"/>
          </w:tcPr>
          <w:p w14:paraId="56636342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3DE3AE26" w14:textId="43CD59CF" w:rsidR="00951309" w:rsidRPr="009B6449" w:rsidRDefault="00727746" w:rsidP="001E2C2C">
            <w:pPr>
              <w:pStyle w:val="Tabletext"/>
            </w:pPr>
            <w:r w:rsidRPr="006F137F">
              <w:rPr>
                <w:b/>
                <w:bCs/>
              </w:rPr>
              <w:t>LET’S ROAM THE WORLD:</w:t>
            </w:r>
            <w:r>
              <w:rPr>
                <w:b/>
                <w:bCs/>
              </w:rPr>
              <w:t xml:space="preserve"> </w:t>
            </w:r>
            <w:r w:rsidRPr="006F137F">
              <w:rPr>
                <w:b/>
                <w:bCs/>
              </w:rPr>
              <w:t>The ITU Global Strategic Dialogue on International Mobile Roaming</w:t>
            </w:r>
            <w:r w:rsidR="001E2C2C">
              <w:rPr>
                <w:b/>
                <w:bCs/>
              </w:rPr>
              <w:t>;</w:t>
            </w:r>
            <w:r w:rsidR="001E2C2C" w:rsidRPr="006F137F">
              <w:rPr>
                <w:b/>
                <w:bCs/>
              </w:rPr>
              <w:t xml:space="preserve"> </w:t>
            </w:r>
            <w:r w:rsidRPr="006F137F">
              <w:rPr>
                <w:b/>
                <w:bCs/>
              </w:rPr>
              <w:t>Geneva, Switzerland, 18 September 2015</w:t>
            </w:r>
          </w:p>
        </w:tc>
      </w:tr>
    </w:tbl>
    <w:p w14:paraId="309001B4" w14:textId="4318F7A7" w:rsidR="00727746" w:rsidRPr="00033D0B" w:rsidRDefault="00727746" w:rsidP="00033D0B">
      <w:pPr>
        <w:pStyle w:val="BDTOpening"/>
        <w:spacing w:after="120"/>
        <w:jc w:val="both"/>
        <w:rPr>
          <w:sz w:val="24"/>
          <w:szCs w:val="24"/>
        </w:rPr>
      </w:pPr>
      <w:bookmarkStart w:id="2" w:name="StartTyping_E"/>
      <w:bookmarkEnd w:id="2"/>
      <w:r w:rsidRPr="00033D0B">
        <w:rPr>
          <w:sz w:val="24"/>
          <w:szCs w:val="24"/>
        </w:rPr>
        <w:t>Dear Sir/Madam</w:t>
      </w:r>
    </w:p>
    <w:p w14:paraId="1F9E29A3" w14:textId="05B2DC8A" w:rsidR="00727746" w:rsidRDefault="00727746" w:rsidP="00033D0B">
      <w:pPr>
        <w:spacing w:beforeLines="50"/>
        <w:jc w:val="both"/>
      </w:pPr>
      <w:r w:rsidRPr="00FF022D">
        <w:t xml:space="preserve">As part of the </w:t>
      </w:r>
      <w:hyperlink r:id="rId11" w:history="1">
        <w:r w:rsidRPr="00FF022D">
          <w:rPr>
            <w:rStyle w:val="Hyperlink"/>
            <w:rFonts w:cs="Traditional Arabic"/>
          </w:rPr>
          <w:t>ITU’s 150</w:t>
        </w:r>
        <w:r w:rsidRPr="00FF022D">
          <w:rPr>
            <w:rStyle w:val="Hyperlink"/>
            <w:rFonts w:cs="Traditional Arabic"/>
            <w:vertAlign w:val="superscript"/>
          </w:rPr>
          <w:t>th</w:t>
        </w:r>
        <w:r w:rsidRPr="00FF022D">
          <w:rPr>
            <w:rStyle w:val="Hyperlink"/>
            <w:rFonts w:cs="Traditional Arabic"/>
          </w:rPr>
          <w:t xml:space="preserve"> Anniversary celebrations</w:t>
        </w:r>
      </w:hyperlink>
      <w:r w:rsidRPr="00FF022D">
        <w:t>,</w:t>
      </w:r>
      <w:r>
        <w:t xml:space="preserve"> and further to the invitation by the Director of the Telecommunication Development Bureau, Mr</w:t>
      </w:r>
      <w:r w:rsidR="00033D0B">
        <w:t xml:space="preserve"> </w:t>
      </w:r>
      <w:r>
        <w:t xml:space="preserve">Brahima Sanou </w:t>
      </w:r>
      <w:r w:rsidRPr="001C6289">
        <w:t>(</w:t>
      </w:r>
      <w:hyperlink r:id="rId12" w:history="1">
        <w:r w:rsidRPr="001C6289">
          <w:rPr>
            <w:rStyle w:val="Hyperlink"/>
          </w:rPr>
          <w:t>DM/058</w:t>
        </w:r>
      </w:hyperlink>
      <w:r w:rsidRPr="001C6289">
        <w:t>),</w:t>
      </w:r>
      <w:r w:rsidRPr="00FF022D">
        <w:t xml:space="preserve"> </w:t>
      </w:r>
      <w:r>
        <w:t>I am pleased to</w:t>
      </w:r>
      <w:r w:rsidRPr="00236672">
        <w:t xml:space="preserve"> invite you </w:t>
      </w:r>
      <w:r>
        <w:t xml:space="preserve">to participate in the inaugural </w:t>
      </w:r>
      <w:r w:rsidRPr="006F137F">
        <w:rPr>
          <w:b/>
        </w:rPr>
        <w:t>LET’S ROAM THE WORLD: The ITU Global Strategic Dialogue on International Mobile Roaming</w:t>
      </w:r>
      <w:r>
        <w:rPr>
          <w:b/>
        </w:rPr>
        <w:t xml:space="preserve"> (IMR</w:t>
      </w:r>
      <w:r w:rsidRPr="00F80F4D">
        <w:rPr>
          <w:b/>
        </w:rPr>
        <w:t>)</w:t>
      </w:r>
      <w:r w:rsidRPr="00F80F4D">
        <w:t>, organized by the International Telecommunication Union</w:t>
      </w:r>
      <w:r>
        <w:t xml:space="preserve"> to take place at ITU Headquarters, Geneva, Switzerland, on 18 September 2015 in conjunction with the annual meeting of the ITU-D Study Groups (Study Group 2 on 7-11 September and Study Group 1 on 14-18 September) and back-to-back with the Mobile Ro</w:t>
      </w:r>
      <w:r w:rsidR="00B2396D">
        <w:t xml:space="preserve">aming Rapporteur Group Meeting </w:t>
      </w:r>
      <w:r>
        <w:t>of ITU-T Study Group 3 (16-17 September).</w:t>
      </w:r>
    </w:p>
    <w:p w14:paraId="11B0247D" w14:textId="0767B0C2" w:rsidR="00727746" w:rsidRDefault="00727746" w:rsidP="001E2C2C">
      <w:pPr>
        <w:spacing w:beforeLines="80" w:before="192"/>
        <w:jc w:val="both"/>
      </w:pPr>
      <w:r>
        <w:t>This Strategic Dialogue will provide participants with the opportunity to engage with internationally renowned experts and pane</w:t>
      </w:r>
      <w:r w:rsidR="001E2C2C">
        <w:t>l</w:t>
      </w:r>
      <w:r>
        <w:t xml:space="preserve">lists, exchange views and experiences and identify common approaches to respond efficiently to the challenges of IMR. </w:t>
      </w:r>
    </w:p>
    <w:p w14:paraId="521E9A94" w14:textId="5A2D160F" w:rsidR="00777BBA" w:rsidRDefault="00777BBA" w:rsidP="00D71B6D">
      <w:pPr>
        <w:spacing w:beforeLines="80" w:before="192"/>
        <w:jc w:val="both"/>
        <w:rPr>
          <w:bCs/>
          <w:szCs w:val="24"/>
          <w:lang w:val="en-US"/>
        </w:rPr>
      </w:pPr>
      <w:r>
        <w:t>The</w:t>
      </w:r>
      <w:r w:rsidR="00727746">
        <w:t xml:space="preserve"> event website </w:t>
      </w:r>
      <w:hyperlink r:id="rId13" w:history="1">
        <w:r w:rsidR="00727746" w:rsidRPr="00DE5696">
          <w:rPr>
            <w:rStyle w:val="Hyperlink"/>
          </w:rPr>
          <w:t>www.itu.int/roaming-dialogue15</w:t>
        </w:r>
      </w:hyperlink>
      <w:r>
        <w:t xml:space="preserve"> contains information on the programme, registration, </w:t>
      </w:r>
      <w:r w:rsidR="00727746">
        <w:t xml:space="preserve">accommodation, </w:t>
      </w:r>
      <w:r w:rsidR="00727746" w:rsidRPr="00E730C1">
        <w:rPr>
          <w:bCs/>
        </w:rPr>
        <w:t>Geneva hotels offering preferential ITU rates</w:t>
      </w:r>
      <w:r w:rsidR="00727746">
        <w:t xml:space="preserve">, visa and </w:t>
      </w:r>
      <w:r>
        <w:t xml:space="preserve">other </w:t>
      </w:r>
      <w:r w:rsidR="00727746">
        <w:t>practical information</w:t>
      </w:r>
      <w:r>
        <w:t xml:space="preserve">. </w:t>
      </w:r>
      <w:r w:rsidR="00727746">
        <w:t>P</w:t>
      </w:r>
      <w:r w:rsidR="00727746" w:rsidRPr="005D2172">
        <w:t xml:space="preserve">lease note that participants shall </w:t>
      </w:r>
      <w:r w:rsidR="00727746">
        <w:t xml:space="preserve">cover </w:t>
      </w:r>
      <w:r w:rsidR="00727746" w:rsidRPr="005D2172">
        <w:t>their own travel and accommodation expenses.</w:t>
      </w:r>
      <w:r w:rsidR="00727746">
        <w:t xml:space="preserve"> </w:t>
      </w:r>
      <w:r>
        <w:t xml:space="preserve">Registration will be carried out exclusively </w:t>
      </w:r>
      <w:r w:rsidRPr="0026723F">
        <w:t>online via the ITU website</w:t>
      </w:r>
      <w:r>
        <w:t xml:space="preserve">. </w:t>
      </w:r>
    </w:p>
    <w:p w14:paraId="6C57B2E8" w14:textId="7A3B7C4C" w:rsidR="00727746" w:rsidRDefault="00727746" w:rsidP="00AC67A3">
      <w:pPr>
        <w:spacing w:before="100" w:beforeAutospacing="1"/>
        <w:rPr>
          <w:szCs w:val="24"/>
          <w:lang w:val="en-US"/>
        </w:rPr>
      </w:pPr>
      <w:proofErr w:type="spellStart"/>
      <w:r w:rsidRPr="00BD5025">
        <w:rPr>
          <w:bCs/>
          <w:szCs w:val="24"/>
          <w:lang w:val="en-US"/>
        </w:rPr>
        <w:t>Ms</w:t>
      </w:r>
      <w:proofErr w:type="spellEnd"/>
      <w:r w:rsidRPr="00BD5025">
        <w:rPr>
          <w:bCs/>
          <w:szCs w:val="24"/>
          <w:lang w:val="en-US"/>
        </w:rPr>
        <w:t xml:space="preserve"> Lara Srivastava is at your disposal for any further information you may require</w:t>
      </w:r>
      <w:r w:rsidR="008C7AB9">
        <w:rPr>
          <w:bCs/>
          <w:szCs w:val="24"/>
          <w:lang w:val="en-US"/>
        </w:rPr>
        <w:br/>
      </w:r>
      <w:r w:rsidRPr="00BD5025">
        <w:rPr>
          <w:bCs/>
          <w:szCs w:val="24"/>
          <w:lang w:val="en-US"/>
        </w:rPr>
        <w:t>(e</w:t>
      </w:r>
      <w:r w:rsidR="00033D0B">
        <w:rPr>
          <w:bCs/>
          <w:szCs w:val="24"/>
          <w:lang w:val="en-US"/>
        </w:rPr>
        <w:t>-</w:t>
      </w:r>
      <w:r w:rsidRPr="00BD5025">
        <w:rPr>
          <w:bCs/>
          <w:szCs w:val="24"/>
          <w:lang w:val="en-US"/>
        </w:rPr>
        <w:t>mail</w:t>
      </w:r>
      <w:r w:rsidR="00033D0B">
        <w:rPr>
          <w:bCs/>
          <w:szCs w:val="24"/>
          <w:lang w:val="en-US"/>
        </w:rPr>
        <w:t xml:space="preserve">: </w:t>
      </w:r>
      <w:hyperlink r:id="rId14" w:history="1">
        <w:r w:rsidRPr="00BD5025">
          <w:rPr>
            <w:rStyle w:val="Hyperlink"/>
            <w:szCs w:val="24"/>
            <w:lang w:val="en-US"/>
          </w:rPr>
          <w:t>lara.srivastava@itu.int</w:t>
        </w:r>
      </w:hyperlink>
      <w:r w:rsidR="00033D0B">
        <w:rPr>
          <w:szCs w:val="24"/>
          <w:lang w:val="en-US"/>
        </w:rPr>
        <w:t>, t</w:t>
      </w:r>
      <w:r w:rsidRPr="00BD5025">
        <w:rPr>
          <w:szCs w:val="24"/>
          <w:lang w:val="en-US"/>
        </w:rPr>
        <w:t>elephone: +41 22 730 5884).</w:t>
      </w:r>
    </w:p>
    <w:p w14:paraId="2E2CEFEF" w14:textId="77777777" w:rsidR="00727746" w:rsidRPr="00BD5025" w:rsidRDefault="00727746" w:rsidP="00AC67A3">
      <w:pPr>
        <w:pStyle w:val="BDTClosing"/>
        <w:spacing w:before="100" w:beforeAutospacing="1" w:after="120"/>
        <w:jc w:val="both"/>
        <w:rPr>
          <w:sz w:val="24"/>
          <w:szCs w:val="24"/>
        </w:rPr>
      </w:pPr>
      <w:r w:rsidRPr="00BD5025">
        <w:rPr>
          <w:sz w:val="24"/>
          <w:szCs w:val="24"/>
        </w:rPr>
        <w:t>Thank you for your support in making the ITU Global Strategic Dialogue on IMR a resounding success.</w:t>
      </w:r>
    </w:p>
    <w:p w14:paraId="0CFD805D" w14:textId="77777777" w:rsidR="00727746" w:rsidRPr="00BD5025" w:rsidRDefault="00727746" w:rsidP="00695793">
      <w:pPr>
        <w:spacing w:before="0" w:afterLines="40" w:after="96"/>
        <w:rPr>
          <w:szCs w:val="24"/>
          <w:lang w:eastAsia="zh-CN"/>
        </w:rPr>
      </w:pPr>
      <w:r w:rsidRPr="00BD5025">
        <w:rPr>
          <w:szCs w:val="24"/>
          <w:lang w:eastAsia="zh-CN"/>
        </w:rPr>
        <w:t>Yours faithfully,</w:t>
      </w:r>
    </w:p>
    <w:p w14:paraId="74322FC5" w14:textId="0C98AA95" w:rsidR="00727746" w:rsidRPr="00BD5025" w:rsidRDefault="00727746" w:rsidP="00727746">
      <w:pPr>
        <w:spacing w:afterLines="40" w:after="96"/>
        <w:rPr>
          <w:szCs w:val="24"/>
          <w:lang w:eastAsia="zh-CN"/>
        </w:rPr>
      </w:pPr>
      <w:bookmarkStart w:id="3" w:name="_GoBack"/>
      <w:bookmarkEnd w:id="3"/>
    </w:p>
    <w:p w14:paraId="445F9D6A" w14:textId="77777777" w:rsidR="00727746" w:rsidRPr="00BD5025" w:rsidRDefault="00727746" w:rsidP="00727746">
      <w:pPr>
        <w:spacing w:afterLines="40" w:after="96"/>
        <w:rPr>
          <w:szCs w:val="24"/>
          <w:lang w:eastAsia="zh-CN"/>
        </w:rPr>
      </w:pPr>
    </w:p>
    <w:p w14:paraId="2326C74C" w14:textId="77777777" w:rsidR="00727746" w:rsidRPr="00BD5025" w:rsidRDefault="00727746" w:rsidP="00AC67A3">
      <w:pPr>
        <w:spacing w:before="480"/>
        <w:rPr>
          <w:szCs w:val="24"/>
          <w:lang w:eastAsia="zh-CN"/>
        </w:rPr>
      </w:pPr>
      <w:r w:rsidRPr="00BD5025">
        <w:rPr>
          <w:szCs w:val="24"/>
          <w:lang w:eastAsia="zh-CN"/>
        </w:rPr>
        <w:t>Chaesub Lee</w:t>
      </w:r>
    </w:p>
    <w:p w14:paraId="21B875A5" w14:textId="77777777" w:rsidR="00727746" w:rsidRDefault="00727746" w:rsidP="00695793">
      <w:pPr>
        <w:spacing w:before="0"/>
        <w:rPr>
          <w:lang w:eastAsia="zh-CN"/>
        </w:rPr>
      </w:pPr>
      <w:r w:rsidRPr="00BD5025">
        <w:rPr>
          <w:szCs w:val="24"/>
          <w:lang w:eastAsia="zh-CN"/>
        </w:rPr>
        <w:t>Director</w:t>
      </w:r>
      <w:r w:rsidR="00695793">
        <w:rPr>
          <w:szCs w:val="24"/>
          <w:lang w:eastAsia="zh-CN"/>
        </w:rPr>
        <w:t xml:space="preserve"> of the </w:t>
      </w:r>
      <w:r w:rsidRPr="00FF022D">
        <w:rPr>
          <w:szCs w:val="22"/>
          <w:lang w:eastAsia="zh-CN"/>
        </w:rPr>
        <w:t>Telecommunication</w:t>
      </w:r>
      <w:r w:rsidR="00695793">
        <w:rPr>
          <w:szCs w:val="22"/>
          <w:lang w:eastAsia="zh-CN"/>
        </w:rPr>
        <w:br/>
      </w:r>
      <w:r w:rsidRPr="00FF022D">
        <w:rPr>
          <w:szCs w:val="22"/>
          <w:lang w:eastAsia="zh-CN"/>
        </w:rPr>
        <w:t>Standardization Bureau</w:t>
      </w:r>
    </w:p>
    <w:p w14:paraId="3C85F5E9" w14:textId="7302FE5F" w:rsidR="00727746" w:rsidRPr="00695793" w:rsidRDefault="00727746" w:rsidP="00703C89">
      <w:pPr>
        <w:spacing w:before="240"/>
        <w:rPr>
          <w:rFonts w:ascii="Calibri" w:eastAsia="SimSun" w:hAnsi="Calibri" w:cs="Traditional Arabic"/>
          <w:sz w:val="22"/>
          <w:szCs w:val="30"/>
        </w:rPr>
      </w:pPr>
      <w:r w:rsidRPr="00460EF5">
        <w:rPr>
          <w:rFonts w:eastAsia="SimHei"/>
          <w:b/>
          <w:bCs/>
        </w:rPr>
        <w:t>Annex:</w:t>
      </w:r>
      <w:r>
        <w:rPr>
          <w:rFonts w:eastAsia="SimHei"/>
        </w:rPr>
        <w:t xml:space="preserve"> </w:t>
      </w:r>
      <w:r w:rsidR="00460EF5">
        <w:rPr>
          <w:rFonts w:eastAsia="SimHei"/>
        </w:rPr>
        <w:t xml:space="preserve">1 </w:t>
      </w:r>
      <w:r>
        <w:br w:type="page"/>
      </w:r>
    </w:p>
    <w:p w14:paraId="37ED87AD" w14:textId="0F316655" w:rsidR="003551E9" w:rsidRPr="00FC5A72" w:rsidRDefault="003551E9" w:rsidP="003551E9">
      <w:pPr>
        <w:pageBreakBefore/>
        <w:jc w:val="center"/>
      </w:pPr>
      <w:r>
        <w:lastRenderedPageBreak/>
        <w:t>ANNEX 1</w:t>
      </w:r>
      <w:r>
        <w:br/>
      </w:r>
      <w:r w:rsidRPr="00FC5A72">
        <w:t xml:space="preserve">(to TSB Circular </w:t>
      </w:r>
      <w:r>
        <w:t>163</w:t>
      </w:r>
      <w:r w:rsidRPr="00FC5A72">
        <w:t>)</w:t>
      </w:r>
      <w:r w:rsidR="003C1A2E">
        <w:br/>
      </w:r>
    </w:p>
    <w:tbl>
      <w:tblPr>
        <w:tblW w:w="9888" w:type="dxa"/>
        <w:jc w:val="center"/>
        <w:tblLook w:val="04A0" w:firstRow="1" w:lastRow="0" w:firstColumn="1" w:lastColumn="0" w:noHBand="0" w:noVBand="1"/>
      </w:tblPr>
      <w:tblGrid>
        <w:gridCol w:w="1480"/>
        <w:gridCol w:w="169"/>
        <w:gridCol w:w="5700"/>
        <w:gridCol w:w="2539"/>
      </w:tblGrid>
      <w:tr w:rsidR="003551E9" w14:paraId="3F9746DE" w14:textId="77777777" w:rsidTr="00BF1AF0">
        <w:trPr>
          <w:trHeight w:val="2149"/>
          <w:jc w:val="center"/>
        </w:trPr>
        <w:tc>
          <w:tcPr>
            <w:tcW w:w="1480" w:type="dxa"/>
            <w:shd w:val="clear" w:color="auto" w:fill="auto"/>
          </w:tcPr>
          <w:p w14:paraId="763B7086" w14:textId="77777777" w:rsidR="003551E9" w:rsidRDefault="003551E9" w:rsidP="00BF1AF0">
            <w:pPr>
              <w:pStyle w:val="BodyText3"/>
              <w:spacing w:before="0" w:line="276" w:lineRule="auto"/>
              <w:jc w:val="center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A2C637" wp14:editId="129AEAEC">
                  <wp:extent cx="6762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  <w:gridSpan w:val="2"/>
            <w:shd w:val="clear" w:color="auto" w:fill="auto"/>
          </w:tcPr>
          <w:p w14:paraId="6158BD2A" w14:textId="77777777" w:rsidR="003551E9" w:rsidRPr="00764B5D" w:rsidRDefault="003551E9" w:rsidP="00BF1AF0">
            <w:pPr>
              <w:pStyle w:val="Default"/>
              <w:spacing w:before="120" w:afterLines="40" w:after="96"/>
              <w:ind w:left="1064" w:hanging="1031"/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44"/>
                <w:szCs w:val="44"/>
              </w:rPr>
            </w:pP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44"/>
                <w:szCs w:val="44"/>
              </w:rPr>
              <w:t>Let’s</w:t>
            </w:r>
            <w:r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44"/>
                <w:szCs w:val="44"/>
              </w:rPr>
              <w:t xml:space="preserve"> </w:t>
            </w: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44"/>
                <w:szCs w:val="44"/>
              </w:rPr>
              <w:t>Roam the World:</w:t>
            </w:r>
          </w:p>
          <w:p w14:paraId="245DD119" w14:textId="77777777" w:rsidR="003551E9" w:rsidRPr="00764B5D" w:rsidRDefault="003551E9" w:rsidP="00BF1AF0">
            <w:pPr>
              <w:pStyle w:val="Default"/>
              <w:spacing w:beforeLines="40" w:before="96" w:afterLines="40" w:after="96" w:line="276" w:lineRule="auto"/>
              <w:ind w:firstLine="12"/>
              <w:rPr>
                <w:rFonts w:ascii="Verdana" w:hAnsi="Verdana"/>
                <w:b/>
                <w:color w:val="2E74B5"/>
              </w:rPr>
            </w:pPr>
            <w:r w:rsidRPr="00764B5D">
              <w:rPr>
                <w:rFonts w:ascii="Verdana" w:hAnsi="Verdana"/>
                <w:b/>
                <w:color w:val="2E74B5"/>
              </w:rPr>
              <w:t xml:space="preserve">The ITU Global Strategic Dialogue on International Mobile Roaming </w:t>
            </w:r>
          </w:p>
          <w:p w14:paraId="3E2B6195" w14:textId="77777777" w:rsidR="003551E9" w:rsidRPr="00764B5D" w:rsidRDefault="003551E9" w:rsidP="00BF1AF0">
            <w:pPr>
              <w:pStyle w:val="BodyText3"/>
              <w:spacing w:before="120" w:after="120" w:line="276" w:lineRule="auto"/>
              <w:rPr>
                <w:rFonts w:ascii="Calibri" w:hAnsi="Calibri"/>
                <w:b/>
                <w:bCs/>
                <w:sz w:val="20"/>
              </w:rPr>
            </w:pPr>
            <w:r w:rsidRPr="00764B5D">
              <w:rPr>
                <w:rFonts w:ascii="Calibri" w:hAnsi="Calibri"/>
                <w:b/>
                <w:bCs/>
                <w:sz w:val="20"/>
              </w:rPr>
              <w:t>ITU Headquarters, Popov Room, ITU Tower Building</w:t>
            </w:r>
            <w:r w:rsidRPr="00764B5D">
              <w:rPr>
                <w:rFonts w:ascii="Calibri" w:hAnsi="Calibri"/>
                <w:b/>
                <w:bCs/>
                <w:sz w:val="20"/>
              </w:rPr>
              <w:br/>
              <w:t>Geneva, Switzerland, 18 September 2015</w:t>
            </w:r>
          </w:p>
          <w:p w14:paraId="214B5F22" w14:textId="77777777" w:rsidR="003551E9" w:rsidRPr="00727746" w:rsidRDefault="003551E9" w:rsidP="00BF1AF0">
            <w:pPr>
              <w:pStyle w:val="BodyText3"/>
              <w:spacing w:before="0" w:after="120" w:line="276" w:lineRule="auto"/>
              <w:rPr>
                <w:noProof/>
                <w:sz w:val="16"/>
                <w:szCs w:val="16"/>
              </w:rPr>
            </w:pPr>
            <w:r w:rsidRPr="0072774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Jointly organized by BDT and TSB</w:t>
            </w:r>
          </w:p>
        </w:tc>
        <w:tc>
          <w:tcPr>
            <w:tcW w:w="2539" w:type="dxa"/>
          </w:tcPr>
          <w:p w14:paraId="638D5232" w14:textId="77777777" w:rsidR="003551E9" w:rsidRDefault="003551E9" w:rsidP="00BF1AF0">
            <w:pPr>
              <w:pStyle w:val="Default"/>
              <w:spacing w:beforeLines="40" w:before="96" w:afterLines="40" w:after="96" w:line="276" w:lineRule="auto"/>
              <w:ind w:firstLine="12"/>
              <w:rPr>
                <w:rFonts w:ascii="Verdana" w:hAnsi="Verdana"/>
                <w:b/>
                <w:color w:val="0472CC"/>
                <w:sz w:val="28"/>
                <w:szCs w:val="28"/>
                <w:lang w:val="fr-CH"/>
              </w:rPr>
            </w:pPr>
            <w:r w:rsidRPr="00B77C04">
              <w:rPr>
                <w:noProof/>
              </w:rPr>
              <w:drawing>
                <wp:inline distT="0" distB="0" distL="0" distR="0" wp14:anchorId="5C332963" wp14:editId="31C7AA02">
                  <wp:extent cx="1466850" cy="733425"/>
                  <wp:effectExtent l="0" t="0" r="0" b="9525"/>
                  <wp:docPr id="7" name="Picture 7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1E9" w:rsidRPr="00352815" w14:paraId="2AAB7EDE" w14:textId="77777777" w:rsidTr="00BF1A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79CD7"/>
          </w:tcPr>
          <w:p w14:paraId="29869269" w14:textId="77777777" w:rsidR="003551E9" w:rsidRPr="008D3D0C" w:rsidRDefault="003551E9" w:rsidP="00BF1AF0">
            <w:pPr>
              <w:pStyle w:val="Item"/>
              <w:spacing w:beforeLines="40" w:before="96" w:afterLines="40" w:after="96"/>
              <w:jc w:val="center"/>
              <w:outlineLvl w:val="5"/>
              <w:rPr>
                <w:rFonts w:ascii="Calibri" w:hAnsi="Calibri" w:cs="Arial"/>
                <w:bCs/>
                <w:color w:val="FFFFFF"/>
                <w:sz w:val="24"/>
                <w:szCs w:val="24"/>
              </w:rPr>
            </w:pPr>
            <w:r w:rsidRPr="00C34F25">
              <w:rPr>
                <w:rFonts w:ascii="Calibri" w:hAnsi="Calibri" w:cs="Arial"/>
                <w:bCs/>
                <w:color w:val="FFFFFF"/>
                <w:sz w:val="28"/>
                <w:szCs w:val="28"/>
              </w:rPr>
              <w:t xml:space="preserve">Provisional </w:t>
            </w:r>
            <w:proofErr w:type="spellStart"/>
            <w:r w:rsidRPr="00C34F25">
              <w:rPr>
                <w:rFonts w:ascii="Calibri" w:hAnsi="Calibri" w:cs="Arial"/>
                <w:bCs/>
                <w:color w:val="FFFFFF"/>
                <w:sz w:val="28"/>
                <w:szCs w:val="28"/>
              </w:rPr>
              <w:t>Programme</w:t>
            </w:r>
            <w:proofErr w:type="spellEnd"/>
          </w:p>
        </w:tc>
      </w:tr>
      <w:tr w:rsidR="003551E9" w:rsidRPr="00352815" w14:paraId="207A5C66" w14:textId="77777777" w:rsidTr="00BF1A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cantSplit/>
          <w:trHeight w:val="1133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ED162" w14:textId="77777777" w:rsidR="003551E9" w:rsidRPr="00134295" w:rsidRDefault="003551E9" w:rsidP="00BF1AF0">
            <w:pPr>
              <w:pStyle w:val="BodyText21"/>
              <w:widowControl/>
              <w:overflowPunct/>
              <w:autoSpaceDE/>
              <w:autoSpaceDN/>
              <w:adjustRightInd/>
              <w:spacing w:beforeLines="40" w:before="96" w:afterLines="40" w:after="96"/>
              <w:textAlignment w:val="auto"/>
              <w:rPr>
                <w:rFonts w:ascii="Calibri" w:hAnsi="Calibri"/>
                <w:sz w:val="19"/>
                <w:szCs w:val="19"/>
                <w:lang w:val="en-US"/>
              </w:rPr>
            </w:pPr>
            <w:r>
              <w:rPr>
                <w:rFonts w:ascii="Calibri" w:hAnsi="Calibri"/>
                <w:sz w:val="19"/>
                <w:szCs w:val="19"/>
                <w:lang w:val="en-US"/>
              </w:rPr>
              <w:t>11.00</w:t>
            </w:r>
            <w:r w:rsidRPr="00134295">
              <w:rPr>
                <w:rFonts w:ascii="Calibri" w:hAnsi="Calibri"/>
                <w:sz w:val="19"/>
                <w:szCs w:val="19"/>
                <w:lang w:val="en-US"/>
              </w:rPr>
              <w:t xml:space="preserve">– </w:t>
            </w:r>
            <w:r>
              <w:rPr>
                <w:rFonts w:ascii="Calibri" w:hAnsi="Calibri"/>
                <w:sz w:val="19"/>
                <w:szCs w:val="19"/>
                <w:lang w:val="en-US"/>
              </w:rPr>
              <w:t>11.20</w:t>
            </w:r>
          </w:p>
        </w:tc>
        <w:tc>
          <w:tcPr>
            <w:tcW w:w="8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3620F" w14:textId="77777777" w:rsidR="003551E9" w:rsidRPr="00764B5D" w:rsidRDefault="003551E9" w:rsidP="00BF1AF0">
            <w:pPr>
              <w:pStyle w:val="Default"/>
              <w:spacing w:beforeLines="40" w:before="96" w:afterLines="40" w:after="96"/>
              <w:ind w:left="21" w:firstLine="12"/>
              <w:rPr>
                <w:rFonts w:ascii="Calibri" w:hAnsi="Calibri"/>
                <w:b/>
                <w:bCs/>
                <w:sz w:val="26"/>
                <w:szCs w:val="26"/>
                <w:lang w:val="pt-BR"/>
              </w:rPr>
            </w:pP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Opening</w:t>
            </w:r>
            <w:r w:rsidRPr="00764B5D">
              <w:rPr>
                <w:rFonts w:ascii="Calibri" w:hAnsi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Ceremony</w:t>
            </w:r>
          </w:p>
          <w:p w14:paraId="3B75C1E6" w14:textId="77777777" w:rsidR="003551E9" w:rsidRPr="00764B5D" w:rsidRDefault="003551E9" w:rsidP="00BF1AF0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/>
              <w:ind w:left="357" w:hanging="357"/>
              <w:textAlignment w:val="auto"/>
              <w:rPr>
                <w:rFonts w:eastAsia="MS Mincho"/>
                <w:i/>
                <w:iCs/>
                <w:sz w:val="20"/>
                <w:lang w:eastAsia="ja-JP"/>
              </w:rPr>
            </w:pPr>
            <w:r w:rsidRPr="00764B5D">
              <w:rPr>
                <w:rFonts w:eastAsia="MS Mincho"/>
                <w:i/>
                <w:iCs/>
                <w:sz w:val="20"/>
                <w:lang w:eastAsia="ja-JP"/>
              </w:rPr>
              <w:t>Mr Brahima SANOU, Director Telecommunication Development Bureau (BDT)</w:t>
            </w:r>
          </w:p>
          <w:p w14:paraId="2F9C767D" w14:textId="77777777" w:rsidR="003551E9" w:rsidRPr="00C37E61" w:rsidRDefault="003551E9" w:rsidP="00BF1AF0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/>
              <w:textAlignment w:val="auto"/>
              <w:rPr>
                <w:rFonts w:eastAsia="MS Mincho"/>
                <w:i/>
                <w:iCs/>
                <w:sz w:val="20"/>
                <w:lang w:eastAsia="ja-JP"/>
              </w:rPr>
            </w:pPr>
            <w:r w:rsidRPr="00764B5D">
              <w:rPr>
                <w:rFonts w:eastAsia="MS Mincho"/>
                <w:i/>
                <w:iCs/>
                <w:sz w:val="20"/>
                <w:lang w:eastAsia="ja-JP"/>
              </w:rPr>
              <w:t>Mr Chaesub LEE, Director Telecommunication Standardization Bureau (TSB)</w:t>
            </w:r>
            <w:r w:rsidRPr="00C37E61">
              <w:rPr>
                <w:rFonts w:eastAsia="MS Mincho"/>
                <w:i/>
                <w:iCs/>
                <w:sz w:val="20"/>
                <w:lang w:eastAsia="ja-JP"/>
              </w:rPr>
              <w:br/>
            </w:r>
          </w:p>
        </w:tc>
      </w:tr>
      <w:tr w:rsidR="003551E9" w:rsidRPr="00AD59E0" w14:paraId="2937FDED" w14:textId="77777777" w:rsidTr="00BF1A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cantSplit/>
          <w:trHeight w:val="2601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7775F" w14:textId="77777777" w:rsidR="003551E9" w:rsidRPr="002711AD" w:rsidRDefault="003551E9" w:rsidP="00BF1AF0">
            <w:pPr>
              <w:spacing w:beforeLines="40" w:before="96" w:afterLines="40" w:after="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11.20</w:t>
            </w:r>
            <w:r w:rsidRPr="002711AD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12.00</w:t>
            </w:r>
            <w:r w:rsidRPr="002711AD">
              <w:rPr>
                <w:sz w:val="19"/>
                <w:szCs w:val="19"/>
              </w:rPr>
              <w:t xml:space="preserve"> </w:t>
            </w:r>
          </w:p>
        </w:tc>
        <w:tc>
          <w:tcPr>
            <w:tcW w:w="8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B2179" w14:textId="77777777" w:rsidR="003551E9" w:rsidRPr="00AB1B3F" w:rsidRDefault="003551E9" w:rsidP="00BF1AF0">
            <w:pPr>
              <w:pStyle w:val="Default"/>
              <w:spacing w:beforeLines="40" w:before="96" w:afterLines="40" w:after="96"/>
              <w:ind w:left="21" w:firstLine="12"/>
              <w:rPr>
                <w:rFonts w:ascii="Verdana" w:hAnsi="Verdana"/>
                <w:b/>
                <w:color w:val="0472CC"/>
                <w:sz w:val="26"/>
                <w:szCs w:val="26"/>
              </w:rPr>
            </w:pP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Session 1: The High Stakes of Roaming</w:t>
            </w:r>
            <w:r>
              <w:rPr>
                <w:rFonts w:ascii="Verdana" w:hAnsi="Verdana"/>
                <w:b/>
                <w:color w:val="0472CC"/>
                <w:sz w:val="26"/>
                <w:szCs w:val="26"/>
              </w:rPr>
              <w:t xml:space="preserve"> </w:t>
            </w:r>
          </w:p>
          <w:p w14:paraId="326FEE02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Setting the context for IMR</w:t>
            </w:r>
          </w:p>
          <w:p w14:paraId="0B0A8E68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Cost, r</w:t>
            </w:r>
            <w:r w:rsidRPr="00A56293">
              <w:rPr>
                <w:b w:val="0"/>
                <w:sz w:val="20"/>
              </w:rPr>
              <w:t xml:space="preserve">evenues, </w:t>
            </w:r>
            <w:r>
              <w:rPr>
                <w:b w:val="0"/>
                <w:sz w:val="20"/>
              </w:rPr>
              <w:t>usage and traffic</w:t>
            </w:r>
          </w:p>
          <w:p w14:paraId="2F05F0CB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role and impact of OTTs</w:t>
            </w:r>
          </w:p>
          <w:p w14:paraId="11F35A64" w14:textId="77777777" w:rsidR="003551E9" w:rsidRPr="004E3151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New business models - New opportunities?  </w:t>
            </w:r>
          </w:p>
          <w:p w14:paraId="3FDF5C1C" w14:textId="77777777" w:rsidR="003551E9" w:rsidRPr="00F02FE1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Beyond data roaming: </w:t>
            </w:r>
            <w:r w:rsidRPr="00F02FE1">
              <w:rPr>
                <w:b w:val="0"/>
                <w:sz w:val="20"/>
              </w:rPr>
              <w:t xml:space="preserve">Innovating and capitalizing on roaming for M2M communications and the Internet of Things </w:t>
            </w:r>
          </w:p>
          <w:p w14:paraId="76DD7755" w14:textId="77777777" w:rsidR="003551E9" w:rsidRPr="00DD36C7" w:rsidRDefault="003551E9" w:rsidP="00BF1AF0">
            <w:pPr>
              <w:pStyle w:val="Heading6"/>
              <w:tabs>
                <w:tab w:val="clear" w:pos="794"/>
                <w:tab w:val="left" w:pos="845"/>
              </w:tabs>
              <w:spacing w:before="20" w:after="20"/>
              <w:ind w:left="1979" w:hanging="1468"/>
              <w:contextualSpacing/>
              <w:rPr>
                <w:bCs/>
                <w:i/>
                <w:iCs/>
                <w:color w:val="FF0000"/>
                <w:sz w:val="20"/>
                <w:u w:val="single"/>
              </w:rPr>
            </w:pPr>
            <w:r w:rsidRPr="00EB092C">
              <w:rPr>
                <w:bCs/>
                <w:i/>
                <w:iCs/>
                <w:color w:val="FF0000"/>
                <w:sz w:val="20"/>
                <w:u w:val="single"/>
              </w:rPr>
              <w:t>Panelists to be defined</w:t>
            </w:r>
          </w:p>
        </w:tc>
      </w:tr>
      <w:tr w:rsidR="003551E9" w:rsidRPr="00352815" w14:paraId="1F0FF9B5" w14:textId="77777777" w:rsidTr="00BF1A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64154549" w14:textId="77777777" w:rsidR="003551E9" w:rsidRPr="00745C52" w:rsidRDefault="003551E9" w:rsidP="00BF1AF0">
            <w:pPr>
              <w:spacing w:beforeLines="40" w:before="96" w:afterLines="40" w:after="96"/>
              <w:jc w:val="center"/>
              <w:outlineLvl w:val="5"/>
              <w:rPr>
                <w:b/>
                <w:bCs/>
                <w:i/>
                <w:sz w:val="19"/>
                <w:szCs w:val="19"/>
              </w:rPr>
            </w:pPr>
            <w:r>
              <w:rPr>
                <w:b/>
                <w:bCs/>
                <w:i/>
                <w:sz w:val="19"/>
                <w:szCs w:val="19"/>
              </w:rPr>
              <w:t>Lunch and Group Picture</w:t>
            </w:r>
          </w:p>
        </w:tc>
      </w:tr>
      <w:tr w:rsidR="003551E9" w:rsidRPr="002711AD" w14:paraId="4A0CE567" w14:textId="77777777" w:rsidTr="00BF1A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 w:firstRow="0" w:lastRow="0" w:firstColumn="0" w:lastColumn="0" w:noHBand="0" w:noVBand="0"/>
        </w:tblPrEx>
        <w:trPr>
          <w:cantSplit/>
          <w:trHeight w:val="2142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B55B8" w14:textId="77777777" w:rsidR="003551E9" w:rsidRPr="002711AD" w:rsidRDefault="003551E9" w:rsidP="00BF1AF0">
            <w:pPr>
              <w:spacing w:beforeLines="40" w:before="96" w:afterLines="40" w:after="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14.00</w:t>
            </w:r>
            <w:r w:rsidRPr="002711AD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15.30</w:t>
            </w:r>
          </w:p>
        </w:tc>
        <w:tc>
          <w:tcPr>
            <w:tcW w:w="8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439D3" w14:textId="77777777" w:rsidR="003551E9" w:rsidRPr="00AB1B3F" w:rsidRDefault="003551E9" w:rsidP="00BF1AF0">
            <w:pPr>
              <w:pStyle w:val="Default"/>
              <w:spacing w:beforeLines="40" w:before="96" w:afterLines="40" w:after="96"/>
              <w:ind w:left="21" w:firstLine="12"/>
              <w:rPr>
                <w:rFonts w:ascii="Verdana" w:hAnsi="Verdana"/>
                <w:b/>
                <w:color w:val="0472CC"/>
                <w:sz w:val="26"/>
                <w:szCs w:val="26"/>
              </w:rPr>
            </w:pP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Session 2: The Economics of International Mobile Roaming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</w:p>
          <w:p w14:paraId="296B4685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international roaming market and consumer trends </w:t>
            </w:r>
          </w:p>
          <w:p w14:paraId="137D2141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reasons behind high roaming prices</w:t>
            </w:r>
          </w:p>
          <w:p w14:paraId="42717249" w14:textId="77777777" w:rsidR="003551E9" w:rsidRPr="00DE369D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 w:rsidRPr="00DE369D">
              <w:rPr>
                <w:b w:val="0"/>
                <w:sz w:val="20"/>
              </w:rPr>
              <w:t xml:space="preserve">The cost structure of roaming (cost elements </w:t>
            </w:r>
            <w:r>
              <w:rPr>
                <w:b w:val="0"/>
                <w:sz w:val="20"/>
              </w:rPr>
              <w:t>that make</w:t>
            </w:r>
            <w:r w:rsidRPr="00DE369D">
              <w:rPr>
                <w:b w:val="0"/>
                <w:sz w:val="20"/>
              </w:rPr>
              <w:t xml:space="preserve"> roaming expensive)</w:t>
            </w:r>
          </w:p>
          <w:p w14:paraId="153A32CA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contextualSpacing/>
              <w:textAlignment w:val="auto"/>
              <w:rPr>
                <w:b w:val="0"/>
                <w:sz w:val="20"/>
              </w:rPr>
            </w:pPr>
            <w:r w:rsidRPr="00C1561B">
              <w:rPr>
                <w:b w:val="0"/>
                <w:sz w:val="20"/>
              </w:rPr>
              <w:t xml:space="preserve">The </w:t>
            </w:r>
            <w:r>
              <w:rPr>
                <w:b w:val="0"/>
                <w:sz w:val="20"/>
              </w:rPr>
              <w:t xml:space="preserve">ITU </w:t>
            </w:r>
            <w:r w:rsidRPr="00BF7054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 xml:space="preserve">ational </w:t>
            </w:r>
            <w:r w:rsidRPr="00BF7054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egulatory </w:t>
            </w:r>
            <w:r w:rsidRPr="00BF7054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uthority (NRA)</w:t>
            </w:r>
            <w:r w:rsidRPr="00BF7054">
              <w:rPr>
                <w:b w:val="0"/>
                <w:sz w:val="20"/>
              </w:rPr>
              <w:t xml:space="preserve"> technical guide and online cost analysis tool</w:t>
            </w:r>
          </w:p>
          <w:p w14:paraId="74BB21CF" w14:textId="77777777" w:rsidR="003551E9" w:rsidRPr="001E52BC" w:rsidRDefault="003551E9" w:rsidP="00BF1AF0">
            <w:pPr>
              <w:pStyle w:val="Heading6"/>
              <w:spacing w:before="20" w:after="20"/>
              <w:ind w:left="1981" w:hanging="1611"/>
              <w:contextualSpacing/>
              <w:rPr>
                <w:bCs/>
                <w:i/>
                <w:iCs/>
                <w:sz w:val="18"/>
                <w:szCs w:val="18"/>
                <w:u w:val="single"/>
                <w:lang w:bidi="he-IL"/>
              </w:rPr>
            </w:pPr>
            <w:r w:rsidRPr="00EB092C">
              <w:rPr>
                <w:bCs/>
                <w:i/>
                <w:iCs/>
                <w:color w:val="FF0000"/>
                <w:sz w:val="20"/>
                <w:u w:val="single"/>
              </w:rPr>
              <w:t>Panelists to be defined</w:t>
            </w:r>
          </w:p>
        </w:tc>
      </w:tr>
      <w:tr w:rsidR="003551E9" w:rsidRPr="00352815" w14:paraId="2E38670F" w14:textId="77777777" w:rsidTr="00BF1AF0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888" w:type="dxa"/>
            <w:gridSpan w:val="4"/>
            <w:shd w:val="pct5" w:color="auto" w:fill="auto"/>
          </w:tcPr>
          <w:p w14:paraId="6BC98D23" w14:textId="77777777" w:rsidR="003551E9" w:rsidRPr="0039795C" w:rsidRDefault="003551E9" w:rsidP="00BF1AF0">
            <w:pPr>
              <w:spacing w:beforeLines="40" w:before="96" w:afterLines="40" w:after="96"/>
              <w:jc w:val="center"/>
              <w:outlineLvl w:val="5"/>
              <w:rPr>
                <w:b/>
                <w:bCs/>
                <w:i/>
                <w:sz w:val="19"/>
                <w:szCs w:val="19"/>
              </w:rPr>
            </w:pPr>
            <w:r w:rsidRPr="00F666DF">
              <w:rPr>
                <w:b/>
                <w:bCs/>
                <w:i/>
                <w:sz w:val="19"/>
                <w:szCs w:val="19"/>
              </w:rPr>
              <w:t>Coffee break</w:t>
            </w:r>
          </w:p>
        </w:tc>
      </w:tr>
      <w:tr w:rsidR="003551E9" w:rsidRPr="0039795C" w14:paraId="263481B3" w14:textId="77777777" w:rsidTr="00BF1AF0">
        <w:tblPrEx>
          <w:tblLook w:val="0000" w:firstRow="0" w:lastRow="0" w:firstColumn="0" w:lastColumn="0" w:noHBand="0" w:noVBand="0"/>
        </w:tblPrEx>
        <w:trPr>
          <w:cantSplit/>
          <w:trHeight w:val="2264"/>
          <w:jc w:val="center"/>
        </w:trPr>
        <w:tc>
          <w:tcPr>
            <w:tcW w:w="1649" w:type="dxa"/>
            <w:gridSpan w:val="2"/>
          </w:tcPr>
          <w:p w14:paraId="44D6814B" w14:textId="77777777" w:rsidR="003551E9" w:rsidRPr="002711AD" w:rsidRDefault="003551E9" w:rsidP="00BF1AF0">
            <w:pPr>
              <w:spacing w:beforeLines="40" w:before="96" w:afterLines="40" w:after="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15.45 – 16.45</w:t>
            </w:r>
          </w:p>
        </w:tc>
        <w:tc>
          <w:tcPr>
            <w:tcW w:w="8239" w:type="dxa"/>
            <w:gridSpan w:val="2"/>
          </w:tcPr>
          <w:p w14:paraId="742AE1BA" w14:textId="77777777" w:rsidR="003551E9" w:rsidRPr="00AB1B3F" w:rsidRDefault="003551E9" w:rsidP="00BF1AF0">
            <w:pPr>
              <w:pStyle w:val="Default"/>
              <w:spacing w:beforeLines="40" w:before="96" w:afterLines="40" w:after="96"/>
              <w:ind w:left="21" w:firstLine="12"/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</w:pP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Session 3: Towards Ubiquitous Roaming for All</w:t>
            </w:r>
          </w:p>
          <w:p w14:paraId="2C22815A" w14:textId="77777777" w:rsidR="003551E9" w:rsidRPr="001C3892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Promoting</w:t>
            </w:r>
            <w:r w:rsidRPr="001C3892">
              <w:rPr>
                <w:b w:val="0"/>
                <w:sz w:val="20"/>
              </w:rPr>
              <w:t xml:space="preserve"> competition in the provision of roaming services</w:t>
            </w:r>
            <w:r>
              <w:rPr>
                <w:b w:val="0"/>
                <w:sz w:val="20"/>
              </w:rPr>
              <w:t xml:space="preserve"> and empowering consumers</w:t>
            </w:r>
          </w:p>
          <w:p w14:paraId="42C91903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Price transparency - How to share </w:t>
            </w:r>
            <w:r w:rsidRPr="00827AD9">
              <w:rPr>
                <w:b w:val="0"/>
                <w:sz w:val="20"/>
              </w:rPr>
              <w:t>commercially sensitive information</w:t>
            </w:r>
            <w:r>
              <w:rPr>
                <w:b w:val="0"/>
                <w:sz w:val="20"/>
              </w:rPr>
              <w:t xml:space="preserve"> with NRAs?</w:t>
            </w:r>
          </w:p>
          <w:p w14:paraId="37D14E39" w14:textId="77777777" w:rsidR="003551E9" w:rsidRPr="009F7881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 w:rsidRPr="009F7881">
              <w:rPr>
                <w:b w:val="0"/>
                <w:sz w:val="20"/>
              </w:rPr>
              <w:t>Bilateral, multilateral and regional initiatives</w:t>
            </w:r>
          </w:p>
          <w:p w14:paraId="73B2BB25" w14:textId="77777777" w:rsidR="003551E9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</w:t>
            </w:r>
            <w:r w:rsidRPr="00590A6C">
              <w:rPr>
                <w:b w:val="0"/>
                <w:sz w:val="20"/>
              </w:rPr>
              <w:t>he role of Regional and International Organizations</w:t>
            </w:r>
          </w:p>
          <w:p w14:paraId="2AC25D80" w14:textId="77777777" w:rsidR="003551E9" w:rsidRPr="00BF7054" w:rsidRDefault="003551E9" w:rsidP="00BF1AF0">
            <w:pPr>
              <w:pStyle w:val="Heading6"/>
              <w:keepNext w:val="0"/>
              <w:keepLines w:val="0"/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20" w:after="20"/>
              <w:ind w:left="748" w:hanging="357"/>
              <w:contextualSpacing/>
              <w:textAlignment w:val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Way forward</w:t>
            </w:r>
          </w:p>
          <w:p w14:paraId="7D89B011" w14:textId="77777777" w:rsidR="003551E9" w:rsidRPr="0039795C" w:rsidRDefault="003551E9" w:rsidP="00BF1AF0">
            <w:pPr>
              <w:pStyle w:val="Heading6"/>
              <w:spacing w:before="20" w:after="20"/>
              <w:ind w:left="1979" w:hanging="1609"/>
              <w:contextualSpacing/>
              <w:rPr>
                <w:sz w:val="20"/>
                <w:u w:val="single"/>
                <w:lang w:eastAsia="fr-FR"/>
              </w:rPr>
            </w:pPr>
            <w:r w:rsidRPr="00EB092C">
              <w:rPr>
                <w:bCs/>
                <w:i/>
                <w:iCs/>
                <w:color w:val="FF0000"/>
                <w:sz w:val="20"/>
                <w:u w:val="single"/>
              </w:rPr>
              <w:t>Panelists to be defined</w:t>
            </w:r>
            <w:r w:rsidRPr="0039795C">
              <w:rPr>
                <w:sz w:val="20"/>
                <w:u w:val="single"/>
              </w:rPr>
              <w:t xml:space="preserve"> </w:t>
            </w:r>
          </w:p>
        </w:tc>
      </w:tr>
      <w:tr w:rsidR="003551E9" w:rsidRPr="0039795C" w14:paraId="6D0983AC" w14:textId="77777777" w:rsidTr="00BF1AF0">
        <w:tblPrEx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649" w:type="dxa"/>
            <w:gridSpan w:val="2"/>
          </w:tcPr>
          <w:p w14:paraId="47607DE1" w14:textId="77777777" w:rsidR="003551E9" w:rsidRDefault="003551E9" w:rsidP="00BF1AF0">
            <w:pPr>
              <w:spacing w:beforeLines="40" w:before="96" w:afterLines="40" w:after="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16.45 – 17.00</w:t>
            </w:r>
          </w:p>
        </w:tc>
        <w:tc>
          <w:tcPr>
            <w:tcW w:w="8239" w:type="dxa"/>
            <w:gridSpan w:val="2"/>
          </w:tcPr>
          <w:p w14:paraId="5BC9F003" w14:textId="77777777" w:rsidR="003551E9" w:rsidRPr="00764B5D" w:rsidRDefault="003551E9" w:rsidP="00BF1AF0">
            <w:pPr>
              <w:pStyle w:val="Default"/>
              <w:spacing w:beforeLines="40" w:before="96" w:afterLines="40" w:after="96"/>
              <w:ind w:left="21" w:firstLine="12"/>
              <w:rPr>
                <w:rFonts w:ascii="Verdana" w:hAnsi="Verdana"/>
                <w:b/>
                <w:color w:val="0472CC"/>
                <w:sz w:val="26"/>
                <w:szCs w:val="26"/>
                <w:u w:val="single"/>
              </w:rPr>
            </w:pPr>
            <w:r w:rsidRPr="00764B5D"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Conclusions and Next Steps</w:t>
            </w:r>
          </w:p>
        </w:tc>
      </w:tr>
      <w:tr w:rsidR="003551E9" w:rsidRPr="0039795C" w14:paraId="29F4CE80" w14:textId="77777777" w:rsidTr="00BF1AF0">
        <w:tblPrEx>
          <w:tblLook w:val="0000" w:firstRow="0" w:lastRow="0" w:firstColumn="0" w:lastColumn="0" w:noHBand="0" w:noVBand="0"/>
        </w:tblPrEx>
        <w:trPr>
          <w:cantSplit/>
          <w:trHeight w:val="66"/>
          <w:jc w:val="center"/>
        </w:trPr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14:paraId="210D3C7F" w14:textId="77777777" w:rsidR="003551E9" w:rsidRDefault="003551E9" w:rsidP="00BF1AF0">
            <w:pPr>
              <w:spacing w:beforeLines="40" w:before="96" w:afterLines="40" w:after="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17.00</w:t>
            </w:r>
          </w:p>
        </w:tc>
        <w:tc>
          <w:tcPr>
            <w:tcW w:w="8239" w:type="dxa"/>
            <w:gridSpan w:val="2"/>
            <w:tcBorders>
              <w:bottom w:val="single" w:sz="4" w:space="0" w:color="auto"/>
            </w:tcBorders>
          </w:tcPr>
          <w:p w14:paraId="13D693E7" w14:textId="77777777" w:rsidR="003551E9" w:rsidRPr="00764B5D" w:rsidDel="008569C0" w:rsidRDefault="003551E9" w:rsidP="00BF1AF0">
            <w:pPr>
              <w:pStyle w:val="Default"/>
              <w:spacing w:beforeLines="40" w:before="96" w:afterLines="40" w:after="96"/>
              <w:ind w:left="21" w:firstLine="12"/>
              <w:rPr>
                <w:rFonts w:ascii="Verdana" w:hAnsi="Verdana"/>
                <w:b/>
                <w:color w:val="0472CC"/>
                <w:sz w:val="26"/>
                <w:szCs w:val="26"/>
              </w:rPr>
            </w:pPr>
            <w:r>
              <w:rPr>
                <w:rFonts w:ascii="Calibri" w:eastAsia="SimSun" w:hAnsi="Calibri" w:cs="Traditional Arabic"/>
                <w:b/>
                <w:bCs/>
                <w:smallCaps/>
                <w:color w:val="2E74B5"/>
                <w:sz w:val="26"/>
                <w:szCs w:val="26"/>
              </w:rPr>
              <w:t>Closing</w:t>
            </w:r>
          </w:p>
        </w:tc>
      </w:tr>
    </w:tbl>
    <w:p w14:paraId="4F57CC0A" w14:textId="77777777" w:rsidR="003551E9" w:rsidRDefault="003551E9" w:rsidP="00727746">
      <w:pPr>
        <w:pStyle w:val="BDTNormal"/>
        <w:jc w:val="center"/>
      </w:pPr>
    </w:p>
    <w:p w14:paraId="36C459B6" w14:textId="77777777" w:rsidR="0059495D" w:rsidRPr="003F0DED" w:rsidRDefault="00727746" w:rsidP="00727746">
      <w:pPr>
        <w:pStyle w:val="BDTNormal"/>
        <w:jc w:val="center"/>
      </w:pPr>
      <w:r>
        <w:t>_____________</w:t>
      </w:r>
    </w:p>
    <w:sectPr w:rsidR="0059495D" w:rsidRPr="003F0DED" w:rsidSect="002F6530"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8CC7" w14:textId="77777777" w:rsidR="001B09EB" w:rsidRDefault="001B09EB">
      <w:r>
        <w:separator/>
      </w:r>
    </w:p>
  </w:endnote>
  <w:endnote w:type="continuationSeparator" w:id="0">
    <w:p w14:paraId="1CF4EB90" w14:textId="77777777" w:rsidR="001B09EB" w:rsidRDefault="001B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36C3" w14:textId="77777777" w:rsidR="00FA124A" w:rsidRPr="00196AB1" w:rsidRDefault="00727746" w:rsidP="0072774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ITU-T\BUREAU\CIRC\163E.DOC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33B6C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4D6EC" w14:textId="77777777" w:rsidR="001B09EB" w:rsidRDefault="001B09EB">
      <w:r>
        <w:t>____________________</w:t>
      </w:r>
    </w:p>
  </w:footnote>
  <w:footnote w:type="continuationSeparator" w:id="0">
    <w:p w14:paraId="1E8C3A68" w14:textId="77777777" w:rsidR="001B09EB" w:rsidRDefault="001B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F4BC4"/>
    <w:multiLevelType w:val="hybridMultilevel"/>
    <w:tmpl w:val="DD8CFBE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1DD10AFB"/>
    <w:multiLevelType w:val="hybridMultilevel"/>
    <w:tmpl w:val="F334AF60"/>
    <w:lvl w:ilvl="0" w:tplc="A9B654D6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0DBD"/>
    <w:multiLevelType w:val="hybridMultilevel"/>
    <w:tmpl w:val="95E01F5C"/>
    <w:lvl w:ilvl="0" w:tplc="7390C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41DE7"/>
    <w:multiLevelType w:val="hybridMultilevel"/>
    <w:tmpl w:val="A80A3964"/>
    <w:lvl w:ilvl="0" w:tplc="67E08B28">
      <w:start w:val="2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  <w:sz w:val="16"/>
        <w:szCs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46"/>
    <w:rsid w:val="000069D4"/>
    <w:rsid w:val="000137D1"/>
    <w:rsid w:val="000174AD"/>
    <w:rsid w:val="000305E1"/>
    <w:rsid w:val="00033D0B"/>
    <w:rsid w:val="000A7D55"/>
    <w:rsid w:val="000B46FB"/>
    <w:rsid w:val="000C2E8E"/>
    <w:rsid w:val="000C6EB1"/>
    <w:rsid w:val="000D49FB"/>
    <w:rsid w:val="000E0E7C"/>
    <w:rsid w:val="000F1B4B"/>
    <w:rsid w:val="0012744F"/>
    <w:rsid w:val="001356CA"/>
    <w:rsid w:val="00156DFF"/>
    <w:rsid w:val="00156F66"/>
    <w:rsid w:val="00162032"/>
    <w:rsid w:val="00182528"/>
    <w:rsid w:val="0018500B"/>
    <w:rsid w:val="00196A19"/>
    <w:rsid w:val="00196AB1"/>
    <w:rsid w:val="001B09EB"/>
    <w:rsid w:val="001C3CDB"/>
    <w:rsid w:val="001C6289"/>
    <w:rsid w:val="001E2C2C"/>
    <w:rsid w:val="00202DC1"/>
    <w:rsid w:val="002116EE"/>
    <w:rsid w:val="002271B5"/>
    <w:rsid w:val="002309D8"/>
    <w:rsid w:val="0023525C"/>
    <w:rsid w:val="00255CC7"/>
    <w:rsid w:val="00265A07"/>
    <w:rsid w:val="0026723F"/>
    <w:rsid w:val="00287BF1"/>
    <w:rsid w:val="002A7FE2"/>
    <w:rsid w:val="002B711C"/>
    <w:rsid w:val="002B744E"/>
    <w:rsid w:val="002C0244"/>
    <w:rsid w:val="002E1B4F"/>
    <w:rsid w:val="002F2E67"/>
    <w:rsid w:val="002F6530"/>
    <w:rsid w:val="00315546"/>
    <w:rsid w:val="00330567"/>
    <w:rsid w:val="00351DA5"/>
    <w:rsid w:val="003551E9"/>
    <w:rsid w:val="00383598"/>
    <w:rsid w:val="00386A9D"/>
    <w:rsid w:val="00391081"/>
    <w:rsid w:val="003B2789"/>
    <w:rsid w:val="003C13CE"/>
    <w:rsid w:val="003C1A2E"/>
    <w:rsid w:val="003E2518"/>
    <w:rsid w:val="003F0DED"/>
    <w:rsid w:val="00426787"/>
    <w:rsid w:val="004314A2"/>
    <w:rsid w:val="00451EF6"/>
    <w:rsid w:val="00460EF5"/>
    <w:rsid w:val="004A168F"/>
    <w:rsid w:val="004B1EF7"/>
    <w:rsid w:val="004B3FAD"/>
    <w:rsid w:val="004E3CF9"/>
    <w:rsid w:val="00501DCA"/>
    <w:rsid w:val="00513A47"/>
    <w:rsid w:val="0053262A"/>
    <w:rsid w:val="005408DF"/>
    <w:rsid w:val="0055318D"/>
    <w:rsid w:val="00573344"/>
    <w:rsid w:val="00583F9B"/>
    <w:rsid w:val="00584AFA"/>
    <w:rsid w:val="0059495D"/>
    <w:rsid w:val="005E1223"/>
    <w:rsid w:val="005E5C10"/>
    <w:rsid w:val="005F2C78"/>
    <w:rsid w:val="006121CD"/>
    <w:rsid w:val="006144E4"/>
    <w:rsid w:val="00624555"/>
    <w:rsid w:val="00650299"/>
    <w:rsid w:val="00655FC5"/>
    <w:rsid w:val="00695793"/>
    <w:rsid w:val="006E15A9"/>
    <w:rsid w:val="00703C89"/>
    <w:rsid w:val="00727746"/>
    <w:rsid w:val="00744F9C"/>
    <w:rsid w:val="00752280"/>
    <w:rsid w:val="00777BBA"/>
    <w:rsid w:val="007A1B6F"/>
    <w:rsid w:val="007D2F64"/>
    <w:rsid w:val="007E51DC"/>
    <w:rsid w:val="00801031"/>
    <w:rsid w:val="00802953"/>
    <w:rsid w:val="00803ACB"/>
    <w:rsid w:val="00807FF1"/>
    <w:rsid w:val="00822581"/>
    <w:rsid w:val="008309DD"/>
    <w:rsid w:val="0083227A"/>
    <w:rsid w:val="00833DCD"/>
    <w:rsid w:val="00857C67"/>
    <w:rsid w:val="00862CC9"/>
    <w:rsid w:val="00866900"/>
    <w:rsid w:val="00870336"/>
    <w:rsid w:val="0087300D"/>
    <w:rsid w:val="00881BA1"/>
    <w:rsid w:val="008A0A55"/>
    <w:rsid w:val="008C26B8"/>
    <w:rsid w:val="008C7AB9"/>
    <w:rsid w:val="009273EC"/>
    <w:rsid w:val="00932E45"/>
    <w:rsid w:val="00951309"/>
    <w:rsid w:val="009529A8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4C7D"/>
    <w:rsid w:val="00A014F8"/>
    <w:rsid w:val="00A11DCA"/>
    <w:rsid w:val="00A17ED0"/>
    <w:rsid w:val="00A5173C"/>
    <w:rsid w:val="00A55630"/>
    <w:rsid w:val="00A61AEF"/>
    <w:rsid w:val="00A6786C"/>
    <w:rsid w:val="00A80ADF"/>
    <w:rsid w:val="00A9652E"/>
    <w:rsid w:val="00AA1543"/>
    <w:rsid w:val="00AB0FFD"/>
    <w:rsid w:val="00AC4FF0"/>
    <w:rsid w:val="00AC67A3"/>
    <w:rsid w:val="00AD7192"/>
    <w:rsid w:val="00AF10F1"/>
    <w:rsid w:val="00AF173A"/>
    <w:rsid w:val="00B066A4"/>
    <w:rsid w:val="00B07A13"/>
    <w:rsid w:val="00B143E2"/>
    <w:rsid w:val="00B2396D"/>
    <w:rsid w:val="00B4279B"/>
    <w:rsid w:val="00B45FC9"/>
    <w:rsid w:val="00B61A00"/>
    <w:rsid w:val="00B83461"/>
    <w:rsid w:val="00BC7CCF"/>
    <w:rsid w:val="00BD5025"/>
    <w:rsid w:val="00BE470B"/>
    <w:rsid w:val="00C018E7"/>
    <w:rsid w:val="00C27BDB"/>
    <w:rsid w:val="00C57A91"/>
    <w:rsid w:val="00C740E1"/>
    <w:rsid w:val="00CB43AF"/>
    <w:rsid w:val="00CC01C2"/>
    <w:rsid w:val="00CF21F2"/>
    <w:rsid w:val="00D02712"/>
    <w:rsid w:val="00D063D5"/>
    <w:rsid w:val="00D17F16"/>
    <w:rsid w:val="00D214D0"/>
    <w:rsid w:val="00D5657A"/>
    <w:rsid w:val="00D63425"/>
    <w:rsid w:val="00D6546B"/>
    <w:rsid w:val="00D71B6D"/>
    <w:rsid w:val="00DB3805"/>
    <w:rsid w:val="00DC36AC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E9164C"/>
    <w:rsid w:val="00E91DD4"/>
    <w:rsid w:val="00F2145C"/>
    <w:rsid w:val="00FA124A"/>
    <w:rsid w:val="00FA1A29"/>
    <w:rsid w:val="00FA6C1B"/>
    <w:rsid w:val="00FC08DD"/>
    <w:rsid w:val="00FC2316"/>
    <w:rsid w:val="00FC2CFD"/>
    <w:rsid w:val="00FD06C7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AC7393"/>
  <w15:docId w15:val="{E3B4224B-E4A1-45B9-8261-B3C13B08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customStyle="1" w:styleId="BDTDistributionEmdash">
    <w:name w:val="BDT_Distribution_Emdash"/>
    <w:basedOn w:val="Normal"/>
    <w:uiPriority w:val="99"/>
    <w:rsid w:val="00727746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/>
      <w:sz w:val="22"/>
      <w:szCs w:val="18"/>
      <w:lang w:val="en-US" w:eastAsia="zh-CN"/>
    </w:rPr>
  </w:style>
  <w:style w:type="paragraph" w:customStyle="1" w:styleId="BDTOpening">
    <w:name w:val="BDT_Opening"/>
    <w:basedOn w:val="Normal"/>
    <w:uiPriority w:val="99"/>
    <w:rsid w:val="007277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BDTNormal">
    <w:name w:val="BDT_Normal"/>
    <w:link w:val="BDTNormalChar"/>
    <w:uiPriority w:val="99"/>
    <w:rsid w:val="00727746"/>
    <w:pPr>
      <w:spacing w:before="120" w:after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27746"/>
    <w:rPr>
      <w:rFonts w:ascii="Calibri" w:eastAsia="SimSun" w:hAnsi="Calibri" w:cs="Traditional Arabic"/>
      <w:sz w:val="22"/>
      <w:szCs w:val="30"/>
      <w:lang w:val="es-ES" w:eastAsia="en-US"/>
    </w:rPr>
  </w:style>
  <w:style w:type="paragraph" w:customStyle="1" w:styleId="BDTClosing">
    <w:name w:val="BDT_Closing"/>
    <w:basedOn w:val="BDTOpening"/>
    <w:next w:val="Normal"/>
    <w:link w:val="BDTClosingChar"/>
    <w:uiPriority w:val="99"/>
    <w:rsid w:val="00727746"/>
    <w:rPr>
      <w:noProof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27746"/>
    <w:rPr>
      <w:rFonts w:ascii="Calibri" w:eastAsia="SimSun" w:hAnsi="Calibri"/>
      <w:noProof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27746"/>
    <w:rPr>
      <w:rFonts w:asciiTheme="minorHAnsi" w:hAnsiTheme="minorHAnsi"/>
      <w:b/>
      <w:sz w:val="24"/>
      <w:lang w:val="en-GB" w:eastAsia="en-US"/>
    </w:rPr>
  </w:style>
  <w:style w:type="paragraph" w:customStyle="1" w:styleId="BDTLogo">
    <w:name w:val="BDT_Logo"/>
    <w:uiPriority w:val="99"/>
    <w:rsid w:val="00727746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7277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27746"/>
    <w:pPr>
      <w:spacing w:after="80"/>
    </w:pPr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7277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Traditional Arabic"/>
      <w:sz w:val="22"/>
      <w:szCs w:val="30"/>
    </w:rPr>
  </w:style>
  <w:style w:type="paragraph" w:customStyle="1" w:styleId="BDTRef">
    <w:name w:val="BDT_Ref"/>
    <w:basedOn w:val="Normal"/>
    <w:next w:val="Normal"/>
    <w:uiPriority w:val="99"/>
    <w:rsid w:val="007277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Traditional Arabic"/>
      <w:sz w:val="22"/>
      <w:szCs w:val="30"/>
    </w:rPr>
  </w:style>
  <w:style w:type="paragraph" w:customStyle="1" w:styleId="BDTDate">
    <w:name w:val="BDT_Date"/>
    <w:basedOn w:val="Normal"/>
    <w:uiPriority w:val="99"/>
    <w:rsid w:val="007277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Arial"/>
      <w:sz w:val="22"/>
      <w:szCs w:val="30"/>
      <w:lang w:val="en-US"/>
    </w:rPr>
  </w:style>
  <w:style w:type="paragraph" w:customStyle="1" w:styleId="BDTContact-Details">
    <w:name w:val="BDT_Contact-Details"/>
    <w:uiPriority w:val="99"/>
    <w:rsid w:val="007277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7277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SimSun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27746"/>
    <w:rPr>
      <w:rFonts w:ascii="Calibri" w:eastAsia="SimSun" w:hAnsi="Calibri" w:cs="Traditional Arabic"/>
      <w:sz w:val="22"/>
      <w:szCs w:val="30"/>
      <w:lang w:val="en-GB" w:eastAsia="en-US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727746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727746"/>
    <w:pPr>
      <w:spacing w:before="120" w:after="120"/>
    </w:pPr>
    <w:rPr>
      <w:rFonts w:eastAsia="SimSun"/>
      <w:lang w:val="en-GB" w:eastAsia="en-US"/>
    </w:rPr>
  </w:style>
  <w:style w:type="table" w:styleId="TableGrid">
    <w:name w:val="Table Grid"/>
    <w:basedOn w:val="TableNormal"/>
    <w:rsid w:val="0072774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rsid w:val="007277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2"/>
      <w:lang w:val="en-US" w:bidi="he-IL"/>
    </w:rPr>
  </w:style>
  <w:style w:type="paragraph" w:customStyle="1" w:styleId="BodyText21">
    <w:name w:val="Body Text 21"/>
    <w:basedOn w:val="Normal"/>
    <w:rsid w:val="0072774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</w:rPr>
  </w:style>
  <w:style w:type="paragraph" w:customStyle="1" w:styleId="Default">
    <w:name w:val="Default"/>
    <w:rsid w:val="0072774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727746"/>
    <w:rPr>
      <w:rFonts w:ascii="SimSun" w:eastAsia="SimSun" w:hAnsi="SimSun" w:cs="Traditional Arabic"/>
      <w:sz w:val="30"/>
      <w:szCs w:val="30"/>
      <w:lang w:val="en-GB" w:eastAsia="en-US"/>
    </w:rPr>
  </w:style>
  <w:style w:type="paragraph" w:customStyle="1" w:styleId="BDTRef-Detail">
    <w:name w:val="BDT_Ref-Detail"/>
    <w:basedOn w:val="Normal"/>
    <w:link w:val="BDTRef-DetailCharChar"/>
    <w:uiPriority w:val="99"/>
    <w:rsid w:val="00727746"/>
    <w:pPr>
      <w:tabs>
        <w:tab w:val="clear" w:pos="1191"/>
      </w:tabs>
      <w:spacing w:after="120"/>
      <w:textAlignment w:val="auto"/>
    </w:pPr>
    <w:rPr>
      <w:rFonts w:ascii="SimSun" w:eastAsia="SimSun" w:hAnsi="SimSun" w:cs="Traditional Arabic"/>
      <w:sz w:val="30"/>
      <w:szCs w:val="30"/>
    </w:rPr>
  </w:style>
  <w:style w:type="character" w:customStyle="1" w:styleId="BDT-Name">
    <w:name w:val="BDT-Name"/>
    <w:basedOn w:val="DefaultParagraphFont"/>
    <w:uiPriority w:val="99"/>
    <w:rsid w:val="00727746"/>
    <w:rPr>
      <w:rFonts w:ascii="Times New Roman" w:hAnsi="Times New Roman" w:cs="Times New Roman" w:hint="default"/>
      <w:b/>
      <w:bCs w:val="0"/>
      <w:color w:val="808080"/>
      <w:sz w:val="28"/>
    </w:rPr>
  </w:style>
  <w:style w:type="character" w:styleId="CommentReference">
    <w:name w:val="annotation reference"/>
    <w:basedOn w:val="DefaultParagraphFont"/>
    <w:semiHidden/>
    <w:unhideWhenUsed/>
    <w:rsid w:val="004A16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16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68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168F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roaming-dialogue1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Regulatory-Market/Documents/Events2015/RoamingDialogue/Roam-the-World_V2_English_FINAL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15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lara.srivastava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58D6-38CA-460F-A279-F7B19E8B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2</Pages>
  <Words>528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lastModifiedBy>Aveline, Marion</cp:lastModifiedBy>
  <cp:revision>2</cp:revision>
  <cp:lastPrinted>2015-07-20T15:13:00Z</cp:lastPrinted>
  <dcterms:created xsi:type="dcterms:W3CDTF">2015-07-20T15:13:00Z</dcterms:created>
  <dcterms:modified xsi:type="dcterms:W3CDTF">2015-07-20T15:13:00Z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