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BB01E0" w:rsidTr="006E4F7B">
        <w:trPr>
          <w:cantSplit/>
        </w:trPr>
        <w:tc>
          <w:tcPr>
            <w:tcW w:w="1276" w:type="dxa"/>
            <w:vAlign w:val="center"/>
          </w:tcPr>
          <w:p w:rsidR="006E4F7B" w:rsidRPr="00BB01E0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085662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:rsidR="006E4F7B" w:rsidRPr="00BB01E0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las Telecomunicaciones</w:t>
            </w:r>
          </w:p>
        </w:tc>
        <w:tc>
          <w:tcPr>
            <w:tcW w:w="1984" w:type="dxa"/>
            <w:vAlign w:val="center"/>
          </w:tcPr>
          <w:p w:rsidR="006E4F7B" w:rsidRPr="00BB01E0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5E10FF" w:rsidRPr="005E10FF">
        <w:t>12 de mayo de 2015</w:t>
      </w:r>
    </w:p>
    <w:p w:rsidR="00C34772" w:rsidRDefault="00C34772" w:rsidP="00303D62">
      <w:pPr>
        <w:spacing w:before="0"/>
      </w:pPr>
    </w:p>
    <w:tbl>
      <w:tblPr>
        <w:tblW w:w="98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4932"/>
      </w:tblGrid>
      <w:tr w:rsidR="00C34772" w:rsidTr="003E4939">
        <w:trPr>
          <w:cantSplit/>
          <w:trHeight w:val="340"/>
        </w:trPr>
        <w:tc>
          <w:tcPr>
            <w:tcW w:w="993" w:type="dxa"/>
          </w:tcPr>
          <w:p w:rsidR="00C34772" w:rsidRPr="002536D5" w:rsidRDefault="00C34772" w:rsidP="00DC2C7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536D5">
              <w:rPr>
                <w:szCs w:val="24"/>
              </w:rPr>
              <w:t>Ref.:</w:t>
            </w:r>
          </w:p>
          <w:p w:rsidR="00C34772" w:rsidRPr="002536D5" w:rsidRDefault="00C34772" w:rsidP="00DC2C7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2536D5" w:rsidRDefault="00C34772" w:rsidP="00DC2C7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2536D5" w:rsidRDefault="00C34772" w:rsidP="00DC2C7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536D5">
              <w:rPr>
                <w:szCs w:val="24"/>
              </w:rPr>
              <w:t>Tel.:</w:t>
            </w:r>
            <w:r w:rsidRPr="002536D5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C34772" w:rsidRPr="005E10FF" w:rsidRDefault="00C34772" w:rsidP="005E10FF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  <w:proofErr w:type="spellStart"/>
            <w:r w:rsidRPr="005E10FF">
              <w:rPr>
                <w:b/>
                <w:lang w:val="fr-CH"/>
              </w:rPr>
              <w:t>Circular</w:t>
            </w:r>
            <w:proofErr w:type="spellEnd"/>
            <w:r w:rsidRPr="005E10FF">
              <w:rPr>
                <w:b/>
                <w:lang w:val="fr-CH"/>
              </w:rPr>
              <w:t xml:space="preserve"> TSB </w:t>
            </w:r>
            <w:r w:rsidR="005E10FF" w:rsidRPr="005E10FF">
              <w:rPr>
                <w:b/>
                <w:lang w:val="fr-CH"/>
              </w:rPr>
              <w:t>152</w:t>
            </w:r>
          </w:p>
          <w:p w:rsidR="00C34772" w:rsidRPr="005E10FF" w:rsidRDefault="005E10FF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  <w:r w:rsidRPr="005E10FF">
              <w:rPr>
                <w:lang w:val="fr-CH"/>
              </w:rPr>
              <w:t>FG IMT-2020/MA</w:t>
            </w:r>
          </w:p>
          <w:p w:rsidR="00C34772" w:rsidRPr="005E10FF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fr-CH"/>
              </w:rPr>
            </w:pPr>
          </w:p>
          <w:p w:rsidR="00C34772" w:rsidRPr="005E10FF" w:rsidRDefault="005E10FF" w:rsidP="00303D62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r w:rsidRPr="005E10FF">
              <w:rPr>
                <w:lang w:val="fr-CH"/>
              </w:rPr>
              <w:t>+41 22 730 6828</w:t>
            </w:r>
            <w:r w:rsidR="00C34772" w:rsidRPr="005E10FF">
              <w:rPr>
                <w:lang w:val="fr-CH"/>
              </w:rPr>
              <w:br/>
            </w:r>
            <w:r w:rsidRPr="005E10FF">
              <w:rPr>
                <w:lang w:val="fr-CH"/>
              </w:rPr>
              <w:t>+41 22 730 5853</w:t>
            </w:r>
          </w:p>
        </w:tc>
        <w:tc>
          <w:tcPr>
            <w:tcW w:w="4932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  <w:r w:rsidR="00B644EC">
              <w:t>;</w:t>
            </w:r>
          </w:p>
          <w:p w:rsidR="005E10FF" w:rsidRDefault="005E10FF" w:rsidP="003E49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E10FF">
              <w:t>-</w:t>
            </w:r>
            <w:r w:rsidRPr="005E10FF">
              <w:tab/>
            </w:r>
            <w:r>
              <w:t xml:space="preserve">A los Miembros del Sector </w:t>
            </w:r>
            <w:r w:rsidR="00B644EC">
              <w:t xml:space="preserve">de la </w:t>
            </w:r>
            <w:r>
              <w:t>UIT;</w:t>
            </w:r>
          </w:p>
          <w:p w:rsidR="005E10FF" w:rsidRDefault="005E10FF" w:rsidP="003E49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Asociados de</w:t>
            </w:r>
            <w:r w:rsidR="00B644EC">
              <w:t xml:space="preserve"> </w:t>
            </w:r>
            <w:r>
              <w:t>l</w:t>
            </w:r>
            <w:r w:rsidR="00B644EC">
              <w:t>a</w:t>
            </w:r>
            <w:r>
              <w:t xml:space="preserve"> UIT;</w:t>
            </w:r>
          </w:p>
          <w:p w:rsidR="005E10FF" w:rsidRDefault="005E10FF" w:rsidP="005E10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Instituciones Académicas de</w:t>
            </w:r>
            <w:r w:rsidR="00B644EC">
              <w:t xml:space="preserve"> </w:t>
            </w:r>
            <w:r>
              <w:t>l</w:t>
            </w:r>
            <w:r w:rsidR="00B644EC">
              <w:t>a</w:t>
            </w:r>
            <w:r>
              <w:t xml:space="preserve"> UIT</w:t>
            </w:r>
          </w:p>
        </w:tc>
      </w:tr>
      <w:tr w:rsidR="00C34772" w:rsidTr="003E4939">
        <w:trPr>
          <w:cantSplit/>
        </w:trPr>
        <w:tc>
          <w:tcPr>
            <w:tcW w:w="993" w:type="dxa"/>
          </w:tcPr>
          <w:p w:rsidR="00C34772" w:rsidRPr="002536D5" w:rsidRDefault="00C34772" w:rsidP="00DC2C7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536D5">
              <w:rPr>
                <w:szCs w:val="24"/>
              </w:rPr>
              <w:t>Correo-e:</w:t>
            </w:r>
          </w:p>
        </w:tc>
        <w:tc>
          <w:tcPr>
            <w:tcW w:w="3884" w:type="dxa"/>
          </w:tcPr>
          <w:p w:rsidR="00C34772" w:rsidRDefault="00C872DF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2536D5" w:rsidRPr="009471BB">
                <w:rPr>
                  <w:rStyle w:val="Hyperlink"/>
                </w:rPr>
                <w:t>martin.adolph@itu.int</w:t>
              </w:r>
            </w:hyperlink>
            <w:r w:rsidR="00C34772">
              <w:t xml:space="preserve"> </w:t>
            </w:r>
          </w:p>
        </w:tc>
        <w:tc>
          <w:tcPr>
            <w:tcW w:w="4932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5E10FF" w:rsidRDefault="005E10FF" w:rsidP="00DC2C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 xml:space="preserve">A los Presidentes y Vicepresidentes de las Comisiones de Estudio del UIT-T; </w:t>
            </w:r>
          </w:p>
          <w:p w:rsidR="005E10FF" w:rsidRDefault="005E10FF" w:rsidP="00DC2C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5E10FF" w:rsidRDefault="005E10FF" w:rsidP="00DC2C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Director de la Oficina de Radiocomunicaciones;</w:t>
            </w:r>
          </w:p>
          <w:p w:rsidR="005E10FF" w:rsidRDefault="005E10FF" w:rsidP="00DC2C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Director de las Oficinas Regionales de la UIT</w:t>
            </w:r>
            <w:r w:rsidR="003E4939">
              <w:t>;</w:t>
            </w:r>
          </w:p>
          <w:p w:rsidR="00C34772" w:rsidRDefault="005E10FF" w:rsidP="00DC2C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Jefe de la Oficina de Enlace de la UIT con las Naciones Unidas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43"/>
      </w:tblGrid>
      <w:tr w:rsidR="00C34772" w:rsidTr="00DC2C7F">
        <w:trPr>
          <w:cantSplit/>
        </w:trPr>
        <w:tc>
          <w:tcPr>
            <w:tcW w:w="822" w:type="dxa"/>
          </w:tcPr>
          <w:p w:rsidR="00C34772" w:rsidRPr="002536D5" w:rsidRDefault="00C34772" w:rsidP="00DC2C7F">
            <w:pPr>
              <w:tabs>
                <w:tab w:val="clear" w:pos="794"/>
                <w:tab w:val="clear" w:pos="1191"/>
                <w:tab w:val="left" w:pos="822"/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536D5">
              <w:rPr>
                <w:szCs w:val="24"/>
              </w:rPr>
              <w:t>Asunto:</w:t>
            </w:r>
          </w:p>
        </w:tc>
        <w:tc>
          <w:tcPr>
            <w:tcW w:w="7143" w:type="dxa"/>
          </w:tcPr>
          <w:p w:rsidR="00C34772" w:rsidRDefault="005E10FF" w:rsidP="00DC2C7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E10FF">
              <w:rPr>
                <w:b/>
              </w:rPr>
              <w:t>Creación de un nuevo Grupo Temático del UIT-T sobre las IMT-2020 (FG IMT-2020) y primera reunión del FG IMT-2020, San Diego, California (</w:t>
            </w:r>
            <w:r w:rsidR="00DC2C7F">
              <w:rPr>
                <w:b/>
              </w:rPr>
              <w:t>E</w:t>
            </w:r>
            <w:r w:rsidRPr="005E10FF">
              <w:rPr>
                <w:b/>
              </w:rPr>
              <w:t>stados Unidos), 8-9 de junio de 2015</w:t>
            </w:r>
          </w:p>
        </w:tc>
      </w:tr>
    </w:tbl>
    <w:p w:rsidR="00C34772" w:rsidRDefault="005E10FF" w:rsidP="00DC2C7F">
      <w:pPr>
        <w:pStyle w:val="Normalaftertitle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5E10FF">
        <w:t>Estimado(a) señor(a):</w:t>
      </w:r>
    </w:p>
    <w:p w:rsidR="005E10FF" w:rsidRPr="00334286" w:rsidRDefault="005E10FF" w:rsidP="002536D5">
      <w:pPr>
        <w:rPr>
          <w:lang w:val="es-ES"/>
        </w:rPr>
      </w:pPr>
      <w:r w:rsidRPr="00334286">
        <w:rPr>
          <w:lang w:val="es-ES"/>
        </w:rPr>
        <w:t>1</w:t>
      </w:r>
      <w:r w:rsidRPr="00334286">
        <w:rPr>
          <w:lang w:val="es-ES"/>
        </w:rPr>
        <w:tab/>
      </w:r>
      <w:r w:rsidRPr="00B06B46">
        <w:rPr>
          <w:lang w:val="es-ES"/>
        </w:rPr>
        <w:t xml:space="preserve">Me complace anunciar la creación del </w:t>
      </w:r>
      <w:hyperlink r:id="rId11" w:history="1">
        <w:r w:rsidRPr="00B06B46">
          <w:rPr>
            <w:b/>
            <w:bCs/>
            <w:color w:val="0000FF"/>
            <w:u w:val="single"/>
            <w:lang w:val="es-ES"/>
          </w:rPr>
          <w:t>Grupo Temático del UIT-T sobre las IMT-2020</w:t>
        </w:r>
      </w:hyperlink>
      <w:r w:rsidRPr="00334286">
        <w:rPr>
          <w:lang w:val="es-ES"/>
        </w:rPr>
        <w:t xml:space="preserve"> (FG IMT</w:t>
      </w:r>
      <w:r w:rsidRPr="00334286">
        <w:rPr>
          <w:lang w:val="es-ES"/>
        </w:rPr>
        <w:noBreakHyphen/>
        <w:t xml:space="preserve">2020) </w:t>
      </w:r>
      <w:r w:rsidRPr="00B06B46">
        <w:rPr>
          <w:lang w:val="es-ES"/>
        </w:rPr>
        <w:t>tras el acuerdo alcanzado por la Comisión de Estudio 13 del UIT-T en su reunión celebrada en Ginebra, del 20</w:t>
      </w:r>
      <w:r w:rsidR="00DC2C7F">
        <w:rPr>
          <w:lang w:val="es-ES"/>
        </w:rPr>
        <w:t xml:space="preserve"> de abril al 1 de mayo de 2015.</w:t>
      </w:r>
    </w:p>
    <w:p w:rsidR="005E10FF" w:rsidRPr="00334286" w:rsidRDefault="005E10FF" w:rsidP="003E4939">
      <w:pPr>
        <w:rPr>
          <w:lang w:val="es-ES"/>
        </w:rPr>
      </w:pPr>
      <w:r w:rsidRPr="00334286">
        <w:rPr>
          <w:lang w:val="es-ES"/>
        </w:rPr>
        <w:t>2</w:t>
      </w:r>
      <w:r w:rsidRPr="00334286">
        <w:rPr>
          <w:lang w:val="es-ES"/>
        </w:rPr>
        <w:tab/>
      </w:r>
      <w:r w:rsidRPr="00B06B46">
        <w:rPr>
          <w:lang w:val="es-ES"/>
        </w:rPr>
        <w:t xml:space="preserve">En 2012, la UIT creó un programa sobre las </w:t>
      </w:r>
      <w:r w:rsidRPr="00B06B46">
        <w:rPr>
          <w:b/>
          <w:bCs/>
          <w:lang w:val="es-ES"/>
        </w:rPr>
        <w:t>telecomunicaciones móviles internacionales (IMT) para 2020 y después</w:t>
      </w:r>
      <w:r w:rsidRPr="00B06B46">
        <w:rPr>
          <w:lang w:val="es-ES"/>
        </w:rPr>
        <w:t xml:space="preserve"> que constituye el marco para la investigación y el desarrollo de las IMT</w:t>
      </w:r>
      <w:r w:rsidR="003E4939">
        <w:rPr>
          <w:lang w:val="es-ES"/>
        </w:rPr>
        <w:noBreakHyphen/>
      </w:r>
      <w:r w:rsidRPr="00B06B46">
        <w:rPr>
          <w:lang w:val="es-ES"/>
        </w:rPr>
        <w:t>2020 en todo el mundo. El UIT-R está coordinando la tarea de normalización internacional de los sistemas IMT-2020. Está previsto que el UIT-T desempeñe una función de convocatoria similar respecto de las tecnologías y las arquitecturas de las redes alámbricas.</w:t>
      </w:r>
    </w:p>
    <w:p w:rsidR="005E10FF" w:rsidRPr="00334286" w:rsidRDefault="005E10FF" w:rsidP="002536D5">
      <w:pPr>
        <w:rPr>
          <w:lang w:val="es-ES"/>
        </w:rPr>
      </w:pPr>
      <w:r w:rsidRPr="00334286">
        <w:rPr>
          <w:lang w:val="es-ES"/>
        </w:rPr>
        <w:t>3</w:t>
      </w:r>
      <w:r w:rsidRPr="00334286">
        <w:rPr>
          <w:lang w:val="es-ES"/>
        </w:rPr>
        <w:tab/>
      </w:r>
      <w:r w:rsidRPr="00B06B46">
        <w:rPr>
          <w:lang w:val="es-ES"/>
        </w:rPr>
        <w:t xml:space="preserve">El nuevo Grupo Temático sobre las </w:t>
      </w:r>
      <w:r w:rsidRPr="00334286">
        <w:rPr>
          <w:lang w:val="es-ES"/>
        </w:rPr>
        <w:t>IMT-2020</w:t>
      </w:r>
      <w:r w:rsidRPr="00B06B46">
        <w:rPr>
          <w:lang w:val="es-ES"/>
        </w:rPr>
        <w:t xml:space="preserve"> será el punto de partida para la contribución del UIT-T hacia la normalización de las IMT-2020. El ámbito de actuación del </w:t>
      </w:r>
      <w:r w:rsidRPr="00334286">
        <w:rPr>
          <w:lang w:val="es-ES"/>
        </w:rPr>
        <w:t>FG IMT</w:t>
      </w:r>
      <w:r w:rsidRPr="00334286">
        <w:rPr>
          <w:lang w:val="es-ES"/>
        </w:rPr>
        <w:noBreakHyphen/>
        <w:t>2020</w:t>
      </w:r>
      <w:r w:rsidRPr="00B06B46">
        <w:rPr>
          <w:lang w:val="es-ES"/>
        </w:rPr>
        <w:t xml:space="preserve"> se centrará en determinar las necesidades de normalización de los elementos alámbricos de las redes </w:t>
      </w:r>
      <w:r w:rsidRPr="00334286">
        <w:rPr>
          <w:lang w:val="es-ES"/>
        </w:rPr>
        <w:t xml:space="preserve">IMT-2020, </w:t>
      </w:r>
      <w:r w:rsidRPr="00B06B46">
        <w:rPr>
          <w:lang w:val="es-ES"/>
        </w:rPr>
        <w:t>sobre la base del análisis de los estudios que están efectuando otras entidades. La actividad de normalización del UIT-T, basada en las conclusiones del Grupo Temático, tendrá como prioridad adaptar sus productos finales en relación con las IMT-2020 con los del UIT-R, velando por que la labor de normalización sobre los aspectos de red de las IMT-2020 contribuya a la futura e</w:t>
      </w:r>
      <w:r w:rsidR="00DC2C7F">
        <w:rPr>
          <w:lang w:val="es-ES"/>
        </w:rPr>
        <w:t>volución de las IMT.</w:t>
      </w:r>
    </w:p>
    <w:p w:rsidR="005E10FF" w:rsidRPr="00334286" w:rsidRDefault="005E10FF" w:rsidP="00DC2C7F">
      <w:pPr>
        <w:keepNext/>
        <w:keepLines/>
        <w:rPr>
          <w:lang w:val="es-ES"/>
        </w:rPr>
      </w:pPr>
      <w:r w:rsidRPr="00334286">
        <w:rPr>
          <w:lang w:val="es-ES"/>
        </w:rPr>
        <w:lastRenderedPageBreak/>
        <w:t>4</w:t>
      </w:r>
      <w:r w:rsidRPr="00334286">
        <w:rPr>
          <w:lang w:val="es-ES"/>
        </w:rPr>
        <w:tab/>
      </w:r>
      <w:r w:rsidRPr="00B06B46">
        <w:rPr>
          <w:lang w:val="es-ES"/>
        </w:rPr>
        <w:t xml:space="preserve">El Grupo Temático funcionará con arreglo a los procedimientos establecidos en la </w:t>
      </w:r>
      <w:hyperlink r:id="rId12" w:history="1">
        <w:r w:rsidRPr="00B06B46">
          <w:rPr>
            <w:color w:val="0000FF"/>
            <w:u w:val="single"/>
            <w:lang w:val="es-ES"/>
          </w:rPr>
          <w:t>Recomendación UIT-T A.7</w:t>
        </w:r>
      </w:hyperlink>
      <w:r w:rsidRPr="00334286">
        <w:rPr>
          <w:lang w:val="es-ES"/>
        </w:rPr>
        <w:t xml:space="preserve">. </w:t>
      </w:r>
      <w:r w:rsidRPr="00B06B46">
        <w:rPr>
          <w:lang w:val="es-ES"/>
        </w:rPr>
        <w:t xml:space="preserve">En el </w:t>
      </w:r>
      <w:r w:rsidRPr="00B06B46">
        <w:rPr>
          <w:b/>
          <w:bCs/>
          <w:lang w:val="es-ES"/>
        </w:rPr>
        <w:t>Anexo 1</w:t>
      </w:r>
      <w:r w:rsidRPr="00B06B46">
        <w:rPr>
          <w:lang w:val="es-ES"/>
        </w:rPr>
        <w:t xml:space="preserve"> se reproduce el mandato acordado. La Comisión de Estudio 13 del UIT-T nombró al Sr.</w:t>
      </w:r>
      <w:r w:rsidRPr="00334286">
        <w:rPr>
          <w:lang w:val="es-ES"/>
        </w:rPr>
        <w:t xml:space="preserve"> Peter </w:t>
      </w:r>
      <w:proofErr w:type="spellStart"/>
      <w:r w:rsidRPr="00334286">
        <w:rPr>
          <w:lang w:val="es-ES"/>
        </w:rPr>
        <w:t>Ashwood</w:t>
      </w:r>
      <w:proofErr w:type="spellEnd"/>
      <w:r w:rsidRPr="00334286">
        <w:rPr>
          <w:lang w:val="es-ES"/>
        </w:rPr>
        <w:t xml:space="preserve">-Smith, </w:t>
      </w:r>
      <w:proofErr w:type="spellStart"/>
      <w:r w:rsidRPr="00334286">
        <w:rPr>
          <w:lang w:val="es-ES"/>
        </w:rPr>
        <w:t>Huawei</w:t>
      </w:r>
      <w:proofErr w:type="spellEnd"/>
      <w:r w:rsidRPr="00334286">
        <w:rPr>
          <w:lang w:val="es-ES"/>
        </w:rPr>
        <w:t xml:space="preserve"> Technologies, </w:t>
      </w:r>
      <w:r w:rsidRPr="00B06B46">
        <w:rPr>
          <w:lang w:val="es-ES"/>
        </w:rPr>
        <w:t xml:space="preserve">Canadá, como Presidente del Grupo Temático. Fueron nombrados Vicepresidentes los Sres. </w:t>
      </w:r>
      <w:proofErr w:type="spellStart"/>
      <w:r w:rsidRPr="00334286">
        <w:rPr>
          <w:lang w:val="es-ES"/>
        </w:rPr>
        <w:t>Yachen</w:t>
      </w:r>
      <w:proofErr w:type="spellEnd"/>
      <w:r w:rsidRPr="00334286">
        <w:rPr>
          <w:lang w:val="es-ES"/>
        </w:rPr>
        <w:t xml:space="preserve"> Wang, China Mobile, China; </w:t>
      </w:r>
      <w:proofErr w:type="spellStart"/>
      <w:r w:rsidRPr="00334286">
        <w:rPr>
          <w:lang w:val="es-ES"/>
        </w:rPr>
        <w:t>Nam-Seok</w:t>
      </w:r>
      <w:proofErr w:type="spellEnd"/>
      <w:r w:rsidRPr="00334286">
        <w:rPr>
          <w:lang w:val="es-ES"/>
        </w:rPr>
        <w:t xml:space="preserve"> </w:t>
      </w:r>
      <w:proofErr w:type="spellStart"/>
      <w:r w:rsidRPr="00334286">
        <w:rPr>
          <w:lang w:val="es-ES"/>
        </w:rPr>
        <w:t>Ko</w:t>
      </w:r>
      <w:proofErr w:type="spellEnd"/>
      <w:r w:rsidRPr="00334286">
        <w:rPr>
          <w:lang w:val="es-ES"/>
        </w:rPr>
        <w:t xml:space="preserve">, ETRI, </w:t>
      </w:r>
      <w:r w:rsidRPr="00B06B46">
        <w:rPr>
          <w:lang w:val="es-ES"/>
        </w:rPr>
        <w:t>Corea</w:t>
      </w:r>
      <w:r w:rsidRPr="00334286">
        <w:rPr>
          <w:lang w:val="es-ES"/>
        </w:rPr>
        <w:t xml:space="preserve">; </w:t>
      </w:r>
      <w:proofErr w:type="spellStart"/>
      <w:r w:rsidRPr="00334286">
        <w:rPr>
          <w:lang w:val="es-ES"/>
        </w:rPr>
        <w:t>Hideo</w:t>
      </w:r>
      <w:proofErr w:type="spellEnd"/>
      <w:r w:rsidRPr="00334286">
        <w:rPr>
          <w:lang w:val="es-ES"/>
        </w:rPr>
        <w:t xml:space="preserve"> </w:t>
      </w:r>
      <w:proofErr w:type="spellStart"/>
      <w:r w:rsidRPr="00334286">
        <w:rPr>
          <w:lang w:val="es-ES"/>
        </w:rPr>
        <w:t>Imanaka</w:t>
      </w:r>
      <w:proofErr w:type="spellEnd"/>
      <w:r w:rsidRPr="00334286">
        <w:rPr>
          <w:lang w:val="es-ES"/>
        </w:rPr>
        <w:t xml:space="preserve">, NTT, </w:t>
      </w:r>
      <w:r w:rsidRPr="00B06B46">
        <w:rPr>
          <w:lang w:val="es-ES"/>
        </w:rPr>
        <w:t>Japón</w:t>
      </w:r>
      <w:r w:rsidRPr="00334286">
        <w:rPr>
          <w:lang w:val="es-ES"/>
        </w:rPr>
        <w:t xml:space="preserve">; </w:t>
      </w:r>
      <w:r w:rsidRPr="00B06B46">
        <w:rPr>
          <w:lang w:val="es-ES"/>
        </w:rPr>
        <w:t>y</w:t>
      </w:r>
      <w:r w:rsidRPr="00334286">
        <w:rPr>
          <w:lang w:val="es-ES"/>
        </w:rPr>
        <w:t xml:space="preserve"> Luca Pesando, Telecom Italia, </w:t>
      </w:r>
      <w:r w:rsidRPr="00B06B46">
        <w:rPr>
          <w:lang w:val="es-ES"/>
        </w:rPr>
        <w:t>Italia</w:t>
      </w:r>
      <w:r w:rsidRPr="00334286">
        <w:rPr>
          <w:lang w:val="es-ES"/>
        </w:rPr>
        <w:t>.</w:t>
      </w:r>
    </w:p>
    <w:p w:rsidR="005E10FF" w:rsidRPr="00334286" w:rsidRDefault="005E10FF" w:rsidP="002536D5">
      <w:pPr>
        <w:rPr>
          <w:lang w:val="es-ES"/>
        </w:rPr>
      </w:pPr>
      <w:r w:rsidRPr="00334286">
        <w:rPr>
          <w:lang w:val="es-ES"/>
        </w:rPr>
        <w:t>5</w:t>
      </w:r>
      <w:r w:rsidRPr="00334286">
        <w:rPr>
          <w:lang w:val="es-ES"/>
        </w:rPr>
        <w:tab/>
      </w:r>
      <w:r w:rsidRPr="00B06B46">
        <w:rPr>
          <w:lang w:val="es-ES"/>
        </w:rPr>
        <w:t xml:space="preserve">La participación en el </w:t>
      </w:r>
      <w:r w:rsidRPr="00334286">
        <w:rPr>
          <w:lang w:val="es-ES"/>
        </w:rPr>
        <w:t xml:space="preserve">FG IMT-2020 </w:t>
      </w:r>
      <w:r w:rsidRPr="00B06B46">
        <w:rPr>
          <w:lang w:val="es-ES"/>
        </w:rPr>
        <w:t xml:space="preserve">está abierta a los Estados Miembros, Miembros de Sector, Asociados e Instituciones Académicas de la UIT, así como cualquier persona de un país Miembro de la UIT que desee contribuir a los trabajos, en particular las personas que también sean miembros o representantes de organizaciones de normalización interesadas. Se invita a todos los interesados en recibir las actualizaciones y anuncios relacionados con el grupo a </w:t>
      </w:r>
      <w:hyperlink r:id="rId13" w:history="1">
        <w:r w:rsidRPr="00B06B46">
          <w:rPr>
            <w:color w:val="0000FF"/>
            <w:u w:val="single"/>
            <w:lang w:val="es-ES"/>
          </w:rPr>
          <w:t>inscribirse aquí</w:t>
        </w:r>
      </w:hyperlink>
      <w:r w:rsidRPr="00334286">
        <w:rPr>
          <w:lang w:val="es-ES"/>
        </w:rPr>
        <w:t xml:space="preserve"> (</w:t>
      </w:r>
      <w:r w:rsidRPr="00B06B46">
        <w:rPr>
          <w:lang w:val="es-ES"/>
        </w:rPr>
        <w:t xml:space="preserve">se requiere una cuenta </w:t>
      </w:r>
      <w:r w:rsidRPr="00334286">
        <w:rPr>
          <w:lang w:val="es-ES"/>
        </w:rPr>
        <w:t>TIES o</w:t>
      </w:r>
      <w:r w:rsidRPr="00B06B46">
        <w:rPr>
          <w:lang w:val="es-ES"/>
        </w:rPr>
        <w:t xml:space="preserve"> una</w:t>
      </w:r>
      <w:r w:rsidRPr="00334286">
        <w:rPr>
          <w:lang w:val="es-ES"/>
        </w:rPr>
        <w:t xml:space="preserve"> </w:t>
      </w:r>
      <w:hyperlink r:id="rId14" w:history="1">
        <w:r w:rsidRPr="00B06B46">
          <w:rPr>
            <w:color w:val="0000FF"/>
            <w:u w:val="single"/>
            <w:lang w:val="es-ES"/>
          </w:rPr>
          <w:t>cuenta de Invitado de la UIT gratuita</w:t>
        </w:r>
      </w:hyperlink>
      <w:r w:rsidRPr="00334286">
        <w:rPr>
          <w:lang w:val="es-ES"/>
        </w:rPr>
        <w:t>).</w:t>
      </w:r>
    </w:p>
    <w:p w:rsidR="005E10FF" w:rsidRPr="00334286" w:rsidRDefault="005E10FF" w:rsidP="005E10FF">
      <w:pPr>
        <w:keepNext/>
        <w:keepLines/>
        <w:spacing w:before="280"/>
        <w:ind w:left="1134" w:hanging="1134"/>
        <w:outlineLvl w:val="0"/>
        <w:rPr>
          <w:b/>
          <w:sz w:val="28"/>
          <w:lang w:val="es-ES"/>
        </w:rPr>
      </w:pPr>
      <w:r w:rsidRPr="00B06B46">
        <w:rPr>
          <w:b/>
          <w:sz w:val="28"/>
          <w:lang w:val="es-ES"/>
        </w:rPr>
        <w:t xml:space="preserve">Primera reunión del </w:t>
      </w:r>
      <w:r w:rsidRPr="00334286">
        <w:rPr>
          <w:b/>
          <w:sz w:val="28"/>
          <w:lang w:val="es-ES"/>
        </w:rPr>
        <w:t>FG IMT-2020</w:t>
      </w:r>
    </w:p>
    <w:p w:rsidR="005E10FF" w:rsidRPr="00334286" w:rsidRDefault="005E10FF" w:rsidP="002536D5">
      <w:pPr>
        <w:rPr>
          <w:lang w:val="es-ES"/>
        </w:rPr>
      </w:pPr>
      <w:r w:rsidRPr="00334286">
        <w:rPr>
          <w:lang w:val="es-ES"/>
        </w:rPr>
        <w:t>6</w:t>
      </w:r>
      <w:r w:rsidRPr="00334286">
        <w:rPr>
          <w:lang w:val="es-ES"/>
        </w:rPr>
        <w:tab/>
      </w:r>
      <w:r w:rsidRPr="00B06B46">
        <w:rPr>
          <w:lang w:val="es-ES"/>
        </w:rPr>
        <w:t xml:space="preserve">Está previsto que la primera reunión del </w:t>
      </w:r>
      <w:r w:rsidRPr="00334286">
        <w:rPr>
          <w:lang w:val="es-ES"/>
        </w:rPr>
        <w:t xml:space="preserve">FG IMT-2020 </w:t>
      </w:r>
      <w:r w:rsidRPr="00B06B46">
        <w:rPr>
          <w:lang w:val="es-ES"/>
        </w:rPr>
        <w:t>tenga lugar en</w:t>
      </w:r>
      <w:r w:rsidRPr="00334286">
        <w:rPr>
          <w:lang w:val="es-ES"/>
        </w:rPr>
        <w:t xml:space="preserve"> </w:t>
      </w:r>
      <w:proofErr w:type="spellStart"/>
      <w:r w:rsidRPr="00334286">
        <w:rPr>
          <w:b/>
          <w:bCs/>
          <w:u w:val="single"/>
          <w:lang w:val="es-ES"/>
        </w:rPr>
        <w:t>Crowne</w:t>
      </w:r>
      <w:proofErr w:type="spellEnd"/>
      <w:r w:rsidRPr="00334286">
        <w:rPr>
          <w:b/>
          <w:bCs/>
          <w:u w:val="single"/>
          <w:lang w:val="es-ES"/>
        </w:rPr>
        <w:t xml:space="preserve"> Plaza San Diego - </w:t>
      </w:r>
      <w:proofErr w:type="spellStart"/>
      <w:r w:rsidRPr="00334286">
        <w:rPr>
          <w:b/>
          <w:bCs/>
          <w:u w:val="single"/>
          <w:lang w:val="es-ES"/>
        </w:rPr>
        <w:t>Mission</w:t>
      </w:r>
      <w:proofErr w:type="spellEnd"/>
      <w:r w:rsidRPr="00334286">
        <w:rPr>
          <w:b/>
          <w:bCs/>
          <w:u w:val="single"/>
          <w:lang w:val="es-ES"/>
        </w:rPr>
        <w:t xml:space="preserve"> Valley</w:t>
      </w:r>
      <w:r w:rsidRPr="00334286">
        <w:rPr>
          <w:lang w:val="es-ES"/>
        </w:rPr>
        <w:t xml:space="preserve"> </w:t>
      </w:r>
      <w:r w:rsidRPr="00B06B46">
        <w:rPr>
          <w:lang w:val="es-ES"/>
        </w:rPr>
        <w:t>en</w:t>
      </w:r>
      <w:r w:rsidRPr="00334286">
        <w:rPr>
          <w:lang w:val="es-ES"/>
        </w:rPr>
        <w:t xml:space="preserve"> </w:t>
      </w:r>
      <w:r w:rsidRPr="00334286">
        <w:rPr>
          <w:b/>
          <w:bCs/>
          <w:u w:val="single"/>
          <w:lang w:val="es-ES"/>
        </w:rPr>
        <w:t xml:space="preserve">San Diego, California </w:t>
      </w:r>
      <w:r w:rsidRPr="00B06B46">
        <w:rPr>
          <w:b/>
          <w:bCs/>
          <w:u w:val="single"/>
          <w:lang w:val="es-ES"/>
        </w:rPr>
        <w:t>(Estados Unidos)</w:t>
      </w:r>
      <w:r w:rsidRPr="00334286">
        <w:rPr>
          <w:b/>
          <w:bCs/>
          <w:u w:val="single"/>
          <w:lang w:val="es-ES"/>
        </w:rPr>
        <w:t xml:space="preserve">, </w:t>
      </w:r>
      <w:r w:rsidRPr="00B06B46">
        <w:rPr>
          <w:b/>
          <w:bCs/>
          <w:u w:val="single"/>
          <w:lang w:val="es-ES"/>
        </w:rPr>
        <w:t>los días 8 y 9 de junio de</w:t>
      </w:r>
      <w:r w:rsidRPr="00334286">
        <w:rPr>
          <w:b/>
          <w:bCs/>
          <w:u w:val="single"/>
          <w:lang w:val="es-ES"/>
        </w:rPr>
        <w:t xml:space="preserve"> 2015</w:t>
      </w:r>
      <w:r w:rsidRPr="00334286">
        <w:rPr>
          <w:lang w:val="es-ES"/>
        </w:rPr>
        <w:t xml:space="preserve">. </w:t>
      </w:r>
      <w:r w:rsidRPr="00B06B46">
        <w:rPr>
          <w:lang w:val="es-ES"/>
        </w:rPr>
        <w:t xml:space="preserve">En el </w:t>
      </w:r>
      <w:r w:rsidRPr="00B06B46">
        <w:rPr>
          <w:b/>
          <w:bCs/>
          <w:lang w:val="es-ES"/>
        </w:rPr>
        <w:t>Anexo 2</w:t>
      </w:r>
      <w:r w:rsidRPr="00B06B46">
        <w:rPr>
          <w:lang w:val="es-ES"/>
        </w:rPr>
        <w:t xml:space="preserve"> se facilita información logística acerca de la reunión, incluido un sitio web para que los asistentes reserven su habitación de hotel con tarifa preferencial. </w:t>
      </w:r>
    </w:p>
    <w:p w:rsidR="005E10FF" w:rsidRPr="00334286" w:rsidRDefault="005E10FF" w:rsidP="005A6F44">
      <w:pPr>
        <w:rPr>
          <w:rFonts w:eastAsia="Malgun Gothic"/>
          <w:lang w:val="es-ES"/>
        </w:rPr>
      </w:pPr>
      <w:r w:rsidRPr="00334286">
        <w:rPr>
          <w:lang w:val="es-ES"/>
        </w:rPr>
        <w:t>7</w:t>
      </w:r>
      <w:r w:rsidRPr="00334286">
        <w:rPr>
          <w:lang w:val="es-ES"/>
        </w:rPr>
        <w:tab/>
      </w:r>
      <w:r w:rsidRPr="00B06B46">
        <w:rPr>
          <w:lang w:val="es-ES"/>
        </w:rPr>
        <w:t xml:space="preserve">Para que la UIT pueda tomar las disposiciones necesarias para la organización de la reunión del Grupo Temático, le agradecería que se inscribiese a la mayor brevedad posible, y </w:t>
      </w:r>
      <w:r w:rsidRPr="00B06B46">
        <w:rPr>
          <w:b/>
          <w:bCs/>
          <w:lang w:val="es-ES"/>
        </w:rPr>
        <w:t>a más tardar el 1 de junio de 2015</w:t>
      </w:r>
      <w:r w:rsidRPr="00B06B46">
        <w:rPr>
          <w:lang w:val="es-ES"/>
        </w:rPr>
        <w:t xml:space="preserve">. Le ruego tenga presente que la preinscripción de los participantes en la reunión se lleva a cabo exclusivamente </w:t>
      </w:r>
      <w:r w:rsidRPr="00B06B46">
        <w:rPr>
          <w:i/>
          <w:iCs/>
          <w:lang w:val="es-ES"/>
        </w:rPr>
        <w:t>en línea</w:t>
      </w:r>
      <w:r w:rsidRPr="00B06B46">
        <w:rPr>
          <w:lang w:val="es-ES"/>
        </w:rPr>
        <w:t xml:space="preserve"> en la dirección </w:t>
      </w:r>
      <w:hyperlink r:id="rId15" w:history="1">
        <w:r w:rsidRPr="00B06B46">
          <w:rPr>
            <w:color w:val="0000FF"/>
            <w:u w:val="single"/>
            <w:lang w:val="es-ES"/>
          </w:rPr>
          <w:t>http://itu.int/en/ITU-T/focusgroups/imt-2020/</w:t>
        </w:r>
      </w:hyperlink>
      <w:r w:rsidRPr="00334286">
        <w:rPr>
          <w:rFonts w:eastAsia="Malgun Gothic"/>
          <w:lang w:val="es-ES"/>
        </w:rPr>
        <w:t>.</w:t>
      </w:r>
      <w:r w:rsidRPr="00B06B46">
        <w:rPr>
          <w:rFonts w:eastAsia="Malgun Gothic"/>
          <w:lang w:val="es-ES"/>
        </w:rPr>
        <w:t xml:space="preserve"> </w:t>
      </w:r>
      <w:r w:rsidRPr="00B06B46">
        <w:rPr>
          <w:lang w:val="es-ES"/>
        </w:rPr>
        <w:t xml:space="preserve">Con el fin de poder proporcionarle cualquier actualización relativa a la planificación de la reunión, le rogamos facilite su dirección de correo-e en el formulario de inscripción. </w:t>
      </w:r>
    </w:p>
    <w:p w:rsidR="005E10FF" w:rsidRPr="00334286" w:rsidRDefault="005E10FF" w:rsidP="002536D5">
      <w:pPr>
        <w:rPr>
          <w:lang w:val="es-ES"/>
        </w:rPr>
      </w:pPr>
      <w:r w:rsidRPr="00334286">
        <w:rPr>
          <w:lang w:val="es-ES"/>
        </w:rPr>
        <w:t>8</w:t>
      </w:r>
      <w:r w:rsidRPr="00334286">
        <w:rPr>
          <w:lang w:val="es-ES"/>
        </w:rPr>
        <w:tab/>
      </w:r>
      <w:r w:rsidRPr="00B06B46">
        <w:rPr>
          <w:lang w:val="es-ES"/>
        </w:rPr>
        <w:t>Se podrá participar a distancia en esta reunión. Se facilitarán instrucciones detalladas a los participantes inscritos.</w:t>
      </w:r>
    </w:p>
    <w:p w:rsidR="005E10FF" w:rsidRPr="00334286" w:rsidRDefault="005E10FF" w:rsidP="002536D5">
      <w:pPr>
        <w:rPr>
          <w:lang w:val="es-ES"/>
        </w:rPr>
      </w:pPr>
      <w:r w:rsidRPr="00334286">
        <w:rPr>
          <w:lang w:val="es-ES"/>
        </w:rPr>
        <w:t>9</w:t>
      </w:r>
      <w:r w:rsidRPr="00334286">
        <w:rPr>
          <w:lang w:val="es-ES"/>
        </w:rPr>
        <w:tab/>
      </w:r>
      <w:r w:rsidRPr="00B06B46">
        <w:rPr>
          <w:lang w:val="es-ES"/>
        </w:rPr>
        <w:t>La información relacionada con esta reunión y las contribuciones recibidas estarán disponibles en el sitio web del Grupo Temático</w:t>
      </w:r>
      <w:r w:rsidRPr="00334286">
        <w:rPr>
          <w:lang w:val="es-ES"/>
        </w:rPr>
        <w:t xml:space="preserve">: </w:t>
      </w:r>
      <w:hyperlink r:id="rId16" w:history="1">
        <w:r w:rsidRPr="00B06B46">
          <w:rPr>
            <w:color w:val="0000FF"/>
            <w:u w:val="single"/>
            <w:lang w:val="es-ES"/>
          </w:rPr>
          <w:t>http://itu.int/en/ITU-T/focusgroups/imt-2020/</w:t>
        </w:r>
      </w:hyperlink>
      <w:r w:rsidRPr="00334286">
        <w:rPr>
          <w:lang w:val="es-ES"/>
        </w:rPr>
        <w:t xml:space="preserve">. </w:t>
      </w:r>
      <w:r w:rsidRPr="00B06B46">
        <w:rPr>
          <w:lang w:val="es-ES"/>
        </w:rPr>
        <w:t xml:space="preserve">La reunión comenzará a las </w:t>
      </w:r>
      <w:r w:rsidRPr="00334286">
        <w:rPr>
          <w:lang w:val="es-ES"/>
        </w:rPr>
        <w:t>09</w:t>
      </w:r>
      <w:r w:rsidR="002536D5">
        <w:rPr>
          <w:lang w:val="es-ES"/>
        </w:rPr>
        <w:t>.</w:t>
      </w:r>
      <w:r w:rsidRPr="00334286">
        <w:rPr>
          <w:lang w:val="es-ES"/>
        </w:rPr>
        <w:t>00 ho</w:t>
      </w:r>
      <w:r w:rsidRPr="00B06B46">
        <w:rPr>
          <w:lang w:val="es-ES"/>
        </w:rPr>
        <w:t xml:space="preserve">ras del 8 de junio de </w:t>
      </w:r>
      <w:r w:rsidRPr="00334286">
        <w:rPr>
          <w:lang w:val="es-ES"/>
        </w:rPr>
        <w:t>2015.</w:t>
      </w:r>
    </w:p>
    <w:p w:rsidR="005E10FF" w:rsidRPr="00334286" w:rsidRDefault="005E10FF" w:rsidP="002536D5">
      <w:pPr>
        <w:rPr>
          <w:lang w:val="es-ES"/>
        </w:rPr>
      </w:pPr>
      <w:r w:rsidRPr="00334286">
        <w:rPr>
          <w:lang w:val="es-ES"/>
        </w:rPr>
        <w:t>10</w:t>
      </w:r>
      <w:r w:rsidRPr="00334286">
        <w:rPr>
          <w:lang w:val="es-ES"/>
        </w:rPr>
        <w:tab/>
      </w:r>
      <w:r w:rsidRPr="00B06B46">
        <w:rPr>
          <w:lang w:val="es-ES"/>
        </w:rPr>
        <w:t>Los documentos de contribución para esta reunión se pondrán a disposición del público. Al preparar los documentos, sírvase utilizar la plantilla básica disponible en la página web del Grupo T</w:t>
      </w:r>
      <w:r w:rsidR="002536D5">
        <w:rPr>
          <w:lang w:val="es-ES"/>
        </w:rPr>
        <w:t>emático.</w:t>
      </w:r>
    </w:p>
    <w:p w:rsidR="005E10FF" w:rsidRPr="00334286" w:rsidRDefault="005E10FF" w:rsidP="002536D5">
      <w:pPr>
        <w:rPr>
          <w:rFonts w:eastAsia="Malgun Gothic"/>
          <w:lang w:val="es-ES"/>
        </w:rPr>
      </w:pPr>
      <w:r w:rsidRPr="00334286">
        <w:rPr>
          <w:lang w:val="es-ES" w:eastAsia="ja-JP"/>
        </w:rPr>
        <w:t>11</w:t>
      </w:r>
      <w:r w:rsidRPr="00334286">
        <w:rPr>
          <w:lang w:val="es-ES" w:eastAsia="ja-JP"/>
        </w:rPr>
        <w:tab/>
      </w:r>
      <w:r w:rsidRPr="00B06B46">
        <w:rPr>
          <w:lang w:val="es-ES" w:eastAsia="ja-JP"/>
        </w:rPr>
        <w:t xml:space="preserve">El plazo para presentar documentos para esta reunión finaliza el </w:t>
      </w:r>
      <w:r w:rsidRPr="00B06B46">
        <w:rPr>
          <w:b/>
          <w:bCs/>
          <w:lang w:val="es-ES" w:eastAsia="ja-JP"/>
        </w:rPr>
        <w:t>1 de junio de 2015</w:t>
      </w:r>
      <w:r w:rsidRPr="00B06B46">
        <w:rPr>
          <w:lang w:val="es-ES" w:eastAsia="ja-JP"/>
        </w:rPr>
        <w:t>. Rogamos tenga presente que se trata de una reunión en la</w:t>
      </w:r>
      <w:r w:rsidR="00DC2C7F">
        <w:rPr>
          <w:lang w:val="es-ES" w:eastAsia="ja-JP"/>
        </w:rPr>
        <w:t xml:space="preserve"> que no se hará uso del papel.</w:t>
      </w:r>
    </w:p>
    <w:p w:rsidR="005E10FF" w:rsidRPr="00334286" w:rsidRDefault="005E10FF" w:rsidP="002536D5">
      <w:pPr>
        <w:rPr>
          <w:lang w:val="es-ES"/>
        </w:rPr>
      </w:pPr>
      <w:r w:rsidRPr="00334286">
        <w:rPr>
          <w:lang w:val="es-ES"/>
        </w:rPr>
        <w:t>12</w:t>
      </w:r>
      <w:r w:rsidRPr="00334286">
        <w:rPr>
          <w:lang w:val="es-ES"/>
        </w:rPr>
        <w:tab/>
      </w:r>
      <w:r w:rsidRPr="00B06B46">
        <w:rPr>
          <w:lang w:val="es-ES"/>
        </w:rPr>
        <w:t>Le recordamos que los ciudadanos procedentes de ciertos países necesitan visado para entrar y permanecer en los Estados Unidos. Ese visado debe solicitarse lo antes posible y obtenerse en la oficina (embajada o consulado) que representa a los Estados Unidos en su país o, en su defecto, en la más próxima a su país de partida</w:t>
      </w:r>
      <w:r w:rsidRPr="00334286">
        <w:rPr>
          <w:lang w:val="es-ES"/>
        </w:rPr>
        <w:t>.</w:t>
      </w:r>
    </w:p>
    <w:p w:rsidR="005E10FF" w:rsidRPr="00334286" w:rsidRDefault="005E10FF" w:rsidP="002536D5">
      <w:pPr>
        <w:rPr>
          <w:lang w:val="es-ES"/>
        </w:rPr>
      </w:pPr>
      <w:r w:rsidRPr="00334286">
        <w:rPr>
          <w:lang w:val="es-ES"/>
        </w:rPr>
        <w:t>13</w:t>
      </w:r>
      <w:r w:rsidRPr="00334286">
        <w:rPr>
          <w:lang w:val="es-ES"/>
        </w:rPr>
        <w:tab/>
      </w:r>
      <w:r w:rsidRPr="00B06B46">
        <w:rPr>
          <w:lang w:val="es-ES"/>
        </w:rPr>
        <w:t xml:space="preserve">Quisiéramos señalar a la atención de los participantes del Grupo Temático que otro evento, la 22ª reunión del </w:t>
      </w:r>
      <w:r w:rsidRPr="00B06B46">
        <w:rPr>
          <w:b/>
          <w:bCs/>
          <w:lang w:val="es-ES"/>
        </w:rPr>
        <w:t>Grupo de Trabajo 5D del UIT-R sobre los sistemas IMT</w:t>
      </w:r>
      <w:r w:rsidRPr="00B06B46">
        <w:rPr>
          <w:lang w:val="es-ES"/>
        </w:rPr>
        <w:t xml:space="preserve">, se celebrará en un lugar diferente de San Diego del 10 al 18 de junio de 2015. Se facilita más información acerca de esta reunión en la </w:t>
      </w:r>
      <w:hyperlink r:id="rId17" w:history="1">
        <w:r w:rsidRPr="00B06B46">
          <w:rPr>
            <w:color w:val="0000FF"/>
            <w:u w:val="single"/>
            <w:lang w:val="es-ES"/>
          </w:rPr>
          <w:t>Circular 55 de la CE05 del UIT-R</w:t>
        </w:r>
      </w:hyperlink>
      <w:r w:rsidRPr="00334286">
        <w:rPr>
          <w:lang w:val="es-ES"/>
        </w:rPr>
        <w:t xml:space="preserve">. </w:t>
      </w:r>
    </w:p>
    <w:p w:rsidR="005E10FF" w:rsidRPr="00334286" w:rsidRDefault="005E10FF" w:rsidP="005E10FF">
      <w:pPr>
        <w:keepNext/>
        <w:keepLines/>
        <w:spacing w:before="280"/>
        <w:ind w:left="1134" w:hanging="1134"/>
        <w:outlineLvl w:val="0"/>
        <w:rPr>
          <w:b/>
          <w:sz w:val="28"/>
          <w:lang w:val="es-ES"/>
        </w:rPr>
      </w:pPr>
      <w:r w:rsidRPr="00334286">
        <w:rPr>
          <w:b/>
          <w:sz w:val="28"/>
          <w:lang w:val="es-ES"/>
        </w:rPr>
        <w:lastRenderedPageBreak/>
        <w:t>Futur</w:t>
      </w:r>
      <w:r w:rsidRPr="00B06B46">
        <w:rPr>
          <w:b/>
          <w:sz w:val="28"/>
          <w:lang w:val="es-ES"/>
        </w:rPr>
        <w:t xml:space="preserve">as reuniones del </w:t>
      </w:r>
      <w:r w:rsidRPr="00334286">
        <w:rPr>
          <w:b/>
          <w:sz w:val="28"/>
          <w:lang w:val="es-ES"/>
        </w:rPr>
        <w:t>FG IMT-2020</w:t>
      </w:r>
    </w:p>
    <w:p w:rsidR="005E10FF" w:rsidRPr="00334286" w:rsidRDefault="005E10FF" w:rsidP="00227081">
      <w:pPr>
        <w:rPr>
          <w:lang w:val="es-ES"/>
        </w:rPr>
      </w:pPr>
      <w:r w:rsidRPr="00334286">
        <w:rPr>
          <w:lang w:val="es-ES"/>
        </w:rPr>
        <w:t>14</w:t>
      </w:r>
      <w:r w:rsidRPr="00334286">
        <w:rPr>
          <w:lang w:val="es-ES"/>
        </w:rPr>
        <w:tab/>
      </w:r>
      <w:r w:rsidRPr="00B06B46">
        <w:rPr>
          <w:lang w:val="es-ES"/>
        </w:rPr>
        <w:t xml:space="preserve">La segunda reunión del </w:t>
      </w:r>
      <w:r w:rsidRPr="00334286">
        <w:rPr>
          <w:lang w:val="es-ES"/>
        </w:rPr>
        <w:t xml:space="preserve">FG IMT-2020 </w:t>
      </w:r>
      <w:r w:rsidRPr="00B06B46">
        <w:rPr>
          <w:lang w:val="es-ES"/>
        </w:rPr>
        <w:t xml:space="preserve">tendrá lugar en la </w:t>
      </w:r>
      <w:r w:rsidR="00227081">
        <w:rPr>
          <w:lang w:val="es-ES"/>
        </w:rPr>
        <w:t>S</w:t>
      </w:r>
      <w:r w:rsidRPr="00B06B46">
        <w:rPr>
          <w:lang w:val="es-ES"/>
        </w:rPr>
        <w:t xml:space="preserve">ede de la UIT en Ginebra (Suiza), los días </w:t>
      </w:r>
      <w:r w:rsidRPr="00B06B46">
        <w:rPr>
          <w:b/>
          <w:bCs/>
          <w:lang w:val="es-ES"/>
        </w:rPr>
        <w:t>13 y 14 de julio de 2015</w:t>
      </w:r>
      <w:r w:rsidRPr="00B06B46">
        <w:rPr>
          <w:lang w:val="es-ES"/>
        </w:rPr>
        <w:t xml:space="preserve">. Se han </w:t>
      </w:r>
      <w:r w:rsidRPr="00227081">
        <w:rPr>
          <w:i/>
          <w:iCs/>
          <w:u w:val="single"/>
          <w:lang w:val="es-ES"/>
        </w:rPr>
        <w:t>planificado</w:t>
      </w:r>
      <w:r w:rsidRPr="00B06B46">
        <w:rPr>
          <w:lang w:val="es-ES"/>
        </w:rPr>
        <w:t xml:space="preserve"> futuras reuniones del 14 al 16 de septiembre de 2015 en Milán (Italia), y del 27 al 29 de octub</w:t>
      </w:r>
      <w:r w:rsidR="002536D5">
        <w:rPr>
          <w:lang w:val="es-ES"/>
        </w:rPr>
        <w:t xml:space="preserve">re de 2015 en Beijing (China). </w:t>
      </w:r>
      <w:r w:rsidRPr="00B06B46">
        <w:rPr>
          <w:lang w:val="es-ES"/>
        </w:rPr>
        <w:t xml:space="preserve">Si desea recibir anuncios de la reunión e información actualizada </w:t>
      </w:r>
      <w:hyperlink r:id="rId18" w:history="1">
        <w:r w:rsidRPr="00B06B46">
          <w:rPr>
            <w:color w:val="0000FF"/>
            <w:u w:val="single"/>
            <w:lang w:val="es-ES"/>
          </w:rPr>
          <w:t>inscríbase aquí</w:t>
        </w:r>
      </w:hyperlink>
      <w:r w:rsidRPr="00334286">
        <w:rPr>
          <w:lang w:val="es-ES"/>
        </w:rPr>
        <w:t xml:space="preserve"> (</w:t>
      </w:r>
      <w:r w:rsidRPr="00B06B46">
        <w:rPr>
          <w:lang w:val="es-ES"/>
        </w:rPr>
        <w:t xml:space="preserve">se requiere una cuenta </w:t>
      </w:r>
      <w:r w:rsidRPr="00334286">
        <w:rPr>
          <w:lang w:val="es-ES"/>
        </w:rPr>
        <w:t>TIES o</w:t>
      </w:r>
      <w:r w:rsidRPr="00B06B46">
        <w:rPr>
          <w:lang w:val="es-ES"/>
        </w:rPr>
        <w:t xml:space="preserve"> una </w:t>
      </w:r>
      <w:hyperlink r:id="rId19" w:history="1">
        <w:r w:rsidRPr="00B06B46">
          <w:rPr>
            <w:color w:val="0000FF"/>
            <w:u w:val="single"/>
            <w:lang w:val="es-ES"/>
          </w:rPr>
          <w:t>cuenta de invitado gratuita de la UIT</w:t>
        </w:r>
      </w:hyperlink>
      <w:r w:rsidRPr="00334286">
        <w:rPr>
          <w:lang w:val="es-ES"/>
        </w:rPr>
        <w:t>), o consult</w:t>
      </w:r>
      <w:r w:rsidRPr="00B06B46">
        <w:rPr>
          <w:lang w:val="es-ES"/>
        </w:rPr>
        <w:t>e el sitio web del Grupo Temático</w:t>
      </w:r>
      <w:r w:rsidRPr="00334286">
        <w:rPr>
          <w:lang w:val="es-ES"/>
        </w:rPr>
        <w:t xml:space="preserve">: </w:t>
      </w:r>
      <w:hyperlink r:id="rId20" w:history="1">
        <w:r w:rsidRPr="00B06B46">
          <w:rPr>
            <w:color w:val="0000FF"/>
            <w:u w:val="single"/>
            <w:lang w:val="es-ES"/>
          </w:rPr>
          <w:t>http://itu.int/en/ITU-T/focusgroups/imt-2020/</w:t>
        </w:r>
      </w:hyperlink>
      <w:r w:rsidRPr="00334286">
        <w:rPr>
          <w:lang w:val="es-ES"/>
        </w:rPr>
        <w:t>.</w:t>
      </w:r>
    </w:p>
    <w:p w:rsidR="005E10FF" w:rsidRPr="00334286" w:rsidRDefault="005E10FF" w:rsidP="00227081">
      <w:pPr>
        <w:rPr>
          <w:lang w:val="es-ES"/>
        </w:rPr>
      </w:pPr>
      <w:r w:rsidRPr="00B06B46">
        <w:rPr>
          <w:lang w:val="es-ES"/>
        </w:rPr>
        <w:t>Atentamente</w:t>
      </w:r>
      <w:r w:rsidR="00227081">
        <w:rPr>
          <w:lang w:val="es-ES"/>
        </w:rPr>
        <w:t>.</w:t>
      </w:r>
    </w:p>
    <w:p w:rsidR="00C34772" w:rsidRDefault="002E496E" w:rsidP="009A2243">
      <w:pPr>
        <w:spacing w:before="1200"/>
        <w:ind w:right="91"/>
      </w:pPr>
      <w:bookmarkStart w:id="5" w:name="_GoBack"/>
      <w:bookmarkEnd w:id="5"/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C34772" w:rsidRPr="008505BD" w:rsidRDefault="00C34772" w:rsidP="00227081">
      <w:pPr>
        <w:spacing w:before="1560"/>
        <w:rPr>
          <w:bCs/>
        </w:rPr>
      </w:pPr>
      <w:r w:rsidRPr="00227081">
        <w:rPr>
          <w:b/>
          <w:bCs/>
        </w:rPr>
        <w:t>Anexo</w:t>
      </w:r>
      <w:r w:rsidR="009A2243">
        <w:rPr>
          <w:b/>
          <w:bCs/>
        </w:rPr>
        <w:t>s</w:t>
      </w:r>
      <w:r w:rsidRPr="00227081">
        <w:rPr>
          <w:b/>
          <w:bCs/>
        </w:rPr>
        <w:t>:</w:t>
      </w:r>
      <w:r w:rsidRPr="002536D5">
        <w:rPr>
          <w:bCs/>
        </w:rPr>
        <w:t xml:space="preserve"> </w:t>
      </w:r>
      <w:r w:rsidR="002536D5" w:rsidRPr="002536D5">
        <w:rPr>
          <w:bCs/>
        </w:rPr>
        <w:t>2</w:t>
      </w:r>
    </w:p>
    <w:p w:rsidR="005E10FF" w:rsidRPr="009A2243" w:rsidRDefault="005E10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9A2243">
        <w:br w:type="page"/>
      </w:r>
    </w:p>
    <w:p w:rsidR="005E10FF" w:rsidRPr="00334286" w:rsidRDefault="005E10FF" w:rsidP="00DC2C7F">
      <w:pPr>
        <w:pStyle w:val="Annex"/>
        <w:rPr>
          <w:lang w:val="es-ES"/>
        </w:rPr>
      </w:pPr>
      <w:r w:rsidRPr="00334286">
        <w:rPr>
          <w:lang w:val="es-ES"/>
        </w:rPr>
        <w:lastRenderedPageBreak/>
        <w:t>ANEX</w:t>
      </w:r>
      <w:r w:rsidRPr="00B06B46">
        <w:rPr>
          <w:lang w:val="es-ES"/>
        </w:rPr>
        <w:t>O</w:t>
      </w:r>
      <w:r w:rsidRPr="00334286">
        <w:rPr>
          <w:lang w:val="es-ES"/>
        </w:rPr>
        <w:t xml:space="preserve"> 1</w:t>
      </w:r>
    </w:p>
    <w:p w:rsidR="005E10FF" w:rsidRPr="00334286" w:rsidRDefault="005E10FF" w:rsidP="009A2243">
      <w:pPr>
        <w:overflowPunct/>
        <w:autoSpaceDE/>
        <w:autoSpaceDN/>
        <w:adjustRightInd/>
        <w:spacing w:before="0"/>
        <w:jc w:val="center"/>
        <w:textAlignment w:val="auto"/>
        <w:rPr>
          <w:rFonts w:cstheme="majorBidi"/>
          <w:szCs w:val="24"/>
          <w:lang w:val="es-ES"/>
        </w:rPr>
      </w:pPr>
      <w:r w:rsidRPr="00334286">
        <w:rPr>
          <w:rFonts w:cstheme="majorBidi"/>
          <w:szCs w:val="24"/>
          <w:lang w:val="es-ES"/>
        </w:rPr>
        <w:t>(</w:t>
      </w:r>
      <w:proofErr w:type="gramStart"/>
      <w:r w:rsidRPr="00B06B46">
        <w:rPr>
          <w:rFonts w:cstheme="majorBidi"/>
          <w:szCs w:val="24"/>
          <w:lang w:val="es-ES"/>
        </w:rPr>
        <w:t>a</w:t>
      </w:r>
      <w:proofErr w:type="gramEnd"/>
      <w:r w:rsidRPr="00B06B46">
        <w:rPr>
          <w:rFonts w:cstheme="majorBidi"/>
          <w:szCs w:val="24"/>
          <w:lang w:val="es-ES"/>
        </w:rPr>
        <w:t xml:space="preserve"> la</w:t>
      </w:r>
      <w:r w:rsidRPr="00334286">
        <w:rPr>
          <w:rFonts w:cstheme="majorBidi"/>
          <w:szCs w:val="24"/>
          <w:lang w:val="es-ES"/>
        </w:rPr>
        <w:t xml:space="preserve"> Circular </w:t>
      </w:r>
      <w:r w:rsidR="009A2243">
        <w:rPr>
          <w:rFonts w:cstheme="majorBidi"/>
          <w:szCs w:val="24"/>
          <w:lang w:val="es-ES"/>
        </w:rPr>
        <w:t xml:space="preserve">TSB </w:t>
      </w:r>
      <w:r w:rsidRPr="00334286">
        <w:rPr>
          <w:rFonts w:cstheme="majorBidi"/>
          <w:szCs w:val="24"/>
          <w:lang w:val="es-ES"/>
        </w:rPr>
        <w:t>152)</w:t>
      </w:r>
    </w:p>
    <w:p w:rsidR="005E10FF" w:rsidRPr="00334286" w:rsidRDefault="005E10FF" w:rsidP="005E10FF">
      <w:pPr>
        <w:keepNext/>
        <w:keepLines/>
        <w:spacing w:before="280"/>
        <w:ind w:left="1134" w:hanging="1134"/>
        <w:outlineLvl w:val="0"/>
        <w:rPr>
          <w:b/>
          <w:sz w:val="28"/>
          <w:lang w:val="es-ES"/>
        </w:rPr>
      </w:pPr>
      <w:r w:rsidRPr="00B06B46">
        <w:rPr>
          <w:b/>
          <w:sz w:val="28"/>
          <w:lang w:val="es-ES"/>
        </w:rPr>
        <w:t>Mandato del Grupo Temático sobre las</w:t>
      </w:r>
      <w:r w:rsidRPr="00334286">
        <w:rPr>
          <w:b/>
          <w:sz w:val="28"/>
          <w:lang w:val="es-ES"/>
        </w:rPr>
        <w:t xml:space="preserve"> IMT-2020</w:t>
      </w:r>
    </w:p>
    <w:p w:rsidR="005E10FF" w:rsidRPr="002536D5" w:rsidRDefault="005E10FF" w:rsidP="002536D5">
      <w:pPr>
        <w:pStyle w:val="Heading1"/>
        <w:rPr>
          <w:lang w:val="es-ES"/>
        </w:rPr>
      </w:pPr>
      <w:r w:rsidRPr="002536D5">
        <w:rPr>
          <w:lang w:val="es-ES"/>
        </w:rPr>
        <w:t>1</w:t>
      </w:r>
      <w:r w:rsidR="002536D5" w:rsidRPr="002536D5">
        <w:rPr>
          <w:lang w:val="es-ES"/>
        </w:rPr>
        <w:tab/>
        <w:t>Motivación y alcance</w:t>
      </w:r>
    </w:p>
    <w:p w:rsidR="005E10FF" w:rsidRPr="002536D5" w:rsidRDefault="005E10FF" w:rsidP="002536D5">
      <w:pPr>
        <w:rPr>
          <w:lang w:val="es-ES"/>
        </w:rPr>
      </w:pPr>
      <w:r w:rsidRPr="002536D5">
        <w:rPr>
          <w:lang w:val="es-ES"/>
        </w:rPr>
        <w:t xml:space="preserve">La rápida adopción de los servicios móviles de banda ancha y las crecientes expectativas de los usuarios respecto de experiencias de banda ancha móvil superiores están motivando a la industria, las instituciones académicas y los gobiernos a estudiar la manera de satisfacer esas demandas. </w:t>
      </w:r>
    </w:p>
    <w:p w:rsidR="005E10FF" w:rsidRPr="002536D5" w:rsidRDefault="005E10FF" w:rsidP="00DC2C7F">
      <w:pPr>
        <w:rPr>
          <w:lang w:val="es-ES"/>
        </w:rPr>
      </w:pPr>
      <w:r w:rsidRPr="002536D5">
        <w:rPr>
          <w:lang w:val="es-ES"/>
        </w:rPr>
        <w:t xml:space="preserve">A comienzos de 2012, la UIT inició un programa sobre </w:t>
      </w:r>
      <w:r w:rsidR="00DC2C7F">
        <w:rPr>
          <w:i/>
          <w:iCs/>
          <w:lang w:val="es-ES"/>
        </w:rPr>
        <w:t>"</w:t>
      </w:r>
      <w:r w:rsidRPr="002536D5">
        <w:rPr>
          <w:i/>
          <w:iCs/>
          <w:lang w:val="es-ES"/>
        </w:rPr>
        <w:t>telecomunicaciones móviles internacionales (IMT) para 2020 y después</w:t>
      </w:r>
      <w:r w:rsidR="00DC2C7F">
        <w:rPr>
          <w:i/>
          <w:iCs/>
          <w:lang w:val="es-ES"/>
        </w:rPr>
        <w:t>"</w:t>
      </w:r>
      <w:r w:rsidRPr="002536D5">
        <w:rPr>
          <w:lang w:val="es-ES"/>
        </w:rPr>
        <w:t>, sentando las bases para las actividades de investigación, desarrollo y mercadotecnia en relación con las IMT-2020 en todo el mundo.</w:t>
      </w:r>
    </w:p>
    <w:p w:rsidR="005E10FF" w:rsidRPr="002536D5" w:rsidRDefault="005E10FF" w:rsidP="00227081">
      <w:pPr>
        <w:rPr>
          <w:lang w:val="es-ES"/>
        </w:rPr>
      </w:pPr>
      <w:r w:rsidRPr="002536D5">
        <w:rPr>
          <w:lang w:val="es-ES"/>
        </w:rPr>
        <w:t>La Comisión de Estudio 13 del UIT-T tiene el mandato de estudiar los requisitos, arquitecturas, capacidades y mecanismos de las redes futuras, incluidas las móviles. Existe un deseo de establecer una plataforma abierta para expertos que representen a los miembros de la UIT y a quienes no lo son a fin de entender con detalle la agenda de las IMT-2020 y averiguar si hay alguna laguna que pueda colmarse mediante estudios de la Comisión de Estudio 13 del UIT-T, desde la perspectiva de las redes no relacionadas con las transmisiones radioeléctricas</w:t>
      </w:r>
      <w:r w:rsidR="002536D5" w:rsidRPr="002536D5">
        <w:rPr>
          <w:lang w:val="es-ES"/>
        </w:rPr>
        <w:t xml:space="preserve">. </w:t>
      </w:r>
      <w:r w:rsidRPr="002536D5">
        <w:rPr>
          <w:lang w:val="es-ES"/>
        </w:rPr>
        <w:t>Al reconocer las actividades que se están emprendiendo en todo el mundo</w:t>
      </w:r>
      <w:r w:rsidR="00227081">
        <w:rPr>
          <w:lang w:val="es-ES"/>
        </w:rPr>
        <w:t>,</w:t>
      </w:r>
      <w:r w:rsidRPr="002536D5">
        <w:rPr>
          <w:lang w:val="es-ES"/>
        </w:rPr>
        <w:t xml:space="preserve"> </w:t>
      </w:r>
      <w:r w:rsidR="00227081">
        <w:rPr>
          <w:lang w:val="es-ES"/>
        </w:rPr>
        <w:t>e</w:t>
      </w:r>
      <w:r w:rsidRPr="002536D5">
        <w:rPr>
          <w:lang w:val="es-ES"/>
        </w:rPr>
        <w:t xml:space="preserve">s necesario definir las áreas específicas para la Comisión de Estudio </w:t>
      </w:r>
      <w:r w:rsidR="00227081">
        <w:rPr>
          <w:lang w:val="es-ES"/>
        </w:rPr>
        <w:t xml:space="preserve">13 </w:t>
      </w:r>
      <w:r w:rsidRPr="002536D5">
        <w:rPr>
          <w:lang w:val="es-ES"/>
        </w:rPr>
        <w:t xml:space="preserve">del UIT-T, de manera que éste haga contribuciones constructivas a IMT-2020, junto a otras organizaciones de normalización. Este Grupo Temático no tendrá en su ámbito de trabajo ningún aspecto relacionado con las transmisiones radioeléctricas. 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 xml:space="preserve">En la fase actual del camino hacia las IMT-2020, los resultados de este Grupo Temático consistirán en definir las visiones y perspectivas y analizar las carencias centrándose en casos de utilización y los requisitos de alto nivel, así como otros aspectos relacionados con las IMT-2020, a fin de definir objetivos sobre las IMT-2020 para la Comisión de Estudio 13 del UIT-T. </w:t>
      </w:r>
    </w:p>
    <w:p w:rsidR="005E10FF" w:rsidRPr="002536D5" w:rsidRDefault="005E10FF" w:rsidP="002536D5">
      <w:pPr>
        <w:pStyle w:val="Heading1"/>
        <w:rPr>
          <w:lang w:val="es-ES"/>
        </w:rPr>
      </w:pPr>
      <w:r w:rsidRPr="002536D5">
        <w:rPr>
          <w:lang w:val="es-ES"/>
        </w:rPr>
        <w:t>2</w:t>
      </w:r>
      <w:r w:rsidR="002536D5">
        <w:rPr>
          <w:lang w:val="es-ES"/>
        </w:rPr>
        <w:tab/>
      </w:r>
      <w:r w:rsidRPr="002536D5">
        <w:rPr>
          <w:lang w:val="es-ES"/>
        </w:rPr>
        <w:t>Grupo Temático del UIT-T sobre las IMT-2020 (FG IMT-2020)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2.1</w:t>
      </w:r>
      <w:r w:rsidR="002536D5">
        <w:rPr>
          <w:lang w:val="es-ES"/>
        </w:rPr>
        <w:tab/>
      </w:r>
      <w:r w:rsidRPr="002536D5">
        <w:rPr>
          <w:lang w:val="es-ES"/>
        </w:rPr>
        <w:t>Objetivo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>El objetivo del Grupo Temático es producir materiales de análisis de carencias de las IMT-2020 a fin de determinar el alcance pertinente de las Recomendaciones UIT-T respecto de la red fija de IMT-2020. El análisis de carencias puede ir acompañado de aspectos técnicos de alto nivel tales como casos de utilización, requisitos y otros aspectos. El Grupo Temático también sirve de plataforma abierta para expertos de arquitectura de red que representen a miembros y no miembros de la UIT a fin de progresar e</w:t>
      </w:r>
      <w:r w:rsidR="00DC2C7F">
        <w:rPr>
          <w:lang w:val="es-ES"/>
        </w:rPr>
        <w:t>n la dirección de las IMT-2020.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2.2</w:t>
      </w:r>
      <w:r w:rsidR="002536D5">
        <w:rPr>
          <w:lang w:val="es-ES"/>
        </w:rPr>
        <w:tab/>
      </w:r>
      <w:r w:rsidRPr="002536D5">
        <w:rPr>
          <w:lang w:val="es-ES"/>
        </w:rPr>
        <w:t>Tareas específicas y productos terminados</w:t>
      </w:r>
    </w:p>
    <w:p w:rsidR="005E10FF" w:rsidRPr="002536D5" w:rsidRDefault="005E10FF" w:rsidP="002536D5">
      <w:pPr>
        <w:rPr>
          <w:lang w:val="es-ES"/>
        </w:rPr>
      </w:pPr>
      <w:r w:rsidRPr="002536D5">
        <w:rPr>
          <w:lang w:val="es-ES"/>
        </w:rPr>
        <w:t>Efectuar un análisis de carencias y definir las áreas necesarias para normas sobre redes no radioeléctricas que dan soporte a las</w:t>
      </w:r>
      <w:r w:rsidR="00DC2C7F">
        <w:rPr>
          <w:lang w:val="es-ES"/>
        </w:rPr>
        <w:t xml:space="preserve"> </w:t>
      </w:r>
      <w:r w:rsidRPr="002536D5">
        <w:rPr>
          <w:lang w:val="es-ES"/>
        </w:rPr>
        <w:t>IMT-2020 mediante:</w:t>
      </w:r>
    </w:p>
    <w:p w:rsidR="005E10FF" w:rsidRPr="002536D5" w:rsidRDefault="00227081" w:rsidP="002536D5">
      <w:pPr>
        <w:pStyle w:val="enumlev1"/>
        <w:rPr>
          <w:lang w:val="es-ES"/>
        </w:rPr>
      </w:pPr>
      <w:r w:rsidRPr="00227081">
        <w:rPr>
          <w:lang w:val="es-ES"/>
        </w:rPr>
        <w:t>–</w:t>
      </w:r>
      <w:r w:rsidR="002536D5">
        <w:rPr>
          <w:lang w:val="es-ES"/>
        </w:rPr>
        <w:tab/>
        <w:t>l</w:t>
      </w:r>
      <w:r w:rsidR="005E10FF" w:rsidRPr="002536D5">
        <w:rPr>
          <w:lang w:val="es-ES"/>
        </w:rPr>
        <w:t>a recopilación, clasificación y propuesta de casos de utilización de alto nivel para las IMT</w:t>
      </w:r>
      <w:r w:rsidR="002536D5">
        <w:rPr>
          <w:lang w:val="es-ES"/>
        </w:rPr>
        <w:noBreakHyphen/>
      </w:r>
      <w:r w:rsidR="005E10FF" w:rsidRPr="002536D5">
        <w:rPr>
          <w:lang w:val="es-ES"/>
        </w:rPr>
        <w:t>2020 y sus requisitos</w:t>
      </w:r>
      <w:r w:rsidR="002536D5">
        <w:rPr>
          <w:lang w:val="es-ES"/>
        </w:rPr>
        <w:t>;</w:t>
      </w:r>
      <w:r w:rsidR="005E10FF" w:rsidRPr="002536D5">
        <w:rPr>
          <w:lang w:val="es-ES"/>
        </w:rPr>
        <w:t xml:space="preserve"> y </w:t>
      </w:r>
    </w:p>
    <w:p w:rsidR="005E10FF" w:rsidRPr="002536D5" w:rsidRDefault="00227081" w:rsidP="002536D5">
      <w:pPr>
        <w:pStyle w:val="enumlev1"/>
        <w:rPr>
          <w:lang w:val="es-ES"/>
        </w:rPr>
      </w:pPr>
      <w:r w:rsidRPr="00227081">
        <w:rPr>
          <w:lang w:val="es-ES"/>
        </w:rPr>
        <w:lastRenderedPageBreak/>
        <w:t>–</w:t>
      </w:r>
      <w:r w:rsidR="002536D5">
        <w:rPr>
          <w:lang w:val="es-ES"/>
        </w:rPr>
        <w:tab/>
        <w:t>l</w:t>
      </w:r>
      <w:r w:rsidR="005E10FF" w:rsidRPr="002536D5">
        <w:rPr>
          <w:lang w:val="es-ES"/>
        </w:rPr>
        <w:t>a propuesta y descripción de requisitos de alto nivel y otros aspectos de redes no radioeléctricas que dan soporte a las</w:t>
      </w:r>
      <w:r w:rsidR="00DC2C7F">
        <w:rPr>
          <w:lang w:val="es-ES"/>
        </w:rPr>
        <w:t xml:space="preserve"> </w:t>
      </w:r>
      <w:r w:rsidR="005E10FF" w:rsidRPr="002536D5">
        <w:rPr>
          <w:lang w:val="es-ES"/>
        </w:rPr>
        <w:t>IMT-2020.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2.3</w:t>
      </w:r>
      <w:r w:rsidR="002536D5">
        <w:rPr>
          <w:lang w:val="es-ES"/>
        </w:rPr>
        <w:tab/>
      </w:r>
      <w:r w:rsidRPr="002536D5">
        <w:rPr>
          <w:lang w:val="es-ES"/>
        </w:rPr>
        <w:t>Grupo tutor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 xml:space="preserve">La Comisión de Estudio 13 del UIT-T es el Grupo tutor de este Grupo Temático. 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2.4</w:t>
      </w:r>
      <w:r w:rsidR="002536D5">
        <w:rPr>
          <w:lang w:val="es-ES"/>
        </w:rPr>
        <w:tab/>
      </w:r>
      <w:r w:rsidRPr="002536D5">
        <w:rPr>
          <w:lang w:val="es-ES"/>
        </w:rPr>
        <w:t>Relaciones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>El Grupo Temático trabajará en estrecha cooperación con las Comisiones de Estudio conexas del UIT-T y el UIT-R, las organizaciones de normalización, los foros y consorcios de la industria y las comunidades de investigación y desarrollo.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2.5</w:t>
      </w:r>
      <w:r w:rsidR="002536D5">
        <w:rPr>
          <w:lang w:val="es-ES"/>
        </w:rPr>
        <w:tab/>
      </w:r>
      <w:r w:rsidRPr="002536D5">
        <w:rPr>
          <w:lang w:val="es-ES"/>
        </w:rPr>
        <w:t>Dirección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 xml:space="preserve">Véase la cláusula 2.3 de la Recomendación UIT-T A.7. 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2.6</w:t>
      </w:r>
      <w:r w:rsidR="002536D5">
        <w:rPr>
          <w:lang w:val="es-ES"/>
        </w:rPr>
        <w:tab/>
      </w:r>
      <w:r w:rsidRPr="002536D5">
        <w:rPr>
          <w:lang w:val="es-ES"/>
        </w:rPr>
        <w:t>Participación</w:t>
      </w:r>
    </w:p>
    <w:p w:rsidR="005E10FF" w:rsidRPr="002536D5" w:rsidRDefault="005E10FF" w:rsidP="00227081">
      <w:pPr>
        <w:rPr>
          <w:lang w:val="es-ES"/>
        </w:rPr>
      </w:pPr>
      <w:r w:rsidRPr="002536D5">
        <w:rPr>
          <w:lang w:val="es-ES"/>
        </w:rPr>
        <w:t xml:space="preserve">Véase la cláusula 3 de la Recomendación UIT-T A.7. Se mantendrá a efectos de referencia una lista de participantes que se comunicará al </w:t>
      </w:r>
      <w:r w:rsidR="00227081">
        <w:rPr>
          <w:lang w:val="es-ES"/>
        </w:rPr>
        <w:t>G</w:t>
      </w:r>
      <w:r w:rsidRPr="002536D5">
        <w:rPr>
          <w:lang w:val="es-ES"/>
        </w:rPr>
        <w:t>rupo tutor.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 xml:space="preserve">Es importante mencionar que la participación en este Grupo Temático se ha de basar en las contribuciones y la participación activa. 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2.7</w:t>
      </w:r>
      <w:r w:rsidR="002536D5">
        <w:rPr>
          <w:lang w:val="es-ES"/>
        </w:rPr>
        <w:tab/>
      </w:r>
      <w:r w:rsidRPr="002536D5">
        <w:rPr>
          <w:lang w:val="es-ES"/>
        </w:rPr>
        <w:t>Financiación general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 xml:space="preserve">Véanse las cláusulas 4 y 10.2 de la Recomendación UIT-T A.7. 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2.8</w:t>
      </w:r>
      <w:r w:rsidR="002536D5">
        <w:rPr>
          <w:lang w:val="es-ES"/>
        </w:rPr>
        <w:tab/>
      </w:r>
      <w:r w:rsidRPr="002536D5">
        <w:rPr>
          <w:lang w:val="es-ES"/>
        </w:rPr>
        <w:t>Apoyo administrativo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 xml:space="preserve">Véase la cláusula 5 de la Recomendación UIT-T A.7. 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2.9</w:t>
      </w:r>
      <w:r w:rsidR="002536D5">
        <w:rPr>
          <w:lang w:val="es-ES"/>
        </w:rPr>
        <w:tab/>
      </w:r>
      <w:r w:rsidRPr="002536D5">
        <w:rPr>
          <w:lang w:val="es-ES"/>
        </w:rPr>
        <w:t xml:space="preserve">Reuniones 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>El Grupo Temático celebrará reuniones periódicas. El Grupo Temático determinará el lugar de celebración y las fechas de las reuniones, y las anunciará por medios electrónicos (por ejemplo correo-e, sitio web, etc.) con al menos s</w:t>
      </w:r>
      <w:r w:rsidR="00DC2C7F">
        <w:rPr>
          <w:lang w:val="es-ES"/>
        </w:rPr>
        <w:t>eis semanas de anticipación.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 xml:space="preserve">El Grupo Temático se esforzará por utilizar herramientas de colaboración a distancia siempre que sea posible. Las reuniones del Grupo Temático irán acompañadas de los talleres temáticos que se consideren oportunos. 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2.10</w:t>
      </w:r>
      <w:r w:rsidR="002536D5">
        <w:rPr>
          <w:lang w:val="es-ES"/>
        </w:rPr>
        <w:tab/>
      </w:r>
      <w:r w:rsidRPr="002536D5">
        <w:rPr>
          <w:lang w:val="es-ES"/>
        </w:rPr>
        <w:t>Etapas y duración del Grupo Temático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>La duración prevista del Grupo Temático es hasta la reunión de la CE</w:t>
      </w:r>
      <w:r w:rsidR="00227081">
        <w:rPr>
          <w:lang w:val="es-ES"/>
        </w:rPr>
        <w:t> </w:t>
      </w:r>
      <w:r w:rsidRPr="002536D5">
        <w:rPr>
          <w:lang w:val="es-ES"/>
        </w:rPr>
        <w:t xml:space="preserve">13 (diciembre de 2015), pero ésta podrá ampliarse si el Grupo tutor así lo decide. 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 xml:space="preserve">El conjunto de etapas preliminar incluye: </w:t>
      </w:r>
    </w:p>
    <w:p w:rsidR="005E10FF" w:rsidRPr="002536D5" w:rsidRDefault="002536D5" w:rsidP="002536D5">
      <w:pPr>
        <w:pStyle w:val="enumlev1"/>
        <w:rPr>
          <w:lang w:val="es-ES"/>
        </w:rPr>
      </w:pPr>
      <w:r w:rsidRPr="002536D5">
        <w:rPr>
          <w:lang w:val="es-ES"/>
        </w:rPr>
        <w:t>–</w:t>
      </w:r>
      <w:r>
        <w:rPr>
          <w:lang w:val="es-ES"/>
        </w:rPr>
        <w:tab/>
        <w:t>j</w:t>
      </w:r>
      <w:r w:rsidR="005E10FF" w:rsidRPr="002536D5">
        <w:rPr>
          <w:lang w:val="es-ES"/>
        </w:rPr>
        <w:t>unio de 2015: 1ª reunión;</w:t>
      </w:r>
    </w:p>
    <w:p w:rsidR="005E10FF" w:rsidRPr="002536D5" w:rsidRDefault="002536D5" w:rsidP="002536D5">
      <w:pPr>
        <w:pStyle w:val="enumlev1"/>
        <w:rPr>
          <w:lang w:val="es-ES"/>
        </w:rPr>
      </w:pPr>
      <w:r w:rsidRPr="002536D5">
        <w:rPr>
          <w:lang w:val="es-ES"/>
        </w:rPr>
        <w:t>–</w:t>
      </w:r>
      <w:r>
        <w:rPr>
          <w:lang w:val="es-ES"/>
        </w:rPr>
        <w:tab/>
        <w:t>j</w:t>
      </w:r>
      <w:r w:rsidR="005E10FF" w:rsidRPr="002536D5">
        <w:rPr>
          <w:lang w:val="es-ES"/>
        </w:rPr>
        <w:t>ulio de 2015: 2ª reunión.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2.11</w:t>
      </w:r>
      <w:r w:rsidR="002536D5">
        <w:rPr>
          <w:lang w:val="es-ES"/>
        </w:rPr>
        <w:tab/>
      </w:r>
      <w:r w:rsidRPr="002536D5">
        <w:rPr>
          <w:lang w:val="es-ES"/>
        </w:rPr>
        <w:t xml:space="preserve">Idioma de trabajo 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>El idioma de trabajo es el inglés.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lastRenderedPageBreak/>
        <w:t>2.12</w:t>
      </w:r>
      <w:r w:rsidR="002536D5">
        <w:rPr>
          <w:lang w:val="es-ES"/>
        </w:rPr>
        <w:tab/>
      </w:r>
      <w:r w:rsidRPr="002536D5">
        <w:rPr>
          <w:lang w:val="es-ES"/>
        </w:rPr>
        <w:t xml:space="preserve">Contribuciones técnicas </w:t>
      </w:r>
    </w:p>
    <w:p w:rsidR="005E10FF" w:rsidRPr="002536D5" w:rsidRDefault="005E10FF" w:rsidP="002536D5">
      <w:pPr>
        <w:rPr>
          <w:lang w:val="es-ES"/>
        </w:rPr>
      </w:pPr>
      <w:r w:rsidRPr="002536D5">
        <w:rPr>
          <w:lang w:val="es-ES"/>
        </w:rPr>
        <w:t xml:space="preserve">Las contribuciones deben presentarse al menos siete días naturales antes de que tenga lugar la reunión. 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2.13</w:t>
      </w:r>
      <w:r w:rsidR="002536D5">
        <w:rPr>
          <w:lang w:val="es-ES"/>
        </w:rPr>
        <w:tab/>
      </w:r>
      <w:r w:rsidRPr="002536D5">
        <w:rPr>
          <w:lang w:val="es-ES"/>
        </w:rPr>
        <w:t>Derechos de propiedad intelectual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>Véase la cláusula 9 de la Recomendación UIT-T A.7.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2.14</w:t>
      </w:r>
      <w:r w:rsidR="002536D5">
        <w:rPr>
          <w:lang w:val="es-ES"/>
        </w:rPr>
        <w:tab/>
      </w:r>
      <w:r w:rsidRPr="002536D5">
        <w:rPr>
          <w:lang w:val="es-ES"/>
        </w:rPr>
        <w:t>Aprobación de los resultados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>Los resultados se aprobarán por consenso.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2.15</w:t>
      </w:r>
      <w:r w:rsidR="002536D5">
        <w:rPr>
          <w:lang w:val="es-ES"/>
        </w:rPr>
        <w:tab/>
      </w:r>
      <w:r w:rsidRPr="002536D5">
        <w:rPr>
          <w:lang w:val="es-ES"/>
        </w:rPr>
        <w:t>Informes sobre la marcha de los trabajos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>Véase la cláusula 11 de la Recomendación UIT-T A.7.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2.16</w:t>
      </w:r>
      <w:r w:rsidR="002536D5">
        <w:rPr>
          <w:lang w:val="es-ES"/>
        </w:rPr>
        <w:tab/>
      </w:r>
      <w:r w:rsidRPr="002536D5">
        <w:rPr>
          <w:lang w:val="es-ES"/>
        </w:rPr>
        <w:t>Anuncio de constitución de</w:t>
      </w:r>
      <w:r w:rsidR="00227081">
        <w:rPr>
          <w:lang w:val="es-ES"/>
        </w:rPr>
        <w:t>l</w:t>
      </w:r>
      <w:r w:rsidRPr="002536D5">
        <w:rPr>
          <w:lang w:val="es-ES"/>
        </w:rPr>
        <w:t xml:space="preserve"> Grupo Temático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 xml:space="preserve">La constitución del Grupo Temático se anunciará a través de una Circular TSB dirigida a todos los Miembros de la UIT, del </w:t>
      </w:r>
      <w:proofErr w:type="spellStart"/>
      <w:r w:rsidRPr="002536D5">
        <w:rPr>
          <w:lang w:val="es-ES"/>
        </w:rPr>
        <w:t>Newslog</w:t>
      </w:r>
      <w:proofErr w:type="spellEnd"/>
      <w:r w:rsidRPr="002536D5">
        <w:rPr>
          <w:lang w:val="es-ES"/>
        </w:rPr>
        <w:t xml:space="preserve"> del UIT-T y por otros medios, incluida la comunicación con otras organizaciones implicadas. </w:t>
      </w:r>
    </w:p>
    <w:p w:rsidR="005E10FF" w:rsidRPr="002536D5" w:rsidRDefault="005E10FF" w:rsidP="002536D5">
      <w:pPr>
        <w:pStyle w:val="Heading2"/>
        <w:rPr>
          <w:lang w:val="es-ES"/>
        </w:rPr>
      </w:pPr>
      <w:r w:rsidRPr="002536D5">
        <w:rPr>
          <w:lang w:val="es-ES"/>
        </w:rPr>
        <w:t>2.17</w:t>
      </w:r>
      <w:r w:rsidR="002536D5">
        <w:rPr>
          <w:lang w:val="es-ES"/>
        </w:rPr>
        <w:tab/>
      </w:r>
      <w:r w:rsidRPr="002536D5">
        <w:rPr>
          <w:lang w:val="es-ES"/>
        </w:rPr>
        <w:t>Directrices de trabajo</w:t>
      </w:r>
    </w:p>
    <w:p w:rsidR="005E10FF" w:rsidRPr="002536D5" w:rsidRDefault="005E10FF" w:rsidP="005E10FF">
      <w:pPr>
        <w:rPr>
          <w:lang w:val="es-ES"/>
        </w:rPr>
      </w:pPr>
      <w:r w:rsidRPr="002536D5">
        <w:rPr>
          <w:lang w:val="es-ES"/>
        </w:rPr>
        <w:t>Véase la cláusula 13 de la Recomendación UIT-T A.7.</w:t>
      </w:r>
    </w:p>
    <w:p w:rsidR="00786BA3" w:rsidRDefault="00786B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786BA3" w:rsidRPr="00807305" w:rsidRDefault="00786BA3" w:rsidP="004A2988">
      <w:pPr>
        <w:tabs>
          <w:tab w:val="clear" w:pos="794"/>
        </w:tabs>
        <w:jc w:val="center"/>
        <w:rPr>
          <w:lang w:val="en-US"/>
        </w:rPr>
      </w:pPr>
      <w:r w:rsidRPr="00807305">
        <w:rPr>
          <w:lang w:val="en-US"/>
        </w:rPr>
        <w:lastRenderedPageBreak/>
        <w:t>ANNEX 2</w:t>
      </w:r>
    </w:p>
    <w:p w:rsidR="00786BA3" w:rsidRPr="00807305" w:rsidRDefault="00786BA3" w:rsidP="00786BA3">
      <w:pPr>
        <w:tabs>
          <w:tab w:val="clear" w:pos="794"/>
        </w:tabs>
        <w:jc w:val="center"/>
        <w:rPr>
          <w:lang w:val="en-US"/>
        </w:rPr>
      </w:pPr>
      <w:r w:rsidRPr="00807305">
        <w:rPr>
          <w:lang w:val="en-US"/>
        </w:rPr>
        <w:t>(to TSB Circular 152)</w:t>
      </w:r>
    </w:p>
    <w:p w:rsidR="00786BA3" w:rsidRPr="00807305" w:rsidRDefault="00786BA3" w:rsidP="00786BA3">
      <w:pPr>
        <w:pStyle w:val="Heading1"/>
        <w:jc w:val="center"/>
        <w:rPr>
          <w:lang w:val="en-US"/>
        </w:rPr>
      </w:pPr>
      <w:r w:rsidRPr="00807305">
        <w:rPr>
          <w:lang w:val="en-US"/>
        </w:rPr>
        <w:t xml:space="preserve">First meeting of ITU-T FG IMT-2020: </w:t>
      </w:r>
    </w:p>
    <w:p w:rsidR="00786BA3" w:rsidRPr="00807305" w:rsidRDefault="00786BA3" w:rsidP="00786BA3">
      <w:pPr>
        <w:pStyle w:val="Heading1"/>
        <w:jc w:val="center"/>
        <w:rPr>
          <w:lang w:val="en-US"/>
        </w:rPr>
      </w:pPr>
      <w:r w:rsidRPr="00807305">
        <w:rPr>
          <w:lang w:val="en-US"/>
        </w:rPr>
        <w:t>San Diego, California, United States, 8-9 June 2015</w:t>
      </w:r>
    </w:p>
    <w:p w:rsidR="00786BA3" w:rsidRPr="00807305" w:rsidRDefault="00786BA3" w:rsidP="00786BA3">
      <w:pPr>
        <w:pStyle w:val="Heading2"/>
        <w:jc w:val="center"/>
        <w:rPr>
          <w:lang w:val="en-US"/>
        </w:rPr>
      </w:pPr>
      <w:r w:rsidRPr="00807305">
        <w:rPr>
          <w:lang w:val="en-US"/>
        </w:rPr>
        <w:t>Practical information for participants</w:t>
      </w:r>
    </w:p>
    <w:p w:rsidR="00786BA3" w:rsidRPr="00807305" w:rsidRDefault="00786BA3" w:rsidP="00786BA3">
      <w:pPr>
        <w:pStyle w:val="Heading3"/>
        <w:rPr>
          <w:lang w:val="en-US"/>
        </w:rPr>
      </w:pPr>
      <w:r w:rsidRPr="00807305">
        <w:rPr>
          <w:lang w:val="en-US"/>
        </w:rPr>
        <w:t>1</w:t>
      </w:r>
      <w:r w:rsidRPr="00807305">
        <w:rPr>
          <w:lang w:val="en-US"/>
        </w:rPr>
        <w:tab/>
        <w:t>Event venue</w:t>
      </w:r>
    </w:p>
    <w:p w:rsidR="00786BA3" w:rsidRPr="00807305" w:rsidRDefault="00786BA3" w:rsidP="00786BA3">
      <w:pPr>
        <w:rPr>
          <w:rFonts w:cstheme="majorBidi"/>
          <w:b/>
          <w:lang w:val="en-US"/>
        </w:rPr>
      </w:pPr>
      <w:r w:rsidRPr="00807305">
        <w:rPr>
          <w:rFonts w:cstheme="majorBidi"/>
          <w:b/>
          <w:lang w:val="en-US"/>
        </w:rPr>
        <w:t>Crowne Plaza San Diego - Mission Valley</w:t>
      </w:r>
    </w:p>
    <w:p w:rsidR="00786BA3" w:rsidRPr="00807305" w:rsidRDefault="00786BA3" w:rsidP="00786BA3">
      <w:pPr>
        <w:tabs>
          <w:tab w:val="left" w:pos="1276"/>
        </w:tabs>
        <w:rPr>
          <w:rFonts w:cstheme="majorBidi"/>
          <w:lang w:val="en-US"/>
        </w:rPr>
      </w:pPr>
      <w:r w:rsidRPr="00807305">
        <w:rPr>
          <w:rFonts w:cstheme="majorBidi"/>
          <w:lang w:val="en-US"/>
        </w:rPr>
        <w:t>Address</w:t>
      </w:r>
      <w:r w:rsidRPr="00807305">
        <w:rPr>
          <w:lang w:val="en-US"/>
        </w:rPr>
        <w:t xml:space="preserve">: </w:t>
      </w:r>
      <w:r w:rsidRPr="00807305">
        <w:rPr>
          <w:lang w:val="en-US"/>
        </w:rPr>
        <w:tab/>
        <w:t>2270 Hotel Circle North</w:t>
      </w:r>
      <w:r w:rsidRPr="00807305">
        <w:rPr>
          <w:lang w:val="en-US"/>
        </w:rPr>
        <w:br/>
      </w:r>
      <w:r w:rsidRPr="00807305">
        <w:rPr>
          <w:lang w:val="en-US"/>
        </w:rPr>
        <w:tab/>
      </w:r>
      <w:r w:rsidRPr="00807305">
        <w:rPr>
          <w:lang w:val="en-US"/>
        </w:rPr>
        <w:tab/>
        <w:t>San Diego</w:t>
      </w:r>
      <w:r w:rsidRPr="00807305">
        <w:rPr>
          <w:lang w:val="en-US"/>
        </w:rPr>
        <w:br/>
      </w:r>
      <w:r w:rsidRPr="00807305">
        <w:rPr>
          <w:lang w:val="en-US"/>
        </w:rPr>
        <w:tab/>
      </w:r>
      <w:r w:rsidRPr="00807305">
        <w:rPr>
          <w:lang w:val="en-US"/>
        </w:rPr>
        <w:tab/>
        <w:t xml:space="preserve">CA 92108 </w:t>
      </w:r>
      <w:r w:rsidRPr="00807305">
        <w:rPr>
          <w:lang w:val="en-US"/>
        </w:rPr>
        <w:br/>
      </w:r>
      <w:r w:rsidRPr="00807305">
        <w:rPr>
          <w:lang w:val="en-US"/>
        </w:rPr>
        <w:tab/>
      </w:r>
      <w:r w:rsidRPr="00807305">
        <w:rPr>
          <w:lang w:val="en-US"/>
        </w:rPr>
        <w:tab/>
        <w:t>United States</w:t>
      </w:r>
    </w:p>
    <w:p w:rsidR="00786BA3" w:rsidRPr="00807305" w:rsidRDefault="00786BA3" w:rsidP="00786BA3">
      <w:pPr>
        <w:tabs>
          <w:tab w:val="left" w:pos="1276"/>
          <w:tab w:val="left" w:pos="2410"/>
        </w:tabs>
        <w:spacing w:before="0"/>
        <w:jc w:val="both"/>
        <w:rPr>
          <w:rFonts w:cstheme="majorBidi"/>
          <w:lang w:val="en-US"/>
        </w:rPr>
      </w:pPr>
      <w:r w:rsidRPr="00807305">
        <w:rPr>
          <w:rFonts w:cstheme="majorBidi"/>
          <w:lang w:val="en-US"/>
        </w:rPr>
        <w:tab/>
      </w:r>
      <w:r w:rsidRPr="00807305">
        <w:rPr>
          <w:rFonts w:cstheme="majorBidi"/>
          <w:lang w:val="en-US"/>
        </w:rPr>
        <w:tab/>
      </w:r>
    </w:p>
    <w:p w:rsidR="00786BA3" w:rsidRPr="00807305" w:rsidRDefault="00786BA3" w:rsidP="00786BA3">
      <w:pPr>
        <w:tabs>
          <w:tab w:val="left" w:pos="1276"/>
          <w:tab w:val="left" w:pos="2410"/>
        </w:tabs>
        <w:spacing w:before="0"/>
        <w:jc w:val="both"/>
        <w:rPr>
          <w:rFonts w:cstheme="majorBidi"/>
          <w:lang w:val="en-US"/>
        </w:rPr>
      </w:pPr>
      <w:r w:rsidRPr="00807305">
        <w:rPr>
          <w:rFonts w:cstheme="majorBidi"/>
          <w:lang w:val="en-US"/>
        </w:rPr>
        <w:tab/>
      </w:r>
      <w:r w:rsidRPr="00807305">
        <w:rPr>
          <w:rFonts w:cstheme="majorBidi"/>
          <w:lang w:val="en-US"/>
        </w:rPr>
        <w:tab/>
        <w:t xml:space="preserve">Tel.: </w:t>
      </w:r>
      <w:r w:rsidRPr="00807305">
        <w:rPr>
          <w:rFonts w:cstheme="majorBidi"/>
          <w:lang w:val="en-US"/>
        </w:rPr>
        <w:tab/>
        <w:t>+1 619 297 1101</w:t>
      </w:r>
    </w:p>
    <w:p w:rsidR="00786BA3" w:rsidRPr="00807305" w:rsidRDefault="00786BA3" w:rsidP="00786BA3">
      <w:pPr>
        <w:tabs>
          <w:tab w:val="left" w:pos="1276"/>
          <w:tab w:val="left" w:pos="2410"/>
        </w:tabs>
        <w:spacing w:before="0"/>
        <w:jc w:val="both"/>
        <w:rPr>
          <w:rFonts w:cstheme="majorBidi"/>
          <w:lang w:val="en-US"/>
        </w:rPr>
      </w:pPr>
      <w:r w:rsidRPr="00807305">
        <w:rPr>
          <w:rFonts w:cstheme="majorBidi"/>
          <w:lang w:val="en-US"/>
        </w:rPr>
        <w:tab/>
      </w:r>
      <w:r w:rsidRPr="00807305">
        <w:rPr>
          <w:rFonts w:cstheme="majorBidi"/>
          <w:lang w:val="en-US"/>
        </w:rPr>
        <w:tab/>
        <w:t xml:space="preserve">Fax: </w:t>
      </w:r>
      <w:r w:rsidRPr="00807305">
        <w:rPr>
          <w:rFonts w:cstheme="majorBidi"/>
          <w:lang w:val="en-US"/>
        </w:rPr>
        <w:tab/>
        <w:t>+1 619 297 6049</w:t>
      </w:r>
    </w:p>
    <w:p w:rsidR="00786BA3" w:rsidRPr="00807305" w:rsidRDefault="00786BA3" w:rsidP="00786BA3">
      <w:pPr>
        <w:tabs>
          <w:tab w:val="left" w:pos="1276"/>
          <w:tab w:val="left" w:pos="2410"/>
        </w:tabs>
        <w:spacing w:before="0"/>
        <w:rPr>
          <w:rFonts w:cstheme="majorBidi"/>
          <w:lang w:val="en-US"/>
        </w:rPr>
      </w:pPr>
      <w:r w:rsidRPr="00807305">
        <w:rPr>
          <w:rFonts w:cstheme="majorBidi"/>
          <w:lang w:val="en-US"/>
        </w:rPr>
        <w:tab/>
      </w:r>
      <w:r w:rsidRPr="00807305">
        <w:rPr>
          <w:rFonts w:cstheme="majorBidi"/>
          <w:lang w:val="en-US"/>
        </w:rPr>
        <w:tab/>
        <w:t>E-mail:</w:t>
      </w:r>
      <w:r w:rsidRPr="00807305">
        <w:rPr>
          <w:rFonts w:cstheme="majorBidi"/>
          <w:lang w:val="en-US"/>
        </w:rPr>
        <w:tab/>
      </w:r>
      <w:hyperlink r:id="rId21" w:history="1">
        <w:r w:rsidRPr="00807305">
          <w:rPr>
            <w:rStyle w:val="Hyperlink"/>
            <w:rFonts w:cstheme="majorBidi"/>
            <w:lang w:val="en-US"/>
          </w:rPr>
          <w:t>sales@cp-sandiego.com</w:t>
        </w:r>
      </w:hyperlink>
      <w:r w:rsidRPr="00807305">
        <w:rPr>
          <w:rFonts w:cstheme="majorBidi"/>
          <w:lang w:val="en-US"/>
        </w:rPr>
        <w:t xml:space="preserve"> </w:t>
      </w:r>
    </w:p>
    <w:p w:rsidR="00786BA3" w:rsidRPr="00807305" w:rsidRDefault="00786BA3" w:rsidP="00786BA3">
      <w:pPr>
        <w:tabs>
          <w:tab w:val="left" w:pos="1276"/>
          <w:tab w:val="left" w:pos="2410"/>
        </w:tabs>
        <w:spacing w:before="0"/>
        <w:rPr>
          <w:rFonts w:cstheme="majorBidi"/>
          <w:color w:val="0000FF"/>
          <w:u w:val="single"/>
          <w:lang w:val="en-US"/>
        </w:rPr>
      </w:pPr>
      <w:r w:rsidRPr="00807305">
        <w:rPr>
          <w:rFonts w:cstheme="majorBidi"/>
          <w:lang w:val="en-US"/>
        </w:rPr>
        <w:tab/>
      </w:r>
      <w:r w:rsidRPr="00807305">
        <w:rPr>
          <w:rFonts w:cstheme="majorBidi"/>
          <w:lang w:val="en-US"/>
        </w:rPr>
        <w:tab/>
        <w:t xml:space="preserve">Web: </w:t>
      </w:r>
      <w:r w:rsidRPr="00807305">
        <w:rPr>
          <w:rFonts w:cstheme="majorBidi"/>
          <w:lang w:val="en-US"/>
        </w:rPr>
        <w:tab/>
      </w:r>
      <w:hyperlink r:id="rId22" w:history="1">
        <w:r w:rsidRPr="00807305">
          <w:rPr>
            <w:rStyle w:val="Hyperlink"/>
            <w:rFonts w:cstheme="majorBidi"/>
            <w:lang w:val="en-US"/>
          </w:rPr>
          <w:t>http://www.ihg.com/crowneplaza/hotels/us/en/san-diego/sancp/hoteldetail</w:t>
        </w:r>
      </w:hyperlink>
      <w:r w:rsidRPr="00807305">
        <w:rPr>
          <w:rFonts w:cstheme="majorBidi"/>
          <w:lang w:val="en-US"/>
        </w:rPr>
        <w:t xml:space="preserve"> </w:t>
      </w:r>
    </w:p>
    <w:p w:rsidR="00786BA3" w:rsidRPr="00807305" w:rsidRDefault="00786BA3" w:rsidP="00786BA3">
      <w:pPr>
        <w:pStyle w:val="Heading3"/>
        <w:rPr>
          <w:lang w:val="en-US"/>
        </w:rPr>
      </w:pPr>
      <w:r w:rsidRPr="00807305">
        <w:rPr>
          <w:lang w:val="en-US"/>
        </w:rPr>
        <w:t>2</w:t>
      </w:r>
      <w:r w:rsidRPr="00807305">
        <w:rPr>
          <w:lang w:val="en-US"/>
        </w:rPr>
        <w:tab/>
        <w:t>Hotels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 xml:space="preserve">A guest room block has been reserved at the event venue, </w:t>
      </w:r>
      <w:r w:rsidRPr="00807305">
        <w:rPr>
          <w:b/>
          <w:bCs/>
          <w:lang w:val="en-US"/>
        </w:rPr>
        <w:t>Crowne Plaza San Diego - Mission Valley</w:t>
      </w:r>
      <w:r w:rsidRPr="00807305">
        <w:rPr>
          <w:lang w:val="en-US"/>
        </w:rPr>
        <w:t xml:space="preserve">, from 7 June 2015 (check in) to 9 June 2015 (check out) (2 nights). These rooms will be extended three (3) days prior to and following the group's meeting dates, on a space and rate available basis. </w:t>
      </w:r>
    </w:p>
    <w:p w:rsidR="00786BA3" w:rsidRPr="00807305" w:rsidRDefault="00786BA3" w:rsidP="00786BA3">
      <w:pPr>
        <w:pStyle w:val="Heading4"/>
      </w:pPr>
      <w:proofErr w:type="spellStart"/>
      <w:r w:rsidRPr="00807305">
        <w:t>Confirmed</w:t>
      </w:r>
      <w:proofErr w:type="spellEnd"/>
      <w:r w:rsidRPr="00807305">
        <w:t xml:space="preserve"> </w:t>
      </w:r>
      <w:proofErr w:type="spellStart"/>
      <w:r w:rsidRPr="00807305">
        <w:t>Rates</w:t>
      </w:r>
      <w:proofErr w:type="spellEnd"/>
      <w:r w:rsidRPr="00807305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1925"/>
        <w:gridCol w:w="1701"/>
      </w:tblGrid>
      <w:tr w:rsidR="00786BA3" w:rsidRPr="00807305" w:rsidTr="00BE5D32">
        <w:trPr>
          <w:trHeight w:val="352"/>
        </w:trPr>
        <w:tc>
          <w:tcPr>
            <w:tcW w:w="1604" w:type="dxa"/>
            <w:shd w:val="pct60" w:color="000000" w:fill="FFFFFF"/>
          </w:tcPr>
          <w:p w:rsidR="00786BA3" w:rsidRPr="00807305" w:rsidRDefault="00786BA3" w:rsidP="00BE5D32">
            <w:pPr>
              <w:rPr>
                <w:b/>
                <w:bCs/>
                <w:color w:val="FFFFFF"/>
                <w:sz w:val="16"/>
              </w:rPr>
            </w:pPr>
            <w:r w:rsidRPr="00807305">
              <w:rPr>
                <w:b/>
                <w:bCs/>
                <w:noProof/>
                <w:color w:val="FFFFFF"/>
                <w:sz w:val="16"/>
              </w:rPr>
              <w:t>Room</w:t>
            </w:r>
          </w:p>
        </w:tc>
        <w:tc>
          <w:tcPr>
            <w:tcW w:w="1925" w:type="dxa"/>
            <w:shd w:val="pct60" w:color="000000" w:fill="FFFFFF"/>
          </w:tcPr>
          <w:p w:rsidR="00786BA3" w:rsidRPr="00807305" w:rsidRDefault="00786BA3" w:rsidP="00BE5D32">
            <w:pPr>
              <w:jc w:val="right"/>
              <w:rPr>
                <w:b/>
                <w:bCs/>
                <w:color w:val="FFFFFF"/>
                <w:sz w:val="16"/>
              </w:rPr>
            </w:pPr>
            <w:r w:rsidRPr="00807305">
              <w:rPr>
                <w:b/>
                <w:bCs/>
                <w:noProof/>
                <w:color w:val="FFFFFF"/>
                <w:sz w:val="16"/>
              </w:rPr>
              <w:t>Single Rate</w:t>
            </w:r>
          </w:p>
        </w:tc>
        <w:tc>
          <w:tcPr>
            <w:tcW w:w="1701" w:type="dxa"/>
            <w:shd w:val="pct60" w:color="000000" w:fill="FFFFFF"/>
          </w:tcPr>
          <w:p w:rsidR="00786BA3" w:rsidRPr="00807305" w:rsidRDefault="00786BA3" w:rsidP="00BE5D32">
            <w:pPr>
              <w:jc w:val="right"/>
              <w:rPr>
                <w:b/>
                <w:bCs/>
                <w:color w:val="FFFFFF"/>
                <w:sz w:val="16"/>
              </w:rPr>
            </w:pPr>
            <w:r w:rsidRPr="00807305">
              <w:rPr>
                <w:b/>
                <w:bCs/>
                <w:noProof/>
                <w:color w:val="FFFFFF"/>
                <w:sz w:val="16"/>
              </w:rPr>
              <w:t>Double Rate</w:t>
            </w:r>
          </w:p>
        </w:tc>
      </w:tr>
      <w:tr w:rsidR="00786BA3" w:rsidRPr="00807305" w:rsidTr="00BE5D32">
        <w:trPr>
          <w:trHeight w:val="369"/>
        </w:trPr>
        <w:tc>
          <w:tcPr>
            <w:tcW w:w="1604" w:type="dxa"/>
            <w:shd w:val="clear" w:color="auto" w:fill="auto"/>
          </w:tcPr>
          <w:p w:rsidR="00786BA3" w:rsidRPr="00807305" w:rsidRDefault="00786BA3" w:rsidP="00BE5D32">
            <w:pPr>
              <w:rPr>
                <w:b/>
                <w:bCs/>
                <w:sz w:val="16"/>
              </w:rPr>
            </w:pPr>
            <w:r w:rsidRPr="00807305">
              <w:rPr>
                <w:b/>
                <w:bCs/>
                <w:noProof/>
                <w:sz w:val="16"/>
              </w:rPr>
              <w:t>Run of House</w:t>
            </w:r>
          </w:p>
        </w:tc>
        <w:tc>
          <w:tcPr>
            <w:tcW w:w="1925" w:type="dxa"/>
            <w:shd w:val="clear" w:color="auto" w:fill="auto"/>
          </w:tcPr>
          <w:p w:rsidR="00786BA3" w:rsidRPr="00807305" w:rsidRDefault="00786BA3" w:rsidP="00BE5D32">
            <w:pPr>
              <w:jc w:val="right"/>
              <w:rPr>
                <w:b/>
                <w:bCs/>
                <w:sz w:val="16"/>
              </w:rPr>
            </w:pPr>
            <w:r w:rsidRPr="00807305">
              <w:rPr>
                <w:b/>
                <w:bCs/>
                <w:noProof/>
                <w:sz w:val="16"/>
              </w:rPr>
              <w:t>USD139.00 + Tax</w:t>
            </w:r>
          </w:p>
        </w:tc>
        <w:tc>
          <w:tcPr>
            <w:tcW w:w="1701" w:type="dxa"/>
            <w:shd w:val="clear" w:color="auto" w:fill="auto"/>
          </w:tcPr>
          <w:p w:rsidR="00786BA3" w:rsidRPr="00807305" w:rsidRDefault="00786BA3" w:rsidP="00BE5D32">
            <w:pPr>
              <w:jc w:val="right"/>
              <w:rPr>
                <w:b/>
                <w:bCs/>
                <w:sz w:val="16"/>
              </w:rPr>
            </w:pPr>
            <w:r w:rsidRPr="00807305">
              <w:rPr>
                <w:b/>
                <w:bCs/>
                <w:noProof/>
                <w:sz w:val="16"/>
              </w:rPr>
              <w:t>USD139.00 + Tax</w:t>
            </w:r>
          </w:p>
        </w:tc>
      </w:tr>
    </w:tbl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>Confirmed rates will be available until 25 May 2015.</w:t>
      </w:r>
    </w:p>
    <w:p w:rsidR="00786BA3" w:rsidRPr="00807305" w:rsidRDefault="00786BA3" w:rsidP="00786BA3">
      <w:pPr>
        <w:pStyle w:val="Heading4"/>
        <w:rPr>
          <w:lang w:val="en-US"/>
        </w:rPr>
      </w:pPr>
      <w:r w:rsidRPr="00807305">
        <w:rPr>
          <w:lang w:val="en-US"/>
        </w:rPr>
        <w:t>Reservations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 xml:space="preserve">A dedicated website is now available for your attendees to book their hotel rooms online. Reservations can be made starting 11 May 2015 at this web address: 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 xml:space="preserve">Booking website: </w:t>
      </w:r>
      <w:r w:rsidRPr="00807305">
        <w:rPr>
          <w:lang w:val="en-US"/>
        </w:rPr>
        <w:tab/>
      </w:r>
      <w:hyperlink r:id="rId23" w:history="1">
        <w:r w:rsidRPr="00807305">
          <w:rPr>
            <w:rStyle w:val="Hyperlink"/>
            <w:lang w:val="en-US"/>
          </w:rPr>
          <w:t>https://resweb.passkey.com/go/24d07ea8</w:t>
        </w:r>
      </w:hyperlink>
    </w:p>
    <w:p w:rsidR="00786BA3" w:rsidRPr="00807305" w:rsidRDefault="00786BA3" w:rsidP="00786BA3">
      <w:pPr>
        <w:ind w:left="1980" w:hanging="1980"/>
        <w:rPr>
          <w:lang w:val="en-US"/>
        </w:rPr>
      </w:pPr>
      <w:r w:rsidRPr="00807305">
        <w:rPr>
          <w:lang w:val="en-US"/>
        </w:rPr>
        <w:t>Booking hotline:</w:t>
      </w:r>
      <w:r w:rsidRPr="00807305">
        <w:rPr>
          <w:lang w:val="en-US"/>
        </w:rPr>
        <w:tab/>
        <w:t>+1 888 233 9527 (ask for International Telecommunication Union rate)</w:t>
      </w:r>
    </w:p>
    <w:p w:rsidR="00786BA3" w:rsidRPr="00807305" w:rsidRDefault="00786BA3" w:rsidP="00786BA3">
      <w:pPr>
        <w:pStyle w:val="Heading4"/>
        <w:rPr>
          <w:lang w:val="en-US"/>
        </w:rPr>
      </w:pPr>
      <w:r w:rsidRPr="00807305">
        <w:rPr>
          <w:lang w:val="en-US"/>
        </w:rPr>
        <w:t>Parking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 xml:space="preserve">Overnight: </w:t>
      </w:r>
      <w:r w:rsidRPr="00807305">
        <w:rPr>
          <w:lang w:val="en-US"/>
        </w:rPr>
        <w:tab/>
        <w:t xml:space="preserve">USD12.00 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 xml:space="preserve">Local: </w:t>
      </w:r>
      <w:r w:rsidRPr="00807305">
        <w:rPr>
          <w:lang w:val="en-US"/>
        </w:rPr>
        <w:tab/>
      </w:r>
      <w:r w:rsidRPr="00807305">
        <w:rPr>
          <w:lang w:val="en-US"/>
        </w:rPr>
        <w:tab/>
        <w:t>USD3.00 for the first hour and USD2.00 per hour up to a maximum USD14.00 per day.</w:t>
      </w:r>
    </w:p>
    <w:p w:rsidR="00786BA3" w:rsidRPr="00807305" w:rsidRDefault="00786BA3" w:rsidP="00786BA3">
      <w:pPr>
        <w:pStyle w:val="Heading3"/>
        <w:rPr>
          <w:lang w:val="en-US"/>
        </w:rPr>
      </w:pPr>
      <w:r w:rsidRPr="00807305">
        <w:rPr>
          <w:lang w:val="en-US"/>
        </w:rPr>
        <w:lastRenderedPageBreak/>
        <w:t>3</w:t>
      </w:r>
      <w:r w:rsidRPr="00807305">
        <w:rPr>
          <w:lang w:val="en-US"/>
        </w:rPr>
        <w:tab/>
        <w:t>Arrival and transportation</w:t>
      </w:r>
    </w:p>
    <w:p w:rsidR="00786BA3" w:rsidRPr="00807305" w:rsidRDefault="00786BA3" w:rsidP="00786BA3">
      <w:pPr>
        <w:pStyle w:val="Heading4"/>
        <w:rPr>
          <w:lang w:val="en-US"/>
        </w:rPr>
      </w:pPr>
      <w:r w:rsidRPr="00807305">
        <w:rPr>
          <w:lang w:val="en-US"/>
        </w:rPr>
        <w:t>Airport</w:t>
      </w:r>
    </w:p>
    <w:p w:rsidR="00786BA3" w:rsidRPr="00807305" w:rsidRDefault="00786BA3" w:rsidP="00786BA3">
      <w:pPr>
        <w:rPr>
          <w:u w:val="single"/>
          <w:lang w:val="en-US"/>
        </w:rPr>
      </w:pPr>
      <w:r w:rsidRPr="00807305">
        <w:rPr>
          <w:u w:val="single"/>
          <w:lang w:val="en-US"/>
        </w:rPr>
        <w:t>San Diego International Airport (SAN)</w:t>
      </w:r>
    </w:p>
    <w:p w:rsidR="00786BA3" w:rsidRPr="00807305" w:rsidRDefault="00786BA3" w:rsidP="00786BA3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eastAsia="MS Mincho"/>
          <w:color w:val="000000"/>
          <w:szCs w:val="24"/>
          <w:lang w:val="en-US"/>
        </w:rPr>
      </w:pPr>
      <w:r w:rsidRPr="00807305">
        <w:rPr>
          <w:rFonts w:eastAsia="MS Mincho"/>
          <w:color w:val="000000"/>
          <w:szCs w:val="24"/>
          <w:lang w:val="en-US"/>
        </w:rPr>
        <w:t>Distance from hotel: 5.5 MI/ 8.85 KM South West</w:t>
      </w:r>
    </w:p>
    <w:p w:rsidR="00786BA3" w:rsidRPr="00807305" w:rsidRDefault="00786BA3" w:rsidP="00786BA3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eastAsia="MS Mincho"/>
          <w:color w:val="000000"/>
          <w:szCs w:val="24"/>
          <w:lang w:val="en-US"/>
        </w:rPr>
      </w:pPr>
      <w:r w:rsidRPr="00807305">
        <w:rPr>
          <w:rFonts w:eastAsia="MS Mincho"/>
          <w:color w:val="000000"/>
          <w:szCs w:val="24"/>
          <w:lang w:val="en-US"/>
        </w:rPr>
        <w:t>5 North to 8 East exit Hotel Circle/Taylor Street exit. Left at light, left at stop sign, left and a quick right at light. Hotel will be up the street about 1/4 mile on your left.</w:t>
      </w:r>
    </w:p>
    <w:p w:rsidR="00786BA3" w:rsidRPr="00807305" w:rsidRDefault="00786BA3" w:rsidP="00786B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eastAsia="MS Mincho"/>
          <w:color w:val="000000"/>
          <w:szCs w:val="24"/>
          <w:lang w:val="en-US"/>
        </w:rPr>
      </w:pPr>
    </w:p>
    <w:p w:rsidR="00786BA3" w:rsidRPr="00807305" w:rsidRDefault="00786BA3" w:rsidP="00786BA3">
      <w:pPr>
        <w:rPr>
          <w:u w:val="single"/>
        </w:rPr>
      </w:pPr>
      <w:r w:rsidRPr="00807305">
        <w:rPr>
          <w:u w:val="single"/>
        </w:rPr>
        <w:t xml:space="preserve">Montgomery Field </w:t>
      </w:r>
      <w:proofErr w:type="spellStart"/>
      <w:r w:rsidRPr="00807305">
        <w:rPr>
          <w:u w:val="single"/>
        </w:rPr>
        <w:t>Airport</w:t>
      </w:r>
      <w:proofErr w:type="spellEnd"/>
      <w:r w:rsidRPr="00807305">
        <w:rPr>
          <w:u w:val="single"/>
        </w:rPr>
        <w:t xml:space="preserve"> (MYF)</w:t>
      </w:r>
    </w:p>
    <w:p w:rsidR="00786BA3" w:rsidRPr="00807305" w:rsidRDefault="00786BA3" w:rsidP="00786BA3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eastAsia="MS Mincho"/>
          <w:color w:val="000000"/>
          <w:szCs w:val="24"/>
          <w:lang w:val="en-US"/>
        </w:rPr>
      </w:pPr>
      <w:r w:rsidRPr="00807305">
        <w:rPr>
          <w:rFonts w:eastAsia="MS Mincho"/>
          <w:color w:val="000000"/>
          <w:szCs w:val="24"/>
          <w:lang w:val="en-US"/>
        </w:rPr>
        <w:t>Distance from hotel: 6.7 MI/ 10.78 KM North East</w:t>
      </w:r>
    </w:p>
    <w:p w:rsidR="00786BA3" w:rsidRPr="00807305" w:rsidRDefault="00786BA3" w:rsidP="00786BA3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eastAsia="MS Mincho"/>
          <w:color w:val="000000"/>
          <w:szCs w:val="24"/>
          <w:lang w:val="en-US"/>
        </w:rPr>
      </w:pPr>
      <w:r w:rsidRPr="00807305">
        <w:rPr>
          <w:rFonts w:eastAsia="MS Mincho"/>
          <w:color w:val="000000"/>
          <w:szCs w:val="24"/>
          <w:lang w:val="en-US"/>
        </w:rPr>
        <w:t>163 South to Hotel Circle Exit. Take a left at the stop sign and our hotel will be on your right about a 1/4 mile down the street.</w:t>
      </w:r>
    </w:p>
    <w:p w:rsidR="00786BA3" w:rsidRPr="00807305" w:rsidRDefault="00786BA3" w:rsidP="00786BA3">
      <w:pPr>
        <w:pStyle w:val="Heading4"/>
      </w:pPr>
      <w:r w:rsidRPr="00807305">
        <w:t>Train</w:t>
      </w:r>
    </w:p>
    <w:p w:rsidR="00786BA3" w:rsidRPr="00807305" w:rsidRDefault="00786BA3" w:rsidP="00786BA3">
      <w:pPr>
        <w:rPr>
          <w:u w:val="single"/>
        </w:rPr>
      </w:pPr>
      <w:r w:rsidRPr="00807305">
        <w:rPr>
          <w:u w:val="single"/>
        </w:rPr>
        <w:t xml:space="preserve">Santa Fe </w:t>
      </w:r>
      <w:proofErr w:type="spellStart"/>
      <w:r w:rsidRPr="00807305">
        <w:rPr>
          <w:u w:val="single"/>
        </w:rPr>
        <w:t>Depot</w:t>
      </w:r>
      <w:proofErr w:type="spellEnd"/>
    </w:p>
    <w:p w:rsidR="00786BA3" w:rsidRPr="00807305" w:rsidRDefault="00786BA3" w:rsidP="00786BA3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eastAsia="MS Mincho"/>
          <w:color w:val="000000"/>
          <w:szCs w:val="24"/>
          <w:lang w:val="en-US"/>
        </w:rPr>
      </w:pPr>
      <w:r w:rsidRPr="00807305">
        <w:rPr>
          <w:rFonts w:eastAsia="MS Mincho"/>
          <w:color w:val="000000"/>
          <w:szCs w:val="24"/>
          <w:lang w:val="en-US"/>
        </w:rPr>
        <w:t>Distance from hotel: 5.6 MI/ 9.01 KM South East</w:t>
      </w:r>
    </w:p>
    <w:p w:rsidR="00786BA3" w:rsidRPr="00807305" w:rsidRDefault="00786BA3" w:rsidP="00786BA3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eastAsia="MS Mincho"/>
          <w:color w:val="000000"/>
          <w:szCs w:val="24"/>
          <w:lang w:val="en-US"/>
        </w:rPr>
      </w:pPr>
      <w:r w:rsidRPr="00807305">
        <w:rPr>
          <w:rFonts w:eastAsia="MS Mincho"/>
          <w:color w:val="000000"/>
          <w:szCs w:val="24"/>
          <w:lang w:val="en-US"/>
        </w:rPr>
        <w:t xml:space="preserve">Interstate 8 west to 5 south, exit Front Street. Take a right on Ash and a left on </w:t>
      </w:r>
      <w:proofErr w:type="spellStart"/>
      <w:r w:rsidRPr="00807305">
        <w:rPr>
          <w:rFonts w:eastAsia="MS Mincho"/>
          <w:color w:val="000000"/>
          <w:szCs w:val="24"/>
          <w:lang w:val="en-US"/>
        </w:rPr>
        <w:t>Kettner</w:t>
      </w:r>
      <w:proofErr w:type="spellEnd"/>
      <w:r w:rsidRPr="00807305">
        <w:rPr>
          <w:rFonts w:eastAsia="MS Mincho"/>
          <w:color w:val="000000"/>
          <w:szCs w:val="24"/>
          <w:lang w:val="en-US"/>
        </w:rPr>
        <w:t xml:space="preserve"> to 1050 </w:t>
      </w:r>
      <w:proofErr w:type="spellStart"/>
      <w:r w:rsidRPr="00807305">
        <w:rPr>
          <w:rFonts w:eastAsia="MS Mincho"/>
          <w:color w:val="000000"/>
          <w:szCs w:val="24"/>
          <w:lang w:val="en-US"/>
        </w:rPr>
        <w:t>Kettner</w:t>
      </w:r>
      <w:proofErr w:type="spellEnd"/>
    </w:p>
    <w:p w:rsidR="00786BA3" w:rsidRPr="00807305" w:rsidRDefault="00786BA3" w:rsidP="00786BA3">
      <w:pPr>
        <w:pStyle w:val="Heading3"/>
        <w:rPr>
          <w:lang w:val="en-US"/>
        </w:rPr>
      </w:pPr>
      <w:r w:rsidRPr="00807305">
        <w:rPr>
          <w:lang w:val="en-US"/>
        </w:rPr>
        <w:t>4</w:t>
      </w:r>
      <w:r w:rsidRPr="00807305">
        <w:rPr>
          <w:lang w:val="en-US"/>
        </w:rPr>
        <w:tab/>
        <w:t>Visa – Formalities for entering the United States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 xml:space="preserve">Information on U.S. Visas can be found here: </w:t>
      </w:r>
      <w:hyperlink r:id="rId24" w:history="1">
        <w:r w:rsidRPr="00807305">
          <w:rPr>
            <w:rStyle w:val="Hyperlink"/>
            <w:lang w:val="en-US"/>
          </w:rPr>
          <w:t>http://travel.state.gov/content/visas/english.html</w:t>
        </w:r>
      </w:hyperlink>
    </w:p>
    <w:p w:rsidR="00786BA3" w:rsidRPr="00807305" w:rsidRDefault="00786BA3" w:rsidP="00786BA3">
      <w:pPr>
        <w:rPr>
          <w:highlight w:val="yellow"/>
          <w:lang w:val="en-US"/>
        </w:rPr>
      </w:pPr>
      <w:r w:rsidRPr="00807305">
        <w:rPr>
          <w:lang w:val="en-US"/>
        </w:rPr>
        <w:t xml:space="preserve">In case you need a letter to support your visa application, please register for the meeting as described in the Circular, and then kindly provide, </w:t>
      </w:r>
      <w:r w:rsidRPr="00807305">
        <w:rPr>
          <w:b/>
          <w:bCs/>
          <w:lang w:val="en-US"/>
        </w:rPr>
        <w:t>not later than 22 May 2015</w:t>
      </w:r>
      <w:r w:rsidRPr="00807305">
        <w:rPr>
          <w:lang w:val="en-US"/>
        </w:rPr>
        <w:t>, the confirmation number of your registration, your full name, affiliation, nationality and passport number to:</w:t>
      </w:r>
    </w:p>
    <w:p w:rsidR="00786BA3" w:rsidRPr="00807305" w:rsidRDefault="00786BA3" w:rsidP="00786BA3">
      <w:pPr>
        <w:rPr>
          <w:lang w:val="en-US"/>
        </w:rPr>
      </w:pPr>
      <w:proofErr w:type="spellStart"/>
      <w:r w:rsidRPr="00807305">
        <w:rPr>
          <w:lang w:val="en-US"/>
        </w:rPr>
        <w:t>Ms</w:t>
      </w:r>
      <w:proofErr w:type="spellEnd"/>
      <w:r w:rsidRPr="00807305">
        <w:rPr>
          <w:lang w:val="en-US"/>
        </w:rPr>
        <w:t xml:space="preserve"> Sharon London</w:t>
      </w:r>
      <w:r w:rsidRPr="00807305">
        <w:rPr>
          <w:lang w:val="en-US"/>
        </w:rPr>
        <w:br/>
        <w:t>ITU Field Office / New York</w:t>
      </w:r>
    </w:p>
    <w:p w:rsidR="00786BA3" w:rsidRPr="00807305" w:rsidRDefault="00786BA3" w:rsidP="00786BA3">
      <w:pPr>
        <w:pStyle w:val="enumlev1"/>
        <w:tabs>
          <w:tab w:val="clear" w:pos="1191"/>
          <w:tab w:val="clear" w:pos="1588"/>
          <w:tab w:val="clear" w:pos="1985"/>
          <w:tab w:val="left" w:pos="1701"/>
        </w:tabs>
        <w:spacing w:before="0"/>
        <w:rPr>
          <w:lang w:val="de-CH"/>
        </w:rPr>
      </w:pPr>
      <w:r w:rsidRPr="00807305">
        <w:rPr>
          <w:lang w:val="de-CH"/>
        </w:rPr>
        <w:t>Tel.:</w:t>
      </w:r>
      <w:r w:rsidRPr="00807305">
        <w:rPr>
          <w:lang w:val="de-CH"/>
        </w:rPr>
        <w:tab/>
        <w:t>+41 22 730 5948</w:t>
      </w:r>
    </w:p>
    <w:p w:rsidR="00786BA3" w:rsidRPr="00807305" w:rsidRDefault="00786BA3" w:rsidP="00786BA3">
      <w:pPr>
        <w:pStyle w:val="enumlev1"/>
        <w:tabs>
          <w:tab w:val="clear" w:pos="1191"/>
          <w:tab w:val="clear" w:pos="1588"/>
          <w:tab w:val="clear" w:pos="1985"/>
          <w:tab w:val="left" w:pos="1701"/>
        </w:tabs>
        <w:spacing w:before="0"/>
        <w:rPr>
          <w:lang w:val="de-CH"/>
        </w:rPr>
      </w:pPr>
      <w:r w:rsidRPr="00807305">
        <w:rPr>
          <w:rFonts w:eastAsiaTheme="minorHAnsi"/>
          <w:lang w:val="de-CH"/>
        </w:rPr>
        <w:t>E-mail:</w:t>
      </w:r>
      <w:r w:rsidRPr="00807305">
        <w:rPr>
          <w:rFonts w:eastAsiaTheme="minorHAnsi"/>
          <w:lang w:val="de-CH"/>
        </w:rPr>
        <w:tab/>
      </w:r>
      <w:r w:rsidR="004A2988">
        <w:fldChar w:fldCharType="begin"/>
      </w:r>
      <w:r w:rsidR="004A2988" w:rsidRPr="009A2243">
        <w:rPr>
          <w:lang w:val="de-CH"/>
        </w:rPr>
        <w:instrText xml:space="preserve"> HYPERLINK "mailto:Sharon.London@itu.int" </w:instrText>
      </w:r>
      <w:r w:rsidR="004A2988">
        <w:fldChar w:fldCharType="separate"/>
      </w:r>
      <w:r w:rsidRPr="00807305">
        <w:rPr>
          <w:rStyle w:val="Hyperlink"/>
          <w:rFonts w:eastAsiaTheme="minorHAnsi"/>
          <w:lang w:val="de-CH"/>
        </w:rPr>
        <w:t>Sharon.London@itu.int</w:t>
      </w:r>
      <w:r w:rsidR="004A2988">
        <w:rPr>
          <w:rStyle w:val="Hyperlink"/>
          <w:rFonts w:eastAsiaTheme="minorHAnsi"/>
          <w:lang w:val="de-CH"/>
        </w:rPr>
        <w:fldChar w:fldCharType="end"/>
      </w:r>
    </w:p>
    <w:p w:rsidR="00786BA3" w:rsidRPr="00807305" w:rsidRDefault="00786BA3" w:rsidP="00786BA3">
      <w:pPr>
        <w:pStyle w:val="Heading3"/>
        <w:rPr>
          <w:lang w:val="en-US"/>
        </w:rPr>
      </w:pPr>
      <w:r w:rsidRPr="00807305">
        <w:rPr>
          <w:lang w:val="en-US"/>
        </w:rPr>
        <w:t xml:space="preserve">5 </w:t>
      </w:r>
      <w:r w:rsidRPr="00807305">
        <w:rPr>
          <w:lang w:val="en-US"/>
        </w:rPr>
        <w:tab/>
        <w:t>Currency and exchange</w:t>
      </w:r>
    </w:p>
    <w:p w:rsidR="00786BA3" w:rsidRPr="00807305" w:rsidRDefault="00786BA3" w:rsidP="00786BA3">
      <w:pPr>
        <w:ind w:left="720"/>
        <w:rPr>
          <w:lang w:val="en-US"/>
        </w:rPr>
      </w:pPr>
      <w:r w:rsidRPr="00807305">
        <w:rPr>
          <w:lang w:val="en-US"/>
        </w:rPr>
        <w:t>1.00 CHF – 1.071 USD</w:t>
      </w:r>
      <w:r w:rsidRPr="00807305">
        <w:rPr>
          <w:lang w:val="en-US"/>
        </w:rPr>
        <w:br/>
        <w:t>1.00 EUR – 1.11 USD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 xml:space="preserve">For more info: </w:t>
      </w:r>
      <w:hyperlink r:id="rId25" w:history="1">
        <w:r w:rsidRPr="00807305">
          <w:rPr>
            <w:rStyle w:val="Hyperlink"/>
            <w:lang w:val="en-US"/>
          </w:rPr>
          <w:t>http://www.xe.com/</w:t>
        </w:r>
      </w:hyperlink>
      <w:r w:rsidRPr="00807305">
        <w:rPr>
          <w:lang w:val="en-US"/>
        </w:rPr>
        <w:t xml:space="preserve">  </w:t>
      </w:r>
    </w:p>
    <w:p w:rsidR="00786BA3" w:rsidRPr="00807305" w:rsidRDefault="00786BA3" w:rsidP="00786BA3">
      <w:pPr>
        <w:pStyle w:val="Heading3"/>
        <w:rPr>
          <w:lang w:val="en-US"/>
        </w:rPr>
      </w:pPr>
      <w:r w:rsidRPr="00807305">
        <w:rPr>
          <w:lang w:val="en-US"/>
        </w:rPr>
        <w:t>6</w:t>
      </w:r>
      <w:r w:rsidRPr="00807305">
        <w:rPr>
          <w:lang w:val="en-US"/>
        </w:rPr>
        <w:tab/>
        <w:t>Language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>The official working language is English.</w:t>
      </w:r>
    </w:p>
    <w:p w:rsidR="00786BA3" w:rsidRPr="00807305" w:rsidRDefault="00786BA3" w:rsidP="00786BA3">
      <w:pPr>
        <w:pStyle w:val="Heading3"/>
        <w:rPr>
          <w:lang w:val="en-US"/>
        </w:rPr>
      </w:pPr>
      <w:r w:rsidRPr="00807305">
        <w:rPr>
          <w:lang w:val="en-US"/>
        </w:rPr>
        <w:t>7</w:t>
      </w:r>
      <w:r w:rsidRPr="00807305">
        <w:rPr>
          <w:lang w:val="en-US"/>
        </w:rPr>
        <w:tab/>
        <w:t>Climate</w:t>
      </w:r>
    </w:p>
    <w:p w:rsidR="00786BA3" w:rsidRPr="00807305" w:rsidRDefault="00C872DF" w:rsidP="00786BA3">
      <w:pPr>
        <w:rPr>
          <w:b/>
          <w:lang w:val="en-US"/>
        </w:rPr>
      </w:pPr>
      <w:hyperlink r:id="rId26" w:history="1">
        <w:r w:rsidR="00786BA3" w:rsidRPr="00807305">
          <w:rPr>
            <w:rStyle w:val="Hyperlink"/>
            <w:lang w:val="en-US"/>
          </w:rPr>
          <w:t>http://www.weather.com/weather/today/l/San+Diego+CA+USCA0982:1:US</w:t>
        </w:r>
      </w:hyperlink>
    </w:p>
    <w:p w:rsidR="00786BA3" w:rsidRPr="00807305" w:rsidRDefault="00786BA3" w:rsidP="00786BA3">
      <w:pPr>
        <w:pStyle w:val="Heading3"/>
        <w:rPr>
          <w:lang w:val="en-US"/>
        </w:rPr>
      </w:pPr>
      <w:r w:rsidRPr="00807305">
        <w:rPr>
          <w:lang w:val="en-US"/>
        </w:rPr>
        <w:t>8</w:t>
      </w:r>
      <w:r w:rsidRPr="00807305">
        <w:rPr>
          <w:lang w:val="en-US"/>
        </w:rPr>
        <w:tab/>
        <w:t>Local time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>Standard time zone: UTC/GMT -08:00</w:t>
      </w:r>
    </w:p>
    <w:p w:rsidR="00786BA3" w:rsidRPr="00807305" w:rsidRDefault="00786BA3" w:rsidP="00786BA3">
      <w:pPr>
        <w:pStyle w:val="Heading3"/>
        <w:rPr>
          <w:lang w:val="en-US"/>
        </w:rPr>
      </w:pPr>
      <w:r w:rsidRPr="00807305">
        <w:rPr>
          <w:lang w:val="en-US"/>
        </w:rPr>
        <w:t>9</w:t>
      </w:r>
      <w:r w:rsidRPr="00807305">
        <w:rPr>
          <w:lang w:val="en-US"/>
        </w:rPr>
        <w:tab/>
        <w:t>Telecommunications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>The country code for the United States is +1 | San Diego Area Code is 619</w:t>
      </w:r>
    </w:p>
    <w:p w:rsidR="00786BA3" w:rsidRPr="00807305" w:rsidRDefault="00786BA3" w:rsidP="00786BA3">
      <w:pPr>
        <w:pStyle w:val="Heading3"/>
        <w:rPr>
          <w:lang w:val="en-US"/>
        </w:rPr>
      </w:pPr>
      <w:r w:rsidRPr="00807305">
        <w:rPr>
          <w:lang w:val="en-US"/>
        </w:rPr>
        <w:lastRenderedPageBreak/>
        <w:t>10</w:t>
      </w:r>
      <w:r w:rsidRPr="00807305">
        <w:rPr>
          <w:lang w:val="en-US"/>
        </w:rPr>
        <w:tab/>
        <w:t>Electricity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 xml:space="preserve">The following plugs/sockets are used: (Electrical Adapter may be necessary) </w:t>
      </w:r>
    </w:p>
    <w:p w:rsidR="00786BA3" w:rsidRPr="00807305" w:rsidRDefault="00786BA3" w:rsidP="00786BA3">
      <w:proofErr w:type="spellStart"/>
      <w:r w:rsidRPr="00807305">
        <w:t>Voltage</w:t>
      </w:r>
      <w:proofErr w:type="spellEnd"/>
      <w:r w:rsidRPr="00807305">
        <w:t xml:space="preserve">: 110 </w:t>
      </w:r>
    </w:p>
    <w:p w:rsidR="00786BA3" w:rsidRPr="00807305" w:rsidRDefault="00786BA3" w:rsidP="00786BA3"/>
    <w:p w:rsidR="00786BA3" w:rsidRPr="00807305" w:rsidRDefault="00786BA3" w:rsidP="00786BA3">
      <w:r w:rsidRPr="00807305">
        <w:rPr>
          <w:noProof/>
          <w:lang w:val="en-US" w:eastAsia="zh-CN"/>
        </w:rPr>
        <w:drawing>
          <wp:inline distT="0" distB="0" distL="0" distR="0" wp14:anchorId="03296FCB" wp14:editId="67B26BB3">
            <wp:extent cx="1168648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a-outlet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967" cy="183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BA3" w:rsidRPr="00807305" w:rsidRDefault="00786BA3" w:rsidP="00786BA3">
      <w:pPr>
        <w:pStyle w:val="Heading3"/>
        <w:rPr>
          <w:lang w:val="en-US"/>
        </w:rPr>
      </w:pPr>
      <w:r w:rsidRPr="00807305">
        <w:rPr>
          <w:lang w:val="en-US"/>
        </w:rPr>
        <w:t>11</w:t>
      </w:r>
      <w:r w:rsidRPr="00807305">
        <w:rPr>
          <w:lang w:val="en-US"/>
        </w:rPr>
        <w:tab/>
        <w:t>Health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 xml:space="preserve">No vaccinations are required. </w:t>
      </w:r>
    </w:p>
    <w:p w:rsidR="00786BA3" w:rsidRPr="00807305" w:rsidRDefault="00786BA3" w:rsidP="00786BA3">
      <w:pPr>
        <w:pStyle w:val="Heading3"/>
        <w:rPr>
          <w:lang w:val="en-US"/>
        </w:rPr>
      </w:pPr>
      <w:r w:rsidRPr="00807305">
        <w:rPr>
          <w:lang w:val="en-US"/>
        </w:rPr>
        <w:t>12</w:t>
      </w:r>
      <w:r w:rsidRPr="00807305">
        <w:rPr>
          <w:lang w:val="en-US"/>
        </w:rPr>
        <w:tab/>
        <w:t>Internet connectivity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>Internet connection will be available at the meeting venue. Payment may be required at certain hotels.</w:t>
      </w:r>
    </w:p>
    <w:p w:rsidR="00786BA3" w:rsidRPr="00807305" w:rsidRDefault="00786BA3" w:rsidP="00786BA3">
      <w:pPr>
        <w:pStyle w:val="Heading3"/>
        <w:rPr>
          <w:lang w:val="en-US"/>
        </w:rPr>
      </w:pPr>
      <w:r w:rsidRPr="00807305">
        <w:rPr>
          <w:lang w:val="en-US"/>
        </w:rPr>
        <w:t>13</w:t>
      </w:r>
      <w:r w:rsidRPr="00807305">
        <w:rPr>
          <w:lang w:val="en-US"/>
        </w:rPr>
        <w:tab/>
        <w:t>Contact</w:t>
      </w:r>
    </w:p>
    <w:p w:rsidR="00786BA3" w:rsidRPr="00807305" w:rsidRDefault="00786BA3" w:rsidP="00786BA3">
      <w:pPr>
        <w:rPr>
          <w:lang w:val="en-US"/>
        </w:rPr>
      </w:pPr>
      <w:r w:rsidRPr="00807305">
        <w:rPr>
          <w:lang w:val="en-US"/>
        </w:rPr>
        <w:t>For any further questions, please contact:</w:t>
      </w:r>
    </w:p>
    <w:p w:rsidR="00786BA3" w:rsidRPr="00807305" w:rsidRDefault="00786BA3" w:rsidP="00786BA3">
      <w:r w:rsidRPr="00807305">
        <w:t>Mr Martin Adolph</w:t>
      </w:r>
      <w:r w:rsidRPr="00807305">
        <w:br/>
        <w:t xml:space="preserve">ITU </w:t>
      </w:r>
      <w:proofErr w:type="spellStart"/>
      <w:r w:rsidRPr="00807305">
        <w:t>Telecommunication</w:t>
      </w:r>
      <w:proofErr w:type="spellEnd"/>
      <w:r w:rsidRPr="00807305">
        <w:t xml:space="preserve"> </w:t>
      </w:r>
      <w:proofErr w:type="spellStart"/>
      <w:r w:rsidRPr="00807305">
        <w:t>Standardization</w:t>
      </w:r>
      <w:proofErr w:type="spellEnd"/>
      <w:r w:rsidRPr="00807305">
        <w:t xml:space="preserve"> Bureau</w:t>
      </w:r>
      <w:r w:rsidRPr="00807305">
        <w:br/>
        <w:t>Tel:</w:t>
      </w:r>
      <w:r w:rsidRPr="00807305">
        <w:tab/>
        <w:t>+41 22 730 6828</w:t>
      </w:r>
      <w:r w:rsidRPr="00807305">
        <w:br/>
        <w:t>E-mail:</w:t>
      </w:r>
      <w:r w:rsidRPr="00807305">
        <w:tab/>
      </w:r>
      <w:hyperlink r:id="rId28" w:history="1">
        <w:r w:rsidRPr="00807305">
          <w:rPr>
            <w:rStyle w:val="Hyperlink"/>
          </w:rPr>
          <w:t>martin.adolph@itu.int</w:t>
        </w:r>
      </w:hyperlink>
      <w:r w:rsidRPr="00807305">
        <w:t xml:space="preserve"> </w:t>
      </w:r>
    </w:p>
    <w:p w:rsidR="00786BA3" w:rsidRDefault="00786BA3" w:rsidP="00786B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en-US"/>
        </w:rPr>
      </w:pPr>
    </w:p>
    <w:p w:rsidR="00786BA3" w:rsidRDefault="00786BA3" w:rsidP="00786BA3">
      <w:pPr>
        <w:jc w:val="center"/>
      </w:pPr>
      <w:r>
        <w:t>______________</w:t>
      </w:r>
    </w:p>
    <w:sectPr w:rsidR="00786BA3" w:rsidSect="00B87E9E">
      <w:headerReference w:type="default" r:id="rId29"/>
      <w:footerReference w:type="default" r:id="rId30"/>
      <w:footerReference w:type="first" r:id="rId3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FF" w:rsidRDefault="005E10FF">
      <w:r>
        <w:separator/>
      </w:r>
    </w:p>
  </w:endnote>
  <w:endnote w:type="continuationSeparator" w:id="0">
    <w:p w:rsidR="005E10FF" w:rsidRDefault="005E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786BA3" w:rsidRDefault="009A2243" w:rsidP="009A2243">
    <w:pPr>
      <w:pStyle w:val="Footer"/>
      <w:rPr>
        <w:sz w:val="16"/>
        <w:szCs w:val="16"/>
        <w:lang w:val="fr-CH"/>
      </w:rPr>
    </w:pPr>
    <w:r w:rsidRPr="000F0DB5">
      <w:rPr>
        <w:sz w:val="16"/>
        <w:szCs w:val="16"/>
        <w:lang w:val="fr-CH"/>
      </w:rPr>
      <w:t>ITU-T\BUREAU\CIRC\152</w:t>
    </w:r>
    <w:r>
      <w:rPr>
        <w:sz w:val="16"/>
        <w:szCs w:val="16"/>
        <w:lang w:val="fr-CH"/>
      </w:rPr>
      <w:t>S</w:t>
    </w:r>
    <w:r w:rsidRPr="000F0DB5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7B" w:rsidRPr="006E4F7B" w:rsidRDefault="006E4F7B" w:rsidP="00AB6E3A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6E4F7B">
      <w:rPr>
        <w:color w:val="3E8EDE"/>
        <w:szCs w:val="18"/>
        <w:lang w:val="es-ES"/>
      </w:rPr>
      <w:t xml:space="preserve">Unión Internacional de Telecomunicaciones • Place des </w:t>
    </w:r>
    <w:proofErr w:type="spellStart"/>
    <w:r w:rsidRPr="006E4F7B">
      <w:rPr>
        <w:color w:val="3E8EDE"/>
        <w:szCs w:val="18"/>
        <w:lang w:val="es-ES"/>
      </w:rPr>
      <w:t>Nations</w:t>
    </w:r>
    <w:proofErr w:type="spellEnd"/>
    <w:r w:rsidRPr="006E4F7B">
      <w:rPr>
        <w:color w:val="3E8EDE"/>
        <w:szCs w:val="18"/>
        <w:lang w:val="es-ES"/>
      </w:rPr>
      <w:t xml:space="preserve">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>Tel</w:t>
    </w:r>
    <w:r w:rsidR="00786BA3">
      <w:rPr>
        <w:color w:val="3E8EDE"/>
        <w:szCs w:val="18"/>
        <w:lang w:val="es-ES"/>
      </w:rPr>
      <w:t>.</w:t>
    </w:r>
    <w:r w:rsidRPr="006E4F7B">
      <w:rPr>
        <w:color w:val="3E8EDE"/>
        <w:szCs w:val="18"/>
        <w:lang w:val="es-ES"/>
      </w:rPr>
      <w:t xml:space="preserve">: +41 22 730 5111 • Fax: +41 22 733 7256 • </w:t>
    </w:r>
    <w:r w:rsidRPr="006E4F7B">
      <w:rPr>
        <w:color w:val="3E8EDE"/>
        <w:szCs w:val="18"/>
        <w:lang w:val="es-ES"/>
      </w:rPr>
      <w:br/>
      <w:t xml:space="preserve">Correo-e: </w:t>
    </w:r>
    <w:hyperlink r:id="rId1" w:history="1">
      <w:r w:rsidRPr="006E4F7B">
        <w:rPr>
          <w:color w:val="3E8EDE"/>
          <w:lang w:val="es-ES"/>
        </w:rPr>
        <w:t>itumail@itu.int</w:t>
      </w:r>
    </w:hyperlink>
    <w:r w:rsidRPr="006E4F7B">
      <w:rPr>
        <w:color w:val="3E8EDE"/>
        <w:szCs w:val="18"/>
        <w:lang w:val="es-ES"/>
      </w:rPr>
      <w:t xml:space="preserve"> • </w:t>
    </w:r>
    <w:hyperlink r:id="rId2" w:history="1">
      <w:r w:rsidRPr="006E4F7B">
        <w:rPr>
          <w:color w:val="3E8EDE"/>
          <w:lang w:val="es-ES"/>
        </w:rPr>
        <w:t>www.itu.int</w:t>
      </w:r>
    </w:hyperlink>
    <w:r w:rsidRPr="006E4F7B">
      <w:rPr>
        <w:color w:val="3E8EDE"/>
        <w:lang w:val="es-ES"/>
      </w:rPr>
      <w:t xml:space="preserve"> </w:t>
    </w:r>
    <w:r w:rsidRPr="006E4F7B">
      <w:rPr>
        <w:color w:val="3E8EDE"/>
        <w:szCs w:val="18"/>
        <w:lang w:val="es-ES"/>
      </w:rPr>
      <w:t xml:space="preserve">• </w:t>
    </w:r>
    <w:hyperlink r:id="rId3" w:history="1">
      <w:r w:rsidR="00AB6E3A" w:rsidRPr="00085662">
        <w:rPr>
          <w:color w:val="3E8EDE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FF" w:rsidRDefault="005E10FF">
      <w:r>
        <w:t>____________________</w:t>
      </w:r>
    </w:p>
  </w:footnote>
  <w:footnote w:type="continuationSeparator" w:id="0">
    <w:p w:rsidR="005E10FF" w:rsidRDefault="005E1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C872DF">
      <w:rPr>
        <w:rStyle w:val="PageNumber"/>
        <w:noProof/>
        <w:sz w:val="18"/>
        <w:szCs w:val="18"/>
      </w:rPr>
      <w:t>9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573340"/>
    <w:multiLevelType w:val="hybridMultilevel"/>
    <w:tmpl w:val="2758D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6D0553"/>
    <w:multiLevelType w:val="hybridMultilevel"/>
    <w:tmpl w:val="F0F0C52C"/>
    <w:lvl w:ilvl="0" w:tplc="F3E067FE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FF"/>
    <w:rsid w:val="00002529"/>
    <w:rsid w:val="00085662"/>
    <w:rsid w:val="000C382F"/>
    <w:rsid w:val="001173CC"/>
    <w:rsid w:val="001A54CC"/>
    <w:rsid w:val="00227081"/>
    <w:rsid w:val="002536D5"/>
    <w:rsid w:val="00257FB4"/>
    <w:rsid w:val="002E496E"/>
    <w:rsid w:val="002F1376"/>
    <w:rsid w:val="00303D62"/>
    <w:rsid w:val="00335367"/>
    <w:rsid w:val="00370C2D"/>
    <w:rsid w:val="003D1E8D"/>
    <w:rsid w:val="003D673B"/>
    <w:rsid w:val="003E4939"/>
    <w:rsid w:val="003F2855"/>
    <w:rsid w:val="00401C20"/>
    <w:rsid w:val="004A2988"/>
    <w:rsid w:val="004C4144"/>
    <w:rsid w:val="005A6F44"/>
    <w:rsid w:val="005E10FF"/>
    <w:rsid w:val="006969B4"/>
    <w:rsid w:val="006E4F7B"/>
    <w:rsid w:val="00781E2A"/>
    <w:rsid w:val="00786BA3"/>
    <w:rsid w:val="007933A2"/>
    <w:rsid w:val="00814503"/>
    <w:rsid w:val="008258C2"/>
    <w:rsid w:val="008505BD"/>
    <w:rsid w:val="00850C78"/>
    <w:rsid w:val="008C17AD"/>
    <w:rsid w:val="008D02CD"/>
    <w:rsid w:val="0095172A"/>
    <w:rsid w:val="009A0BA0"/>
    <w:rsid w:val="009A2243"/>
    <w:rsid w:val="00A54E47"/>
    <w:rsid w:val="00AB6E3A"/>
    <w:rsid w:val="00AE7093"/>
    <w:rsid w:val="00B422BC"/>
    <w:rsid w:val="00B43F77"/>
    <w:rsid w:val="00B55A3E"/>
    <w:rsid w:val="00B644EC"/>
    <w:rsid w:val="00B87E9E"/>
    <w:rsid w:val="00B95F0A"/>
    <w:rsid w:val="00B96180"/>
    <w:rsid w:val="00C17AC0"/>
    <w:rsid w:val="00C34772"/>
    <w:rsid w:val="00C5465A"/>
    <w:rsid w:val="00C872DF"/>
    <w:rsid w:val="00D54642"/>
    <w:rsid w:val="00DC2C7F"/>
    <w:rsid w:val="00DD77C9"/>
    <w:rsid w:val="00DF3538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CBD2EF4-A181-4A78-AC79-19A591D6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E10F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enumlev1Char">
    <w:name w:val="enumlev1 Char"/>
    <w:link w:val="enumlev1"/>
    <w:rsid w:val="00786BA3"/>
    <w:rPr>
      <w:rFonts w:asciiTheme="minorHAnsi" w:hAnsiTheme="minorHAnsi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786B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iwm/?p0=0&amp;p11=ITU&amp;p12=ITU-SEP-ITU-T-SEP-Other%20Groups-SEP-fgimt-2020&amp;p21=ITU&amp;p22=ITU-SEP-ITU-T-SEP-Other%20Groups" TargetMode="External"/><Relationship Id="rId18" Type="http://schemas.openxmlformats.org/officeDocument/2006/relationships/hyperlink" Target="https://www.itu.int/net4/iwm/?p0=0&amp;p11=ITU&amp;p12=ITU-SEP-ITU-T-SEP-Other%20Groups-SEP-fgimt-2020&amp;p21=ITU&amp;p22=ITU-SEP-ITU-T-SEP-Other%20Groups" TargetMode="External"/><Relationship Id="rId26" Type="http://schemas.openxmlformats.org/officeDocument/2006/relationships/hyperlink" Target="http://www.weather.com/weather/today/l/San+Diego+CA+USCA0982:1:US" TargetMode="External"/><Relationship Id="rId3" Type="http://schemas.openxmlformats.org/officeDocument/2006/relationships/styles" Target="styles.xml"/><Relationship Id="rId21" Type="http://schemas.openxmlformats.org/officeDocument/2006/relationships/hyperlink" Target="mailto:sales@cp-sandiego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rec/T-REC-A.7" TargetMode="External"/><Relationship Id="rId17" Type="http://schemas.openxmlformats.org/officeDocument/2006/relationships/hyperlink" Target="http://www.itu.int/md/R00-SG05-CIR-0055/en" TargetMode="External"/><Relationship Id="rId25" Type="http://schemas.openxmlformats.org/officeDocument/2006/relationships/hyperlink" Target="http://www.xe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focusgroups/imt-2020/" TargetMode="External"/><Relationship Id="rId20" Type="http://schemas.openxmlformats.org/officeDocument/2006/relationships/hyperlink" Target="http://itu.int/en/ITU-T/focusgroups/imt-2020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focusgroups/imt-2020/Pages/default.aspx" TargetMode="External"/><Relationship Id="rId24" Type="http://schemas.openxmlformats.org/officeDocument/2006/relationships/hyperlink" Target="http://travel.state.gov/content/visas/english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focusgroups/imt-2020/" TargetMode="External"/><Relationship Id="rId23" Type="http://schemas.openxmlformats.org/officeDocument/2006/relationships/hyperlink" Target="https://resweb.passkey.com/go/24d07ea8" TargetMode="External"/><Relationship Id="rId28" Type="http://schemas.openxmlformats.org/officeDocument/2006/relationships/hyperlink" Target="mailto:martin.adolph@itu.int" TargetMode="External"/><Relationship Id="rId10" Type="http://schemas.openxmlformats.org/officeDocument/2006/relationships/hyperlink" Target="mailto:martin.adolph@itu.int" TargetMode="External"/><Relationship Id="rId19" Type="http://schemas.openxmlformats.org/officeDocument/2006/relationships/hyperlink" Target="https://www.itu.int/net/iwm/public/frmUserRegistration.asp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net/iwm/public/frmUserRegistration.aspx" TargetMode="External"/><Relationship Id="rId22" Type="http://schemas.openxmlformats.org/officeDocument/2006/relationships/hyperlink" Target="http://www.ihg.com/crowneplaza/hotels/us/en/san-diego/sancp/hoteldetail" TargetMode="External"/><Relationship Id="rId27" Type="http://schemas.openxmlformats.org/officeDocument/2006/relationships/image" Target="media/image3.jpg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572A-7B89-48B1-BFE9-32CFFAB7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4</TotalTime>
  <Pages>9</Pages>
  <Words>2453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16598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Hernandez, Felipe</dc:creator>
  <cp:lastModifiedBy>Aveline, Marion</cp:lastModifiedBy>
  <cp:revision>5</cp:revision>
  <cp:lastPrinted>2015-05-18T12:50:00Z</cp:lastPrinted>
  <dcterms:created xsi:type="dcterms:W3CDTF">2015-05-21T09:49:00Z</dcterms:created>
  <dcterms:modified xsi:type="dcterms:W3CDTF">2015-05-21T09:54:00Z</dcterms:modified>
</cp:coreProperties>
</file>