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A72BB" w:rsidTr="00303D62">
        <w:trPr>
          <w:cantSplit/>
        </w:trPr>
        <w:tc>
          <w:tcPr>
            <w:tcW w:w="6426" w:type="dxa"/>
            <w:vAlign w:val="center"/>
          </w:tcPr>
          <w:p w:rsidR="00C34772" w:rsidRPr="00BA72BB" w:rsidRDefault="00C34772" w:rsidP="00303D62">
            <w:pPr>
              <w:tabs>
                <w:tab w:val="right" w:pos="8732"/>
              </w:tabs>
              <w:spacing w:before="0"/>
              <w:rPr>
                <w:rFonts w:asciiTheme="minorHAnsi" w:hAnsiTheme="minorHAnsi"/>
                <w:b/>
                <w:bCs/>
                <w:color w:val="FFFFFF"/>
                <w:sz w:val="32"/>
                <w:szCs w:val="32"/>
                <w:lang w:val="es-ES"/>
              </w:rPr>
            </w:pPr>
            <w:r w:rsidRPr="00BA72BB">
              <w:rPr>
                <w:rFonts w:asciiTheme="minorHAnsi" w:hAnsiTheme="minorHAnsi"/>
                <w:b/>
                <w:bCs/>
                <w:sz w:val="32"/>
                <w:szCs w:val="32"/>
                <w:lang w:val="es-ES"/>
              </w:rPr>
              <w:t>Oficina de Normalización</w:t>
            </w:r>
            <w:r w:rsidRPr="00BA72BB">
              <w:rPr>
                <w:rFonts w:asciiTheme="minorHAnsi" w:hAnsiTheme="minorHAnsi"/>
                <w:b/>
                <w:bCs/>
                <w:sz w:val="32"/>
                <w:szCs w:val="32"/>
                <w:lang w:val="es-ES"/>
              </w:rPr>
              <w:br/>
              <w:t>de las Telecomunicaciones</w:t>
            </w:r>
          </w:p>
        </w:tc>
        <w:tc>
          <w:tcPr>
            <w:tcW w:w="3355" w:type="dxa"/>
            <w:vAlign w:val="center"/>
          </w:tcPr>
          <w:p w:rsidR="00C34772" w:rsidRPr="00BA72BB" w:rsidRDefault="00C34772" w:rsidP="00303D62">
            <w:pPr>
              <w:spacing w:before="0"/>
              <w:jc w:val="right"/>
              <w:rPr>
                <w:rFonts w:asciiTheme="minorHAnsi" w:hAnsiTheme="minorHAnsi"/>
                <w:color w:val="FFFFFF"/>
                <w:sz w:val="26"/>
                <w:szCs w:val="26"/>
                <w:lang w:val="es-ES"/>
              </w:rPr>
            </w:pPr>
            <w:r w:rsidRPr="00BA72BB">
              <w:rPr>
                <w:rFonts w:asciiTheme="minorHAnsi" w:hAnsiTheme="minorHAnsi"/>
                <w:b/>
                <w:bCs/>
                <w:noProof/>
                <w:color w:val="FFFFFF"/>
                <w:sz w:val="26"/>
                <w:szCs w:val="24"/>
                <w:lang w:val="en-US" w:eastAsia="zh-CN"/>
              </w:rPr>
              <w:drawing>
                <wp:inline distT="0" distB="0" distL="0" distR="0" wp14:anchorId="0E9C445B" wp14:editId="1BF708D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A72BB" w:rsidTr="00303D62">
        <w:trPr>
          <w:cantSplit/>
        </w:trPr>
        <w:tc>
          <w:tcPr>
            <w:tcW w:w="6426" w:type="dxa"/>
            <w:vAlign w:val="center"/>
          </w:tcPr>
          <w:p w:rsidR="00C34772" w:rsidRPr="00BA72BB" w:rsidRDefault="00C34772" w:rsidP="00303D62">
            <w:pPr>
              <w:tabs>
                <w:tab w:val="right" w:pos="8732"/>
              </w:tabs>
              <w:spacing w:before="0"/>
              <w:rPr>
                <w:rFonts w:asciiTheme="minorHAnsi" w:hAnsiTheme="minorHAnsi"/>
                <w:b/>
                <w:bCs/>
                <w:iCs/>
                <w:sz w:val="18"/>
                <w:szCs w:val="18"/>
                <w:lang w:val="es-ES"/>
              </w:rPr>
            </w:pPr>
          </w:p>
        </w:tc>
        <w:tc>
          <w:tcPr>
            <w:tcW w:w="3355" w:type="dxa"/>
            <w:vAlign w:val="center"/>
          </w:tcPr>
          <w:p w:rsidR="00C34772" w:rsidRPr="00BA72BB" w:rsidRDefault="00C34772" w:rsidP="00303D62">
            <w:pPr>
              <w:spacing w:before="0"/>
              <w:ind w:left="993" w:hanging="993"/>
              <w:jc w:val="right"/>
              <w:rPr>
                <w:rFonts w:asciiTheme="minorHAnsi" w:hAnsiTheme="minorHAnsi"/>
                <w:sz w:val="18"/>
                <w:szCs w:val="18"/>
                <w:lang w:val="es-ES"/>
              </w:rPr>
            </w:pPr>
          </w:p>
        </w:tc>
      </w:tr>
    </w:tbl>
    <w:p w:rsidR="007239BB" w:rsidRPr="00BA72BB" w:rsidRDefault="007239BB" w:rsidP="007239BB">
      <w:pPr>
        <w:tabs>
          <w:tab w:val="clear" w:pos="794"/>
          <w:tab w:val="clear" w:pos="1191"/>
          <w:tab w:val="clear" w:pos="1588"/>
          <w:tab w:val="clear" w:pos="1985"/>
          <w:tab w:val="left" w:pos="4593"/>
          <w:tab w:val="left" w:pos="4706"/>
        </w:tabs>
        <w:spacing w:before="0"/>
        <w:rPr>
          <w:rFonts w:asciiTheme="minorHAnsi" w:hAnsiTheme="minorHAnsi"/>
          <w:lang w:val="es-ES"/>
        </w:rPr>
      </w:pPr>
    </w:p>
    <w:tbl>
      <w:tblPr>
        <w:tblW w:w="9809" w:type="dxa"/>
        <w:tblInd w:w="8" w:type="dxa"/>
        <w:tblLayout w:type="fixed"/>
        <w:tblCellMar>
          <w:left w:w="0" w:type="dxa"/>
          <w:right w:w="0" w:type="dxa"/>
        </w:tblCellMar>
        <w:tblLook w:val="0000" w:firstRow="0" w:lastRow="0" w:firstColumn="0" w:lastColumn="0" w:noHBand="0" w:noVBand="0"/>
      </w:tblPr>
      <w:tblGrid>
        <w:gridCol w:w="993"/>
        <w:gridCol w:w="3600"/>
        <w:gridCol w:w="5216"/>
      </w:tblGrid>
      <w:tr w:rsidR="007239BB" w:rsidRPr="00BA72BB" w:rsidTr="00827BE3">
        <w:trPr>
          <w:cantSplit/>
          <w:trHeight w:val="340"/>
        </w:trPr>
        <w:tc>
          <w:tcPr>
            <w:tcW w:w="993" w:type="dxa"/>
          </w:tcPr>
          <w:p w:rsidR="007239BB" w:rsidRPr="00BA72BB" w:rsidRDefault="007239BB" w:rsidP="00827BE3">
            <w:pPr>
              <w:tabs>
                <w:tab w:val="left" w:pos="4111"/>
              </w:tabs>
              <w:spacing w:before="10"/>
              <w:ind w:left="57"/>
              <w:rPr>
                <w:rFonts w:asciiTheme="minorHAnsi" w:hAnsiTheme="minorHAnsi"/>
                <w:sz w:val="22"/>
                <w:lang w:val="es-ES"/>
              </w:rPr>
            </w:pPr>
          </w:p>
        </w:tc>
        <w:tc>
          <w:tcPr>
            <w:tcW w:w="3600" w:type="dxa"/>
          </w:tcPr>
          <w:p w:rsidR="007239BB" w:rsidRPr="00BA72BB" w:rsidRDefault="007239BB" w:rsidP="00827BE3">
            <w:pPr>
              <w:tabs>
                <w:tab w:val="left" w:pos="4111"/>
              </w:tabs>
              <w:spacing w:before="0"/>
              <w:ind w:left="57"/>
              <w:rPr>
                <w:rFonts w:asciiTheme="minorHAnsi" w:hAnsiTheme="minorHAnsi"/>
                <w:lang w:val="es-ES"/>
              </w:rPr>
            </w:pPr>
          </w:p>
        </w:tc>
        <w:tc>
          <w:tcPr>
            <w:tcW w:w="5216" w:type="dxa"/>
          </w:tcPr>
          <w:p w:rsidR="007239BB" w:rsidRPr="00BA72BB" w:rsidRDefault="007239BB" w:rsidP="00404CA7">
            <w:pPr>
              <w:tabs>
                <w:tab w:val="clear" w:pos="794"/>
                <w:tab w:val="clear" w:pos="1191"/>
                <w:tab w:val="clear" w:pos="1588"/>
                <w:tab w:val="clear" w:pos="1985"/>
                <w:tab w:val="left" w:pos="284"/>
              </w:tabs>
              <w:spacing w:before="0"/>
              <w:ind w:left="284" w:hanging="227"/>
              <w:rPr>
                <w:rFonts w:asciiTheme="minorHAnsi" w:hAnsiTheme="minorHAnsi"/>
                <w:lang w:val="es-ES"/>
              </w:rPr>
            </w:pPr>
            <w:r w:rsidRPr="00BA72BB">
              <w:rPr>
                <w:rFonts w:asciiTheme="minorHAnsi" w:hAnsiTheme="minorHAnsi"/>
                <w:szCs w:val="24"/>
                <w:lang w:val="es-ES"/>
              </w:rPr>
              <w:t xml:space="preserve">Ginebra, </w:t>
            </w:r>
            <w:r w:rsidR="00404CA7" w:rsidRPr="00BA72BB">
              <w:rPr>
                <w:rFonts w:asciiTheme="minorHAnsi" w:hAnsiTheme="minorHAnsi"/>
                <w:szCs w:val="24"/>
                <w:lang w:val="es-ES"/>
              </w:rPr>
              <w:t>19</w:t>
            </w:r>
            <w:r w:rsidRPr="00BA72BB">
              <w:rPr>
                <w:rFonts w:asciiTheme="minorHAnsi" w:hAnsiTheme="minorHAnsi"/>
                <w:szCs w:val="24"/>
                <w:lang w:val="es-ES"/>
              </w:rPr>
              <w:t xml:space="preserve"> de </w:t>
            </w:r>
            <w:r w:rsidR="00404CA7" w:rsidRPr="00BA72BB">
              <w:rPr>
                <w:rFonts w:asciiTheme="minorHAnsi" w:hAnsiTheme="minorHAnsi"/>
                <w:szCs w:val="24"/>
                <w:lang w:val="es-ES"/>
              </w:rPr>
              <w:t>diciembre</w:t>
            </w:r>
            <w:r w:rsidRPr="00BA72BB">
              <w:rPr>
                <w:rFonts w:asciiTheme="minorHAnsi" w:hAnsiTheme="minorHAnsi"/>
                <w:szCs w:val="24"/>
                <w:lang w:val="es-ES"/>
              </w:rPr>
              <w:t xml:space="preserve"> de 201</w:t>
            </w:r>
            <w:r w:rsidR="00404CA7" w:rsidRPr="00BA72BB">
              <w:rPr>
                <w:rFonts w:asciiTheme="minorHAnsi" w:hAnsiTheme="minorHAnsi"/>
                <w:szCs w:val="24"/>
                <w:lang w:val="es-ES"/>
              </w:rPr>
              <w:t>4</w:t>
            </w:r>
          </w:p>
        </w:tc>
      </w:tr>
    </w:tbl>
    <w:p w:rsidR="007239BB" w:rsidRPr="00BA72BB" w:rsidRDefault="007239BB" w:rsidP="007239BB">
      <w:pPr>
        <w:spacing w:before="0"/>
        <w:rPr>
          <w:rFonts w:asciiTheme="minorHAnsi" w:hAnsiTheme="minorHAnsi"/>
          <w:lang w:val="es-ES"/>
        </w:rPr>
      </w:pPr>
    </w:p>
    <w:tbl>
      <w:tblPr>
        <w:tblW w:w="9299" w:type="dxa"/>
        <w:tblInd w:w="8" w:type="dxa"/>
        <w:tblLayout w:type="fixed"/>
        <w:tblCellMar>
          <w:left w:w="0" w:type="dxa"/>
          <w:right w:w="0" w:type="dxa"/>
        </w:tblCellMar>
        <w:tblLook w:val="0000" w:firstRow="0" w:lastRow="0" w:firstColumn="0" w:lastColumn="0" w:noHBand="0" w:noVBand="0"/>
      </w:tblPr>
      <w:tblGrid>
        <w:gridCol w:w="993"/>
        <w:gridCol w:w="3600"/>
        <w:gridCol w:w="4706"/>
      </w:tblGrid>
      <w:tr w:rsidR="00C34772" w:rsidRPr="00BA72BB" w:rsidTr="00C361B2">
        <w:trPr>
          <w:cantSplit/>
          <w:trHeight w:val="340"/>
        </w:trPr>
        <w:tc>
          <w:tcPr>
            <w:tcW w:w="993" w:type="dxa"/>
          </w:tcPr>
          <w:p w:rsidR="00C34772" w:rsidRPr="00BA72BB" w:rsidRDefault="00C34772" w:rsidP="00CF3C46">
            <w:pPr>
              <w:tabs>
                <w:tab w:val="left" w:pos="4111"/>
              </w:tabs>
              <w:spacing w:before="0"/>
              <w:ind w:left="57"/>
              <w:rPr>
                <w:rFonts w:asciiTheme="minorHAnsi" w:hAnsiTheme="minorHAnsi"/>
                <w:szCs w:val="24"/>
                <w:lang w:val="es-ES"/>
              </w:rPr>
            </w:pPr>
            <w:r w:rsidRPr="00BA72BB">
              <w:rPr>
                <w:rFonts w:asciiTheme="minorHAnsi" w:hAnsiTheme="minorHAnsi"/>
                <w:szCs w:val="24"/>
                <w:lang w:val="es-ES"/>
              </w:rPr>
              <w:t>Ref.:</w:t>
            </w:r>
          </w:p>
          <w:p w:rsidR="00C34772" w:rsidRPr="00BA72BB" w:rsidRDefault="00C34772" w:rsidP="00CF3C46">
            <w:pPr>
              <w:tabs>
                <w:tab w:val="left" w:pos="4111"/>
              </w:tabs>
              <w:spacing w:before="0"/>
              <w:ind w:left="57"/>
              <w:rPr>
                <w:rFonts w:asciiTheme="minorHAnsi" w:hAnsiTheme="minorHAnsi"/>
                <w:szCs w:val="24"/>
                <w:lang w:val="es-ES"/>
              </w:rPr>
            </w:pPr>
          </w:p>
          <w:p w:rsidR="00C34772" w:rsidRPr="00BA72BB" w:rsidRDefault="00C34772" w:rsidP="00CF3C46">
            <w:pPr>
              <w:tabs>
                <w:tab w:val="left" w:pos="4111"/>
              </w:tabs>
              <w:spacing w:before="0"/>
              <w:ind w:left="57"/>
              <w:rPr>
                <w:rFonts w:asciiTheme="minorHAnsi" w:hAnsiTheme="minorHAnsi"/>
                <w:szCs w:val="24"/>
                <w:lang w:val="es-ES"/>
              </w:rPr>
            </w:pPr>
          </w:p>
          <w:p w:rsidR="00C34772" w:rsidRPr="00BA72BB" w:rsidRDefault="00C34772" w:rsidP="00CF3C46">
            <w:pPr>
              <w:tabs>
                <w:tab w:val="left" w:pos="4111"/>
              </w:tabs>
              <w:spacing w:before="0"/>
              <w:ind w:left="57"/>
              <w:rPr>
                <w:rFonts w:asciiTheme="minorHAnsi" w:hAnsiTheme="minorHAnsi"/>
                <w:szCs w:val="24"/>
                <w:lang w:val="es-ES"/>
              </w:rPr>
            </w:pPr>
            <w:r w:rsidRPr="00BA72BB">
              <w:rPr>
                <w:rFonts w:asciiTheme="minorHAnsi" w:hAnsiTheme="minorHAnsi"/>
                <w:szCs w:val="24"/>
                <w:lang w:val="es-ES"/>
              </w:rPr>
              <w:t>Tel.:</w:t>
            </w:r>
            <w:r w:rsidRPr="00BA72BB">
              <w:rPr>
                <w:rFonts w:asciiTheme="minorHAnsi" w:hAnsiTheme="minorHAnsi"/>
                <w:szCs w:val="24"/>
                <w:lang w:val="es-ES"/>
              </w:rPr>
              <w:br/>
              <w:t>Fax:</w:t>
            </w:r>
            <w:r w:rsidR="00283B9C" w:rsidRPr="00BA72BB">
              <w:rPr>
                <w:rFonts w:asciiTheme="minorHAnsi" w:hAnsiTheme="minorHAnsi"/>
                <w:szCs w:val="24"/>
                <w:lang w:val="es-ES"/>
              </w:rPr>
              <w:br/>
            </w:r>
            <w:r w:rsidR="00283B9C" w:rsidRPr="00BA72BB">
              <w:rPr>
                <w:rFonts w:asciiTheme="minorHAnsi" w:hAnsiTheme="minorHAnsi"/>
                <w:sz w:val="22"/>
                <w:lang w:val="es-ES"/>
              </w:rPr>
              <w:t>Correo-e:</w:t>
            </w:r>
          </w:p>
        </w:tc>
        <w:tc>
          <w:tcPr>
            <w:tcW w:w="3600" w:type="dxa"/>
          </w:tcPr>
          <w:p w:rsidR="00C34772" w:rsidRPr="00BA72BB" w:rsidRDefault="003333CA" w:rsidP="00404CA7">
            <w:pPr>
              <w:tabs>
                <w:tab w:val="left" w:pos="4111"/>
              </w:tabs>
              <w:spacing w:before="0"/>
              <w:ind w:left="57"/>
              <w:rPr>
                <w:rFonts w:asciiTheme="minorHAnsi" w:hAnsiTheme="minorHAnsi"/>
                <w:b/>
                <w:szCs w:val="24"/>
                <w:lang w:val="en-US"/>
              </w:rPr>
            </w:pPr>
            <w:r w:rsidRPr="00BA72BB">
              <w:rPr>
                <w:rFonts w:asciiTheme="minorHAnsi" w:hAnsiTheme="minorHAnsi"/>
                <w:b/>
                <w:szCs w:val="24"/>
                <w:lang w:val="en-US"/>
              </w:rPr>
              <w:t xml:space="preserve">Circular TSB </w:t>
            </w:r>
            <w:r w:rsidR="00404CA7" w:rsidRPr="00BA72BB">
              <w:rPr>
                <w:rFonts w:asciiTheme="minorHAnsi" w:hAnsiTheme="minorHAnsi"/>
                <w:b/>
                <w:szCs w:val="24"/>
                <w:lang w:val="en-US"/>
              </w:rPr>
              <w:t>135</w:t>
            </w:r>
          </w:p>
          <w:p w:rsidR="00C34772" w:rsidRPr="00BA72BB" w:rsidRDefault="00283B9C" w:rsidP="00303D62">
            <w:pPr>
              <w:tabs>
                <w:tab w:val="left" w:pos="4111"/>
              </w:tabs>
              <w:spacing w:before="0"/>
              <w:ind w:left="57"/>
              <w:rPr>
                <w:rFonts w:asciiTheme="minorHAnsi" w:hAnsiTheme="minorHAnsi"/>
                <w:szCs w:val="24"/>
                <w:lang w:val="en-US"/>
              </w:rPr>
            </w:pPr>
            <w:r w:rsidRPr="00BA72BB">
              <w:rPr>
                <w:rFonts w:asciiTheme="minorHAnsi" w:hAnsiTheme="minorHAnsi"/>
                <w:szCs w:val="24"/>
                <w:lang w:val="en-US"/>
              </w:rPr>
              <w:t>TSB Interop/km</w:t>
            </w:r>
          </w:p>
          <w:p w:rsidR="00B12C99" w:rsidRPr="00BA72BB" w:rsidRDefault="00B12C99" w:rsidP="00303D62">
            <w:pPr>
              <w:tabs>
                <w:tab w:val="left" w:pos="4111"/>
              </w:tabs>
              <w:spacing w:before="0"/>
              <w:ind w:left="57"/>
              <w:rPr>
                <w:rFonts w:asciiTheme="minorHAnsi" w:hAnsiTheme="minorHAnsi"/>
                <w:szCs w:val="24"/>
                <w:lang w:val="en-US"/>
              </w:rPr>
            </w:pPr>
          </w:p>
          <w:p w:rsidR="00C34772" w:rsidRPr="00BA72BB" w:rsidRDefault="00C34772" w:rsidP="00827BE3">
            <w:pPr>
              <w:tabs>
                <w:tab w:val="left" w:pos="4111"/>
              </w:tabs>
              <w:spacing w:before="0"/>
              <w:ind w:left="57"/>
              <w:rPr>
                <w:rFonts w:asciiTheme="minorHAnsi" w:hAnsiTheme="minorHAnsi"/>
                <w:szCs w:val="24"/>
                <w:lang w:val="en-US"/>
              </w:rPr>
            </w:pPr>
            <w:r w:rsidRPr="00BA72BB">
              <w:rPr>
                <w:rFonts w:asciiTheme="minorHAnsi" w:hAnsiTheme="minorHAnsi"/>
                <w:szCs w:val="24"/>
                <w:lang w:val="en-US"/>
              </w:rPr>
              <w:t>+41 22 730</w:t>
            </w:r>
            <w:r w:rsidR="003333CA" w:rsidRPr="00BA72BB">
              <w:rPr>
                <w:rFonts w:asciiTheme="minorHAnsi" w:hAnsiTheme="minorHAnsi"/>
                <w:szCs w:val="24"/>
                <w:lang w:val="en-US"/>
              </w:rPr>
              <w:t xml:space="preserve"> </w:t>
            </w:r>
            <w:r w:rsidR="00827BE3" w:rsidRPr="00BA72BB">
              <w:rPr>
                <w:rFonts w:asciiTheme="minorHAnsi" w:hAnsiTheme="minorHAnsi"/>
                <w:szCs w:val="24"/>
                <w:lang w:val="en-US"/>
              </w:rPr>
              <w:t>6226</w:t>
            </w:r>
            <w:r w:rsidRPr="00BA72BB">
              <w:rPr>
                <w:rFonts w:asciiTheme="minorHAnsi" w:hAnsiTheme="minorHAnsi"/>
                <w:szCs w:val="24"/>
                <w:lang w:val="en-US"/>
              </w:rPr>
              <w:br/>
              <w:t>+41 22 730 5853</w:t>
            </w:r>
            <w:r w:rsidR="00283B9C" w:rsidRPr="00BA72BB">
              <w:rPr>
                <w:rFonts w:asciiTheme="minorHAnsi" w:hAnsiTheme="minorHAnsi"/>
                <w:szCs w:val="24"/>
                <w:lang w:val="en-US"/>
              </w:rPr>
              <w:br/>
            </w:r>
            <w:hyperlink r:id="rId9" w:history="1">
              <w:r w:rsidR="00283B9C" w:rsidRPr="00BA72BB">
                <w:rPr>
                  <w:rStyle w:val="Hyperlink"/>
                  <w:rFonts w:asciiTheme="minorHAnsi" w:hAnsiTheme="minorHAnsi"/>
                  <w:lang w:val="en-US"/>
                </w:rPr>
                <w:t>interop@itu.int</w:t>
              </w:r>
            </w:hyperlink>
          </w:p>
        </w:tc>
        <w:tc>
          <w:tcPr>
            <w:tcW w:w="4706" w:type="dxa"/>
          </w:tcPr>
          <w:p w:rsidR="00C34772" w:rsidRPr="00BA72BB"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bookmarkStart w:id="0" w:name="Addressee_S"/>
            <w:bookmarkEnd w:id="0"/>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r>
            <w:r w:rsidR="00C34772" w:rsidRPr="00BA72BB">
              <w:rPr>
                <w:rFonts w:asciiTheme="minorHAnsi" w:eastAsiaTheme="minorEastAsia" w:hAnsiTheme="minorHAnsi"/>
                <w:szCs w:val="24"/>
                <w:lang w:val="es-ES"/>
              </w:rPr>
              <w:t>A las Administraciones de los Estados Miembros de la Unión</w:t>
            </w:r>
            <w:r w:rsidR="007239BB" w:rsidRPr="00BA72BB">
              <w:rPr>
                <w:rFonts w:asciiTheme="minorHAnsi" w:eastAsiaTheme="minorEastAsia" w:hAnsiTheme="minorHAnsi"/>
                <w:szCs w:val="24"/>
                <w:lang w:val="es-ES"/>
              </w:rPr>
              <w:t>;</w:t>
            </w:r>
          </w:p>
          <w:p w:rsidR="003333CA" w:rsidRPr="00BA72BB"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t>A los Miembros del Sector UIT</w:t>
            </w:r>
            <w:r w:rsidRPr="00BA72BB">
              <w:rPr>
                <w:rFonts w:asciiTheme="minorHAnsi" w:eastAsiaTheme="minorEastAsia" w:hAnsiTheme="minorHAnsi"/>
                <w:szCs w:val="24"/>
                <w:lang w:val="es-ES"/>
              </w:rPr>
              <w:noBreakHyphen/>
              <w:t>T;</w:t>
            </w:r>
          </w:p>
          <w:p w:rsidR="003333CA" w:rsidRPr="00BA72BB"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t>A los Asociados del UIT</w:t>
            </w:r>
            <w:r w:rsidRPr="00BA72BB">
              <w:rPr>
                <w:rFonts w:asciiTheme="minorHAnsi" w:eastAsiaTheme="minorEastAsia" w:hAnsiTheme="minorHAnsi"/>
                <w:szCs w:val="24"/>
                <w:lang w:val="es-ES"/>
              </w:rPr>
              <w:noBreakHyphen/>
              <w:t>T;</w:t>
            </w:r>
          </w:p>
          <w:p w:rsidR="003333CA" w:rsidRPr="00BA72BB" w:rsidRDefault="003333CA" w:rsidP="009C7106">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t>A las Instituciones Académicas del UIT-T</w:t>
            </w:r>
          </w:p>
        </w:tc>
      </w:tr>
      <w:tr w:rsidR="00C34772" w:rsidRPr="00BA72BB" w:rsidTr="00C361B2">
        <w:trPr>
          <w:cantSplit/>
        </w:trPr>
        <w:tc>
          <w:tcPr>
            <w:tcW w:w="993" w:type="dxa"/>
          </w:tcPr>
          <w:p w:rsidR="00C34772" w:rsidRPr="00BA72BB" w:rsidRDefault="00C34772" w:rsidP="00303D62">
            <w:pPr>
              <w:tabs>
                <w:tab w:val="left" w:pos="4111"/>
              </w:tabs>
              <w:spacing w:before="10"/>
              <w:ind w:left="57"/>
              <w:rPr>
                <w:rFonts w:asciiTheme="minorHAnsi" w:hAnsiTheme="minorHAnsi"/>
                <w:sz w:val="22"/>
                <w:lang w:val="es-ES"/>
              </w:rPr>
            </w:pPr>
          </w:p>
        </w:tc>
        <w:tc>
          <w:tcPr>
            <w:tcW w:w="3600" w:type="dxa"/>
          </w:tcPr>
          <w:p w:rsidR="00C34772" w:rsidRPr="00BA72BB" w:rsidRDefault="00C34772" w:rsidP="00827BE3">
            <w:pPr>
              <w:tabs>
                <w:tab w:val="left" w:pos="4111"/>
              </w:tabs>
              <w:spacing w:before="0"/>
              <w:ind w:left="57"/>
              <w:rPr>
                <w:rFonts w:asciiTheme="minorHAnsi" w:hAnsiTheme="minorHAnsi"/>
                <w:lang w:val="es-ES"/>
              </w:rPr>
            </w:pPr>
          </w:p>
        </w:tc>
        <w:tc>
          <w:tcPr>
            <w:tcW w:w="4706" w:type="dxa"/>
          </w:tcPr>
          <w:p w:rsidR="00C34772" w:rsidRPr="00BA72BB" w:rsidRDefault="00C34772" w:rsidP="00303D62">
            <w:pPr>
              <w:tabs>
                <w:tab w:val="left" w:pos="4111"/>
              </w:tabs>
              <w:spacing w:before="0"/>
              <w:rPr>
                <w:rFonts w:asciiTheme="minorHAnsi" w:hAnsiTheme="minorHAnsi"/>
                <w:lang w:val="es-ES"/>
              </w:rPr>
            </w:pPr>
            <w:r w:rsidRPr="00BA72BB">
              <w:rPr>
                <w:rFonts w:asciiTheme="minorHAnsi" w:hAnsiTheme="minorHAnsi"/>
                <w:b/>
                <w:lang w:val="es-ES"/>
              </w:rPr>
              <w:t>Copia</w:t>
            </w:r>
            <w:r w:rsidRPr="00BA72BB">
              <w:rPr>
                <w:rFonts w:asciiTheme="minorHAnsi" w:hAnsiTheme="minorHAnsi"/>
                <w:lang w:val="es-ES"/>
              </w:rPr>
              <w:t>:</w:t>
            </w:r>
          </w:p>
          <w:p w:rsidR="00C34772" w:rsidRPr="00BA72BB"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00C34772" w:rsidRPr="00BA72BB">
              <w:rPr>
                <w:rFonts w:asciiTheme="minorHAnsi" w:eastAsiaTheme="minorEastAsia" w:hAnsiTheme="minorHAnsi"/>
                <w:szCs w:val="24"/>
                <w:lang w:val="es-ES"/>
              </w:rPr>
              <w:tab/>
              <w:t xml:space="preserve">A </w:t>
            </w:r>
            <w:r w:rsidR="00827BE3" w:rsidRPr="00BA72BB">
              <w:rPr>
                <w:rFonts w:asciiTheme="minorHAnsi" w:eastAsiaTheme="minorEastAsia" w:hAnsiTheme="minorHAnsi"/>
                <w:szCs w:val="24"/>
                <w:lang w:val="es-ES"/>
              </w:rPr>
              <w:t xml:space="preserve">los </w:t>
            </w:r>
            <w:r w:rsidR="00C34772" w:rsidRPr="00BA72BB">
              <w:rPr>
                <w:rFonts w:asciiTheme="minorHAnsi" w:eastAsiaTheme="minorEastAsia" w:hAnsiTheme="minorHAnsi"/>
                <w:szCs w:val="24"/>
                <w:lang w:val="es-ES"/>
              </w:rPr>
              <w:t>Presidente</w:t>
            </w:r>
            <w:r w:rsidR="00827BE3" w:rsidRPr="00BA72BB">
              <w:rPr>
                <w:rFonts w:asciiTheme="minorHAnsi" w:eastAsiaTheme="minorEastAsia" w:hAnsiTheme="minorHAnsi"/>
                <w:szCs w:val="24"/>
                <w:lang w:val="es-ES"/>
              </w:rPr>
              <w:t>s</w:t>
            </w:r>
            <w:r w:rsidR="00C34772" w:rsidRPr="00BA72BB">
              <w:rPr>
                <w:rFonts w:asciiTheme="minorHAnsi" w:eastAsiaTheme="minorEastAsia" w:hAnsiTheme="minorHAnsi"/>
                <w:szCs w:val="24"/>
                <w:lang w:val="es-ES"/>
              </w:rPr>
              <w:t xml:space="preserve"> y Vicepresidentes de la</w:t>
            </w:r>
            <w:r w:rsidR="00AE7EFB" w:rsidRPr="00BA72BB">
              <w:rPr>
                <w:rFonts w:asciiTheme="minorHAnsi" w:eastAsiaTheme="minorEastAsia" w:hAnsiTheme="minorHAnsi"/>
                <w:szCs w:val="24"/>
                <w:lang w:val="es-ES"/>
              </w:rPr>
              <w:t>s</w:t>
            </w:r>
            <w:r w:rsidR="00C34772" w:rsidRPr="00BA72BB">
              <w:rPr>
                <w:rFonts w:asciiTheme="minorHAnsi" w:eastAsiaTheme="minorEastAsia" w:hAnsiTheme="minorHAnsi"/>
                <w:szCs w:val="24"/>
                <w:lang w:val="es-ES"/>
              </w:rPr>
              <w:br/>
            </w:r>
            <w:r w:rsidR="00AE7EFB" w:rsidRPr="00BA72BB">
              <w:rPr>
                <w:rFonts w:asciiTheme="minorHAnsi" w:eastAsiaTheme="minorEastAsia" w:hAnsiTheme="minorHAnsi"/>
                <w:szCs w:val="24"/>
                <w:lang w:val="es-ES"/>
              </w:rPr>
              <w:t>Comisio</w:t>
            </w:r>
            <w:r w:rsidR="00C34772" w:rsidRPr="00BA72BB">
              <w:rPr>
                <w:rFonts w:asciiTheme="minorHAnsi" w:eastAsiaTheme="minorEastAsia" w:hAnsiTheme="minorHAnsi"/>
                <w:szCs w:val="24"/>
                <w:lang w:val="es-ES"/>
              </w:rPr>
              <w:t>n</w:t>
            </w:r>
            <w:r w:rsidR="00AE7EFB" w:rsidRPr="00BA72BB">
              <w:rPr>
                <w:rFonts w:asciiTheme="minorHAnsi" w:eastAsiaTheme="minorEastAsia" w:hAnsiTheme="minorHAnsi"/>
                <w:szCs w:val="24"/>
                <w:lang w:val="es-ES"/>
              </w:rPr>
              <w:t>es</w:t>
            </w:r>
            <w:r w:rsidR="00C34772" w:rsidRPr="00BA72BB">
              <w:rPr>
                <w:rFonts w:asciiTheme="minorHAnsi" w:eastAsiaTheme="minorEastAsia" w:hAnsiTheme="minorHAnsi"/>
                <w:szCs w:val="24"/>
                <w:lang w:val="es-ES"/>
              </w:rPr>
              <w:t xml:space="preserve"> de Estudio </w:t>
            </w:r>
            <w:r w:rsidR="00AE7EFB" w:rsidRPr="00BA72BB">
              <w:rPr>
                <w:rFonts w:asciiTheme="minorHAnsi" w:eastAsiaTheme="minorEastAsia" w:hAnsiTheme="minorHAnsi"/>
                <w:szCs w:val="24"/>
                <w:lang w:val="es-ES"/>
              </w:rPr>
              <w:t>del UIT</w:t>
            </w:r>
            <w:r w:rsidR="00AE7EFB" w:rsidRPr="00BA72BB">
              <w:rPr>
                <w:rFonts w:asciiTheme="minorHAnsi" w:eastAsiaTheme="minorEastAsia" w:hAnsiTheme="minorHAnsi"/>
                <w:szCs w:val="24"/>
                <w:lang w:val="es-ES"/>
              </w:rPr>
              <w:noBreakHyphen/>
              <w:t>T</w:t>
            </w:r>
            <w:r w:rsidR="007239BB" w:rsidRPr="00BA72BB">
              <w:rPr>
                <w:rFonts w:asciiTheme="minorHAnsi" w:eastAsiaTheme="minorEastAsia" w:hAnsiTheme="minorHAnsi"/>
                <w:szCs w:val="24"/>
                <w:lang w:val="es-ES"/>
              </w:rPr>
              <w:t>;</w:t>
            </w:r>
          </w:p>
          <w:p w:rsidR="00C34772" w:rsidRPr="00BA72BB"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r>
            <w:r w:rsidR="00C34772" w:rsidRPr="00BA72BB">
              <w:rPr>
                <w:rFonts w:asciiTheme="minorHAnsi" w:eastAsiaTheme="minorEastAsia" w:hAnsiTheme="minorHAnsi"/>
                <w:szCs w:val="24"/>
                <w:lang w:val="es-ES"/>
              </w:rPr>
              <w:t>Al Director de la Oficina de Desarrollo de las Telecomunicaciones;</w:t>
            </w:r>
          </w:p>
          <w:p w:rsidR="00AE7EFB" w:rsidRPr="00BA72BB"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BA72BB">
              <w:rPr>
                <w:rFonts w:asciiTheme="minorHAnsi" w:eastAsiaTheme="minorEastAsia" w:hAnsiTheme="minorHAnsi"/>
                <w:szCs w:val="24"/>
                <w:lang w:val="es-ES"/>
              </w:rPr>
              <w:t>–</w:t>
            </w:r>
            <w:r w:rsidRPr="00BA72BB">
              <w:rPr>
                <w:rFonts w:asciiTheme="minorHAnsi" w:eastAsiaTheme="minorEastAsia" w:hAnsiTheme="minorHAnsi"/>
                <w:szCs w:val="24"/>
                <w:lang w:val="es-ES"/>
              </w:rPr>
              <w:tab/>
            </w:r>
            <w:r w:rsidR="00C34772" w:rsidRPr="00BA72BB">
              <w:rPr>
                <w:rFonts w:asciiTheme="minorHAnsi" w:eastAsiaTheme="minorEastAsia" w:hAnsiTheme="minorHAnsi"/>
                <w:szCs w:val="24"/>
                <w:lang w:val="es-ES"/>
              </w:rPr>
              <w:t>Al Director de la Oficina de Radiocomunicaciones</w:t>
            </w:r>
          </w:p>
        </w:tc>
      </w:tr>
    </w:tbl>
    <w:p w:rsidR="00C34772" w:rsidRPr="00BA72BB" w:rsidRDefault="00C34772" w:rsidP="002C6CF6">
      <w:pPr>
        <w:spacing w:before="0"/>
        <w:rPr>
          <w:rFonts w:asciiTheme="minorHAnsi" w:hAnsiTheme="minorHAnsi"/>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247"/>
        <w:gridCol w:w="7370"/>
      </w:tblGrid>
      <w:tr w:rsidR="00C34772" w:rsidRPr="00BA72BB" w:rsidTr="00283B9C">
        <w:trPr>
          <w:cantSplit/>
        </w:trPr>
        <w:tc>
          <w:tcPr>
            <w:tcW w:w="1247" w:type="dxa"/>
          </w:tcPr>
          <w:p w:rsidR="00C34772" w:rsidRPr="00BA72BB" w:rsidRDefault="00C34772" w:rsidP="00230FBD">
            <w:pPr>
              <w:overflowPunct/>
              <w:autoSpaceDE/>
              <w:autoSpaceDN/>
              <w:adjustRightInd/>
              <w:spacing w:before="0"/>
              <w:textAlignment w:val="auto"/>
              <w:rPr>
                <w:rFonts w:asciiTheme="minorHAnsi" w:hAnsiTheme="minorHAnsi"/>
                <w:szCs w:val="24"/>
                <w:lang w:val="es-ES"/>
              </w:rPr>
            </w:pPr>
            <w:r w:rsidRPr="00BA72BB">
              <w:rPr>
                <w:rFonts w:asciiTheme="minorHAnsi" w:eastAsiaTheme="minorEastAsia" w:hAnsiTheme="minorHAnsi"/>
                <w:szCs w:val="24"/>
                <w:lang w:val="es-ES"/>
              </w:rPr>
              <w:t>Asunto</w:t>
            </w:r>
            <w:r w:rsidRPr="00BA72BB">
              <w:rPr>
                <w:rFonts w:asciiTheme="minorHAnsi" w:hAnsiTheme="minorHAnsi"/>
                <w:szCs w:val="24"/>
                <w:lang w:val="es-ES"/>
              </w:rPr>
              <w:t>:</w:t>
            </w:r>
          </w:p>
        </w:tc>
        <w:tc>
          <w:tcPr>
            <w:tcW w:w="7370" w:type="dxa"/>
          </w:tcPr>
          <w:p w:rsidR="00C34772" w:rsidRPr="00BA72BB" w:rsidRDefault="00230FBD" w:rsidP="008F2954">
            <w:pPr>
              <w:tabs>
                <w:tab w:val="left" w:pos="4111"/>
              </w:tabs>
              <w:spacing w:before="0"/>
              <w:rPr>
                <w:rFonts w:asciiTheme="minorHAnsi" w:hAnsiTheme="minorHAnsi"/>
                <w:b/>
                <w:szCs w:val="24"/>
                <w:lang w:val="es-ES"/>
              </w:rPr>
            </w:pPr>
            <w:r w:rsidRPr="00BA72BB">
              <w:rPr>
                <w:rFonts w:asciiTheme="minorHAnsi" w:hAnsiTheme="minorHAnsi"/>
                <w:b/>
                <w:szCs w:val="24"/>
                <w:lang w:val="es-ES"/>
              </w:rPr>
              <w:t xml:space="preserve">Evento </w:t>
            </w:r>
            <w:r w:rsidR="008F2954" w:rsidRPr="00BA72BB">
              <w:rPr>
                <w:rFonts w:asciiTheme="minorHAnsi" w:hAnsiTheme="minorHAnsi"/>
                <w:b/>
                <w:szCs w:val="24"/>
                <w:lang w:val="es-ES"/>
              </w:rPr>
              <w:t xml:space="preserve">sobre pruebas y demostraciones de </w:t>
            </w:r>
            <w:proofErr w:type="spellStart"/>
            <w:r w:rsidR="008F2954" w:rsidRPr="00BA72BB">
              <w:rPr>
                <w:rFonts w:asciiTheme="minorHAnsi" w:hAnsiTheme="minorHAnsi"/>
                <w:b/>
                <w:szCs w:val="24"/>
                <w:lang w:val="es-ES"/>
              </w:rPr>
              <w:t>cibersalud</w:t>
            </w:r>
            <w:proofErr w:type="spellEnd"/>
            <w:r w:rsidR="00827BE3" w:rsidRPr="00BA72BB">
              <w:rPr>
                <w:rFonts w:asciiTheme="minorHAnsi" w:hAnsiTheme="minorHAnsi"/>
                <w:b/>
                <w:szCs w:val="24"/>
                <w:lang w:val="es-ES"/>
              </w:rPr>
              <w:t xml:space="preserve"> </w:t>
            </w:r>
            <w:r w:rsidR="00283B9C" w:rsidRPr="00BA72BB">
              <w:rPr>
                <w:rFonts w:asciiTheme="minorHAnsi" w:hAnsiTheme="minorHAnsi"/>
                <w:b/>
                <w:szCs w:val="24"/>
                <w:lang w:val="es-ES"/>
              </w:rPr>
              <w:br/>
            </w:r>
            <w:r w:rsidR="008F2954" w:rsidRPr="00BA72BB">
              <w:rPr>
                <w:rFonts w:asciiTheme="minorHAnsi" w:hAnsiTheme="minorHAnsi"/>
                <w:b/>
                <w:szCs w:val="24"/>
                <w:lang w:val="es-ES"/>
              </w:rPr>
              <w:t>(</w:t>
            </w:r>
            <w:r w:rsidR="00827BE3" w:rsidRPr="00BA72BB">
              <w:rPr>
                <w:rFonts w:asciiTheme="minorHAnsi" w:hAnsiTheme="minorHAnsi"/>
                <w:b/>
                <w:szCs w:val="24"/>
                <w:lang w:val="es-ES"/>
              </w:rPr>
              <w:t>Ginebra</w:t>
            </w:r>
            <w:r w:rsidR="008F2954" w:rsidRPr="00BA72BB">
              <w:rPr>
                <w:rFonts w:asciiTheme="minorHAnsi" w:hAnsiTheme="minorHAnsi"/>
                <w:b/>
                <w:szCs w:val="24"/>
                <w:lang w:val="es-ES"/>
              </w:rPr>
              <w:t xml:space="preserve">, </w:t>
            </w:r>
            <w:r w:rsidR="00827BE3" w:rsidRPr="00BA72BB">
              <w:rPr>
                <w:rFonts w:asciiTheme="minorHAnsi" w:hAnsiTheme="minorHAnsi"/>
                <w:b/>
                <w:szCs w:val="24"/>
                <w:lang w:val="es-ES"/>
              </w:rPr>
              <w:t xml:space="preserve">Suiza, del </w:t>
            </w:r>
            <w:r w:rsidR="008F2954" w:rsidRPr="00BA72BB">
              <w:rPr>
                <w:rFonts w:asciiTheme="minorHAnsi" w:hAnsiTheme="minorHAnsi"/>
                <w:b/>
                <w:szCs w:val="24"/>
                <w:lang w:val="es-ES"/>
              </w:rPr>
              <w:t>10</w:t>
            </w:r>
            <w:r w:rsidR="00827BE3" w:rsidRPr="00BA72BB">
              <w:rPr>
                <w:rFonts w:asciiTheme="minorHAnsi" w:hAnsiTheme="minorHAnsi"/>
                <w:b/>
                <w:szCs w:val="24"/>
                <w:lang w:val="es-ES"/>
              </w:rPr>
              <w:t xml:space="preserve"> al </w:t>
            </w:r>
            <w:r w:rsidR="008F2954" w:rsidRPr="00BA72BB">
              <w:rPr>
                <w:rFonts w:asciiTheme="minorHAnsi" w:hAnsiTheme="minorHAnsi"/>
                <w:b/>
                <w:szCs w:val="24"/>
                <w:lang w:val="es-ES"/>
              </w:rPr>
              <w:t>12</w:t>
            </w:r>
            <w:r w:rsidR="00827BE3" w:rsidRPr="00BA72BB">
              <w:rPr>
                <w:rFonts w:asciiTheme="minorHAnsi" w:hAnsiTheme="minorHAnsi"/>
                <w:b/>
                <w:szCs w:val="24"/>
                <w:lang w:val="es-ES"/>
              </w:rPr>
              <w:t xml:space="preserve"> de </w:t>
            </w:r>
            <w:r w:rsidR="008F2954" w:rsidRPr="00BA72BB">
              <w:rPr>
                <w:rFonts w:asciiTheme="minorHAnsi" w:hAnsiTheme="minorHAnsi"/>
                <w:b/>
                <w:szCs w:val="24"/>
                <w:lang w:val="es-ES"/>
              </w:rPr>
              <w:t>febrero</w:t>
            </w:r>
            <w:r w:rsidR="00827BE3" w:rsidRPr="00BA72BB">
              <w:rPr>
                <w:rFonts w:asciiTheme="minorHAnsi" w:hAnsiTheme="minorHAnsi"/>
                <w:b/>
                <w:szCs w:val="24"/>
                <w:lang w:val="es-ES"/>
              </w:rPr>
              <w:t xml:space="preserve"> de 201</w:t>
            </w:r>
            <w:r w:rsidR="008F2954" w:rsidRPr="00BA72BB">
              <w:rPr>
                <w:rFonts w:asciiTheme="minorHAnsi" w:hAnsiTheme="minorHAnsi"/>
                <w:b/>
                <w:szCs w:val="24"/>
                <w:lang w:val="es-ES"/>
              </w:rPr>
              <w:t>5)</w:t>
            </w:r>
            <w:r w:rsidR="00827BE3" w:rsidRPr="00BA72BB">
              <w:rPr>
                <w:rFonts w:asciiTheme="minorHAnsi" w:hAnsiTheme="minorHAnsi"/>
                <w:b/>
                <w:szCs w:val="24"/>
                <w:lang w:val="es-ES"/>
              </w:rPr>
              <w:t xml:space="preserve"> </w:t>
            </w:r>
          </w:p>
        </w:tc>
      </w:tr>
    </w:tbl>
    <w:p w:rsidR="00C34772" w:rsidRPr="00BA72BB" w:rsidRDefault="00C34772" w:rsidP="00283B9C">
      <w:pPr>
        <w:pStyle w:val="Normalaftertitle"/>
        <w:rPr>
          <w:rFonts w:asciiTheme="minorHAnsi" w:hAnsiTheme="minorHAnsi"/>
          <w:lang w:val="es-ES"/>
        </w:rPr>
      </w:pPr>
      <w:bookmarkStart w:id="1" w:name="StartTyping_S"/>
      <w:bookmarkStart w:id="2" w:name="suitetext"/>
      <w:bookmarkStart w:id="3" w:name="text"/>
      <w:bookmarkEnd w:id="1"/>
      <w:bookmarkEnd w:id="2"/>
      <w:bookmarkEnd w:id="3"/>
      <w:r w:rsidRPr="00BA72BB">
        <w:rPr>
          <w:rFonts w:asciiTheme="minorHAnsi" w:hAnsiTheme="minorHAnsi"/>
          <w:lang w:val="es-ES"/>
        </w:rPr>
        <w:t>Muy Señor mío:</w:t>
      </w:r>
    </w:p>
    <w:p w:rsidR="00997535" w:rsidRPr="00BA72BB" w:rsidRDefault="00A70C8D" w:rsidP="00CF3C46">
      <w:pPr>
        <w:rPr>
          <w:rFonts w:asciiTheme="minorHAnsi" w:hAnsiTheme="minorHAnsi"/>
          <w:lang w:val="es-ES"/>
        </w:rPr>
      </w:pPr>
      <w:r w:rsidRPr="00BA72BB">
        <w:rPr>
          <w:rFonts w:asciiTheme="minorHAnsi" w:hAnsiTheme="minorHAnsi"/>
          <w:lang w:val="es-ES"/>
        </w:rPr>
        <w:t>1</w:t>
      </w:r>
      <w:r w:rsidRPr="00BA72BB">
        <w:rPr>
          <w:rFonts w:asciiTheme="minorHAnsi" w:hAnsiTheme="minorHAnsi"/>
          <w:lang w:val="es-ES"/>
        </w:rPr>
        <w:tab/>
      </w:r>
      <w:r w:rsidR="00344B69" w:rsidRPr="00BA72BB">
        <w:rPr>
          <w:rFonts w:asciiTheme="minorHAnsi" w:hAnsiTheme="minorHAnsi"/>
          <w:lang w:val="es-ES"/>
        </w:rPr>
        <w:t>Me co</w:t>
      </w:r>
      <w:r w:rsidR="00827BE3" w:rsidRPr="00BA72BB">
        <w:rPr>
          <w:rFonts w:asciiTheme="minorHAnsi" w:hAnsiTheme="minorHAnsi"/>
          <w:lang w:val="es-ES"/>
        </w:rPr>
        <w:t>mplace informarle</w:t>
      </w:r>
      <w:r w:rsidR="00344B69" w:rsidRPr="00BA72BB">
        <w:rPr>
          <w:rFonts w:asciiTheme="minorHAnsi" w:hAnsiTheme="minorHAnsi"/>
          <w:lang w:val="es-ES"/>
        </w:rPr>
        <w:t xml:space="preserve"> que</w:t>
      </w:r>
      <w:r w:rsidR="00827BE3" w:rsidRPr="00BA72BB">
        <w:rPr>
          <w:rFonts w:asciiTheme="minorHAnsi" w:hAnsiTheme="minorHAnsi"/>
          <w:lang w:val="es-ES"/>
        </w:rPr>
        <w:t xml:space="preserve">, </w:t>
      </w:r>
      <w:r w:rsidRPr="00BA72BB">
        <w:rPr>
          <w:rFonts w:asciiTheme="minorHAnsi" w:hAnsiTheme="minorHAnsi"/>
          <w:lang w:val="es-ES"/>
        </w:rPr>
        <w:t xml:space="preserve">del </w:t>
      </w:r>
      <w:r w:rsidR="008F2954" w:rsidRPr="00BA72BB">
        <w:rPr>
          <w:rFonts w:asciiTheme="minorHAnsi" w:hAnsiTheme="minorHAnsi"/>
          <w:lang w:val="es-ES"/>
        </w:rPr>
        <w:t>10 al 12 de febrero de 2015</w:t>
      </w:r>
      <w:r w:rsidR="00827BE3" w:rsidRPr="00BA72BB">
        <w:rPr>
          <w:rFonts w:asciiTheme="minorHAnsi" w:hAnsiTheme="minorHAnsi"/>
          <w:lang w:val="es-ES"/>
        </w:rPr>
        <w:t xml:space="preserve">, la UIT </w:t>
      </w:r>
      <w:r w:rsidR="008F2954" w:rsidRPr="00BA72BB">
        <w:rPr>
          <w:rFonts w:asciiTheme="minorHAnsi" w:hAnsiTheme="minorHAnsi"/>
          <w:lang w:val="es-ES"/>
        </w:rPr>
        <w:t xml:space="preserve">acogerá un evento </w:t>
      </w:r>
      <w:proofErr w:type="spellStart"/>
      <w:r w:rsidR="00CF3C46" w:rsidRPr="00BA72BB">
        <w:rPr>
          <w:rFonts w:asciiTheme="minorHAnsi" w:hAnsiTheme="minorHAnsi"/>
          <w:lang w:val="es-ES"/>
        </w:rPr>
        <w:t>I</w:t>
      </w:r>
      <w:r w:rsidR="008F2954" w:rsidRPr="00BA72BB">
        <w:rPr>
          <w:rFonts w:asciiTheme="minorHAnsi" w:hAnsiTheme="minorHAnsi"/>
          <w:lang w:val="es-ES"/>
        </w:rPr>
        <w:t>nterop</w:t>
      </w:r>
      <w:proofErr w:type="spellEnd"/>
      <w:r w:rsidR="008F2954" w:rsidRPr="00BA72BB">
        <w:rPr>
          <w:rFonts w:asciiTheme="minorHAnsi" w:hAnsiTheme="minorHAnsi"/>
          <w:lang w:val="es-ES"/>
        </w:rPr>
        <w:t xml:space="preserve"> sobre </w:t>
      </w:r>
      <w:proofErr w:type="spellStart"/>
      <w:r w:rsidR="008F2954" w:rsidRPr="00BA72BB">
        <w:rPr>
          <w:rFonts w:asciiTheme="minorHAnsi" w:hAnsiTheme="minorHAnsi"/>
          <w:lang w:val="es-ES"/>
        </w:rPr>
        <w:t>cibersalud</w:t>
      </w:r>
      <w:proofErr w:type="spellEnd"/>
      <w:r w:rsidR="008F2954" w:rsidRPr="00BA72BB">
        <w:rPr>
          <w:rFonts w:asciiTheme="minorHAnsi" w:hAnsiTheme="minorHAnsi"/>
          <w:lang w:val="es-ES"/>
        </w:rPr>
        <w:t xml:space="preserve"> organizado por Continua, que tendrá lugar en la </w:t>
      </w:r>
      <w:r w:rsidR="00CF3C46" w:rsidRPr="00BA72BB">
        <w:rPr>
          <w:rFonts w:asciiTheme="minorHAnsi" w:hAnsiTheme="minorHAnsi"/>
          <w:lang w:val="es-ES"/>
        </w:rPr>
        <w:t>S</w:t>
      </w:r>
      <w:r w:rsidR="008F2954" w:rsidRPr="00BA72BB">
        <w:rPr>
          <w:rFonts w:asciiTheme="minorHAnsi" w:hAnsiTheme="minorHAnsi"/>
          <w:lang w:val="es-ES"/>
        </w:rPr>
        <w:t xml:space="preserve">ede de la UIT </w:t>
      </w:r>
      <w:r w:rsidR="00827BE3" w:rsidRPr="00BA72BB">
        <w:rPr>
          <w:rFonts w:asciiTheme="minorHAnsi" w:hAnsiTheme="minorHAnsi"/>
          <w:lang w:val="es-ES"/>
        </w:rPr>
        <w:t>en Ginebra</w:t>
      </w:r>
      <w:r w:rsidR="008F2954" w:rsidRPr="00BA72BB">
        <w:rPr>
          <w:rFonts w:asciiTheme="minorHAnsi" w:hAnsiTheme="minorHAnsi"/>
          <w:lang w:val="es-ES"/>
        </w:rPr>
        <w:t xml:space="preserve">, como parte del </w:t>
      </w:r>
      <w:hyperlink r:id="rId10" w:history="1">
        <w:r w:rsidR="008F2954" w:rsidRPr="00BA72BB">
          <w:rPr>
            <w:rStyle w:val="Hyperlink"/>
            <w:rFonts w:asciiTheme="minorHAnsi" w:hAnsiTheme="minorHAnsi"/>
            <w:lang w:val="es-ES"/>
          </w:rPr>
          <w:t>Programa de Conformidad e Interoperabilidad (C&amp;I) de la UIT</w:t>
        </w:r>
      </w:hyperlink>
      <w:r w:rsidR="008F2954" w:rsidRPr="00BA72BB">
        <w:rPr>
          <w:rFonts w:asciiTheme="minorHAnsi" w:hAnsiTheme="minorHAnsi"/>
          <w:lang w:val="es-ES"/>
        </w:rPr>
        <w:t>.</w:t>
      </w:r>
      <w:r w:rsidR="00283B9C" w:rsidRPr="00BA72BB">
        <w:rPr>
          <w:rFonts w:asciiTheme="minorHAnsi" w:hAnsiTheme="minorHAnsi"/>
          <w:lang w:val="es-ES"/>
        </w:rPr>
        <w:t xml:space="preserve"> </w:t>
      </w:r>
    </w:p>
    <w:p w:rsidR="00A70C8D" w:rsidRPr="00BA72BB" w:rsidRDefault="00A70C8D" w:rsidP="00C361B2">
      <w:pPr>
        <w:rPr>
          <w:rFonts w:asciiTheme="minorHAnsi" w:hAnsiTheme="minorHAnsi"/>
          <w:lang w:val="es-ES"/>
        </w:rPr>
      </w:pPr>
      <w:r w:rsidRPr="00BA72BB">
        <w:rPr>
          <w:rFonts w:asciiTheme="minorHAnsi" w:hAnsiTheme="minorHAnsi"/>
          <w:lang w:val="es-ES"/>
        </w:rPr>
        <w:t>El componente de realización de pruebas del evento tendrá lugar los días 10 y 11 de febrero de</w:t>
      </w:r>
      <w:r w:rsidR="00C361B2" w:rsidRPr="00BA72BB">
        <w:rPr>
          <w:rFonts w:asciiTheme="minorHAnsi" w:hAnsiTheme="minorHAnsi"/>
          <w:lang w:val="es-ES"/>
        </w:rPr>
        <w:t> </w:t>
      </w:r>
      <w:r w:rsidRPr="00BA72BB">
        <w:rPr>
          <w:rFonts w:asciiTheme="minorHAnsi" w:hAnsiTheme="minorHAnsi"/>
          <w:lang w:val="es-ES"/>
        </w:rPr>
        <w:t xml:space="preserve">2015, seguido de una demostración sobre </w:t>
      </w:r>
      <w:proofErr w:type="spellStart"/>
      <w:r w:rsidRPr="00BA72BB">
        <w:rPr>
          <w:rFonts w:asciiTheme="minorHAnsi" w:hAnsiTheme="minorHAnsi"/>
          <w:lang w:val="es-ES"/>
        </w:rPr>
        <w:t>cibersalud</w:t>
      </w:r>
      <w:proofErr w:type="spellEnd"/>
      <w:r w:rsidRPr="00BA72BB">
        <w:rPr>
          <w:rFonts w:asciiTheme="minorHAnsi" w:hAnsiTheme="minorHAnsi"/>
          <w:lang w:val="es-ES"/>
        </w:rPr>
        <w:t xml:space="preserve"> el 12 de febrero de 2015. </w:t>
      </w:r>
    </w:p>
    <w:p w:rsidR="00321110" w:rsidRPr="00BA72BB" w:rsidRDefault="00997535" w:rsidP="00C361B2">
      <w:pPr>
        <w:rPr>
          <w:rFonts w:asciiTheme="minorHAnsi" w:hAnsiTheme="minorHAnsi"/>
          <w:lang w:val="es-ES"/>
        </w:rPr>
      </w:pPr>
      <w:r w:rsidRPr="00BA72BB">
        <w:rPr>
          <w:rFonts w:asciiTheme="minorHAnsi" w:hAnsiTheme="minorHAnsi"/>
          <w:lang w:val="es-ES"/>
        </w:rPr>
        <w:t>2</w:t>
      </w:r>
      <w:r w:rsidRPr="00BA72BB">
        <w:rPr>
          <w:rFonts w:asciiTheme="minorHAnsi" w:hAnsiTheme="minorHAnsi"/>
          <w:lang w:val="es-ES"/>
        </w:rPr>
        <w:tab/>
      </w:r>
      <w:r w:rsidR="00321110" w:rsidRPr="00BA72BB">
        <w:rPr>
          <w:rFonts w:asciiTheme="minorHAnsi" w:hAnsiTheme="minorHAnsi"/>
          <w:lang w:val="es-ES"/>
        </w:rPr>
        <w:t xml:space="preserve">La </w:t>
      </w:r>
      <w:r w:rsidR="00321110" w:rsidRPr="00BA72BB">
        <w:rPr>
          <w:rFonts w:asciiTheme="minorHAnsi" w:hAnsiTheme="minorHAnsi"/>
          <w:b/>
          <w:lang w:val="es-ES"/>
        </w:rPr>
        <w:t>realización de pruebas</w:t>
      </w:r>
      <w:r w:rsidR="00321110" w:rsidRPr="00BA72BB">
        <w:rPr>
          <w:rFonts w:asciiTheme="minorHAnsi" w:hAnsiTheme="minorHAnsi"/>
          <w:lang w:val="es-ES"/>
        </w:rPr>
        <w:t xml:space="preserve"> incluirá pruebas </w:t>
      </w:r>
      <w:r w:rsidR="00CF3C46" w:rsidRPr="00BA72BB">
        <w:rPr>
          <w:rFonts w:asciiTheme="minorHAnsi" w:hAnsiTheme="minorHAnsi"/>
          <w:lang w:val="es-ES"/>
        </w:rPr>
        <w:t xml:space="preserve">de </w:t>
      </w:r>
      <w:r w:rsidR="00321110" w:rsidRPr="00BA72BB">
        <w:rPr>
          <w:rFonts w:asciiTheme="minorHAnsi" w:hAnsiTheme="minorHAnsi"/>
          <w:lang w:val="es-ES"/>
        </w:rPr>
        <w:t xml:space="preserve">interoperabilidad </w:t>
      </w:r>
      <w:r w:rsidR="00A70C8D" w:rsidRPr="00BA72BB">
        <w:rPr>
          <w:rFonts w:asciiTheme="minorHAnsi" w:hAnsiTheme="minorHAnsi"/>
          <w:lang w:val="es-ES"/>
        </w:rPr>
        <w:t xml:space="preserve">y, </w:t>
      </w:r>
      <w:r w:rsidR="00C34267" w:rsidRPr="00BA72BB">
        <w:rPr>
          <w:rFonts w:asciiTheme="minorHAnsi" w:hAnsiTheme="minorHAnsi"/>
          <w:lang w:val="es-ES"/>
        </w:rPr>
        <w:t>opcionalmente</w:t>
      </w:r>
      <w:r w:rsidR="00A70C8D" w:rsidRPr="00BA72BB">
        <w:rPr>
          <w:rFonts w:asciiTheme="minorHAnsi" w:hAnsiTheme="minorHAnsi"/>
          <w:lang w:val="es-ES"/>
        </w:rPr>
        <w:t xml:space="preserve">, de conformidad </w:t>
      </w:r>
      <w:r w:rsidR="00321110" w:rsidRPr="00BA72BB">
        <w:rPr>
          <w:rFonts w:asciiTheme="minorHAnsi" w:hAnsiTheme="minorHAnsi"/>
          <w:lang w:val="es-ES"/>
        </w:rPr>
        <w:t xml:space="preserve">de los aparatos, aplicaciones, servicios y plataformas tecnológicas de </w:t>
      </w:r>
      <w:proofErr w:type="spellStart"/>
      <w:r w:rsidR="00321110" w:rsidRPr="00BA72BB">
        <w:rPr>
          <w:rFonts w:asciiTheme="minorHAnsi" w:hAnsiTheme="minorHAnsi"/>
          <w:lang w:val="es-ES"/>
        </w:rPr>
        <w:t>cibersalud</w:t>
      </w:r>
      <w:proofErr w:type="spellEnd"/>
      <w:r w:rsidR="00321110" w:rsidRPr="00BA72BB">
        <w:rPr>
          <w:rFonts w:asciiTheme="minorHAnsi" w:hAnsiTheme="minorHAnsi"/>
          <w:lang w:val="es-ES"/>
        </w:rPr>
        <w:t xml:space="preserve"> con arreglo al proyecto d</w:t>
      </w:r>
      <w:r w:rsidR="003C25E2" w:rsidRPr="00BA72BB">
        <w:rPr>
          <w:rFonts w:asciiTheme="minorHAnsi" w:hAnsiTheme="minorHAnsi"/>
          <w:lang w:val="es-ES"/>
        </w:rPr>
        <w:t xml:space="preserve">e Recomendación </w:t>
      </w:r>
      <w:hyperlink r:id="rId11" w:history="1">
        <w:r w:rsidR="003C25E2" w:rsidRPr="00BA72BB">
          <w:rPr>
            <w:rStyle w:val="Hyperlink"/>
            <w:rFonts w:asciiTheme="minorHAnsi" w:hAnsiTheme="minorHAnsi"/>
            <w:lang w:val="es-ES"/>
          </w:rPr>
          <w:t>UIT-T H.</w:t>
        </w:r>
        <w:r w:rsidR="00C34267" w:rsidRPr="00BA72BB">
          <w:rPr>
            <w:rStyle w:val="Hyperlink"/>
            <w:rFonts w:asciiTheme="minorHAnsi" w:hAnsiTheme="minorHAnsi"/>
            <w:lang w:val="es-ES"/>
          </w:rPr>
          <w:t>810</w:t>
        </w:r>
        <w:r w:rsidR="003C25E2" w:rsidRPr="00BA72BB">
          <w:rPr>
            <w:rStyle w:val="Hyperlink"/>
            <w:rFonts w:asciiTheme="minorHAnsi" w:hAnsiTheme="minorHAnsi"/>
            <w:lang w:val="es-ES"/>
          </w:rPr>
          <w:t xml:space="preserve"> "</w:t>
        </w:r>
        <w:r w:rsidR="00321110" w:rsidRPr="00BA72BB">
          <w:rPr>
            <w:rStyle w:val="Hyperlink"/>
            <w:rFonts w:asciiTheme="minorHAnsi" w:hAnsiTheme="minorHAnsi"/>
            <w:lang w:val="es-ES"/>
          </w:rPr>
          <w:t>Directrices para la concepción de la interoperabilidad de los sistemas de salud personal</w:t>
        </w:r>
        <w:r w:rsidR="003C25E2" w:rsidRPr="00BA72BB">
          <w:rPr>
            <w:rStyle w:val="Hyperlink"/>
            <w:rFonts w:asciiTheme="minorHAnsi" w:hAnsiTheme="minorHAnsi"/>
            <w:lang w:val="es-ES"/>
          </w:rPr>
          <w:t>"</w:t>
        </w:r>
      </w:hyperlink>
      <w:r w:rsidR="00C34267" w:rsidRPr="00BA72BB">
        <w:rPr>
          <w:rFonts w:asciiTheme="minorHAnsi" w:hAnsiTheme="minorHAnsi"/>
          <w:lang w:val="es-ES"/>
        </w:rPr>
        <w:t>.</w:t>
      </w:r>
    </w:p>
    <w:p w:rsidR="00C34267" w:rsidRPr="00BA72BB" w:rsidRDefault="00321110" w:rsidP="00C34267">
      <w:pPr>
        <w:rPr>
          <w:rFonts w:asciiTheme="minorHAnsi" w:hAnsiTheme="minorHAnsi"/>
          <w:lang w:val="es-ES"/>
        </w:rPr>
      </w:pPr>
      <w:r w:rsidRPr="00BA72BB">
        <w:rPr>
          <w:rFonts w:asciiTheme="minorHAnsi" w:hAnsiTheme="minorHAnsi"/>
          <w:lang w:val="es-ES"/>
        </w:rPr>
        <w:t xml:space="preserve">La </w:t>
      </w:r>
      <w:r w:rsidR="00C34267" w:rsidRPr="00BA72BB">
        <w:rPr>
          <w:rFonts w:asciiTheme="minorHAnsi" w:hAnsiTheme="minorHAnsi"/>
          <w:b/>
          <w:lang w:val="es-ES"/>
        </w:rPr>
        <w:t>realización de pruebas</w:t>
      </w:r>
      <w:r w:rsidR="00C34267" w:rsidRPr="00BA72BB">
        <w:rPr>
          <w:rFonts w:asciiTheme="minorHAnsi" w:hAnsiTheme="minorHAnsi"/>
          <w:bCs/>
          <w:lang w:val="es-ES"/>
        </w:rPr>
        <w:t xml:space="preserve"> </w:t>
      </w:r>
      <w:r w:rsidRPr="00BA72BB">
        <w:rPr>
          <w:rFonts w:asciiTheme="minorHAnsi" w:hAnsiTheme="minorHAnsi"/>
          <w:b/>
          <w:bCs/>
          <w:lang w:val="es-ES"/>
        </w:rPr>
        <w:t>de</w:t>
      </w:r>
      <w:r w:rsidR="00C34267" w:rsidRPr="00BA72BB">
        <w:rPr>
          <w:rFonts w:asciiTheme="minorHAnsi" w:hAnsiTheme="minorHAnsi"/>
          <w:b/>
          <w:bCs/>
          <w:lang w:val="es-ES"/>
        </w:rPr>
        <w:t xml:space="preserve"> interoperabilidad</w:t>
      </w:r>
      <w:r w:rsidRPr="00BA72BB">
        <w:rPr>
          <w:rFonts w:asciiTheme="minorHAnsi" w:hAnsiTheme="minorHAnsi"/>
          <w:lang w:val="es-ES"/>
        </w:rPr>
        <w:t xml:space="preserve"> </w:t>
      </w:r>
      <w:r w:rsidR="00C34267" w:rsidRPr="00BA72BB">
        <w:rPr>
          <w:rFonts w:asciiTheme="minorHAnsi" w:hAnsiTheme="minorHAnsi"/>
          <w:lang w:val="es-ES"/>
        </w:rPr>
        <w:t>tiene como finalidad mejorar la probabilidad de interoperabilidad entre productos de fabricantes distintos validando la distinta aplicación de las normas, y facilitando información al respecto a las Comisiones de Estudio del UIT-T para ulteriores estudios destinados a buscar soluciones para las cuestiones de interoperabilidad. Los participantes podrán compartir los resultados de las pruebas de interoperabilidad sobre una base bilateral, utilizando mecanismos tales como los acuerdos de no divulgación (AND).</w:t>
      </w:r>
    </w:p>
    <w:p w:rsidR="00321110" w:rsidRPr="00BA72BB" w:rsidRDefault="00C34267" w:rsidP="00CF3C46">
      <w:pPr>
        <w:rPr>
          <w:rFonts w:asciiTheme="minorHAnsi" w:hAnsiTheme="minorHAnsi"/>
          <w:lang w:val="es-ES"/>
        </w:rPr>
      </w:pPr>
      <w:r w:rsidRPr="00BA72BB">
        <w:rPr>
          <w:rFonts w:asciiTheme="minorHAnsi" w:hAnsiTheme="minorHAnsi"/>
          <w:lang w:val="es-ES"/>
        </w:rPr>
        <w:t xml:space="preserve">La realización de </w:t>
      </w:r>
      <w:r w:rsidRPr="00BA72BB">
        <w:rPr>
          <w:rFonts w:asciiTheme="minorHAnsi" w:hAnsiTheme="minorHAnsi"/>
          <w:b/>
          <w:lang w:val="es-ES"/>
        </w:rPr>
        <w:t>pruebas</w:t>
      </w:r>
      <w:r w:rsidRPr="00BA72BB">
        <w:rPr>
          <w:rFonts w:asciiTheme="minorHAnsi" w:hAnsiTheme="minorHAnsi"/>
          <w:bCs/>
          <w:lang w:val="es-ES"/>
        </w:rPr>
        <w:t xml:space="preserve"> </w:t>
      </w:r>
      <w:r w:rsidRPr="00BA72BB">
        <w:rPr>
          <w:rFonts w:asciiTheme="minorHAnsi" w:hAnsiTheme="minorHAnsi"/>
          <w:b/>
          <w:bCs/>
          <w:lang w:val="es-ES"/>
        </w:rPr>
        <w:t>de conformidad</w:t>
      </w:r>
      <w:r w:rsidR="00321110" w:rsidRPr="00BA72BB">
        <w:rPr>
          <w:rFonts w:asciiTheme="minorHAnsi" w:hAnsiTheme="minorHAnsi"/>
          <w:lang w:val="es-ES"/>
        </w:rPr>
        <w:t xml:space="preserve"> </w:t>
      </w:r>
      <w:r w:rsidR="00A813FC" w:rsidRPr="00BA72BB">
        <w:rPr>
          <w:rFonts w:asciiTheme="minorHAnsi" w:hAnsiTheme="minorHAnsi"/>
          <w:lang w:val="es-ES"/>
        </w:rPr>
        <w:t xml:space="preserve">correrá a cargo de AT4 </w:t>
      </w:r>
      <w:proofErr w:type="spellStart"/>
      <w:r w:rsidR="00A813FC" w:rsidRPr="00BA72BB">
        <w:rPr>
          <w:rFonts w:asciiTheme="minorHAnsi" w:hAnsiTheme="minorHAnsi"/>
          <w:lang w:val="es-ES"/>
        </w:rPr>
        <w:t>wireless</w:t>
      </w:r>
      <w:proofErr w:type="spellEnd"/>
      <w:r w:rsidR="00A813FC" w:rsidRPr="00BA72BB">
        <w:rPr>
          <w:rFonts w:asciiTheme="minorHAnsi" w:hAnsiTheme="minorHAnsi"/>
          <w:lang w:val="es-ES"/>
        </w:rPr>
        <w:t xml:space="preserve">, que es uno de los laboratorios de Continua. Durante el evento, AT4 </w:t>
      </w:r>
      <w:proofErr w:type="spellStart"/>
      <w:r w:rsidR="00A813FC" w:rsidRPr="00BA72BB">
        <w:rPr>
          <w:rFonts w:asciiTheme="minorHAnsi" w:hAnsiTheme="minorHAnsi"/>
          <w:lang w:val="es-ES"/>
        </w:rPr>
        <w:t>wireless</w:t>
      </w:r>
      <w:proofErr w:type="spellEnd"/>
      <w:r w:rsidR="00A813FC" w:rsidRPr="00BA72BB">
        <w:rPr>
          <w:rFonts w:asciiTheme="minorHAnsi" w:hAnsiTheme="minorHAnsi"/>
          <w:lang w:val="es-ES"/>
        </w:rPr>
        <w:t xml:space="preserve"> someterá agentes </w:t>
      </w:r>
      <w:proofErr w:type="spellStart"/>
      <w:r w:rsidR="00A813FC" w:rsidRPr="00BA72BB">
        <w:rPr>
          <w:rFonts w:asciiTheme="minorHAnsi" w:hAnsiTheme="minorHAnsi"/>
          <w:lang w:val="es-ES"/>
        </w:rPr>
        <w:t>bluetooth</w:t>
      </w:r>
      <w:proofErr w:type="spellEnd"/>
      <w:r w:rsidR="00A813FC" w:rsidRPr="00BA72BB">
        <w:rPr>
          <w:rFonts w:asciiTheme="minorHAnsi" w:hAnsiTheme="minorHAnsi"/>
          <w:lang w:val="es-ES"/>
        </w:rPr>
        <w:t xml:space="preserve"> inteligentes y</w:t>
      </w:r>
      <w:r w:rsidR="00283B9C" w:rsidRPr="00BA72BB">
        <w:rPr>
          <w:rFonts w:asciiTheme="minorHAnsi" w:hAnsiTheme="minorHAnsi"/>
          <w:lang w:val="es-ES"/>
        </w:rPr>
        <w:t xml:space="preserve"> </w:t>
      </w:r>
      <w:r w:rsidR="00A813FC" w:rsidRPr="00BA72BB">
        <w:rPr>
          <w:rFonts w:asciiTheme="minorHAnsi" w:hAnsiTheme="minorHAnsi"/>
          <w:lang w:val="es-ES"/>
        </w:rPr>
        <w:t xml:space="preserve">remitentes de la Red de </w:t>
      </w:r>
      <w:r w:rsidR="00CF3C46" w:rsidRPr="00BA72BB">
        <w:rPr>
          <w:rFonts w:asciiTheme="minorHAnsi" w:hAnsiTheme="minorHAnsi"/>
          <w:lang w:val="es-ES"/>
        </w:rPr>
        <w:t>r</w:t>
      </w:r>
      <w:r w:rsidR="00A813FC" w:rsidRPr="00BA72BB">
        <w:rPr>
          <w:rFonts w:asciiTheme="minorHAnsi" w:hAnsiTheme="minorHAnsi"/>
          <w:lang w:val="es-ES"/>
        </w:rPr>
        <w:t>egistros de salud (HRN) a pruebas respecto de la Recomendación UIT</w:t>
      </w:r>
      <w:r w:rsidR="00283B9C" w:rsidRPr="00BA72BB">
        <w:rPr>
          <w:rFonts w:asciiTheme="minorHAnsi" w:hAnsiTheme="minorHAnsi"/>
          <w:lang w:val="es-ES"/>
        </w:rPr>
        <w:noBreakHyphen/>
      </w:r>
      <w:r w:rsidR="00A813FC" w:rsidRPr="00BA72BB">
        <w:rPr>
          <w:rFonts w:asciiTheme="minorHAnsi" w:hAnsiTheme="minorHAnsi"/>
          <w:lang w:val="es-ES"/>
        </w:rPr>
        <w:t>T</w:t>
      </w:r>
      <w:r w:rsidR="00283B9C" w:rsidRPr="00BA72BB">
        <w:rPr>
          <w:rFonts w:asciiTheme="minorHAnsi" w:hAnsiTheme="minorHAnsi"/>
          <w:lang w:val="es-ES"/>
        </w:rPr>
        <w:t> </w:t>
      </w:r>
      <w:r w:rsidR="00A813FC" w:rsidRPr="00BA72BB">
        <w:rPr>
          <w:rFonts w:asciiTheme="minorHAnsi" w:hAnsiTheme="minorHAnsi"/>
          <w:lang w:val="es-ES"/>
        </w:rPr>
        <w:t xml:space="preserve">H.810, utilizando el proceso de pruebas del UIT-T (UIT-T H.821 </w:t>
      </w:r>
      <w:r w:rsidR="00CF3C46" w:rsidRPr="00BA72BB">
        <w:rPr>
          <w:rFonts w:asciiTheme="minorHAnsi" w:hAnsiTheme="minorHAnsi"/>
          <w:lang w:val="es-ES"/>
        </w:rPr>
        <w:t>y</w:t>
      </w:r>
      <w:r w:rsidR="00A813FC" w:rsidRPr="00BA72BB">
        <w:rPr>
          <w:rFonts w:asciiTheme="minorHAnsi" w:hAnsiTheme="minorHAnsi"/>
          <w:lang w:val="es-ES"/>
        </w:rPr>
        <w:t xml:space="preserve"> UI</w:t>
      </w:r>
      <w:r w:rsidR="00404997" w:rsidRPr="00BA72BB">
        <w:rPr>
          <w:rFonts w:asciiTheme="minorHAnsi" w:hAnsiTheme="minorHAnsi"/>
          <w:lang w:val="es-ES"/>
        </w:rPr>
        <w:t>T</w:t>
      </w:r>
      <w:r w:rsidR="00A813FC" w:rsidRPr="00BA72BB">
        <w:rPr>
          <w:rFonts w:asciiTheme="minorHAnsi" w:hAnsiTheme="minorHAnsi"/>
          <w:lang w:val="es-ES"/>
        </w:rPr>
        <w:t xml:space="preserve">-T H.847), así como las herramientas de prueba de Continua. Todos los productos que superen las pruebas serán certificados por AT4 </w:t>
      </w:r>
      <w:proofErr w:type="spellStart"/>
      <w:r w:rsidR="00A813FC" w:rsidRPr="00BA72BB">
        <w:rPr>
          <w:rFonts w:asciiTheme="minorHAnsi" w:hAnsiTheme="minorHAnsi"/>
          <w:lang w:val="es-ES"/>
        </w:rPr>
        <w:t>wireless</w:t>
      </w:r>
      <w:proofErr w:type="spellEnd"/>
      <w:r w:rsidR="00A813FC" w:rsidRPr="00BA72BB">
        <w:rPr>
          <w:rFonts w:asciiTheme="minorHAnsi" w:hAnsiTheme="minorHAnsi"/>
          <w:lang w:val="es-ES"/>
        </w:rPr>
        <w:t xml:space="preserve"> con arreglo al programa de pruebas y certificación de Continua</w:t>
      </w:r>
      <w:r w:rsidR="00404997" w:rsidRPr="00BA72BB">
        <w:rPr>
          <w:rFonts w:asciiTheme="minorHAnsi" w:hAnsiTheme="minorHAnsi"/>
          <w:lang w:val="es-ES"/>
        </w:rPr>
        <w:t>, y figurarán en las listas</w:t>
      </w:r>
      <w:r w:rsidR="00283B9C" w:rsidRPr="00BA72BB">
        <w:rPr>
          <w:rFonts w:asciiTheme="minorHAnsi" w:hAnsiTheme="minorHAnsi"/>
          <w:lang w:val="es-ES"/>
        </w:rPr>
        <w:t xml:space="preserve"> </w:t>
      </w:r>
      <w:r w:rsidR="00404997" w:rsidRPr="00BA72BB">
        <w:rPr>
          <w:rFonts w:asciiTheme="minorHAnsi" w:hAnsiTheme="minorHAnsi"/>
          <w:lang w:val="es-ES"/>
        </w:rPr>
        <w:t>de la Exposición de Productos de Continua y en la base de datos de Conformidad de Productos de la UIT.</w:t>
      </w:r>
    </w:p>
    <w:p w:rsidR="00404997" w:rsidRPr="00BA72BB" w:rsidRDefault="00404997" w:rsidP="00283B9C">
      <w:pPr>
        <w:keepNext/>
        <w:keepLines/>
        <w:rPr>
          <w:rFonts w:asciiTheme="minorHAnsi" w:hAnsiTheme="minorHAnsi"/>
          <w:lang w:val="es-ES"/>
        </w:rPr>
      </w:pPr>
      <w:r w:rsidRPr="00BA72BB">
        <w:rPr>
          <w:rFonts w:asciiTheme="minorHAnsi" w:hAnsiTheme="minorHAnsi"/>
          <w:bCs/>
          <w:lang w:val="es-ES"/>
        </w:rPr>
        <w:lastRenderedPageBreak/>
        <w:t>3</w:t>
      </w:r>
      <w:r w:rsidRPr="00BA72BB">
        <w:rPr>
          <w:rFonts w:asciiTheme="minorHAnsi" w:hAnsiTheme="minorHAnsi"/>
          <w:lang w:val="es-ES"/>
        </w:rPr>
        <w:tab/>
      </w:r>
      <w:r w:rsidR="000F61D5" w:rsidRPr="00BA72BB">
        <w:rPr>
          <w:rFonts w:asciiTheme="minorHAnsi" w:hAnsiTheme="minorHAnsi"/>
          <w:lang w:val="es-ES"/>
        </w:rPr>
        <w:t xml:space="preserve">A continuación habrá una </w:t>
      </w:r>
      <w:r w:rsidR="000F61D5" w:rsidRPr="00BA72BB">
        <w:rPr>
          <w:rFonts w:asciiTheme="minorHAnsi" w:hAnsiTheme="minorHAnsi"/>
          <w:b/>
          <w:bCs/>
          <w:lang w:val="es-ES"/>
        </w:rPr>
        <w:t>sesión de demostración</w:t>
      </w:r>
      <w:r w:rsidR="000F61D5" w:rsidRPr="00BA72BB">
        <w:rPr>
          <w:rFonts w:asciiTheme="minorHAnsi" w:hAnsiTheme="minorHAnsi"/>
          <w:lang w:val="es-ES"/>
        </w:rPr>
        <w:t xml:space="preserve"> abierta al público, en la que se mostrarán los productos emergentes</w:t>
      </w:r>
      <w:r w:rsidR="0023211E" w:rsidRPr="00BA72BB">
        <w:rPr>
          <w:rFonts w:asciiTheme="minorHAnsi" w:hAnsiTheme="minorHAnsi"/>
          <w:lang w:val="es-ES"/>
        </w:rPr>
        <w:t>,</w:t>
      </w:r>
      <w:r w:rsidR="000F61D5" w:rsidRPr="00BA72BB">
        <w:rPr>
          <w:rFonts w:asciiTheme="minorHAnsi" w:hAnsiTheme="minorHAnsi"/>
          <w:lang w:val="es-ES"/>
        </w:rPr>
        <w:t xml:space="preserve"> destacando las tecnologías de salud avanzadas y la labor de normalización en curso en el UIT-T. Las </w:t>
      </w:r>
      <w:r w:rsidR="00404CA7" w:rsidRPr="00BA72BB">
        <w:rPr>
          <w:rFonts w:asciiTheme="minorHAnsi" w:hAnsiTheme="minorHAnsi"/>
          <w:lang w:val="es-ES"/>
        </w:rPr>
        <w:t xml:space="preserve">organizaciones </w:t>
      </w:r>
      <w:r w:rsidR="000F61D5" w:rsidRPr="00BA72BB">
        <w:rPr>
          <w:rFonts w:asciiTheme="minorHAnsi" w:hAnsiTheme="minorHAnsi"/>
          <w:lang w:val="es-ES"/>
        </w:rPr>
        <w:t xml:space="preserve">que no participen en el componente de realización de pruebas del evento </w:t>
      </w:r>
      <w:r w:rsidR="00404CA7" w:rsidRPr="00BA72BB">
        <w:rPr>
          <w:rFonts w:asciiTheme="minorHAnsi" w:hAnsiTheme="minorHAnsi"/>
          <w:lang w:val="es-ES"/>
        </w:rPr>
        <w:t xml:space="preserve">también </w:t>
      </w:r>
      <w:r w:rsidR="000F61D5" w:rsidRPr="00BA72BB">
        <w:rPr>
          <w:rFonts w:asciiTheme="minorHAnsi" w:hAnsiTheme="minorHAnsi"/>
          <w:lang w:val="es-ES"/>
        </w:rPr>
        <w:t>pueden participar</w:t>
      </w:r>
      <w:r w:rsidR="00404CA7" w:rsidRPr="00BA72BB">
        <w:rPr>
          <w:rFonts w:asciiTheme="minorHAnsi" w:hAnsiTheme="minorHAnsi"/>
          <w:lang w:val="es-ES"/>
        </w:rPr>
        <w:t xml:space="preserve"> en la sesión de demostración.</w:t>
      </w:r>
    </w:p>
    <w:p w:rsidR="007C5835" w:rsidRPr="00BA72BB" w:rsidRDefault="00C34772" w:rsidP="00371F2E">
      <w:pPr>
        <w:rPr>
          <w:rFonts w:asciiTheme="minorHAnsi" w:hAnsiTheme="minorHAnsi"/>
          <w:lang w:val="es-ES"/>
        </w:rPr>
      </w:pPr>
      <w:r w:rsidRPr="00BA72BB">
        <w:rPr>
          <w:rFonts w:asciiTheme="minorHAnsi" w:hAnsiTheme="minorHAnsi"/>
          <w:bCs/>
          <w:lang w:val="es-ES"/>
        </w:rPr>
        <w:t>4</w:t>
      </w:r>
      <w:r w:rsidRPr="00BA72BB">
        <w:rPr>
          <w:rFonts w:asciiTheme="minorHAnsi" w:hAnsiTheme="minorHAnsi"/>
          <w:lang w:val="es-ES"/>
        </w:rPr>
        <w:tab/>
      </w:r>
      <w:r w:rsidR="00404CA7" w:rsidRPr="00BA72BB">
        <w:rPr>
          <w:rFonts w:asciiTheme="minorHAnsi" w:hAnsiTheme="minorHAnsi"/>
          <w:lang w:val="es-ES"/>
        </w:rPr>
        <w:t xml:space="preserve">El evento está abierto a los miembros tanto de la UIT como de Continua, si bien para la opción de realización de pruebas de conformidad se exige la pertenencia a Continua. </w:t>
      </w:r>
      <w:r w:rsidR="007C5835" w:rsidRPr="00BA72BB">
        <w:rPr>
          <w:rFonts w:asciiTheme="minorHAnsi" w:hAnsiTheme="minorHAnsi"/>
          <w:lang w:val="es-ES"/>
        </w:rPr>
        <w:t xml:space="preserve">La </w:t>
      </w:r>
      <w:r w:rsidR="007C5835" w:rsidRPr="00BA72BB">
        <w:rPr>
          <w:rFonts w:asciiTheme="minorHAnsi" w:hAnsiTheme="minorHAnsi"/>
          <w:b/>
          <w:bCs/>
          <w:lang w:val="es-ES"/>
        </w:rPr>
        <w:t>cuota de participación</w:t>
      </w:r>
      <w:r w:rsidR="007C5835" w:rsidRPr="00BA72BB">
        <w:rPr>
          <w:rFonts w:asciiTheme="minorHAnsi" w:hAnsiTheme="minorHAnsi"/>
          <w:lang w:val="es-ES"/>
        </w:rPr>
        <w:t xml:space="preserve"> en el componente </w:t>
      </w:r>
      <w:proofErr w:type="spellStart"/>
      <w:r w:rsidR="007C5835" w:rsidRPr="00BA72BB">
        <w:rPr>
          <w:rFonts w:asciiTheme="minorHAnsi" w:hAnsiTheme="minorHAnsi"/>
          <w:lang w:val="es-ES"/>
        </w:rPr>
        <w:t>Interop</w:t>
      </w:r>
      <w:proofErr w:type="spellEnd"/>
      <w:r w:rsidR="007C5835" w:rsidRPr="00BA72BB">
        <w:rPr>
          <w:rFonts w:asciiTheme="minorHAnsi" w:hAnsiTheme="minorHAnsi"/>
          <w:lang w:val="es-ES"/>
        </w:rPr>
        <w:t xml:space="preserve"> de realización de pruebas es de 500 USD por plataforma y organización (con un máximo de cuatro (4) personas participantes de la organización). La participación optativa en la realización de pruebas de conformidad requiere otros 500 USD por plataforma y organización. La sesión de demostración será gratuita para expositores y visitantes. Puede obtener información detallada sobre el evento en el sitio web de eventos </w:t>
      </w:r>
      <w:proofErr w:type="spellStart"/>
      <w:r w:rsidR="007C5835" w:rsidRPr="00BA72BB">
        <w:rPr>
          <w:rFonts w:asciiTheme="minorHAnsi" w:hAnsiTheme="minorHAnsi"/>
          <w:lang w:val="es-ES"/>
        </w:rPr>
        <w:t>Interop</w:t>
      </w:r>
      <w:proofErr w:type="spellEnd"/>
      <w:r w:rsidR="007C5835" w:rsidRPr="00BA72BB">
        <w:rPr>
          <w:rFonts w:asciiTheme="minorHAnsi" w:hAnsiTheme="minorHAnsi"/>
          <w:lang w:val="es-ES"/>
        </w:rPr>
        <w:t xml:space="preserve"> de la UIT en la dirección: </w:t>
      </w:r>
      <w:hyperlink r:id="rId12" w:history="1">
        <w:r w:rsidR="007C5835" w:rsidRPr="00BA72BB">
          <w:rPr>
            <w:rStyle w:val="Hyperlink"/>
            <w:rFonts w:asciiTheme="minorHAnsi" w:hAnsiTheme="minorHAnsi"/>
            <w:lang w:val="es-ES"/>
          </w:rPr>
          <w:t>www.itu.int/interop</w:t>
        </w:r>
      </w:hyperlink>
      <w:r w:rsidR="007C5835" w:rsidRPr="00BA72BB">
        <w:rPr>
          <w:rFonts w:asciiTheme="minorHAnsi" w:hAnsiTheme="minorHAnsi"/>
          <w:lang w:val="es-ES"/>
        </w:rPr>
        <w:t>.</w:t>
      </w:r>
    </w:p>
    <w:p w:rsidR="00122D3B" w:rsidRPr="00BA72BB" w:rsidRDefault="00C34772" w:rsidP="00C361B2">
      <w:pPr>
        <w:rPr>
          <w:rFonts w:asciiTheme="minorHAnsi" w:hAnsiTheme="minorHAnsi"/>
          <w:lang w:val="es-ES"/>
        </w:rPr>
      </w:pPr>
      <w:r w:rsidRPr="00BA72BB">
        <w:rPr>
          <w:rFonts w:asciiTheme="minorHAnsi" w:hAnsiTheme="minorHAnsi"/>
          <w:bCs/>
          <w:lang w:val="es-ES"/>
        </w:rPr>
        <w:t>5</w:t>
      </w:r>
      <w:r w:rsidRPr="00BA72BB">
        <w:rPr>
          <w:rFonts w:asciiTheme="minorHAnsi" w:hAnsiTheme="minorHAnsi"/>
          <w:lang w:val="es-ES"/>
        </w:rPr>
        <w:tab/>
      </w:r>
      <w:r w:rsidR="00222DD2" w:rsidRPr="00BA72BB">
        <w:rPr>
          <w:rFonts w:asciiTheme="minorHAnsi" w:hAnsiTheme="minorHAnsi"/>
          <w:b/>
          <w:bCs/>
          <w:lang w:val="es-ES"/>
        </w:rPr>
        <w:t>Inscripció</w:t>
      </w:r>
      <w:r w:rsidR="003D20DD" w:rsidRPr="00BA72BB">
        <w:rPr>
          <w:rFonts w:asciiTheme="minorHAnsi" w:hAnsiTheme="minorHAnsi"/>
          <w:b/>
          <w:bCs/>
          <w:lang w:val="es-ES"/>
        </w:rPr>
        <w:t>n</w:t>
      </w:r>
      <w:r w:rsidR="00222DD2" w:rsidRPr="00BA72BB">
        <w:rPr>
          <w:rFonts w:asciiTheme="minorHAnsi" w:hAnsiTheme="minorHAnsi"/>
          <w:lang w:val="es-ES"/>
        </w:rPr>
        <w:t xml:space="preserve">: </w:t>
      </w:r>
      <w:r w:rsidR="006D26F1" w:rsidRPr="00BA72BB">
        <w:rPr>
          <w:rFonts w:asciiTheme="minorHAnsi" w:hAnsiTheme="minorHAnsi"/>
          <w:lang w:val="es-ES"/>
        </w:rPr>
        <w:t xml:space="preserve">para </w:t>
      </w:r>
      <w:r w:rsidR="00222DD2" w:rsidRPr="00BA72BB">
        <w:rPr>
          <w:rFonts w:asciiTheme="minorHAnsi" w:hAnsiTheme="minorHAnsi"/>
          <w:lang w:val="es-ES"/>
        </w:rPr>
        <w:t xml:space="preserve">que </w:t>
      </w:r>
      <w:r w:rsidR="007C5835" w:rsidRPr="00BA72BB">
        <w:rPr>
          <w:rFonts w:asciiTheme="minorHAnsi" w:hAnsiTheme="minorHAnsi"/>
          <w:lang w:val="es-ES"/>
        </w:rPr>
        <w:t>puedan</w:t>
      </w:r>
      <w:r w:rsidR="00463513" w:rsidRPr="00BA72BB">
        <w:rPr>
          <w:rFonts w:asciiTheme="minorHAnsi" w:hAnsiTheme="minorHAnsi"/>
          <w:lang w:val="es-ES"/>
        </w:rPr>
        <w:t xml:space="preserve"> adoptar</w:t>
      </w:r>
      <w:r w:rsidR="007C5835" w:rsidRPr="00BA72BB">
        <w:rPr>
          <w:rFonts w:asciiTheme="minorHAnsi" w:hAnsiTheme="minorHAnsi"/>
          <w:lang w:val="es-ES"/>
        </w:rPr>
        <w:t>se</w:t>
      </w:r>
      <w:r w:rsidR="00463513" w:rsidRPr="00BA72BB">
        <w:rPr>
          <w:rFonts w:asciiTheme="minorHAnsi" w:hAnsiTheme="minorHAnsi"/>
          <w:lang w:val="es-ES"/>
        </w:rPr>
        <w:t xml:space="preserve"> </w:t>
      </w:r>
      <w:r w:rsidR="003D20DD" w:rsidRPr="00BA72BB">
        <w:rPr>
          <w:rFonts w:asciiTheme="minorHAnsi" w:hAnsiTheme="minorHAnsi"/>
          <w:lang w:val="es-ES"/>
        </w:rPr>
        <w:t>las medidas necesarias ref</w:t>
      </w:r>
      <w:r w:rsidR="0016214D" w:rsidRPr="00BA72BB">
        <w:rPr>
          <w:rFonts w:asciiTheme="minorHAnsi" w:hAnsiTheme="minorHAnsi"/>
          <w:lang w:val="es-ES"/>
        </w:rPr>
        <w:t>e</w:t>
      </w:r>
      <w:r w:rsidR="003D20DD" w:rsidRPr="00BA72BB">
        <w:rPr>
          <w:rFonts w:asciiTheme="minorHAnsi" w:hAnsiTheme="minorHAnsi"/>
          <w:lang w:val="es-ES"/>
        </w:rPr>
        <w:t xml:space="preserve">rentes a la organización del evento, le agradecería </w:t>
      </w:r>
      <w:r w:rsidR="00222DD2" w:rsidRPr="00BA72BB">
        <w:rPr>
          <w:rFonts w:asciiTheme="minorHAnsi" w:hAnsiTheme="minorHAnsi"/>
          <w:lang w:val="es-ES"/>
        </w:rPr>
        <w:t>q</w:t>
      </w:r>
      <w:r w:rsidR="003D20DD" w:rsidRPr="00BA72BB">
        <w:rPr>
          <w:rFonts w:asciiTheme="minorHAnsi" w:hAnsiTheme="minorHAnsi"/>
          <w:lang w:val="es-ES"/>
        </w:rPr>
        <w:t xml:space="preserve">ue </w:t>
      </w:r>
      <w:r w:rsidR="00463513" w:rsidRPr="00BA72BB">
        <w:rPr>
          <w:rFonts w:asciiTheme="minorHAnsi" w:hAnsiTheme="minorHAnsi"/>
          <w:lang w:val="es-ES"/>
        </w:rPr>
        <w:t xml:space="preserve">se inscribiese en la dirección </w:t>
      </w:r>
      <w:hyperlink r:id="rId13" w:history="1">
        <w:r w:rsidR="00463513" w:rsidRPr="00BA72BB">
          <w:rPr>
            <w:rStyle w:val="Hyperlink"/>
            <w:rFonts w:asciiTheme="minorHAnsi" w:hAnsiTheme="minorHAnsi"/>
            <w:lang w:val="es-ES"/>
          </w:rPr>
          <w:t>www.itu.int/interop</w:t>
        </w:r>
      </w:hyperlink>
      <w:r w:rsidR="00463513" w:rsidRPr="00BA72BB">
        <w:rPr>
          <w:rFonts w:asciiTheme="minorHAnsi" w:hAnsiTheme="minorHAnsi"/>
          <w:lang w:val="es-ES"/>
        </w:rPr>
        <w:t xml:space="preserve"> </w:t>
      </w:r>
      <w:r w:rsidR="003D20DD" w:rsidRPr="00BA72BB">
        <w:rPr>
          <w:rFonts w:asciiTheme="minorHAnsi" w:hAnsiTheme="minorHAnsi"/>
          <w:lang w:val="es-ES"/>
        </w:rPr>
        <w:t>a la mayor brevedad posible</w:t>
      </w:r>
      <w:r w:rsidR="00371F2E" w:rsidRPr="00BA72BB">
        <w:rPr>
          <w:rFonts w:asciiTheme="minorHAnsi" w:hAnsiTheme="minorHAnsi"/>
          <w:lang w:val="es-ES"/>
        </w:rPr>
        <w:t>,</w:t>
      </w:r>
      <w:r w:rsidR="003D20DD" w:rsidRPr="00BA72BB">
        <w:rPr>
          <w:rFonts w:asciiTheme="minorHAnsi" w:hAnsiTheme="minorHAnsi"/>
          <w:lang w:val="es-ES"/>
        </w:rPr>
        <w:t xml:space="preserve"> pero </w:t>
      </w:r>
      <w:r w:rsidR="00222DD2" w:rsidRPr="00BA72BB">
        <w:rPr>
          <w:rFonts w:asciiTheme="minorHAnsi" w:hAnsiTheme="minorHAnsi"/>
          <w:b/>
          <w:bCs/>
          <w:lang w:val="es-ES"/>
        </w:rPr>
        <w:t>a má</w:t>
      </w:r>
      <w:r w:rsidR="003D20DD" w:rsidRPr="00BA72BB">
        <w:rPr>
          <w:rFonts w:asciiTheme="minorHAnsi" w:hAnsiTheme="minorHAnsi"/>
          <w:b/>
          <w:bCs/>
          <w:lang w:val="es-ES"/>
        </w:rPr>
        <w:t xml:space="preserve">s tardar el </w:t>
      </w:r>
      <w:r w:rsidR="0023211E" w:rsidRPr="00BA72BB">
        <w:rPr>
          <w:rFonts w:asciiTheme="minorHAnsi" w:hAnsiTheme="minorHAnsi"/>
          <w:b/>
          <w:bCs/>
          <w:lang w:val="es-ES"/>
        </w:rPr>
        <w:t>26 de enero</w:t>
      </w:r>
      <w:r w:rsidR="003D20DD" w:rsidRPr="00BA72BB">
        <w:rPr>
          <w:rFonts w:asciiTheme="minorHAnsi" w:hAnsiTheme="minorHAnsi"/>
          <w:b/>
          <w:bCs/>
          <w:lang w:val="es-ES"/>
        </w:rPr>
        <w:t xml:space="preserve"> de 201</w:t>
      </w:r>
      <w:r w:rsidR="0023211E" w:rsidRPr="00BA72BB">
        <w:rPr>
          <w:rFonts w:asciiTheme="minorHAnsi" w:hAnsiTheme="minorHAnsi"/>
          <w:b/>
          <w:bCs/>
          <w:lang w:val="es-ES"/>
        </w:rPr>
        <w:t>5</w:t>
      </w:r>
      <w:r w:rsidR="00371F2E" w:rsidRPr="00BA72BB">
        <w:rPr>
          <w:rFonts w:asciiTheme="minorHAnsi" w:hAnsiTheme="minorHAnsi"/>
          <w:lang w:val="es-ES"/>
        </w:rPr>
        <w:t xml:space="preserve"> </w:t>
      </w:r>
      <w:r w:rsidR="0023211E" w:rsidRPr="00BA72BB">
        <w:rPr>
          <w:rFonts w:asciiTheme="minorHAnsi" w:hAnsiTheme="minorHAnsi"/>
          <w:lang w:val="es-ES"/>
        </w:rPr>
        <w:t>para</w:t>
      </w:r>
      <w:r w:rsidR="00463513" w:rsidRPr="00BA72BB">
        <w:rPr>
          <w:rFonts w:asciiTheme="minorHAnsi" w:hAnsiTheme="minorHAnsi"/>
          <w:lang w:val="es-ES"/>
        </w:rPr>
        <w:t xml:space="preserve"> participar en el evento de realización de pruebas y/o de demostración en calidad de expositor, y se invita a los visitantes de la exposición a que se comuniquen</w:t>
      </w:r>
      <w:r w:rsidR="00283B9C" w:rsidRPr="00BA72BB">
        <w:rPr>
          <w:rFonts w:asciiTheme="minorHAnsi" w:hAnsiTheme="minorHAnsi"/>
          <w:lang w:val="es-ES"/>
        </w:rPr>
        <w:t xml:space="preserve"> </w:t>
      </w:r>
      <w:r w:rsidR="00463513" w:rsidRPr="00BA72BB">
        <w:rPr>
          <w:rFonts w:asciiTheme="minorHAnsi" w:hAnsiTheme="minorHAnsi"/>
          <w:lang w:val="es-ES"/>
        </w:rPr>
        <w:t xml:space="preserve">con nosotros en la dirección </w:t>
      </w:r>
      <w:hyperlink r:id="rId14" w:history="1">
        <w:r w:rsidR="006C12B0" w:rsidRPr="00BA72BB">
          <w:rPr>
            <w:rStyle w:val="Hyperlink"/>
            <w:rFonts w:asciiTheme="minorHAnsi" w:hAnsiTheme="minorHAnsi"/>
            <w:lang w:val="es-ES"/>
          </w:rPr>
          <w:t>interop@itu.int</w:t>
        </w:r>
      </w:hyperlink>
      <w:r w:rsidR="006C12B0" w:rsidRPr="00BA72BB">
        <w:rPr>
          <w:rFonts w:asciiTheme="minorHAnsi" w:hAnsiTheme="minorHAnsi"/>
          <w:lang w:val="es-ES"/>
        </w:rPr>
        <w:t xml:space="preserve"> </w:t>
      </w:r>
      <w:hyperlink r:id="rId15" w:history="1"/>
      <w:r w:rsidR="00463513" w:rsidRPr="00BA72BB">
        <w:rPr>
          <w:rFonts w:asciiTheme="minorHAnsi" w:hAnsiTheme="minorHAnsi"/>
          <w:lang w:val="es-ES"/>
        </w:rPr>
        <w:t xml:space="preserve"> </w:t>
      </w:r>
      <w:r w:rsidR="00122D3B" w:rsidRPr="00BA72BB">
        <w:rPr>
          <w:rFonts w:asciiTheme="minorHAnsi" w:hAnsiTheme="minorHAnsi"/>
          <w:lang w:val="es-ES"/>
        </w:rPr>
        <w:t xml:space="preserve">hasta el </w:t>
      </w:r>
      <w:r w:rsidR="0023211E" w:rsidRPr="00BA72BB">
        <w:rPr>
          <w:rFonts w:asciiTheme="minorHAnsi" w:hAnsiTheme="minorHAnsi"/>
          <w:lang w:val="es-ES"/>
        </w:rPr>
        <w:t>3</w:t>
      </w:r>
      <w:r w:rsidR="00122D3B" w:rsidRPr="00BA72BB">
        <w:rPr>
          <w:rFonts w:asciiTheme="minorHAnsi" w:hAnsiTheme="minorHAnsi"/>
          <w:lang w:val="es-ES"/>
        </w:rPr>
        <w:t xml:space="preserve"> de </w:t>
      </w:r>
      <w:r w:rsidR="0023211E" w:rsidRPr="00BA72BB">
        <w:rPr>
          <w:rFonts w:asciiTheme="minorHAnsi" w:hAnsiTheme="minorHAnsi"/>
          <w:lang w:val="es-ES"/>
        </w:rPr>
        <w:t>febrero</w:t>
      </w:r>
      <w:r w:rsidR="00122D3B" w:rsidRPr="00BA72BB">
        <w:rPr>
          <w:rFonts w:asciiTheme="minorHAnsi" w:hAnsiTheme="minorHAnsi"/>
          <w:lang w:val="es-ES"/>
        </w:rPr>
        <w:t xml:space="preserve"> de 201</w:t>
      </w:r>
      <w:r w:rsidR="0023211E" w:rsidRPr="00BA72BB">
        <w:rPr>
          <w:rFonts w:asciiTheme="minorHAnsi" w:hAnsiTheme="minorHAnsi"/>
          <w:lang w:val="es-ES"/>
        </w:rPr>
        <w:t>5</w:t>
      </w:r>
      <w:r w:rsidR="00122D3B" w:rsidRPr="00BA72BB">
        <w:rPr>
          <w:rFonts w:asciiTheme="minorHAnsi" w:hAnsiTheme="minorHAnsi"/>
          <w:lang w:val="es-ES"/>
        </w:rPr>
        <w:t>.</w:t>
      </w:r>
    </w:p>
    <w:p w:rsidR="0023211E" w:rsidRPr="00BA72BB" w:rsidRDefault="0023211E" w:rsidP="00C361B2">
      <w:pPr>
        <w:rPr>
          <w:rFonts w:asciiTheme="minorHAnsi" w:hAnsiTheme="minorHAnsi"/>
          <w:lang w:val="es-ES"/>
        </w:rPr>
      </w:pPr>
      <w:r w:rsidRPr="00BA72BB">
        <w:rPr>
          <w:rFonts w:asciiTheme="minorHAnsi" w:hAnsiTheme="minorHAnsi"/>
          <w:lang w:val="es-ES"/>
        </w:rPr>
        <w:t>6</w:t>
      </w:r>
      <w:r w:rsidRPr="00BA72BB">
        <w:rPr>
          <w:rFonts w:asciiTheme="minorHAnsi" w:hAnsiTheme="minorHAnsi"/>
          <w:lang w:val="es-ES"/>
        </w:rPr>
        <w:tab/>
        <w:t xml:space="preserve">A fin de facilitar sus trámites, se adjunta en el </w:t>
      </w:r>
      <w:r w:rsidRPr="00BA72BB">
        <w:rPr>
          <w:rFonts w:asciiTheme="minorHAnsi" w:hAnsiTheme="minorHAnsi"/>
          <w:b/>
          <w:bCs/>
          <w:lang w:val="es-ES"/>
        </w:rPr>
        <w:t>Anexo 1</w:t>
      </w:r>
      <w:r w:rsidRPr="00BA72BB">
        <w:rPr>
          <w:rFonts w:asciiTheme="minorHAnsi" w:hAnsiTheme="minorHAnsi"/>
          <w:lang w:val="es-ES"/>
        </w:rPr>
        <w:t xml:space="preserve"> un formulario de confirmación de hotel (véase </w:t>
      </w:r>
      <w:hyperlink r:id="rId16" w:history="1">
        <w:r w:rsidRPr="00BA72BB">
          <w:rPr>
            <w:rStyle w:val="Hyperlink"/>
            <w:rFonts w:asciiTheme="minorHAnsi" w:hAnsiTheme="minorHAnsi"/>
            <w:lang w:val="es-ES"/>
          </w:rPr>
          <w:t>http://www.itu.int/travel/</w:t>
        </w:r>
      </w:hyperlink>
      <w:r w:rsidRPr="00BA72BB">
        <w:rPr>
          <w:rFonts w:asciiTheme="minorHAnsi" w:hAnsiTheme="minorHAnsi"/>
          <w:lang w:val="es-ES"/>
        </w:rPr>
        <w:t xml:space="preserve"> para la lista de hoteles).</w:t>
      </w:r>
    </w:p>
    <w:p w:rsidR="0023211E" w:rsidRPr="00BA72BB" w:rsidRDefault="0023211E" w:rsidP="00CE0F62">
      <w:pPr>
        <w:rPr>
          <w:rFonts w:asciiTheme="minorHAnsi" w:hAnsiTheme="minorHAnsi"/>
          <w:lang w:val="es-ES"/>
        </w:rPr>
      </w:pPr>
      <w:r w:rsidRPr="00BA72BB">
        <w:rPr>
          <w:rFonts w:asciiTheme="minorHAnsi" w:hAnsiTheme="minorHAnsi"/>
          <w:lang w:val="es-ES"/>
        </w:rPr>
        <w:t>7</w:t>
      </w:r>
      <w:r w:rsidRPr="00BA72BB">
        <w:rPr>
          <w:rFonts w:asciiTheme="minorHAnsi" w:hAnsiTheme="minorHAnsi"/>
          <w:lang w:val="es-ES"/>
        </w:rPr>
        <w:tab/>
        <w:t xml:space="preserve">Le recuerdo que los ciudadanos procedentes de ciertos países necesitan visado para entrar y permanecer en Suiza. </w:t>
      </w:r>
      <w:r w:rsidRPr="00BA72BB">
        <w:rPr>
          <w:rFonts w:asciiTheme="minorHAnsi" w:hAnsiTheme="minorHAnsi"/>
          <w:b/>
          <w:bCs/>
          <w:lang w:val="es-ES"/>
        </w:rPr>
        <w:t xml:space="preserve">Ese visado debe solicitarse al menos cuatro (4) semanas antes de la fecha de inicio del </w:t>
      </w:r>
      <w:r w:rsidR="00CE0F62" w:rsidRPr="00BA72BB">
        <w:rPr>
          <w:rFonts w:asciiTheme="minorHAnsi" w:hAnsiTheme="minorHAnsi"/>
          <w:b/>
          <w:bCs/>
          <w:lang w:val="es-ES"/>
        </w:rPr>
        <w:t>evento</w:t>
      </w:r>
      <w:r w:rsidRPr="00BA72BB">
        <w:rPr>
          <w:rFonts w:asciiTheme="minorHAnsi" w:hAnsiTheme="minorHAnsi"/>
          <w:lang w:val="es-ES"/>
        </w:rPr>
        <w:t xml:space="preserve"> en la oficina (embajada o consulado) que representa a Suiza en su país o, en su defecto, en la más próxima a su país de partida.</w:t>
      </w:r>
    </w:p>
    <w:p w:rsidR="0023211E" w:rsidRPr="00BA72BB" w:rsidRDefault="0023211E" w:rsidP="00283B9C">
      <w:pPr>
        <w:rPr>
          <w:rFonts w:asciiTheme="minorHAnsi" w:hAnsiTheme="minorHAnsi"/>
          <w:lang w:val="es-ES"/>
        </w:rPr>
      </w:pPr>
      <w:r w:rsidRPr="00BA72BB">
        <w:rPr>
          <w:rFonts w:asciiTheme="minorHAnsi" w:hAnsiTheme="minorHAnsi"/>
          <w:lang w:val="es-ES"/>
        </w:rPr>
        <w:t xml:space="preserve">Si un </w:t>
      </w:r>
      <w:r w:rsidRPr="00BA72BB">
        <w:rPr>
          <w:rFonts w:asciiTheme="minorHAnsi" w:hAnsiTheme="minorHAnsi"/>
          <w:b/>
          <w:bCs/>
          <w:lang w:val="es-ES"/>
        </w:rPr>
        <w:t>Estado Miembro, un Miembro de Sector, un Asociado o una Institución Académica de la</w:t>
      </w:r>
      <w:r w:rsidR="00283B9C" w:rsidRPr="00BA72BB">
        <w:rPr>
          <w:rFonts w:asciiTheme="minorHAnsi" w:hAnsiTheme="minorHAnsi"/>
          <w:b/>
          <w:bCs/>
          <w:lang w:val="es-ES"/>
        </w:rPr>
        <w:t> </w:t>
      </w:r>
      <w:r w:rsidRPr="00BA72BB">
        <w:rPr>
          <w:rFonts w:asciiTheme="minorHAnsi" w:hAnsiTheme="minorHAnsi"/>
          <w:b/>
          <w:bCs/>
          <w:lang w:val="es-ES"/>
        </w:rPr>
        <w:t>UIT</w:t>
      </w:r>
      <w:r w:rsidRPr="00BA72BB">
        <w:rPr>
          <w:rFonts w:asciiTheme="minorHAnsi" w:hAnsiTheme="minorHAnsi"/>
          <w:lang w:val="es-ES"/>
        </w:rPr>
        <w:t xml:space="preserve"> </w:t>
      </w:r>
      <w:proofErr w:type="gramStart"/>
      <w:r w:rsidRPr="00BA72BB">
        <w:rPr>
          <w:rFonts w:asciiTheme="minorHAnsi" w:hAnsiTheme="minorHAnsi"/>
          <w:lang w:val="es-ES"/>
        </w:rPr>
        <w:t>tropieza</w:t>
      </w:r>
      <w:proofErr w:type="gramEnd"/>
      <w:r w:rsidRPr="00BA72BB">
        <w:rPr>
          <w:rFonts w:asciiTheme="minorHAnsi" w:hAnsiTheme="minorHAnsi"/>
          <w:lang w:val="es-ES"/>
        </w:rPr>
        <w:t xml:space="preserve"> con problemas, y previa solicitud oficial de su parte a la TSB, la Unión puede intervenir ante las autoridades suizas competentes para facilitar la expedición de ese visado, pero solamente durante el periodo mencionado de </w:t>
      </w:r>
      <w:r w:rsidRPr="00BA72BB">
        <w:rPr>
          <w:rFonts w:asciiTheme="minorHAnsi" w:hAnsiTheme="minorHAnsi"/>
          <w:b/>
          <w:bCs/>
          <w:lang w:val="es-ES"/>
        </w:rPr>
        <w:t>cuatro</w:t>
      </w:r>
      <w:r w:rsidRPr="00BA72BB">
        <w:rPr>
          <w:rFonts w:asciiTheme="minorHAnsi" w:hAnsiTheme="minorHAnsi"/>
          <w:lang w:val="es-ES"/>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evento en cuestión, y remitirse a la TSB con la indicación "</w:t>
      </w:r>
      <w:r w:rsidRPr="00BA72BB">
        <w:rPr>
          <w:rFonts w:asciiTheme="minorHAnsi" w:hAnsiTheme="minorHAnsi"/>
          <w:b/>
          <w:bCs/>
          <w:lang w:val="es-ES"/>
        </w:rPr>
        <w:t>solicitud de visado</w:t>
      </w:r>
      <w:r w:rsidRPr="00BA72BB">
        <w:rPr>
          <w:rFonts w:asciiTheme="minorHAnsi" w:hAnsiTheme="minorHAnsi"/>
          <w:lang w:val="es-ES"/>
        </w:rPr>
        <w:t>", por fax (+41</w:t>
      </w:r>
      <w:r w:rsidR="00283B9C" w:rsidRPr="00BA72BB">
        <w:rPr>
          <w:rFonts w:asciiTheme="minorHAnsi" w:hAnsiTheme="minorHAnsi"/>
          <w:lang w:val="es-ES"/>
        </w:rPr>
        <w:t> </w:t>
      </w:r>
      <w:r w:rsidRPr="00BA72BB">
        <w:rPr>
          <w:rFonts w:asciiTheme="minorHAnsi" w:hAnsiTheme="minorHAnsi"/>
          <w:lang w:val="es-ES"/>
        </w:rPr>
        <w:t>22</w:t>
      </w:r>
      <w:r w:rsidR="00283B9C" w:rsidRPr="00BA72BB">
        <w:rPr>
          <w:rFonts w:asciiTheme="minorHAnsi" w:hAnsiTheme="minorHAnsi"/>
          <w:lang w:val="es-ES"/>
        </w:rPr>
        <w:t> </w:t>
      </w:r>
      <w:r w:rsidRPr="00BA72BB">
        <w:rPr>
          <w:rFonts w:asciiTheme="minorHAnsi" w:hAnsiTheme="minorHAnsi"/>
          <w:lang w:val="es-ES"/>
        </w:rPr>
        <w:t>730 5853) o correo electrónico (</w:t>
      </w:r>
      <w:hyperlink r:id="rId17" w:history="1">
        <w:r w:rsidR="00283B9C" w:rsidRPr="00BA72BB">
          <w:rPr>
            <w:rStyle w:val="Hyperlink"/>
            <w:rFonts w:asciiTheme="minorHAnsi" w:hAnsiTheme="minorHAnsi"/>
            <w:lang w:val="es-ES"/>
          </w:rPr>
          <w:t>tsbreg@itu.int</w:t>
        </w:r>
      </w:hyperlink>
      <w:r w:rsidRPr="00BA72BB">
        <w:rPr>
          <w:rFonts w:asciiTheme="minorHAnsi" w:hAnsiTheme="minorHAnsi"/>
          <w:lang w:val="es-ES"/>
        </w:rPr>
        <w:t xml:space="preserve">). </w:t>
      </w:r>
      <w:r w:rsidRPr="00BA72BB">
        <w:rPr>
          <w:rFonts w:asciiTheme="minorHAnsi" w:hAnsiTheme="minorHAnsi"/>
          <w:b/>
          <w:bCs/>
          <w:u w:val="single"/>
          <w:lang w:val="es-ES"/>
        </w:rPr>
        <w:t>Sírvase tomar nota de que la UIT puede ayudar únicamente a los representantes de los Estados Miembros, Miembros de Sector, Asociados e Instituciones Académicas de la UIT</w:t>
      </w:r>
      <w:r w:rsidRPr="00BA72BB">
        <w:rPr>
          <w:rFonts w:asciiTheme="minorHAnsi" w:hAnsiTheme="minorHAnsi"/>
          <w:lang w:val="es-ES"/>
        </w:rPr>
        <w:t>.</w:t>
      </w:r>
    </w:p>
    <w:p w:rsidR="003D20DD" w:rsidRPr="00BA72BB" w:rsidRDefault="00122D3B" w:rsidP="00103C5E">
      <w:pPr>
        <w:rPr>
          <w:rFonts w:asciiTheme="minorHAnsi" w:eastAsiaTheme="minorEastAsia" w:hAnsiTheme="minorHAnsi"/>
          <w:szCs w:val="24"/>
          <w:lang w:val="es-ES"/>
        </w:rPr>
      </w:pPr>
      <w:r w:rsidRPr="00BA72BB">
        <w:rPr>
          <w:rFonts w:asciiTheme="minorHAnsi" w:hAnsiTheme="minorHAnsi"/>
          <w:lang w:val="es-ES"/>
        </w:rPr>
        <w:t>A</w:t>
      </w:r>
      <w:r w:rsidR="003D20DD" w:rsidRPr="00BA72BB">
        <w:rPr>
          <w:rFonts w:asciiTheme="minorHAnsi" w:hAnsiTheme="minorHAnsi"/>
          <w:lang w:val="es-ES"/>
        </w:rPr>
        <w:t>tentamente</w:t>
      </w:r>
      <w:r w:rsidR="00C361B2" w:rsidRPr="00BA72BB">
        <w:rPr>
          <w:rFonts w:asciiTheme="minorHAnsi" w:hAnsiTheme="minorHAnsi"/>
          <w:lang w:val="es-ES"/>
        </w:rPr>
        <w:t>.</w:t>
      </w:r>
    </w:p>
    <w:p w:rsidR="003D20DD" w:rsidRPr="00BA72BB" w:rsidRDefault="003D20DD" w:rsidP="00C361B2">
      <w:pPr>
        <w:spacing w:before="1080"/>
        <w:rPr>
          <w:rFonts w:asciiTheme="minorHAnsi" w:hAnsiTheme="minorHAnsi"/>
          <w:lang w:val="es-ES"/>
        </w:rPr>
      </w:pPr>
      <w:r w:rsidRPr="00BA72BB">
        <w:rPr>
          <w:rFonts w:asciiTheme="minorHAnsi" w:hAnsiTheme="minorHAnsi"/>
          <w:lang w:val="es-ES"/>
        </w:rPr>
        <w:t>Malcolm Johnson</w:t>
      </w:r>
      <w:r w:rsidRPr="00BA72BB">
        <w:rPr>
          <w:rFonts w:asciiTheme="minorHAnsi" w:eastAsiaTheme="minorEastAsia" w:hAnsiTheme="minorHAnsi"/>
          <w:szCs w:val="24"/>
          <w:lang w:val="es-ES"/>
        </w:rPr>
        <w:br/>
      </w:r>
      <w:r w:rsidRPr="00BA72BB">
        <w:rPr>
          <w:rFonts w:asciiTheme="minorHAnsi" w:hAnsiTheme="minorHAnsi"/>
          <w:lang w:val="es-ES"/>
        </w:rPr>
        <w:t xml:space="preserve">Director de la </w:t>
      </w:r>
      <w:r w:rsidR="002C6CF6" w:rsidRPr="00BA72BB">
        <w:rPr>
          <w:rFonts w:asciiTheme="minorHAnsi" w:hAnsiTheme="minorHAnsi"/>
          <w:lang w:val="es-ES"/>
        </w:rPr>
        <w:t xml:space="preserve">Oficina </w:t>
      </w:r>
      <w:r w:rsidRPr="00BA72BB">
        <w:rPr>
          <w:rFonts w:asciiTheme="minorHAnsi" w:hAnsiTheme="minorHAnsi"/>
          <w:lang w:val="es-ES"/>
        </w:rPr>
        <w:t xml:space="preserve">de </w:t>
      </w:r>
      <w:r w:rsidR="00D218C0" w:rsidRPr="00BA72BB">
        <w:rPr>
          <w:rFonts w:asciiTheme="minorHAnsi" w:hAnsiTheme="minorHAnsi"/>
          <w:lang w:val="es-ES"/>
        </w:rPr>
        <w:t>Normalizació</w:t>
      </w:r>
      <w:r w:rsidRPr="00BA72BB">
        <w:rPr>
          <w:rFonts w:asciiTheme="minorHAnsi" w:hAnsiTheme="minorHAnsi"/>
          <w:lang w:val="es-ES"/>
        </w:rPr>
        <w:t>n</w:t>
      </w:r>
      <w:r w:rsidR="002C6CF6" w:rsidRPr="00BA72BB">
        <w:rPr>
          <w:rFonts w:asciiTheme="minorHAnsi" w:hAnsiTheme="minorHAnsi"/>
          <w:lang w:val="es-ES"/>
        </w:rPr>
        <w:br/>
      </w:r>
      <w:r w:rsidRPr="00BA72BB">
        <w:rPr>
          <w:rFonts w:asciiTheme="minorHAnsi" w:hAnsiTheme="minorHAnsi"/>
          <w:lang w:val="es-ES"/>
        </w:rPr>
        <w:t xml:space="preserve">de las </w:t>
      </w:r>
      <w:r w:rsidR="002C6CF6" w:rsidRPr="00BA72BB">
        <w:rPr>
          <w:rFonts w:asciiTheme="minorHAnsi" w:hAnsiTheme="minorHAnsi"/>
          <w:lang w:val="es-ES"/>
        </w:rPr>
        <w:t>Telecomunicaciones</w:t>
      </w:r>
    </w:p>
    <w:p w:rsidR="0023211E" w:rsidRPr="00BA72BB" w:rsidRDefault="0023211E" w:rsidP="009C7106">
      <w:pPr>
        <w:spacing w:before="720"/>
        <w:rPr>
          <w:rFonts w:asciiTheme="minorHAnsi" w:hAnsiTheme="minorHAnsi"/>
          <w:lang w:val="en-US"/>
        </w:rPr>
      </w:pPr>
      <w:proofErr w:type="spellStart"/>
      <w:r w:rsidRPr="00BA72BB">
        <w:rPr>
          <w:rFonts w:asciiTheme="minorHAnsi" w:hAnsiTheme="minorHAnsi"/>
          <w:b/>
          <w:bCs/>
          <w:lang w:val="en-US"/>
        </w:rPr>
        <w:t>Anexo</w:t>
      </w:r>
      <w:proofErr w:type="spellEnd"/>
      <w:r w:rsidRPr="00BA72BB">
        <w:rPr>
          <w:rFonts w:asciiTheme="minorHAnsi" w:hAnsiTheme="minorHAnsi"/>
          <w:lang w:val="en-US"/>
        </w:rPr>
        <w:t>: 1</w:t>
      </w:r>
    </w:p>
    <w:p w:rsidR="009C7106" w:rsidRPr="00BA72BB" w:rsidRDefault="009C7106" w:rsidP="009C7106">
      <w:pPr>
        <w:rPr>
          <w:rFonts w:asciiTheme="minorHAnsi" w:eastAsiaTheme="minorEastAsia" w:hAnsiTheme="minorHAnsi"/>
          <w:lang w:val="en-US"/>
        </w:rPr>
      </w:pPr>
    </w:p>
    <w:p w:rsidR="009C7106" w:rsidRPr="00BA72BB" w:rsidRDefault="009C7106" w:rsidP="009C7106">
      <w:pPr>
        <w:rPr>
          <w:rFonts w:asciiTheme="minorHAnsi" w:eastAsiaTheme="minorEastAsia" w:hAnsiTheme="minorHAnsi"/>
          <w:lang w:val="en-US"/>
        </w:rPr>
        <w:sectPr w:rsidR="009C7106" w:rsidRPr="00BA72BB" w:rsidSect="00122D3B">
          <w:headerReference w:type="default" r:id="rId18"/>
          <w:footerReference w:type="default" r:id="rId19"/>
          <w:footerReference w:type="first" r:id="rId20"/>
          <w:pgSz w:w="11907" w:h="16840" w:code="9"/>
          <w:pgMar w:top="851" w:right="1134" w:bottom="851" w:left="1134" w:header="567" w:footer="567" w:gutter="0"/>
          <w:paperSrc w:first="15" w:other="15"/>
          <w:cols w:space="720"/>
          <w:titlePg/>
          <w:docGrid w:linePitch="326"/>
        </w:sectPr>
      </w:pPr>
    </w:p>
    <w:p w:rsidR="009C7106" w:rsidRPr="00BA72BB" w:rsidRDefault="009C7106" w:rsidP="009C7106">
      <w:pPr>
        <w:spacing w:before="0" w:line="240" w:lineRule="atLeast"/>
        <w:ind w:left="709" w:right="453"/>
        <w:jc w:val="center"/>
        <w:rPr>
          <w:rFonts w:asciiTheme="minorHAnsi" w:hAnsiTheme="minorHAnsi"/>
          <w:sz w:val="16"/>
          <w:lang w:val="en-US"/>
        </w:rPr>
      </w:pPr>
      <w:r w:rsidRPr="00BA72BB">
        <w:rPr>
          <w:rFonts w:asciiTheme="minorHAnsi" w:hAnsiTheme="minorHAnsi"/>
          <w:lang w:val="en-US"/>
        </w:rPr>
        <w:lastRenderedPageBreak/>
        <w:t>ANNEX 1</w:t>
      </w:r>
      <w:r w:rsidRPr="00BA72BB">
        <w:rPr>
          <w:rFonts w:asciiTheme="minorHAnsi" w:hAnsiTheme="minorHAnsi"/>
          <w:lang w:val="en-US"/>
        </w:rPr>
        <w:br/>
        <w:t>(to TSB Circular 135)</w:t>
      </w:r>
      <w:r w:rsidRPr="00BA72BB">
        <w:rPr>
          <w:rFonts w:asciiTheme="minorHAnsi" w:hAnsiTheme="minorHAnsi"/>
          <w:sz w:val="16"/>
          <w:lang w:val="en-US"/>
        </w:rPr>
        <w:t xml:space="preserve"> </w:t>
      </w:r>
    </w:p>
    <w:p w:rsidR="009C7106" w:rsidRPr="00BA72BB" w:rsidRDefault="009C7106" w:rsidP="009C7106">
      <w:pPr>
        <w:spacing w:before="0" w:line="240" w:lineRule="atLeast"/>
        <w:ind w:left="709" w:right="453"/>
        <w:jc w:val="center"/>
        <w:rPr>
          <w:rFonts w:asciiTheme="minorHAnsi" w:hAnsiTheme="minorHAnsi"/>
          <w:sz w:val="16"/>
          <w:lang w:val="en-US"/>
        </w:rPr>
      </w:pPr>
    </w:p>
    <w:p w:rsidR="009C7106" w:rsidRPr="00BA72BB" w:rsidRDefault="009C7106" w:rsidP="009C7106">
      <w:pPr>
        <w:spacing w:before="0" w:line="240" w:lineRule="atLeast"/>
        <w:ind w:left="709" w:right="453"/>
        <w:jc w:val="center"/>
        <w:rPr>
          <w:rFonts w:asciiTheme="minorHAnsi" w:hAnsiTheme="minorHAnsi"/>
          <w:sz w:val="16"/>
          <w:lang w:val="en-US"/>
        </w:rPr>
      </w:pPr>
    </w:p>
    <w:p w:rsidR="009C7106" w:rsidRPr="00BA72BB" w:rsidRDefault="009C7106" w:rsidP="009C7106">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9C7106" w:rsidRPr="00BA72BB" w:rsidTr="006E7F1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9C7106" w:rsidRPr="00BA72BB" w:rsidRDefault="009C7106" w:rsidP="006E7F1E">
            <w:pPr>
              <w:tabs>
                <w:tab w:val="left" w:pos="1440"/>
                <w:tab w:val="left" w:pos="8647"/>
              </w:tabs>
              <w:spacing w:before="0" w:line="288" w:lineRule="atLeast"/>
              <w:ind w:right="133"/>
              <w:jc w:val="center"/>
              <w:rPr>
                <w:rFonts w:asciiTheme="minorHAnsi" w:hAnsiTheme="minorHAnsi"/>
                <w:sz w:val="20"/>
                <w:lang w:val="en-US"/>
              </w:rPr>
            </w:pPr>
            <w:r w:rsidRPr="00BA72BB">
              <w:rPr>
                <w:rFonts w:asciiTheme="minorHAnsi" w:hAnsiTheme="minorHAnsi"/>
                <w:i/>
                <w:szCs w:val="24"/>
                <w:lang w:val="en-US"/>
              </w:rPr>
              <w:t xml:space="preserve">This confirmation form </w:t>
            </w:r>
            <w:r w:rsidRPr="00BA72BB">
              <w:rPr>
                <w:rFonts w:asciiTheme="minorHAnsi" w:hAnsiTheme="minorHAnsi"/>
                <w:bCs/>
                <w:i/>
                <w:szCs w:val="24"/>
                <w:lang w:val="en-US"/>
              </w:rPr>
              <w:t xml:space="preserve">should </w:t>
            </w:r>
            <w:r w:rsidRPr="00BA72BB">
              <w:rPr>
                <w:rFonts w:asciiTheme="minorHAnsi" w:hAnsiTheme="minorHAnsi"/>
                <w:b/>
                <w:i/>
                <w:szCs w:val="24"/>
                <w:lang w:val="en-US"/>
              </w:rPr>
              <w:t xml:space="preserve">be sent direct to the hotel </w:t>
            </w:r>
            <w:r w:rsidRPr="00BA72BB">
              <w:rPr>
                <w:rFonts w:asciiTheme="minorHAnsi" w:hAnsiTheme="minorHAnsi"/>
                <w:i/>
                <w:szCs w:val="24"/>
                <w:lang w:val="en-US"/>
              </w:rPr>
              <w:t>of your choice</w:t>
            </w:r>
          </w:p>
        </w:tc>
      </w:tr>
    </w:tbl>
    <w:p w:rsidR="009C7106" w:rsidRPr="00C67AB9" w:rsidRDefault="009C7106" w:rsidP="009C710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9C7106" w:rsidTr="006E7F1E">
        <w:trPr>
          <w:cantSplit/>
          <w:jc w:val="center"/>
        </w:trPr>
        <w:tc>
          <w:tcPr>
            <w:tcW w:w="1291" w:type="dxa"/>
            <w:vAlign w:val="center"/>
          </w:tcPr>
          <w:p w:rsidR="009C7106" w:rsidRDefault="009C7106" w:rsidP="006E7F1E">
            <w:pPr>
              <w:tabs>
                <w:tab w:val="center" w:pos="9639"/>
              </w:tabs>
              <w:spacing w:before="57" w:line="240" w:lineRule="atLeast"/>
              <w:ind w:right="-176"/>
              <w:jc w:val="center"/>
              <w:rPr>
                <w:sz w:val="28"/>
              </w:rPr>
            </w:pPr>
            <w:r>
              <w:rPr>
                <w:noProof/>
                <w:sz w:val="28"/>
                <w:lang w:val="en-US" w:eastAsia="zh-CN"/>
              </w:rPr>
              <w:drawing>
                <wp:inline distT="0" distB="0" distL="0" distR="0" wp14:anchorId="61CFBAB9" wp14:editId="793B2A9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9C7106" w:rsidRPr="00BA72BB" w:rsidRDefault="009C7106" w:rsidP="006E7F1E">
            <w:pPr>
              <w:tabs>
                <w:tab w:val="center" w:pos="9639"/>
              </w:tabs>
              <w:spacing w:line="240" w:lineRule="atLeast"/>
              <w:ind w:right="-40"/>
              <w:jc w:val="center"/>
              <w:rPr>
                <w:rFonts w:asciiTheme="minorHAnsi" w:hAnsiTheme="minorHAnsi"/>
                <w:b/>
                <w:bCs/>
                <w:sz w:val="28"/>
                <w:szCs w:val="28"/>
              </w:rPr>
            </w:pPr>
            <w:r w:rsidRPr="00BA72BB">
              <w:rPr>
                <w:rFonts w:asciiTheme="minorHAnsi" w:hAnsiTheme="minorHAnsi"/>
                <w:b/>
                <w:bCs/>
                <w:sz w:val="28"/>
                <w:szCs w:val="28"/>
              </w:rPr>
              <w:t>INTERNATIONAL TELECOMMUNICATION UNION</w:t>
            </w:r>
          </w:p>
        </w:tc>
        <w:tc>
          <w:tcPr>
            <w:tcW w:w="1400" w:type="dxa"/>
            <w:vAlign w:val="center"/>
          </w:tcPr>
          <w:p w:rsidR="009C7106" w:rsidRDefault="009C7106" w:rsidP="006E7F1E">
            <w:pPr>
              <w:tabs>
                <w:tab w:val="center" w:pos="9639"/>
              </w:tabs>
              <w:spacing w:before="57" w:line="240" w:lineRule="atLeast"/>
              <w:ind w:left="-142" w:right="-74"/>
              <w:jc w:val="center"/>
              <w:rPr>
                <w:sz w:val="28"/>
              </w:rPr>
            </w:pPr>
            <w:r>
              <w:rPr>
                <w:noProof/>
                <w:sz w:val="28"/>
                <w:lang w:val="en-US" w:eastAsia="zh-CN"/>
              </w:rPr>
              <w:drawing>
                <wp:inline distT="0" distB="0" distL="0" distR="0" wp14:anchorId="6DDDC575" wp14:editId="6FED1B3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C7106" w:rsidRPr="00BA72BB" w:rsidRDefault="009C7106" w:rsidP="009C7106">
      <w:pPr>
        <w:tabs>
          <w:tab w:val="center" w:pos="4678"/>
        </w:tabs>
        <w:spacing w:before="240" w:after="240" w:line="240" w:lineRule="atLeast"/>
        <w:ind w:left="284" w:right="-142"/>
        <w:jc w:val="center"/>
        <w:rPr>
          <w:rFonts w:asciiTheme="minorHAnsi" w:hAnsiTheme="minorHAnsi"/>
          <w:b/>
          <w:bCs/>
          <w:szCs w:val="24"/>
          <w:lang w:val="en-US"/>
        </w:rPr>
      </w:pPr>
      <w:r w:rsidRPr="00BA72BB">
        <w:rPr>
          <w:rFonts w:asciiTheme="minorHAnsi" w:hAnsiTheme="minorHAnsi"/>
          <w:b/>
          <w:bCs/>
          <w:szCs w:val="24"/>
          <w:lang w:val="en-US"/>
        </w:rPr>
        <w:t>TELECOMMUNICATION STANDARDIZATION SECTOR</w:t>
      </w:r>
    </w:p>
    <w:p w:rsidR="009C7106" w:rsidRPr="00BA72BB" w:rsidRDefault="009C7106" w:rsidP="009C7106">
      <w:pPr>
        <w:tabs>
          <w:tab w:val="center" w:pos="4678"/>
        </w:tabs>
        <w:spacing w:before="0" w:after="240" w:line="240" w:lineRule="atLeast"/>
        <w:ind w:right="-142"/>
        <w:jc w:val="center"/>
        <w:rPr>
          <w:rStyle w:val="LineNumber"/>
          <w:rFonts w:asciiTheme="minorHAnsi" w:hAnsiTheme="minorHAnsi"/>
          <w:b/>
          <w:bCs/>
          <w:lang w:val="en-US"/>
        </w:rPr>
      </w:pPr>
      <w:r w:rsidRPr="00BA72BB">
        <w:rPr>
          <w:rFonts w:asciiTheme="minorHAnsi" w:hAnsiTheme="minorHAnsi"/>
          <w:b/>
          <w:bCs/>
          <w:lang w:val="en-US"/>
        </w:rPr>
        <w:t>E-health testing and showcasing event</w:t>
      </w:r>
      <w:r w:rsidRPr="00BA72BB" w:rsidDel="00345AE9">
        <w:rPr>
          <w:rStyle w:val="LineNumber"/>
          <w:rFonts w:asciiTheme="minorHAnsi" w:hAnsiTheme="minorHAnsi"/>
          <w:b/>
          <w:bCs/>
          <w:lang w:val="en-US"/>
        </w:rPr>
        <w:t xml:space="preserve"> </w:t>
      </w:r>
      <w:r w:rsidRPr="00BA72BB">
        <w:rPr>
          <w:rStyle w:val="LineNumber"/>
          <w:rFonts w:asciiTheme="minorHAnsi" w:hAnsiTheme="minorHAnsi"/>
          <w:b/>
          <w:bCs/>
          <w:lang w:val="en-US"/>
        </w:rPr>
        <w:t>from 10 to 12 February 2015 in Geneva</w:t>
      </w:r>
    </w:p>
    <w:p w:rsidR="009C7106" w:rsidRPr="00BA72BB" w:rsidRDefault="009C7106" w:rsidP="009C7106">
      <w:pPr>
        <w:jc w:val="both"/>
        <w:rPr>
          <w:rStyle w:val="LineNumber"/>
          <w:rFonts w:asciiTheme="minorHAnsi" w:hAnsiTheme="minorHAnsi"/>
          <w:lang w:val="en-US"/>
        </w:rPr>
      </w:pPr>
      <w:r w:rsidRPr="00BA72BB">
        <w:rPr>
          <w:rStyle w:val="LineNumber"/>
          <w:rFonts w:asciiTheme="minorHAnsi" w:hAnsiTheme="minorHAnsi"/>
          <w:lang w:val="en-US"/>
        </w:rPr>
        <w:t>Confirmation of the reservation made on (date) ____________ with (hotel) ___________________</w:t>
      </w:r>
    </w:p>
    <w:p w:rsidR="009C7106" w:rsidRPr="00BA72BB" w:rsidRDefault="009C7106" w:rsidP="009C7106">
      <w:pPr>
        <w:spacing w:before="360" w:after="240"/>
        <w:jc w:val="both"/>
        <w:rPr>
          <w:rStyle w:val="LineNumber"/>
          <w:rFonts w:asciiTheme="minorHAnsi" w:hAnsiTheme="minorHAnsi"/>
          <w:b/>
          <w:bCs/>
          <w:u w:val="single"/>
          <w:lang w:val="en-US"/>
        </w:rPr>
      </w:pPr>
      <w:r w:rsidRPr="00BA72BB">
        <w:rPr>
          <w:rStyle w:val="LineNumber"/>
          <w:rFonts w:asciiTheme="minorHAnsi" w:hAnsiTheme="minorHAnsi"/>
          <w:b/>
          <w:bCs/>
          <w:u w:val="single"/>
          <w:lang w:val="en-US"/>
        </w:rPr>
        <w:t>at the ITU preferential tariff</w:t>
      </w:r>
    </w:p>
    <w:p w:rsidR="009C7106" w:rsidRPr="00BA72BB" w:rsidRDefault="009C7106" w:rsidP="009C7106">
      <w:pPr>
        <w:spacing w:before="360" w:after="240"/>
        <w:jc w:val="both"/>
        <w:rPr>
          <w:rStyle w:val="LineNumber"/>
          <w:rFonts w:asciiTheme="minorHAnsi" w:hAnsiTheme="minorHAnsi"/>
          <w:lang w:val="en-US"/>
        </w:rPr>
      </w:pPr>
      <w:r w:rsidRPr="00BA72BB">
        <w:rPr>
          <w:rStyle w:val="LineNumber"/>
          <w:rFonts w:asciiTheme="minorHAnsi" w:hAnsiTheme="minorHAnsi"/>
          <w:lang w:val="en-US"/>
        </w:rPr>
        <w:t>____________ single/double room(s)</w:t>
      </w:r>
    </w:p>
    <w:p w:rsidR="009C7106" w:rsidRPr="00BA72BB" w:rsidRDefault="009C7106" w:rsidP="009C7106">
      <w:pPr>
        <w:jc w:val="both"/>
        <w:rPr>
          <w:rStyle w:val="LineNumber"/>
          <w:rFonts w:asciiTheme="minorHAnsi" w:hAnsiTheme="minorHAnsi"/>
          <w:lang w:val="en-US"/>
        </w:rPr>
      </w:pPr>
      <w:r w:rsidRPr="00BA72BB">
        <w:rPr>
          <w:rStyle w:val="LineNumber"/>
          <w:rFonts w:asciiTheme="minorHAnsi" w:hAnsiTheme="minorHAnsi"/>
          <w:lang w:val="en-US"/>
        </w:rPr>
        <w:t>arriving on (date) ____________ at (time) ____________ departing on (date) ____________</w:t>
      </w:r>
    </w:p>
    <w:p w:rsidR="009C7106" w:rsidRPr="00BA72BB" w:rsidRDefault="009C7106" w:rsidP="009C7106">
      <w:pPr>
        <w:spacing w:before="360"/>
        <w:jc w:val="both"/>
        <w:rPr>
          <w:rStyle w:val="LineNumber"/>
          <w:rFonts w:asciiTheme="minorHAnsi" w:eastAsia="SimSun" w:hAnsiTheme="minorHAnsi"/>
          <w:lang w:val="en-US"/>
        </w:rPr>
      </w:pPr>
      <w:r w:rsidRPr="00BA72BB">
        <w:rPr>
          <w:rStyle w:val="LineNumber"/>
          <w:rFonts w:asciiTheme="minorHAnsi" w:eastAsia="SimSun" w:hAnsiTheme="minorHAnsi"/>
          <w:b/>
          <w:bCs/>
          <w:lang w:val="en-US"/>
        </w:rPr>
        <w:t>GENEVA TRANSPORT CARD</w:t>
      </w:r>
      <w:r w:rsidRPr="00BA72BB">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A72BB">
        <w:rPr>
          <w:rStyle w:val="LineNumber"/>
          <w:rFonts w:asciiTheme="minorHAnsi" w:eastAsia="SimSun" w:hAnsiTheme="minorHAnsi"/>
          <w:lang w:val="en-US"/>
        </w:rPr>
        <w:t>Versoix</w:t>
      </w:r>
      <w:proofErr w:type="spellEnd"/>
      <w:r w:rsidRPr="00BA72BB">
        <w:rPr>
          <w:rStyle w:val="LineNumber"/>
          <w:rFonts w:asciiTheme="minorHAnsi" w:eastAsia="SimSun" w:hAnsiTheme="minorHAnsi"/>
          <w:lang w:val="en-US"/>
        </w:rPr>
        <w:t xml:space="preserve"> and the airport. </w:t>
      </w:r>
    </w:p>
    <w:p w:rsidR="009C7106" w:rsidRPr="00BA72BB" w:rsidRDefault="009C7106" w:rsidP="009C7106">
      <w:pPr>
        <w:spacing w:before="360"/>
        <w:jc w:val="both"/>
        <w:rPr>
          <w:rStyle w:val="LineNumber"/>
          <w:rFonts w:asciiTheme="minorHAnsi" w:hAnsiTheme="minorHAnsi"/>
          <w:lang w:val="en-US"/>
        </w:rPr>
      </w:pPr>
      <w:r w:rsidRPr="00BA72BB">
        <w:rPr>
          <w:rStyle w:val="LineNumber"/>
          <w:rFonts w:asciiTheme="minorHAnsi" w:hAnsiTheme="minorHAnsi"/>
          <w:lang w:val="en-US"/>
        </w:rPr>
        <w:t>Family name:</w:t>
      </w:r>
      <w:r w:rsidRPr="00BA72BB">
        <w:rPr>
          <w:rStyle w:val="LineNumber"/>
          <w:rFonts w:asciiTheme="minorHAnsi" w:hAnsiTheme="minorHAnsi"/>
          <w:lang w:val="en-US"/>
        </w:rPr>
        <w:tab/>
        <w:t>_________________________________</w:t>
      </w:r>
    </w:p>
    <w:p w:rsidR="009C7106" w:rsidRPr="00BA72BB" w:rsidRDefault="009C7106" w:rsidP="009C7106">
      <w:pPr>
        <w:spacing w:after="240"/>
        <w:jc w:val="both"/>
        <w:rPr>
          <w:rStyle w:val="LineNumber"/>
          <w:rFonts w:asciiTheme="minorHAnsi" w:hAnsiTheme="minorHAnsi"/>
          <w:lang w:val="en-US"/>
        </w:rPr>
      </w:pPr>
      <w:r w:rsidRPr="00BA72BB">
        <w:rPr>
          <w:rStyle w:val="LineNumber"/>
          <w:rFonts w:asciiTheme="minorHAnsi" w:hAnsiTheme="minorHAnsi"/>
          <w:lang w:val="en-US"/>
        </w:rPr>
        <w:t>First name:</w:t>
      </w:r>
      <w:r w:rsidRPr="00BA72BB">
        <w:rPr>
          <w:rStyle w:val="LineNumber"/>
          <w:rFonts w:asciiTheme="minorHAnsi" w:hAnsiTheme="minorHAnsi"/>
          <w:lang w:val="en-US"/>
        </w:rPr>
        <w:tab/>
      </w:r>
      <w:r w:rsidRPr="00BA72BB">
        <w:rPr>
          <w:rStyle w:val="LineNumber"/>
          <w:rFonts w:asciiTheme="minorHAnsi" w:hAnsiTheme="minorHAnsi"/>
          <w:lang w:val="en-US"/>
        </w:rPr>
        <w:tab/>
        <w:t>_________________________________</w:t>
      </w:r>
    </w:p>
    <w:p w:rsidR="009C7106" w:rsidRPr="00BA72BB" w:rsidRDefault="009C7106" w:rsidP="009C7106">
      <w:pPr>
        <w:jc w:val="both"/>
        <w:rPr>
          <w:rStyle w:val="LineNumber"/>
          <w:rFonts w:asciiTheme="minorHAnsi" w:hAnsiTheme="minorHAnsi"/>
          <w:lang w:val="en-US"/>
        </w:rPr>
      </w:pPr>
      <w:r w:rsidRPr="00BA72BB">
        <w:rPr>
          <w:rStyle w:val="LineNumber"/>
          <w:rFonts w:asciiTheme="minorHAnsi" w:hAnsiTheme="minorHAnsi"/>
          <w:lang w:val="en-US"/>
        </w:rPr>
        <w:t>Address:</w:t>
      </w:r>
      <w:r w:rsidRPr="00BA72BB">
        <w:rPr>
          <w:rStyle w:val="LineNumber"/>
          <w:rFonts w:asciiTheme="minorHAnsi" w:hAnsiTheme="minorHAnsi"/>
          <w:lang w:val="en-US"/>
        </w:rPr>
        <w:tab/>
        <w:t>________________________________</w:t>
      </w:r>
      <w:r w:rsidRPr="00BA72BB">
        <w:rPr>
          <w:rStyle w:val="LineNumber"/>
          <w:rFonts w:asciiTheme="minorHAnsi" w:hAnsiTheme="minorHAnsi"/>
          <w:lang w:val="en-US"/>
        </w:rPr>
        <w:tab/>
        <w:t>Tel:</w:t>
      </w:r>
      <w:r w:rsidRPr="00BA72BB">
        <w:rPr>
          <w:rStyle w:val="LineNumber"/>
          <w:rFonts w:asciiTheme="minorHAnsi" w:hAnsiTheme="minorHAnsi"/>
          <w:lang w:val="en-US"/>
        </w:rPr>
        <w:tab/>
        <w:t>________________________________</w:t>
      </w:r>
    </w:p>
    <w:p w:rsidR="009C7106" w:rsidRPr="00BA72BB" w:rsidRDefault="009C7106" w:rsidP="009C7106">
      <w:pPr>
        <w:jc w:val="both"/>
        <w:rPr>
          <w:rStyle w:val="LineNumber"/>
          <w:rFonts w:asciiTheme="minorHAnsi" w:hAnsiTheme="minorHAnsi"/>
          <w:lang w:val="en-US"/>
        </w:rPr>
      </w:pPr>
      <w:r w:rsidRPr="00BA72BB">
        <w:rPr>
          <w:rStyle w:val="LineNumber"/>
          <w:rFonts w:asciiTheme="minorHAnsi" w:hAnsiTheme="minorHAnsi"/>
          <w:lang w:val="en-US"/>
        </w:rPr>
        <w:t>_________________________________________</w:t>
      </w:r>
      <w:r w:rsidRPr="00BA72BB">
        <w:rPr>
          <w:rStyle w:val="LineNumber"/>
          <w:rFonts w:asciiTheme="minorHAnsi" w:hAnsiTheme="minorHAnsi"/>
          <w:lang w:val="en-US"/>
        </w:rPr>
        <w:tab/>
        <w:t>Fax:</w:t>
      </w:r>
      <w:r w:rsidRPr="00BA72BB">
        <w:rPr>
          <w:rStyle w:val="LineNumber"/>
          <w:rFonts w:asciiTheme="minorHAnsi" w:hAnsiTheme="minorHAnsi"/>
          <w:lang w:val="en-US"/>
        </w:rPr>
        <w:tab/>
        <w:t>________________________________</w:t>
      </w:r>
    </w:p>
    <w:p w:rsidR="009C7106" w:rsidRPr="00BA72BB" w:rsidRDefault="009C7106" w:rsidP="009C7106">
      <w:pPr>
        <w:jc w:val="both"/>
        <w:rPr>
          <w:rStyle w:val="LineNumber"/>
          <w:rFonts w:asciiTheme="minorHAnsi" w:hAnsiTheme="minorHAnsi"/>
          <w:lang w:val="en-US"/>
        </w:rPr>
      </w:pPr>
      <w:r w:rsidRPr="00BA72BB">
        <w:rPr>
          <w:rStyle w:val="LineNumber"/>
          <w:rFonts w:asciiTheme="minorHAnsi" w:hAnsiTheme="minorHAnsi"/>
          <w:lang w:val="en-US"/>
        </w:rPr>
        <w:t>_________________________________________</w:t>
      </w:r>
      <w:r w:rsidRPr="00BA72BB">
        <w:rPr>
          <w:rStyle w:val="LineNumber"/>
          <w:rFonts w:asciiTheme="minorHAnsi" w:hAnsiTheme="minorHAnsi"/>
          <w:lang w:val="en-US"/>
        </w:rPr>
        <w:tab/>
        <w:t>E-mail: _______________________________</w:t>
      </w:r>
    </w:p>
    <w:p w:rsidR="009C7106" w:rsidRPr="00BA72BB" w:rsidRDefault="009C7106" w:rsidP="009C7106">
      <w:pPr>
        <w:spacing w:before="480" w:after="240"/>
        <w:jc w:val="both"/>
        <w:rPr>
          <w:rStyle w:val="LineNumber"/>
          <w:rFonts w:asciiTheme="minorHAnsi" w:hAnsiTheme="minorHAnsi"/>
          <w:lang w:val="en-US"/>
        </w:rPr>
      </w:pPr>
      <w:r w:rsidRPr="00BA72BB">
        <w:rPr>
          <w:rStyle w:val="LineNumber"/>
          <w:rFonts w:asciiTheme="minorHAnsi" w:hAnsiTheme="minorHAnsi"/>
          <w:lang w:val="en-US"/>
        </w:rPr>
        <w:t>Credit card to guarantee this reservation: AX/VISA/DINERS/EC  (or other) _____________________</w:t>
      </w:r>
    </w:p>
    <w:p w:rsidR="009C7106" w:rsidRPr="00BA72BB" w:rsidRDefault="009C7106" w:rsidP="009C7106">
      <w:pPr>
        <w:spacing w:after="120"/>
        <w:jc w:val="both"/>
        <w:rPr>
          <w:rStyle w:val="LineNumber"/>
          <w:rFonts w:asciiTheme="minorHAnsi" w:hAnsiTheme="minorHAnsi"/>
          <w:lang w:val="en-US"/>
        </w:rPr>
      </w:pPr>
      <w:r w:rsidRPr="00BA72BB">
        <w:rPr>
          <w:rStyle w:val="LineNumber"/>
          <w:rFonts w:asciiTheme="minorHAnsi" w:hAnsiTheme="minorHAnsi"/>
          <w:lang w:val="en-US"/>
        </w:rPr>
        <w:t>No.: _____________________________________</w:t>
      </w:r>
      <w:r w:rsidRPr="00BA72BB">
        <w:rPr>
          <w:rStyle w:val="LineNumber"/>
          <w:rFonts w:asciiTheme="minorHAnsi" w:hAnsiTheme="minorHAnsi"/>
          <w:lang w:val="en-US"/>
        </w:rPr>
        <w:tab/>
        <w:t xml:space="preserve"> valid until:_____________________________</w:t>
      </w:r>
    </w:p>
    <w:p w:rsidR="009C7106" w:rsidRPr="00BA72BB" w:rsidRDefault="009C7106" w:rsidP="009C7106">
      <w:pPr>
        <w:spacing w:before="360"/>
        <w:jc w:val="both"/>
        <w:rPr>
          <w:rStyle w:val="LineNumber"/>
          <w:rFonts w:asciiTheme="minorHAnsi" w:hAnsiTheme="minorHAnsi"/>
          <w:lang w:val="en-US"/>
        </w:rPr>
      </w:pPr>
      <w:r w:rsidRPr="00BA72BB">
        <w:rPr>
          <w:rStyle w:val="LineNumber"/>
          <w:rFonts w:asciiTheme="minorHAnsi" w:hAnsiTheme="minorHAnsi"/>
          <w:lang w:val="en-US"/>
        </w:rPr>
        <w:t>Date: ____________________________________</w:t>
      </w:r>
      <w:r w:rsidRPr="00BA72BB">
        <w:rPr>
          <w:rStyle w:val="LineNumber"/>
          <w:rFonts w:asciiTheme="minorHAnsi" w:hAnsiTheme="minorHAnsi"/>
          <w:lang w:val="en-US"/>
        </w:rPr>
        <w:tab/>
        <w:t>Signature:</w:t>
      </w:r>
    </w:p>
    <w:p w:rsidR="009C7106" w:rsidRPr="00BA72BB" w:rsidRDefault="009C7106" w:rsidP="009C7106">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Theme="minorHAnsi" w:hAnsiTheme="minorHAnsi"/>
          <w:lang w:val="en-US"/>
        </w:rPr>
      </w:pPr>
    </w:p>
    <w:p w:rsidR="009C7106" w:rsidRDefault="009C7106" w:rsidP="009C7106">
      <w:pPr>
        <w:rPr>
          <w:rFonts w:asciiTheme="minorHAnsi" w:eastAsiaTheme="minorEastAsia" w:hAnsiTheme="minorHAnsi"/>
          <w:lang w:val="en-US"/>
        </w:rPr>
      </w:pPr>
    </w:p>
    <w:p w:rsidR="00BA72BB" w:rsidRPr="00BA72BB" w:rsidRDefault="00BA72BB" w:rsidP="00BA72BB">
      <w:pPr>
        <w:jc w:val="center"/>
        <w:rPr>
          <w:rFonts w:asciiTheme="minorHAnsi" w:eastAsiaTheme="minorEastAsia" w:hAnsiTheme="minorHAnsi"/>
          <w:lang w:val="en-US"/>
        </w:rPr>
      </w:pPr>
      <w:r>
        <w:rPr>
          <w:rFonts w:asciiTheme="minorHAnsi" w:eastAsiaTheme="minorEastAsia" w:hAnsiTheme="minorHAnsi"/>
          <w:lang w:val="en-US"/>
        </w:rPr>
        <w:t>_____________</w:t>
      </w:r>
      <w:bookmarkStart w:id="4" w:name="_GoBack"/>
      <w:bookmarkEnd w:id="4"/>
      <w:r>
        <w:rPr>
          <w:rFonts w:asciiTheme="minorHAnsi" w:eastAsiaTheme="minorEastAsia" w:hAnsiTheme="minorHAnsi"/>
          <w:lang w:val="en-US"/>
        </w:rPr>
        <w:t>___</w:t>
      </w:r>
    </w:p>
    <w:sectPr w:rsidR="00BA72BB" w:rsidRPr="00BA72BB" w:rsidSect="00742D4C">
      <w:headerReference w:type="firs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73" w:rsidRDefault="002E2773">
      <w:r>
        <w:separator/>
      </w:r>
    </w:p>
  </w:endnote>
  <w:endnote w:type="continuationSeparator" w:id="0">
    <w:p w:rsidR="002E2773" w:rsidRDefault="002E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A26E68" w:rsidRDefault="00BA72BB" w:rsidP="009C7106">
    <w:pPr>
      <w:pStyle w:val="Footer"/>
      <w:rPr>
        <w:rFonts w:asciiTheme="minorHAnsi" w:hAnsiTheme="minorHAnsi"/>
        <w:szCs w:val="18"/>
        <w:lang w:val="fr-CH"/>
      </w:rPr>
    </w:pPr>
    <w:r w:rsidRPr="00A26E68">
      <w:rPr>
        <w:rFonts w:asciiTheme="minorHAnsi" w:hAnsiTheme="minorHAnsi"/>
        <w:szCs w:val="18"/>
        <w:lang w:val="fr-CH"/>
      </w:rPr>
      <w:t>ITU-T\BUREAU\CIRC\100\135S.DOC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A26E68" w:rsidRDefault="009C7106" w:rsidP="009C7106">
    <w:pPr>
      <w:pStyle w:val="FirstFooter"/>
      <w:ind w:left="-397" w:right="-397"/>
      <w:jc w:val="center"/>
      <w:rPr>
        <w:rFonts w:asciiTheme="minorHAnsi" w:hAnsiTheme="minorHAnsi"/>
        <w:szCs w:val="18"/>
      </w:rPr>
    </w:pPr>
    <w:r w:rsidRPr="00A26E68">
      <w:rPr>
        <w:rFonts w:asciiTheme="minorHAnsi" w:hAnsiTheme="minorHAnsi"/>
        <w:szCs w:val="18"/>
      </w:rPr>
      <w:t xml:space="preserve">Unión Internacional de Telecomunicaciones • Place des </w:t>
    </w:r>
    <w:proofErr w:type="spellStart"/>
    <w:r w:rsidRPr="00A26E68">
      <w:rPr>
        <w:rFonts w:asciiTheme="minorHAnsi" w:hAnsiTheme="minorHAnsi"/>
        <w:szCs w:val="18"/>
      </w:rPr>
      <w:t>Nations</w:t>
    </w:r>
    <w:proofErr w:type="spellEnd"/>
    <w:r w:rsidRPr="00A26E68">
      <w:rPr>
        <w:rFonts w:asciiTheme="minorHAnsi" w:hAnsiTheme="minorHAnsi"/>
        <w:szCs w:val="18"/>
      </w:rPr>
      <w:t xml:space="preserve"> • CH</w:t>
    </w:r>
    <w:r w:rsidRPr="00A26E68">
      <w:rPr>
        <w:rFonts w:asciiTheme="minorHAnsi" w:hAnsiTheme="minorHAnsi"/>
        <w:szCs w:val="18"/>
      </w:rPr>
      <w:noBreakHyphen/>
      <w:t xml:space="preserve">1211 Ginebra 20 • Suiza </w:t>
    </w:r>
    <w:r w:rsidRPr="00A26E68">
      <w:rPr>
        <w:rFonts w:asciiTheme="minorHAnsi" w:hAnsiTheme="minorHAnsi"/>
        <w:szCs w:val="18"/>
      </w:rPr>
      <w:br/>
      <w:t xml:space="preserve">Tel.: +41 22 730 5111 • Fax: +41 22 733 7256 • Correo-e: </w:t>
    </w:r>
    <w:hyperlink r:id="rId1" w:history="1">
      <w:r w:rsidRPr="00A26E68">
        <w:rPr>
          <w:rStyle w:val="Hyperlink"/>
          <w:rFonts w:asciiTheme="minorHAnsi" w:hAnsiTheme="minorHAnsi"/>
          <w:szCs w:val="18"/>
        </w:rPr>
        <w:t>itumail@itu.int</w:t>
      </w:r>
    </w:hyperlink>
    <w:r w:rsidRPr="00A26E68">
      <w:rPr>
        <w:rFonts w:asciiTheme="minorHAnsi" w:hAnsiTheme="minorHAnsi"/>
        <w:szCs w:val="18"/>
      </w:rPr>
      <w:t xml:space="preserve"> • </w:t>
    </w:r>
    <w:hyperlink r:id="rId2" w:history="1">
      <w:r w:rsidRPr="00A26E68">
        <w:rPr>
          <w:rStyle w:val="Hyperlink"/>
          <w:rFonts w:asciiTheme="minorHAnsi" w:hAnsiTheme="minorHAnsi"/>
          <w:szCs w:val="18"/>
        </w:rPr>
        <w:t>www.itu.int</w:t>
      </w:r>
    </w:hyperlink>
    <w:r w:rsidRPr="00A26E68">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A26E68" w:rsidRDefault="00BA72BB" w:rsidP="00BA72BB">
    <w:pPr>
      <w:pStyle w:val="Footer"/>
      <w:rPr>
        <w:rFonts w:asciiTheme="minorHAnsi" w:hAnsiTheme="minorHAnsi"/>
        <w:szCs w:val="18"/>
        <w:lang w:val="fr-CH"/>
      </w:rPr>
    </w:pPr>
    <w:r w:rsidRPr="00A26E68">
      <w:rPr>
        <w:rFonts w:asciiTheme="minorHAnsi" w:hAnsiTheme="minorHAnsi"/>
        <w:szCs w:val="18"/>
        <w:lang w:val="fr-CH"/>
      </w:rPr>
      <w:t>ITU-T\BUREAU\CIRC\100\135S.DOC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73" w:rsidRDefault="002E2773">
      <w:r>
        <w:t>____________________</w:t>
      </w:r>
    </w:p>
  </w:footnote>
  <w:footnote w:type="continuationSeparator" w:id="0">
    <w:p w:rsidR="002E2773" w:rsidRDefault="002E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A26E68" w:rsidRDefault="009C7106" w:rsidP="009C7106">
    <w:pPr>
      <w:pStyle w:val="Header"/>
      <w:spacing w:after="120"/>
      <w:rPr>
        <w:rFonts w:asciiTheme="minorHAnsi" w:hAnsiTheme="minorHAnsi"/>
        <w:sz w:val="18"/>
        <w:szCs w:val="18"/>
      </w:rPr>
    </w:pPr>
    <w:r w:rsidRPr="00A26E68">
      <w:rPr>
        <w:rFonts w:asciiTheme="minorHAnsi" w:hAnsiTheme="minorHAnsi"/>
        <w:sz w:val="18"/>
        <w:szCs w:val="18"/>
        <w:lang w:val="en-US"/>
      </w:rPr>
      <w:t xml:space="preserve">- </w:t>
    </w:r>
    <w:r w:rsidRPr="00A26E68">
      <w:rPr>
        <w:rStyle w:val="PageNumber"/>
        <w:rFonts w:asciiTheme="minorHAnsi" w:hAnsiTheme="minorHAnsi"/>
        <w:sz w:val="18"/>
        <w:szCs w:val="18"/>
      </w:rPr>
      <w:fldChar w:fldCharType="begin"/>
    </w:r>
    <w:r w:rsidRPr="00A26E68">
      <w:rPr>
        <w:rStyle w:val="PageNumber"/>
        <w:rFonts w:asciiTheme="minorHAnsi" w:hAnsiTheme="minorHAnsi"/>
        <w:sz w:val="18"/>
        <w:szCs w:val="18"/>
      </w:rPr>
      <w:instrText xml:space="preserve"> PAGE </w:instrText>
    </w:r>
    <w:r w:rsidRPr="00A26E68">
      <w:rPr>
        <w:rStyle w:val="PageNumber"/>
        <w:rFonts w:asciiTheme="minorHAnsi" w:hAnsiTheme="minorHAnsi"/>
        <w:sz w:val="18"/>
        <w:szCs w:val="18"/>
      </w:rPr>
      <w:fldChar w:fldCharType="separate"/>
    </w:r>
    <w:r w:rsidR="00A26E68">
      <w:rPr>
        <w:rStyle w:val="PageNumber"/>
        <w:rFonts w:asciiTheme="minorHAnsi" w:hAnsiTheme="minorHAnsi"/>
        <w:noProof/>
        <w:sz w:val="18"/>
        <w:szCs w:val="18"/>
      </w:rPr>
      <w:t>2</w:t>
    </w:r>
    <w:r w:rsidRPr="00A26E68">
      <w:rPr>
        <w:rStyle w:val="PageNumber"/>
        <w:rFonts w:asciiTheme="minorHAnsi" w:hAnsiTheme="minorHAnsi"/>
        <w:sz w:val="18"/>
        <w:szCs w:val="18"/>
      </w:rPr>
      <w:fldChar w:fldCharType="end"/>
    </w:r>
    <w:r w:rsidRPr="00A26E68">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A26E68" w:rsidRDefault="009C7106" w:rsidP="009C7106">
    <w:pPr>
      <w:pStyle w:val="Header"/>
      <w:spacing w:after="120"/>
      <w:rPr>
        <w:rFonts w:asciiTheme="minorHAnsi" w:hAnsiTheme="minorHAnsi"/>
        <w:sz w:val="18"/>
        <w:szCs w:val="18"/>
      </w:rPr>
    </w:pPr>
    <w:r w:rsidRPr="00A26E68">
      <w:rPr>
        <w:rFonts w:asciiTheme="minorHAnsi" w:hAnsiTheme="minorHAnsi"/>
        <w:sz w:val="18"/>
        <w:szCs w:val="18"/>
        <w:lang w:val="en-US"/>
      </w:rPr>
      <w:t xml:space="preserve">- </w:t>
    </w:r>
    <w:r w:rsidRPr="00A26E68">
      <w:rPr>
        <w:rStyle w:val="PageNumber"/>
        <w:rFonts w:asciiTheme="minorHAnsi" w:hAnsiTheme="minorHAnsi"/>
        <w:sz w:val="18"/>
        <w:szCs w:val="18"/>
      </w:rPr>
      <w:fldChar w:fldCharType="begin"/>
    </w:r>
    <w:r w:rsidRPr="00A26E68">
      <w:rPr>
        <w:rStyle w:val="PageNumber"/>
        <w:rFonts w:asciiTheme="minorHAnsi" w:hAnsiTheme="minorHAnsi"/>
        <w:sz w:val="18"/>
        <w:szCs w:val="18"/>
      </w:rPr>
      <w:instrText xml:space="preserve"> PAGE </w:instrText>
    </w:r>
    <w:r w:rsidRPr="00A26E68">
      <w:rPr>
        <w:rStyle w:val="PageNumber"/>
        <w:rFonts w:asciiTheme="minorHAnsi" w:hAnsiTheme="minorHAnsi"/>
        <w:sz w:val="18"/>
        <w:szCs w:val="18"/>
      </w:rPr>
      <w:fldChar w:fldCharType="separate"/>
    </w:r>
    <w:r w:rsidR="00A26E68">
      <w:rPr>
        <w:rStyle w:val="PageNumber"/>
        <w:rFonts w:asciiTheme="minorHAnsi" w:hAnsiTheme="minorHAnsi"/>
        <w:noProof/>
        <w:sz w:val="18"/>
        <w:szCs w:val="18"/>
      </w:rPr>
      <w:t>3</w:t>
    </w:r>
    <w:r w:rsidRPr="00A26E68">
      <w:rPr>
        <w:rStyle w:val="PageNumber"/>
        <w:rFonts w:asciiTheme="minorHAnsi" w:hAnsiTheme="minorHAnsi"/>
        <w:sz w:val="18"/>
        <w:szCs w:val="18"/>
      </w:rPr>
      <w:fldChar w:fldCharType="end"/>
    </w:r>
    <w:r w:rsidRPr="00A26E68">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ECF746"/>
    <w:lvl w:ilvl="0">
      <w:start w:val="1"/>
      <w:numFmt w:val="decimal"/>
      <w:lvlText w:val="%1."/>
      <w:lvlJc w:val="left"/>
      <w:pPr>
        <w:tabs>
          <w:tab w:val="num" w:pos="1492"/>
        </w:tabs>
        <w:ind w:left="1492" w:hanging="360"/>
      </w:pPr>
    </w:lvl>
  </w:abstractNum>
  <w:abstractNum w:abstractNumId="1">
    <w:nsid w:val="FFFFFF7D"/>
    <w:multiLevelType w:val="singleLevel"/>
    <w:tmpl w:val="B8F0559C"/>
    <w:lvl w:ilvl="0">
      <w:start w:val="1"/>
      <w:numFmt w:val="decimal"/>
      <w:lvlText w:val="%1."/>
      <w:lvlJc w:val="left"/>
      <w:pPr>
        <w:tabs>
          <w:tab w:val="num" w:pos="1209"/>
        </w:tabs>
        <w:ind w:left="1209" w:hanging="360"/>
      </w:pPr>
    </w:lvl>
  </w:abstractNum>
  <w:abstractNum w:abstractNumId="2">
    <w:nsid w:val="FFFFFF7E"/>
    <w:multiLevelType w:val="singleLevel"/>
    <w:tmpl w:val="6CCA0792"/>
    <w:lvl w:ilvl="0">
      <w:start w:val="1"/>
      <w:numFmt w:val="decimal"/>
      <w:lvlText w:val="%1."/>
      <w:lvlJc w:val="left"/>
      <w:pPr>
        <w:tabs>
          <w:tab w:val="num" w:pos="926"/>
        </w:tabs>
        <w:ind w:left="926" w:hanging="360"/>
      </w:pPr>
    </w:lvl>
  </w:abstractNum>
  <w:abstractNum w:abstractNumId="3">
    <w:nsid w:val="FFFFFF7F"/>
    <w:multiLevelType w:val="singleLevel"/>
    <w:tmpl w:val="77ACA766"/>
    <w:lvl w:ilvl="0">
      <w:start w:val="1"/>
      <w:numFmt w:val="decimal"/>
      <w:lvlText w:val="%1."/>
      <w:lvlJc w:val="left"/>
      <w:pPr>
        <w:tabs>
          <w:tab w:val="num" w:pos="643"/>
        </w:tabs>
        <w:ind w:left="643" w:hanging="360"/>
      </w:pPr>
    </w:lvl>
  </w:abstractNum>
  <w:abstractNum w:abstractNumId="4">
    <w:nsid w:val="FFFFFF80"/>
    <w:multiLevelType w:val="singleLevel"/>
    <w:tmpl w:val="247AC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006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566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47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B8D518"/>
    <w:lvl w:ilvl="0">
      <w:start w:val="1"/>
      <w:numFmt w:val="decimal"/>
      <w:lvlText w:val="%1."/>
      <w:lvlJc w:val="left"/>
      <w:pPr>
        <w:tabs>
          <w:tab w:val="num" w:pos="360"/>
        </w:tabs>
        <w:ind w:left="360" w:hanging="360"/>
      </w:pPr>
    </w:lvl>
  </w:abstractNum>
  <w:abstractNum w:abstractNumId="9">
    <w:nsid w:val="FFFFFF89"/>
    <w:multiLevelType w:val="singleLevel"/>
    <w:tmpl w:val="FE14D2AC"/>
    <w:lvl w:ilvl="0">
      <w:start w:val="1"/>
      <w:numFmt w:val="bullet"/>
      <w:lvlText w:val=""/>
      <w:lvlJc w:val="left"/>
      <w:pPr>
        <w:tabs>
          <w:tab w:val="num" w:pos="360"/>
        </w:tabs>
        <w:ind w:left="360" w:hanging="360"/>
      </w:pPr>
      <w:rPr>
        <w:rFonts w:ascii="Symbol" w:hAnsi="Symbol" w:hint="default"/>
      </w:rPr>
    </w:lvl>
  </w:abstractNum>
  <w:abstractNum w:abstractNumId="1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1C64F2D"/>
    <w:multiLevelType w:val="hybridMultilevel"/>
    <w:tmpl w:val="80D29F8A"/>
    <w:lvl w:ilvl="0" w:tplc="A3C437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8"/>
  </w:num>
  <w:num w:numId="3">
    <w:abstractNumId w:val="16"/>
  </w:num>
  <w:num w:numId="4">
    <w:abstractNumId w:val="15"/>
  </w:num>
  <w:num w:numId="5">
    <w:abstractNumId w:val="17"/>
  </w:num>
  <w:num w:numId="6">
    <w:abstractNumId w:val="13"/>
  </w:num>
  <w:num w:numId="7">
    <w:abstractNumId w:val="12"/>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E9"/>
    <w:rsid w:val="000011F2"/>
    <w:rsid w:val="00002529"/>
    <w:rsid w:val="00034712"/>
    <w:rsid w:val="000511E9"/>
    <w:rsid w:val="0008257B"/>
    <w:rsid w:val="000A59F4"/>
    <w:rsid w:val="000A644B"/>
    <w:rsid w:val="000C382F"/>
    <w:rsid w:val="000C7BB7"/>
    <w:rsid w:val="000E6DD1"/>
    <w:rsid w:val="000F61D5"/>
    <w:rsid w:val="00103C5E"/>
    <w:rsid w:val="00115497"/>
    <w:rsid w:val="001173CC"/>
    <w:rsid w:val="00122D3B"/>
    <w:rsid w:val="0016214D"/>
    <w:rsid w:val="0019542F"/>
    <w:rsid w:val="001A54CC"/>
    <w:rsid w:val="001B44F0"/>
    <w:rsid w:val="001C4FEF"/>
    <w:rsid w:val="00222DD2"/>
    <w:rsid w:val="002278EB"/>
    <w:rsid w:val="00230FBD"/>
    <w:rsid w:val="0023211E"/>
    <w:rsid w:val="00257FB4"/>
    <w:rsid w:val="0027032F"/>
    <w:rsid w:val="00283B9C"/>
    <w:rsid w:val="002C6CF6"/>
    <w:rsid w:val="002E2773"/>
    <w:rsid w:val="002F6DEE"/>
    <w:rsid w:val="00301F0C"/>
    <w:rsid w:val="00303D62"/>
    <w:rsid w:val="00321110"/>
    <w:rsid w:val="003333CA"/>
    <w:rsid w:val="00335367"/>
    <w:rsid w:val="00344B69"/>
    <w:rsid w:val="00370C2D"/>
    <w:rsid w:val="00371F2E"/>
    <w:rsid w:val="003835EB"/>
    <w:rsid w:val="003B23EE"/>
    <w:rsid w:val="003C25E2"/>
    <w:rsid w:val="003D1E8D"/>
    <w:rsid w:val="003D20DD"/>
    <w:rsid w:val="003D673B"/>
    <w:rsid w:val="003E54FE"/>
    <w:rsid w:val="003F2855"/>
    <w:rsid w:val="00401C20"/>
    <w:rsid w:val="00404997"/>
    <w:rsid w:val="00404CA7"/>
    <w:rsid w:val="00420912"/>
    <w:rsid w:val="00463513"/>
    <w:rsid w:val="00465FA6"/>
    <w:rsid w:val="004C4144"/>
    <w:rsid w:val="004C7F80"/>
    <w:rsid w:val="004D2C9F"/>
    <w:rsid w:val="004E1F35"/>
    <w:rsid w:val="0057164A"/>
    <w:rsid w:val="005B7A88"/>
    <w:rsid w:val="005D6F4B"/>
    <w:rsid w:val="005D7615"/>
    <w:rsid w:val="00633A39"/>
    <w:rsid w:val="00637FCD"/>
    <w:rsid w:val="00653B45"/>
    <w:rsid w:val="00657F32"/>
    <w:rsid w:val="006969B4"/>
    <w:rsid w:val="006A5C2B"/>
    <w:rsid w:val="006C12B0"/>
    <w:rsid w:val="006D26F1"/>
    <w:rsid w:val="00702381"/>
    <w:rsid w:val="007239BB"/>
    <w:rsid w:val="00781E2A"/>
    <w:rsid w:val="00787D06"/>
    <w:rsid w:val="007933A2"/>
    <w:rsid w:val="007A1BAB"/>
    <w:rsid w:val="007B1898"/>
    <w:rsid w:val="007B2454"/>
    <w:rsid w:val="007C5835"/>
    <w:rsid w:val="007C733E"/>
    <w:rsid w:val="00813EF5"/>
    <w:rsid w:val="008141B6"/>
    <w:rsid w:val="00814503"/>
    <w:rsid w:val="008258C2"/>
    <w:rsid w:val="00827BE3"/>
    <w:rsid w:val="008505BD"/>
    <w:rsid w:val="00850C78"/>
    <w:rsid w:val="008C17AD"/>
    <w:rsid w:val="008D02CD"/>
    <w:rsid w:val="008E0F53"/>
    <w:rsid w:val="008F2954"/>
    <w:rsid w:val="0094056E"/>
    <w:rsid w:val="009435F6"/>
    <w:rsid w:val="0095172A"/>
    <w:rsid w:val="009759D1"/>
    <w:rsid w:val="00997535"/>
    <w:rsid w:val="009A0BA0"/>
    <w:rsid w:val="009B7B61"/>
    <w:rsid w:val="009C7106"/>
    <w:rsid w:val="009E037A"/>
    <w:rsid w:val="009F4024"/>
    <w:rsid w:val="00A121F9"/>
    <w:rsid w:val="00A13F2D"/>
    <w:rsid w:val="00A21CDD"/>
    <w:rsid w:val="00A26E68"/>
    <w:rsid w:val="00A54E47"/>
    <w:rsid w:val="00A70C8D"/>
    <w:rsid w:val="00A813FC"/>
    <w:rsid w:val="00A83106"/>
    <w:rsid w:val="00AE4674"/>
    <w:rsid w:val="00AE7093"/>
    <w:rsid w:val="00AE7EFB"/>
    <w:rsid w:val="00B126BE"/>
    <w:rsid w:val="00B12C99"/>
    <w:rsid w:val="00B422BC"/>
    <w:rsid w:val="00B43F77"/>
    <w:rsid w:val="00B55A3E"/>
    <w:rsid w:val="00B87E9E"/>
    <w:rsid w:val="00B95F0A"/>
    <w:rsid w:val="00B96180"/>
    <w:rsid w:val="00BA08FF"/>
    <w:rsid w:val="00BA72BB"/>
    <w:rsid w:val="00BD3660"/>
    <w:rsid w:val="00C17AC0"/>
    <w:rsid w:val="00C23B16"/>
    <w:rsid w:val="00C34267"/>
    <w:rsid w:val="00C34772"/>
    <w:rsid w:val="00C361B2"/>
    <w:rsid w:val="00C5465A"/>
    <w:rsid w:val="00C816EE"/>
    <w:rsid w:val="00CE0F62"/>
    <w:rsid w:val="00CF3C46"/>
    <w:rsid w:val="00CF6226"/>
    <w:rsid w:val="00D218C0"/>
    <w:rsid w:val="00D35F79"/>
    <w:rsid w:val="00D43678"/>
    <w:rsid w:val="00D54642"/>
    <w:rsid w:val="00D87BA0"/>
    <w:rsid w:val="00DB71CF"/>
    <w:rsid w:val="00DC7049"/>
    <w:rsid w:val="00DC7852"/>
    <w:rsid w:val="00DD77C9"/>
    <w:rsid w:val="00DF3538"/>
    <w:rsid w:val="00E839B0"/>
    <w:rsid w:val="00E85C58"/>
    <w:rsid w:val="00E92C09"/>
    <w:rsid w:val="00E97DAD"/>
    <w:rsid w:val="00EB213F"/>
    <w:rsid w:val="00EE51FC"/>
    <w:rsid w:val="00EF77FC"/>
    <w:rsid w:val="00F14380"/>
    <w:rsid w:val="00F3007B"/>
    <w:rsid w:val="00F51DB6"/>
    <w:rsid w:val="00F6461F"/>
    <w:rsid w:val="00F746B6"/>
    <w:rsid w:val="00F947BA"/>
    <w:rsid w:val="00FC156C"/>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118D8B0-7D85-45C2-97F3-6A698968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EF77FC"/>
    <w:rPr>
      <w:rFonts w:ascii="Times New Roman" w:hAnsi="Times New Roman"/>
      <w:sz w:val="24"/>
      <w:lang w:val="es-ES_tradnl" w:eastAsia="en-US"/>
    </w:rPr>
  </w:style>
  <w:style w:type="paragraph" w:styleId="BodyText0">
    <w:name w:val="Body Text"/>
    <w:basedOn w:val="Normal"/>
    <w:link w:val="BodyTextChar"/>
    <w:rsid w:val="003D20DD"/>
    <w:pPr>
      <w:spacing w:after="120"/>
    </w:pPr>
    <w:rPr>
      <w:lang w:val="fr-FR"/>
    </w:rPr>
  </w:style>
  <w:style w:type="character" w:customStyle="1" w:styleId="BodyTextChar">
    <w:name w:val="Body Text Char"/>
    <w:basedOn w:val="DefaultParagraphFont"/>
    <w:link w:val="BodyText0"/>
    <w:rsid w:val="003D20DD"/>
    <w:rPr>
      <w:rFonts w:ascii="Times New Roman" w:hAnsi="Times New Roman"/>
      <w:sz w:val="24"/>
      <w:lang w:val="fr-FR" w:eastAsia="en-US"/>
    </w:rPr>
  </w:style>
  <w:style w:type="paragraph" w:styleId="ListParagraph">
    <w:name w:val="List Paragraph"/>
    <w:basedOn w:val="Normal"/>
    <w:uiPriority w:val="99"/>
    <w:qFormat/>
    <w:rsid w:val="003D20DD"/>
    <w:pPr>
      <w:overflowPunct/>
      <w:autoSpaceDE/>
      <w:autoSpaceDN/>
      <w:adjustRightInd/>
      <w:ind w:left="720"/>
      <w:contextualSpacing/>
      <w:textAlignment w:val="auto"/>
    </w:pPr>
    <w:rPr>
      <w:lang w:val="en-GB"/>
    </w:rPr>
  </w:style>
  <w:style w:type="paragraph" w:styleId="BalloonText">
    <w:name w:val="Balloon Text"/>
    <w:basedOn w:val="Normal"/>
    <w:link w:val="BalloonTextChar"/>
    <w:rsid w:val="00F947BA"/>
    <w:pPr>
      <w:spacing w:before="0"/>
    </w:pPr>
    <w:rPr>
      <w:rFonts w:ascii="Tahoma" w:hAnsi="Tahoma" w:cs="Tahoma"/>
      <w:sz w:val="16"/>
      <w:szCs w:val="16"/>
    </w:rPr>
  </w:style>
  <w:style w:type="character" w:customStyle="1" w:styleId="BalloonTextChar">
    <w:name w:val="Balloon Text Char"/>
    <w:basedOn w:val="DefaultParagraphFont"/>
    <w:link w:val="BalloonText"/>
    <w:rsid w:val="00F947B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ntero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interop"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recommendations/rec.aspx?rec=1206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nterop" TargetMode="External"/><Relationship Id="rId23" Type="http://schemas.openxmlformats.org/officeDocument/2006/relationships/footer" Target="footer3.xml"/><Relationship Id="rId10" Type="http://schemas.openxmlformats.org/officeDocument/2006/relationships/hyperlink" Target="http://www.itu.int/es/ITU-T/C-I/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yperlink" Target="mailto:interop@itu.int"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38F3-5BD1-45AD-B31A-E5538859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3</Pages>
  <Words>1098</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7762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Aveline, Marion</cp:lastModifiedBy>
  <cp:revision>2</cp:revision>
  <cp:lastPrinted>2014-12-24T14:39:00Z</cp:lastPrinted>
  <dcterms:created xsi:type="dcterms:W3CDTF">2015-01-15T13:07:00Z</dcterms:created>
  <dcterms:modified xsi:type="dcterms:W3CDTF">2015-01-15T13:07:00Z</dcterms:modified>
</cp:coreProperties>
</file>