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260"/>
      </w:tblGrid>
      <w:tr w:rsidR="00D059EB" w:rsidRPr="00153BD1" w:rsidTr="00D059EB">
        <w:trPr>
          <w:cantSplit/>
        </w:trPr>
        <w:tc>
          <w:tcPr>
            <w:tcW w:w="3828" w:type="dxa"/>
            <w:vAlign w:val="center"/>
          </w:tcPr>
          <w:p w:rsidR="00D059EB" w:rsidRPr="00153BD1" w:rsidRDefault="00D059EB" w:rsidP="00D059EB">
            <w:pPr>
              <w:tabs>
                <w:tab w:val="right" w:pos="8732"/>
              </w:tabs>
              <w:spacing w:before="0"/>
              <w:ind w:left="397"/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  <w:lang w:val="es-ES"/>
              </w:rPr>
            </w:pPr>
            <w:r w:rsidRPr="00153BD1">
              <w:rPr>
                <w:rFonts w:ascii="Calibri" w:hAnsi="Calibri"/>
                <w:b/>
                <w:bCs/>
                <w:sz w:val="28"/>
                <w:szCs w:val="28"/>
                <w:lang w:val="es-ES"/>
              </w:rPr>
              <w:t>Oficina de Normalización de las Telecomunicaciones (TSB)</w:t>
            </w:r>
          </w:p>
        </w:tc>
        <w:tc>
          <w:tcPr>
            <w:tcW w:w="2693" w:type="dxa"/>
            <w:vAlign w:val="center"/>
          </w:tcPr>
          <w:p w:rsidR="00D059EB" w:rsidRPr="00153BD1" w:rsidRDefault="00D059EB" w:rsidP="00D059EB">
            <w:pPr>
              <w:tabs>
                <w:tab w:val="right" w:pos="8732"/>
              </w:tabs>
              <w:spacing w:before="0"/>
              <w:ind w:left="72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es-ES"/>
              </w:rPr>
            </w:pPr>
            <w:r w:rsidRPr="00153BD1">
              <w:rPr>
                <w:b/>
                <w:bCs/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75AE980E" wp14:editId="460C5ACE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-2540</wp:posOffset>
                  </wp:positionV>
                  <wp:extent cx="638175" cy="72390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Align w:val="center"/>
          </w:tcPr>
          <w:p w:rsidR="00D059EB" w:rsidRPr="00153BD1" w:rsidRDefault="00D059EB" w:rsidP="00D059EB">
            <w:pPr>
              <w:spacing w:before="0"/>
              <w:rPr>
                <w:rFonts w:ascii="Calibri" w:hAnsi="Calibri"/>
                <w:sz w:val="28"/>
                <w:szCs w:val="28"/>
                <w:lang w:val="es-ES"/>
              </w:rPr>
            </w:pPr>
            <w:bookmarkStart w:id="0" w:name="ditulogo"/>
            <w:bookmarkEnd w:id="0"/>
            <w:r w:rsidRPr="00153BD1">
              <w:rPr>
                <w:rFonts w:ascii="Calibri" w:hAnsi="Calibri"/>
                <w:b/>
                <w:bCs/>
                <w:sz w:val="28"/>
                <w:szCs w:val="28"/>
                <w:lang w:val="es-ES"/>
              </w:rPr>
              <w:t>Oficina de Radiocomunicaciones (BR)</w:t>
            </w:r>
          </w:p>
        </w:tc>
      </w:tr>
      <w:tr w:rsidR="00D059EB" w:rsidRPr="00153BD1" w:rsidTr="00D059EB">
        <w:trPr>
          <w:cantSplit/>
          <w:trHeight w:val="112"/>
        </w:trPr>
        <w:tc>
          <w:tcPr>
            <w:tcW w:w="6521" w:type="dxa"/>
            <w:gridSpan w:val="2"/>
            <w:vAlign w:val="center"/>
          </w:tcPr>
          <w:p w:rsidR="00D059EB" w:rsidRPr="00153BD1" w:rsidRDefault="00D059EB" w:rsidP="00D059EB">
            <w:pPr>
              <w:spacing w:before="0"/>
              <w:rPr>
                <w:lang w:val="es-ES"/>
              </w:rPr>
            </w:pPr>
          </w:p>
        </w:tc>
        <w:tc>
          <w:tcPr>
            <w:tcW w:w="3260" w:type="dxa"/>
            <w:vAlign w:val="center"/>
          </w:tcPr>
          <w:p w:rsidR="00D059EB" w:rsidRPr="00153BD1" w:rsidRDefault="00D059EB" w:rsidP="00D059EB">
            <w:pPr>
              <w:spacing w:before="0"/>
              <w:rPr>
                <w:lang w:val="es-ES"/>
              </w:rPr>
            </w:pPr>
          </w:p>
        </w:tc>
      </w:tr>
    </w:tbl>
    <w:p w:rsidR="00C34772" w:rsidRPr="007E2902" w:rsidRDefault="00C34772" w:rsidP="007E290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240"/>
        <w:rPr>
          <w:rFonts w:asciiTheme="minorHAnsi" w:hAnsiTheme="minorHAnsi"/>
          <w:lang w:val="es-ES"/>
        </w:rPr>
      </w:pPr>
      <w:r w:rsidRPr="00153BD1">
        <w:rPr>
          <w:lang w:val="es-ES"/>
        </w:rPr>
        <w:tab/>
      </w:r>
      <w:r w:rsidRPr="007E2902">
        <w:rPr>
          <w:rFonts w:asciiTheme="minorHAnsi" w:hAnsiTheme="minorHAnsi"/>
          <w:lang w:val="es-ES"/>
        </w:rPr>
        <w:t xml:space="preserve">Ginebra, </w:t>
      </w:r>
      <w:r w:rsidR="0046791C" w:rsidRPr="007E2902">
        <w:rPr>
          <w:rFonts w:asciiTheme="minorHAnsi" w:hAnsiTheme="minorHAnsi"/>
          <w:lang w:val="es-ES"/>
        </w:rPr>
        <w:t>22 de octubre de 2014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677"/>
        <w:gridCol w:w="5103"/>
      </w:tblGrid>
      <w:tr w:rsidR="00C34772" w:rsidRPr="007E2902" w:rsidTr="005B3A0F">
        <w:trPr>
          <w:cantSplit/>
          <w:trHeight w:val="819"/>
        </w:trPr>
        <w:tc>
          <w:tcPr>
            <w:tcW w:w="993" w:type="dxa"/>
          </w:tcPr>
          <w:p w:rsidR="00C34772" w:rsidRPr="007E290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Ref.:</w:t>
            </w:r>
          </w:p>
          <w:p w:rsidR="00B52D07" w:rsidRPr="007E2902" w:rsidRDefault="00C34772" w:rsidP="00B52D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Tel.:</w:t>
            </w:r>
          </w:p>
          <w:p w:rsidR="00C34772" w:rsidRPr="007E2902" w:rsidRDefault="00C34772" w:rsidP="00B52D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Fax:</w:t>
            </w:r>
          </w:p>
          <w:p w:rsidR="00B52D07" w:rsidRPr="007E2902" w:rsidRDefault="005B66A9" w:rsidP="00B52D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Correo-e:</w:t>
            </w:r>
          </w:p>
        </w:tc>
        <w:tc>
          <w:tcPr>
            <w:tcW w:w="3677" w:type="dxa"/>
          </w:tcPr>
          <w:p w:rsidR="00C34772" w:rsidRPr="007E2902" w:rsidRDefault="00C34772" w:rsidP="0046791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s-ES"/>
              </w:rPr>
            </w:pPr>
            <w:r w:rsidRPr="007E2902">
              <w:rPr>
                <w:rFonts w:asciiTheme="minorHAnsi" w:hAnsiTheme="minorHAnsi"/>
                <w:b/>
                <w:lang w:val="es-ES"/>
              </w:rPr>
              <w:t xml:space="preserve">Circular TSB </w:t>
            </w:r>
            <w:r w:rsidR="0046791C" w:rsidRPr="007E2902">
              <w:rPr>
                <w:rFonts w:asciiTheme="minorHAnsi" w:hAnsiTheme="minorHAnsi"/>
                <w:b/>
                <w:lang w:val="es-ES"/>
              </w:rPr>
              <w:t>119</w:t>
            </w:r>
          </w:p>
          <w:p w:rsidR="005B66A9" w:rsidRPr="007E2902" w:rsidRDefault="00C34772" w:rsidP="0046791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+41 22 730</w:t>
            </w:r>
            <w:r w:rsidR="00C33E2D" w:rsidRPr="007E2902">
              <w:rPr>
                <w:rFonts w:asciiTheme="minorHAnsi" w:hAnsiTheme="minorHAnsi"/>
                <w:lang w:val="es-ES"/>
              </w:rPr>
              <w:t xml:space="preserve"> </w:t>
            </w:r>
            <w:r w:rsidR="0046791C" w:rsidRPr="007E2902">
              <w:rPr>
                <w:rFonts w:asciiTheme="minorHAnsi" w:hAnsiTheme="minorHAnsi"/>
                <w:lang w:val="es-ES"/>
              </w:rPr>
              <w:t>5853</w:t>
            </w:r>
          </w:p>
          <w:p w:rsidR="00C34772" w:rsidRPr="007E2902" w:rsidRDefault="00C34772" w:rsidP="00D73D4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+41 22 730 5853</w:t>
            </w:r>
          </w:p>
          <w:p w:rsidR="005B66A9" w:rsidRPr="007E2902" w:rsidRDefault="00077073" w:rsidP="0046791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hyperlink r:id="rId9" w:history="1">
              <w:r w:rsidR="0046791C" w:rsidRPr="007E2902">
                <w:rPr>
                  <w:rStyle w:val="Hyperlink"/>
                  <w:rFonts w:asciiTheme="minorHAnsi" w:hAnsiTheme="minorHAnsi"/>
                  <w:lang w:val="es-ES"/>
                </w:rPr>
                <w:t>tsbsg9@itu.int</w:t>
              </w:r>
            </w:hyperlink>
          </w:p>
        </w:tc>
        <w:tc>
          <w:tcPr>
            <w:tcW w:w="5103" w:type="dxa"/>
          </w:tcPr>
          <w:p w:rsidR="00C34772" w:rsidRPr="007E290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es-ES"/>
              </w:rPr>
            </w:pPr>
            <w:bookmarkStart w:id="1" w:name="Addressee_S"/>
            <w:bookmarkEnd w:id="1"/>
            <w:r w:rsidRPr="007E2902">
              <w:rPr>
                <w:rFonts w:asciiTheme="minorHAnsi" w:hAnsiTheme="minorHAnsi"/>
                <w:lang w:val="es-ES"/>
              </w:rPr>
              <w:t>-</w:t>
            </w:r>
            <w:r w:rsidRPr="007E2902">
              <w:rPr>
                <w:rFonts w:asciiTheme="minorHAnsi" w:hAnsiTheme="minorHAnsi"/>
                <w:lang w:val="es-ES"/>
              </w:rPr>
              <w:tab/>
              <w:t>A las Administraciones de los Estados Miembros de la Unión</w:t>
            </w:r>
            <w:r w:rsidR="00613B0D" w:rsidRPr="007E2902">
              <w:rPr>
                <w:rFonts w:asciiTheme="minorHAnsi" w:hAnsiTheme="minorHAnsi"/>
                <w:lang w:val="es-ES"/>
              </w:rPr>
              <w:t>;</w:t>
            </w:r>
          </w:p>
          <w:p w:rsidR="00C33E2D" w:rsidRPr="007E2902" w:rsidRDefault="00C33E2D" w:rsidP="005B6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-</w:t>
            </w:r>
            <w:r w:rsidRPr="007E2902">
              <w:rPr>
                <w:rFonts w:asciiTheme="minorHAnsi" w:hAnsiTheme="minorHAnsi"/>
                <w:lang w:val="es-ES"/>
              </w:rPr>
              <w:tab/>
              <w:t xml:space="preserve">A los Miembros de Sector </w:t>
            </w:r>
            <w:r w:rsidR="005B66A9" w:rsidRPr="007E2902">
              <w:rPr>
                <w:rFonts w:asciiTheme="minorHAnsi" w:hAnsiTheme="minorHAnsi"/>
                <w:lang w:val="es-ES"/>
              </w:rPr>
              <w:t>del UIT-T y el UIT-R</w:t>
            </w:r>
            <w:r w:rsidR="00613B0D" w:rsidRPr="007E2902">
              <w:rPr>
                <w:rFonts w:asciiTheme="minorHAnsi" w:hAnsiTheme="minorHAnsi"/>
                <w:lang w:val="es-ES"/>
              </w:rPr>
              <w:t>;</w:t>
            </w:r>
          </w:p>
          <w:p w:rsidR="00C33E2D" w:rsidRPr="007E2902" w:rsidRDefault="00C33E2D" w:rsidP="00C33E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-</w:t>
            </w:r>
            <w:r w:rsidRPr="007E2902">
              <w:rPr>
                <w:rFonts w:asciiTheme="minorHAnsi" w:hAnsiTheme="minorHAnsi"/>
                <w:lang w:val="es-ES"/>
              </w:rPr>
              <w:tab/>
              <w:t xml:space="preserve">A los Asociados </w:t>
            </w:r>
            <w:r w:rsidR="005B66A9" w:rsidRPr="007E2902">
              <w:rPr>
                <w:rFonts w:asciiTheme="minorHAnsi" w:hAnsiTheme="minorHAnsi"/>
                <w:lang w:val="es-ES"/>
              </w:rPr>
              <w:t>del UIT-T y el UIT-R</w:t>
            </w:r>
            <w:r w:rsidR="00613B0D" w:rsidRPr="007E2902">
              <w:rPr>
                <w:rFonts w:asciiTheme="minorHAnsi" w:hAnsiTheme="minorHAnsi"/>
                <w:lang w:val="es-ES"/>
              </w:rPr>
              <w:t>;</w:t>
            </w:r>
          </w:p>
          <w:p w:rsidR="00C33E2D" w:rsidRPr="007E2902" w:rsidRDefault="00C33E2D" w:rsidP="00C33E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-</w:t>
            </w:r>
            <w:r w:rsidRPr="007E2902">
              <w:rPr>
                <w:rFonts w:asciiTheme="minorHAnsi" w:hAnsiTheme="minorHAnsi"/>
                <w:lang w:val="es-ES"/>
              </w:rPr>
              <w:tab/>
              <w:t xml:space="preserve">A las Instituciones Académicas </w:t>
            </w:r>
            <w:r w:rsidR="005B66A9" w:rsidRPr="007E2902">
              <w:rPr>
                <w:rFonts w:asciiTheme="minorHAnsi" w:hAnsiTheme="minorHAnsi"/>
                <w:lang w:val="es-ES"/>
              </w:rPr>
              <w:t xml:space="preserve">del UIT-T y el </w:t>
            </w:r>
            <w:r w:rsidR="00A04CCF">
              <w:rPr>
                <w:rFonts w:asciiTheme="minorHAnsi" w:hAnsiTheme="minorHAnsi"/>
                <w:lang w:val="es-ES"/>
              </w:rPr>
              <w:t xml:space="preserve">    </w:t>
            </w:r>
            <w:r w:rsidR="005B66A9" w:rsidRPr="007E2902">
              <w:rPr>
                <w:rFonts w:asciiTheme="minorHAnsi" w:hAnsiTheme="minorHAnsi"/>
                <w:lang w:val="es-ES"/>
              </w:rPr>
              <w:t>UIT-R</w:t>
            </w:r>
            <w:r w:rsidR="00613B0D" w:rsidRPr="007E2902">
              <w:rPr>
                <w:rFonts w:asciiTheme="minorHAnsi" w:hAnsiTheme="minorHAnsi"/>
                <w:lang w:val="es-ES"/>
              </w:rPr>
              <w:t>;</w:t>
            </w:r>
          </w:p>
        </w:tc>
      </w:tr>
      <w:tr w:rsidR="005B3A0F" w:rsidRPr="007E2902" w:rsidTr="005B3A0F">
        <w:trPr>
          <w:cantSplit/>
          <w:trHeight w:val="283"/>
        </w:trPr>
        <w:tc>
          <w:tcPr>
            <w:tcW w:w="993" w:type="dxa"/>
          </w:tcPr>
          <w:p w:rsidR="005B3A0F" w:rsidRPr="007E2902" w:rsidRDefault="005B3A0F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3677" w:type="dxa"/>
          </w:tcPr>
          <w:p w:rsidR="005B3A0F" w:rsidRPr="007E2902" w:rsidRDefault="005B3A0F" w:rsidP="00D73D4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5103" w:type="dxa"/>
          </w:tcPr>
          <w:p w:rsidR="005B3A0F" w:rsidRPr="007E2902" w:rsidRDefault="005B3A0F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es-ES"/>
              </w:rPr>
            </w:pPr>
          </w:p>
        </w:tc>
      </w:tr>
      <w:tr w:rsidR="00B52D07" w:rsidRPr="007E2902" w:rsidTr="005B3A0F">
        <w:trPr>
          <w:cantSplit/>
          <w:trHeight w:val="819"/>
        </w:trPr>
        <w:tc>
          <w:tcPr>
            <w:tcW w:w="993" w:type="dxa"/>
          </w:tcPr>
          <w:p w:rsidR="00B52D07" w:rsidRPr="007E2902" w:rsidRDefault="00B52D07" w:rsidP="00B52D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Ref.:</w:t>
            </w:r>
          </w:p>
          <w:p w:rsidR="00B52D07" w:rsidRPr="007E2902" w:rsidRDefault="00B52D07" w:rsidP="00B52D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Tel.:</w:t>
            </w:r>
          </w:p>
          <w:p w:rsidR="00B52D07" w:rsidRPr="007E2902" w:rsidRDefault="00B52D07" w:rsidP="00B52D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Fax:</w:t>
            </w:r>
          </w:p>
          <w:p w:rsidR="00B52D07" w:rsidRPr="007E2902" w:rsidRDefault="00B52D07" w:rsidP="00B52D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Correo-e:</w:t>
            </w:r>
          </w:p>
        </w:tc>
        <w:tc>
          <w:tcPr>
            <w:tcW w:w="3677" w:type="dxa"/>
          </w:tcPr>
          <w:p w:rsidR="00B52D07" w:rsidRPr="007E2902" w:rsidRDefault="00B52D07" w:rsidP="0046791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es-ES"/>
              </w:rPr>
            </w:pPr>
            <w:r w:rsidRPr="007E2902">
              <w:rPr>
                <w:rFonts w:asciiTheme="minorHAnsi" w:hAnsiTheme="minorHAnsi"/>
                <w:b/>
                <w:bCs/>
                <w:lang w:val="es-ES"/>
              </w:rPr>
              <w:t>Circular BR CACE/</w:t>
            </w:r>
            <w:r w:rsidR="0046791C" w:rsidRPr="007E2902">
              <w:rPr>
                <w:rFonts w:asciiTheme="minorHAnsi" w:hAnsiTheme="minorHAnsi"/>
                <w:b/>
                <w:bCs/>
                <w:lang w:val="es-ES"/>
              </w:rPr>
              <w:t>696</w:t>
            </w:r>
          </w:p>
          <w:p w:rsidR="00B52D07" w:rsidRPr="007E2902" w:rsidRDefault="00B52D07" w:rsidP="00D73D4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+41 22 730 5803</w:t>
            </w:r>
          </w:p>
          <w:p w:rsidR="00B52D07" w:rsidRPr="007E2902" w:rsidRDefault="00B52D07" w:rsidP="00D73D4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+41 22 730 5806</w:t>
            </w:r>
          </w:p>
          <w:p w:rsidR="00B52D07" w:rsidRPr="007E2902" w:rsidRDefault="00077073" w:rsidP="00D73D4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s-ES"/>
              </w:rPr>
            </w:pPr>
            <w:hyperlink r:id="rId10" w:history="1">
              <w:r w:rsidR="00B52D07" w:rsidRPr="007E2902">
                <w:rPr>
                  <w:rStyle w:val="Hyperlink"/>
                  <w:rFonts w:asciiTheme="minorHAnsi" w:hAnsiTheme="minorHAnsi"/>
                  <w:lang w:val="es-ES"/>
                </w:rPr>
                <w:t>rsg6@itu.int</w:t>
              </w:r>
            </w:hyperlink>
          </w:p>
        </w:tc>
        <w:tc>
          <w:tcPr>
            <w:tcW w:w="5103" w:type="dxa"/>
          </w:tcPr>
          <w:p w:rsidR="00B52D07" w:rsidRPr="007E2902" w:rsidRDefault="00B52D07" w:rsidP="00B52D0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b/>
                <w:lang w:val="es-ES"/>
              </w:rPr>
              <w:t>Copia</w:t>
            </w:r>
            <w:r w:rsidRPr="007E2902">
              <w:rPr>
                <w:rFonts w:asciiTheme="minorHAnsi" w:hAnsiTheme="minorHAnsi"/>
                <w:lang w:val="es-ES"/>
              </w:rPr>
              <w:t>:</w:t>
            </w:r>
          </w:p>
          <w:p w:rsidR="00B52D07" w:rsidRPr="007E2902" w:rsidRDefault="00A04CCF" w:rsidP="00B52D0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 </w:t>
            </w:r>
            <w:r w:rsidR="00B52D07" w:rsidRPr="007E2902">
              <w:rPr>
                <w:rFonts w:asciiTheme="minorHAnsi" w:hAnsiTheme="minorHAnsi"/>
                <w:lang w:val="es-ES"/>
              </w:rPr>
              <w:t>-</w:t>
            </w:r>
            <w:r w:rsidR="00B52D07" w:rsidRPr="007E2902">
              <w:rPr>
                <w:rFonts w:asciiTheme="minorHAnsi" w:hAnsiTheme="minorHAnsi"/>
                <w:lang w:val="es-ES"/>
              </w:rPr>
              <w:tab/>
            </w:r>
            <w:r>
              <w:rPr>
                <w:rFonts w:asciiTheme="minorHAnsi" w:hAnsiTheme="minorHAnsi"/>
                <w:lang w:val="es-ES"/>
              </w:rPr>
              <w:t xml:space="preserve"> </w:t>
            </w:r>
            <w:r w:rsidR="00B52D07" w:rsidRPr="007E2902">
              <w:rPr>
                <w:rFonts w:asciiTheme="minorHAnsi" w:hAnsiTheme="minorHAnsi"/>
                <w:lang w:val="es-ES"/>
              </w:rPr>
              <w:t xml:space="preserve">A los Presidentes y Vicepresidentes de todas las </w:t>
            </w:r>
            <w:r w:rsidR="00B52D07" w:rsidRPr="007E2902">
              <w:rPr>
                <w:rFonts w:asciiTheme="minorHAnsi" w:hAnsiTheme="minorHAnsi"/>
                <w:lang w:val="es-ES"/>
              </w:rPr>
              <w:br/>
              <w:t>Comisiones de Estudio del UIT-T y el UIT-R;</w:t>
            </w:r>
          </w:p>
          <w:p w:rsidR="00B52D07" w:rsidRPr="007E2902" w:rsidRDefault="00B52D07" w:rsidP="00A04C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-</w:t>
            </w:r>
            <w:r w:rsidRPr="007E2902">
              <w:rPr>
                <w:rFonts w:asciiTheme="minorHAnsi" w:hAnsiTheme="minorHAnsi"/>
                <w:lang w:val="es-ES"/>
              </w:rPr>
              <w:tab/>
              <w:t>Al Director de la Oficina de Desarrollo de las Telecomunicaciones;</w:t>
            </w:r>
          </w:p>
        </w:tc>
      </w:tr>
    </w:tbl>
    <w:p w:rsidR="00C34772" w:rsidRPr="007E2902" w:rsidRDefault="00C34772" w:rsidP="00303D62">
      <w:pPr>
        <w:rPr>
          <w:rFonts w:asciiTheme="minorHAnsi" w:hAnsiTheme="minorHAnsi"/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116"/>
      </w:tblGrid>
      <w:tr w:rsidR="00C34772" w:rsidRPr="007E2902" w:rsidTr="00D73D4A">
        <w:trPr>
          <w:cantSplit/>
        </w:trPr>
        <w:tc>
          <w:tcPr>
            <w:tcW w:w="907" w:type="dxa"/>
          </w:tcPr>
          <w:p w:rsidR="00C34772" w:rsidRPr="007E290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7E2902">
              <w:rPr>
                <w:rFonts w:asciiTheme="minorHAnsi" w:hAnsiTheme="minorHAnsi"/>
                <w:szCs w:val="24"/>
                <w:lang w:val="es-ES"/>
              </w:rPr>
              <w:t>Asunto:</w:t>
            </w:r>
          </w:p>
        </w:tc>
        <w:tc>
          <w:tcPr>
            <w:tcW w:w="7116" w:type="dxa"/>
          </w:tcPr>
          <w:p w:rsidR="00960EA3" w:rsidRPr="007E2902" w:rsidRDefault="00C33E2D" w:rsidP="0046791C">
            <w:pPr>
              <w:tabs>
                <w:tab w:val="left" w:pos="4111"/>
              </w:tabs>
              <w:spacing w:before="10"/>
              <w:ind w:left="164"/>
              <w:rPr>
                <w:rFonts w:asciiTheme="minorHAnsi" w:hAnsiTheme="minorHAnsi"/>
                <w:b/>
                <w:lang w:val="es-ES"/>
              </w:rPr>
            </w:pPr>
            <w:r w:rsidRPr="007E2902">
              <w:rPr>
                <w:rFonts w:asciiTheme="minorHAnsi" w:hAnsiTheme="minorHAnsi"/>
                <w:b/>
                <w:lang w:val="es-ES"/>
              </w:rPr>
              <w:t xml:space="preserve">Creación de un nuevo Grupo </w:t>
            </w:r>
            <w:r w:rsidR="005B66A9" w:rsidRPr="007E2902">
              <w:rPr>
                <w:rFonts w:asciiTheme="minorHAnsi" w:hAnsiTheme="minorHAnsi"/>
                <w:b/>
                <w:lang w:val="es-ES"/>
              </w:rPr>
              <w:t xml:space="preserve">de Relator Intersectorial de la UIT sobre </w:t>
            </w:r>
            <w:r w:rsidR="0046791C" w:rsidRPr="007E2902">
              <w:rPr>
                <w:rFonts w:asciiTheme="minorHAnsi" w:hAnsiTheme="minorHAnsi"/>
                <w:b/>
                <w:lang w:val="es-ES"/>
              </w:rPr>
              <w:t xml:space="preserve">sistemas de radiodifusión y banda ancha integradas </w:t>
            </w:r>
          </w:p>
          <w:p w:rsidR="00C34772" w:rsidRPr="007E2902" w:rsidRDefault="00C33E2D" w:rsidP="00960EA3">
            <w:pPr>
              <w:tabs>
                <w:tab w:val="left" w:pos="4111"/>
              </w:tabs>
              <w:spacing w:before="10"/>
              <w:ind w:left="164"/>
              <w:rPr>
                <w:rFonts w:asciiTheme="minorHAnsi" w:hAnsiTheme="minorHAnsi"/>
                <w:b/>
                <w:lang w:val="es-ES"/>
              </w:rPr>
            </w:pPr>
            <w:r w:rsidRPr="007E2902">
              <w:rPr>
                <w:rFonts w:asciiTheme="minorHAnsi" w:hAnsiTheme="minorHAnsi"/>
                <w:b/>
                <w:lang w:val="es-ES"/>
              </w:rPr>
              <w:t>(</w:t>
            </w:r>
            <w:r w:rsidR="005B66A9" w:rsidRPr="007E2902">
              <w:rPr>
                <w:rFonts w:asciiTheme="minorHAnsi" w:hAnsiTheme="minorHAnsi"/>
                <w:b/>
                <w:lang w:val="es-ES"/>
              </w:rPr>
              <w:t>GRI-</w:t>
            </w:r>
            <w:r w:rsidR="0046791C" w:rsidRPr="007E2902">
              <w:rPr>
                <w:rFonts w:asciiTheme="minorHAnsi" w:hAnsiTheme="minorHAnsi"/>
                <w:b/>
                <w:lang w:val="es-ES"/>
              </w:rPr>
              <w:t>IBB</w:t>
            </w:r>
            <w:r w:rsidRPr="007E2902">
              <w:rPr>
                <w:rFonts w:asciiTheme="minorHAnsi" w:hAnsiTheme="minorHAnsi"/>
                <w:b/>
                <w:lang w:val="es-ES"/>
              </w:rPr>
              <w:t>)</w:t>
            </w:r>
            <w:r w:rsidR="005B66A9" w:rsidRPr="007E2902">
              <w:rPr>
                <w:rFonts w:asciiTheme="minorHAnsi" w:hAnsiTheme="minorHAnsi"/>
                <w:b/>
                <w:lang w:val="es-ES"/>
              </w:rPr>
              <w:t xml:space="preserve"> y primera reunión del mismo</w:t>
            </w:r>
            <w:r w:rsidR="00BC53E0" w:rsidRPr="007E2902">
              <w:rPr>
                <w:rFonts w:asciiTheme="minorHAnsi" w:hAnsiTheme="minorHAnsi"/>
                <w:b/>
                <w:lang w:val="es-ES"/>
              </w:rPr>
              <w:t xml:space="preserve">, </w:t>
            </w:r>
            <w:r w:rsidR="00960EA3" w:rsidRPr="007E2902">
              <w:rPr>
                <w:rFonts w:asciiTheme="minorHAnsi" w:hAnsiTheme="minorHAnsi"/>
                <w:b/>
                <w:lang w:val="es-ES"/>
              </w:rPr>
              <w:t>lunes</w:t>
            </w:r>
            <w:r w:rsidR="00C34772" w:rsidRPr="007E2902">
              <w:rPr>
                <w:rFonts w:asciiTheme="minorHAnsi" w:hAnsiTheme="minorHAnsi"/>
                <w:b/>
                <w:lang w:val="es-ES"/>
              </w:rPr>
              <w:t>,</w:t>
            </w:r>
            <w:r w:rsidR="00960EA3" w:rsidRPr="007E2902">
              <w:rPr>
                <w:rFonts w:asciiTheme="minorHAnsi" w:hAnsiTheme="minorHAnsi"/>
                <w:b/>
                <w:lang w:val="es-ES"/>
              </w:rPr>
              <w:t xml:space="preserve"> 17 de noviembre</w:t>
            </w:r>
            <w:r w:rsidR="00960EA3" w:rsidRPr="007E2902">
              <w:rPr>
                <w:rFonts w:asciiTheme="minorHAnsi" w:hAnsiTheme="minorHAnsi"/>
                <w:b/>
                <w:lang w:val="es-ES"/>
              </w:rPr>
              <w:br/>
            </w:r>
            <w:r w:rsidR="0046791C" w:rsidRPr="007E2902">
              <w:rPr>
                <w:rFonts w:asciiTheme="minorHAnsi" w:hAnsiTheme="minorHAnsi"/>
                <w:b/>
                <w:lang w:val="es-ES"/>
              </w:rPr>
              <w:t>de</w:t>
            </w:r>
            <w:r w:rsidRPr="007E2902">
              <w:rPr>
                <w:rFonts w:asciiTheme="minorHAnsi" w:hAnsiTheme="minorHAnsi"/>
                <w:b/>
                <w:lang w:val="es-ES"/>
              </w:rPr>
              <w:t xml:space="preserve"> 201</w:t>
            </w:r>
            <w:r w:rsidR="005B66A9" w:rsidRPr="007E2902">
              <w:rPr>
                <w:rFonts w:asciiTheme="minorHAnsi" w:hAnsiTheme="minorHAnsi"/>
                <w:b/>
                <w:lang w:val="es-ES"/>
              </w:rPr>
              <w:t>4</w:t>
            </w:r>
          </w:p>
        </w:tc>
      </w:tr>
    </w:tbl>
    <w:p w:rsidR="00C34772" w:rsidRPr="007E2902" w:rsidRDefault="00C34772" w:rsidP="00303D62">
      <w:pPr>
        <w:rPr>
          <w:rFonts w:asciiTheme="minorHAnsi" w:hAnsiTheme="minorHAnsi"/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7E2902">
        <w:rPr>
          <w:rFonts w:asciiTheme="minorHAnsi" w:hAnsiTheme="minorHAnsi"/>
          <w:lang w:val="es-ES"/>
        </w:rPr>
        <w:t>Muy Señora mía/Muy Señor mío:</w:t>
      </w:r>
    </w:p>
    <w:p w:rsidR="00C34772" w:rsidRPr="007E2902" w:rsidRDefault="007501AF" w:rsidP="0046791C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1</w:t>
      </w:r>
      <w:r w:rsidRPr="007E2902">
        <w:rPr>
          <w:rFonts w:asciiTheme="minorHAnsi" w:hAnsiTheme="minorHAnsi"/>
          <w:lang w:val="es-ES"/>
        </w:rPr>
        <w:tab/>
        <w:t xml:space="preserve">Me complace anunciarle la creación del </w:t>
      </w:r>
      <w:r w:rsidR="005B66A9" w:rsidRPr="007E2902">
        <w:rPr>
          <w:rFonts w:asciiTheme="minorHAnsi" w:hAnsiTheme="minorHAnsi"/>
          <w:bCs/>
          <w:lang w:val="es-ES"/>
        </w:rPr>
        <w:t>nuevo</w:t>
      </w:r>
      <w:r w:rsidR="005B66A9" w:rsidRPr="007E2902">
        <w:rPr>
          <w:rFonts w:asciiTheme="minorHAnsi" w:hAnsiTheme="minorHAnsi"/>
          <w:b/>
          <w:lang w:val="es-ES"/>
        </w:rPr>
        <w:t xml:space="preserve"> </w:t>
      </w:r>
      <w:r w:rsidR="0046791C" w:rsidRPr="007E2902">
        <w:rPr>
          <w:rFonts w:asciiTheme="minorHAnsi" w:hAnsiTheme="minorHAnsi"/>
          <w:b/>
          <w:lang w:val="es-ES"/>
        </w:rPr>
        <w:t>Grupo de Relator Intersectorial de la UIT sobre sistemas de radiodifusión y banda ancha integradas (GRI-IBB)</w:t>
      </w:r>
      <w:r w:rsidR="00A42EAB" w:rsidRPr="007E2902">
        <w:rPr>
          <w:rFonts w:asciiTheme="minorHAnsi" w:hAnsiTheme="minorHAnsi"/>
          <w:b/>
          <w:lang w:val="es-ES"/>
        </w:rPr>
        <w:t>,</w:t>
      </w:r>
      <w:r w:rsidR="005B66A9" w:rsidRPr="007E2902">
        <w:rPr>
          <w:rFonts w:asciiTheme="minorHAnsi" w:hAnsiTheme="minorHAnsi"/>
          <w:lang w:val="es-ES"/>
        </w:rPr>
        <w:t xml:space="preserve"> a raíz de los acuerdos alcanzados por la C</w:t>
      </w:r>
      <w:r w:rsidR="0046791C" w:rsidRPr="007E2902">
        <w:rPr>
          <w:rFonts w:asciiTheme="minorHAnsi" w:hAnsiTheme="minorHAnsi"/>
          <w:lang w:val="es-ES"/>
        </w:rPr>
        <w:t>E</w:t>
      </w:r>
      <w:r w:rsidR="005B66A9" w:rsidRPr="007E2902">
        <w:rPr>
          <w:rFonts w:asciiTheme="minorHAnsi" w:hAnsiTheme="minorHAnsi"/>
          <w:lang w:val="es-ES"/>
        </w:rPr>
        <w:t xml:space="preserve"> </w:t>
      </w:r>
      <w:r w:rsidR="0046791C" w:rsidRPr="007E2902">
        <w:rPr>
          <w:rFonts w:asciiTheme="minorHAnsi" w:hAnsiTheme="minorHAnsi"/>
          <w:lang w:val="es-ES"/>
        </w:rPr>
        <w:t>9</w:t>
      </w:r>
      <w:r w:rsidR="005B66A9" w:rsidRPr="007E2902">
        <w:rPr>
          <w:rFonts w:asciiTheme="minorHAnsi" w:hAnsiTheme="minorHAnsi"/>
          <w:lang w:val="es-ES"/>
        </w:rPr>
        <w:t xml:space="preserve"> de</w:t>
      </w:r>
      <w:r w:rsidR="00613B0D" w:rsidRPr="007E2902">
        <w:rPr>
          <w:rFonts w:asciiTheme="minorHAnsi" w:hAnsiTheme="minorHAnsi"/>
          <w:lang w:val="es-ES"/>
        </w:rPr>
        <w:t>l</w:t>
      </w:r>
      <w:r w:rsidR="005B66A9" w:rsidRPr="007E2902">
        <w:rPr>
          <w:rFonts w:asciiTheme="minorHAnsi" w:hAnsiTheme="minorHAnsi"/>
          <w:lang w:val="es-ES"/>
        </w:rPr>
        <w:t xml:space="preserve"> UIT-T el </w:t>
      </w:r>
      <w:r w:rsidR="0046791C" w:rsidRPr="007E2902">
        <w:rPr>
          <w:rFonts w:asciiTheme="minorHAnsi" w:hAnsiTheme="minorHAnsi"/>
          <w:lang w:val="es-ES"/>
        </w:rPr>
        <w:t>12 de septiembre de 2014 y</w:t>
      </w:r>
      <w:r w:rsidR="001B7914" w:rsidRPr="007E2902">
        <w:rPr>
          <w:rFonts w:asciiTheme="minorHAnsi" w:hAnsiTheme="minorHAnsi"/>
          <w:lang w:val="es-ES"/>
        </w:rPr>
        <w:t xml:space="preserve"> por</w:t>
      </w:r>
      <w:r w:rsidR="0002627E" w:rsidRPr="007E2902">
        <w:rPr>
          <w:rFonts w:asciiTheme="minorHAnsi" w:hAnsiTheme="minorHAnsi"/>
          <w:lang w:val="es-ES"/>
        </w:rPr>
        <w:t xml:space="preserve"> la CE</w:t>
      </w:r>
      <w:r w:rsidR="0022396C" w:rsidRPr="007E2902">
        <w:rPr>
          <w:rFonts w:asciiTheme="minorHAnsi" w:hAnsiTheme="minorHAnsi"/>
          <w:lang w:val="es-ES"/>
        </w:rPr>
        <w:t xml:space="preserve"> </w:t>
      </w:r>
      <w:r w:rsidR="0002627E" w:rsidRPr="007E2902">
        <w:rPr>
          <w:rFonts w:asciiTheme="minorHAnsi" w:hAnsiTheme="minorHAnsi"/>
          <w:lang w:val="es-ES"/>
        </w:rPr>
        <w:t>6 del UIT-R el</w:t>
      </w:r>
      <w:r w:rsidR="0046791C" w:rsidRPr="007E2902">
        <w:rPr>
          <w:rFonts w:asciiTheme="minorHAnsi" w:hAnsiTheme="minorHAnsi"/>
          <w:lang w:val="es-ES"/>
        </w:rPr>
        <w:t xml:space="preserve"> 4 de abril de 2014</w:t>
      </w:r>
      <w:r w:rsidR="005B66A9" w:rsidRPr="007E2902">
        <w:rPr>
          <w:rFonts w:asciiTheme="minorHAnsi" w:hAnsiTheme="minorHAnsi"/>
          <w:lang w:val="es-ES"/>
        </w:rPr>
        <w:t xml:space="preserve">. </w:t>
      </w:r>
    </w:p>
    <w:p w:rsidR="0046791C" w:rsidRPr="007E2902" w:rsidRDefault="00C34772" w:rsidP="002E6179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bCs/>
          <w:lang w:val="es-ES"/>
        </w:rPr>
        <w:t>2</w:t>
      </w:r>
      <w:r w:rsidRPr="007E2902">
        <w:rPr>
          <w:rFonts w:asciiTheme="minorHAnsi" w:hAnsiTheme="minorHAnsi"/>
          <w:lang w:val="es-ES"/>
        </w:rPr>
        <w:tab/>
      </w:r>
      <w:r w:rsidR="0046791C" w:rsidRPr="007E2902">
        <w:rPr>
          <w:rFonts w:asciiTheme="minorHAnsi" w:hAnsiTheme="minorHAnsi"/>
          <w:lang w:val="es-ES"/>
        </w:rPr>
        <w:t>El GRI-IBB</w:t>
      </w:r>
      <w:r w:rsidR="005B66A9" w:rsidRPr="007E2902">
        <w:rPr>
          <w:rFonts w:asciiTheme="minorHAnsi" w:hAnsiTheme="minorHAnsi"/>
          <w:lang w:val="es-ES"/>
        </w:rPr>
        <w:t xml:space="preserve"> estudiará temas relacionados con</w:t>
      </w:r>
      <w:r w:rsidR="0046791C" w:rsidRPr="007E2902">
        <w:rPr>
          <w:rFonts w:asciiTheme="minorHAnsi" w:hAnsiTheme="minorHAnsi"/>
          <w:lang w:val="es-ES"/>
        </w:rPr>
        <w:t xml:space="preserve"> los sistemas de radiodifusión y banda ancha integradas (IBB). Dichos sistemas </w:t>
      </w:r>
      <w:r w:rsidR="0022396C" w:rsidRPr="007E2902">
        <w:rPr>
          <w:rFonts w:asciiTheme="minorHAnsi" w:hAnsiTheme="minorHAnsi"/>
          <w:lang w:val="es-ES"/>
        </w:rPr>
        <w:t xml:space="preserve">se basan </w:t>
      </w:r>
      <w:r w:rsidR="00D82A4C" w:rsidRPr="007E2902">
        <w:rPr>
          <w:rFonts w:asciiTheme="minorHAnsi" w:hAnsiTheme="minorHAnsi"/>
          <w:lang w:val="es-ES"/>
        </w:rPr>
        <w:t>en la</w:t>
      </w:r>
      <w:r w:rsidR="00D82A4C" w:rsidRPr="007E2902">
        <w:rPr>
          <w:rFonts w:asciiTheme="minorHAnsi" w:hAnsiTheme="minorHAnsi"/>
          <w:color w:val="000000"/>
          <w:lang w:val="es-ES"/>
        </w:rPr>
        <w:t xml:space="preserve"> combinación de</w:t>
      </w:r>
      <w:r w:rsidR="0022396C" w:rsidRPr="007E2902">
        <w:rPr>
          <w:rFonts w:asciiTheme="minorHAnsi" w:hAnsiTheme="minorHAnsi"/>
          <w:color w:val="000000"/>
          <w:lang w:val="es-ES"/>
        </w:rPr>
        <w:t xml:space="preserve"> tecnologías de banda ancha y</w:t>
      </w:r>
      <w:r w:rsidR="00D82A4C" w:rsidRPr="007E2902">
        <w:rPr>
          <w:rFonts w:asciiTheme="minorHAnsi" w:hAnsiTheme="minorHAnsi"/>
          <w:color w:val="000000"/>
          <w:lang w:val="es-ES"/>
        </w:rPr>
        <w:t xml:space="preserve"> diferentes servicios de radiodifusión, tales como la radiodifusión </w:t>
      </w:r>
      <w:r w:rsidR="003A2E5C" w:rsidRPr="007E2902">
        <w:rPr>
          <w:rFonts w:asciiTheme="minorHAnsi" w:hAnsiTheme="minorHAnsi"/>
          <w:color w:val="000000"/>
          <w:lang w:val="es-ES"/>
        </w:rPr>
        <w:t>por ondas hertzianas</w:t>
      </w:r>
      <w:r w:rsidR="00D82A4C" w:rsidRPr="007E2902">
        <w:rPr>
          <w:rFonts w:asciiTheme="minorHAnsi" w:hAnsiTheme="minorHAnsi"/>
          <w:color w:val="000000"/>
          <w:lang w:val="es-ES"/>
        </w:rPr>
        <w:t xml:space="preserve"> y por cable</w:t>
      </w:r>
      <w:r w:rsidR="0022396C" w:rsidRPr="007E2902">
        <w:rPr>
          <w:rFonts w:asciiTheme="minorHAnsi" w:hAnsiTheme="minorHAnsi"/>
          <w:color w:val="000000"/>
          <w:lang w:val="es-ES"/>
        </w:rPr>
        <w:t>. Además, utilizan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 distintos</w:t>
      </w:r>
      <w:r w:rsidR="0046791C" w:rsidRPr="007E2902">
        <w:rPr>
          <w:rFonts w:asciiTheme="minorHAnsi" w:hAnsiTheme="minorHAnsi"/>
          <w:lang w:val="es-ES"/>
        </w:rPr>
        <w:t xml:space="preserve"> </w:t>
      </w:r>
      <w:r w:rsidR="0046791C" w:rsidRPr="007E2902">
        <w:rPr>
          <w:rStyle w:val="hps"/>
          <w:rFonts w:asciiTheme="minorHAnsi" w:hAnsiTheme="minorHAnsi"/>
          <w:lang w:val="es-ES"/>
        </w:rPr>
        <w:t xml:space="preserve">dispositivos 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múltiples </w:t>
      </w:r>
      <w:r w:rsidR="0046791C" w:rsidRPr="007E2902">
        <w:rPr>
          <w:rStyle w:val="hps"/>
          <w:rFonts w:asciiTheme="minorHAnsi" w:hAnsiTheme="minorHAnsi"/>
          <w:lang w:val="es-ES"/>
        </w:rPr>
        <w:t>para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 presentar los contenidos con eficacia y permitir </w:t>
      </w:r>
      <w:r w:rsidR="0046791C" w:rsidRPr="007E2902">
        <w:rPr>
          <w:rStyle w:val="hps"/>
          <w:rFonts w:asciiTheme="minorHAnsi" w:hAnsiTheme="minorHAnsi"/>
          <w:lang w:val="es-ES"/>
        </w:rPr>
        <w:t>la interactividad de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 </w:t>
      </w:r>
      <w:r w:rsidR="0046791C" w:rsidRPr="007E2902">
        <w:rPr>
          <w:rStyle w:val="hps"/>
          <w:rFonts w:asciiTheme="minorHAnsi" w:hAnsiTheme="minorHAnsi"/>
          <w:lang w:val="es-ES"/>
        </w:rPr>
        <w:t>l</w:t>
      </w:r>
      <w:r w:rsidR="0022396C" w:rsidRPr="007E2902">
        <w:rPr>
          <w:rStyle w:val="hps"/>
          <w:rFonts w:asciiTheme="minorHAnsi" w:hAnsiTheme="minorHAnsi"/>
          <w:lang w:val="es-ES"/>
        </w:rPr>
        <w:t>os</w:t>
      </w:r>
      <w:r w:rsidR="0046791C" w:rsidRPr="007E2902">
        <w:rPr>
          <w:rStyle w:val="hps"/>
          <w:rFonts w:asciiTheme="minorHAnsi" w:hAnsiTheme="minorHAnsi"/>
          <w:lang w:val="es-ES"/>
        </w:rPr>
        <w:t xml:space="preserve"> usuario</w:t>
      </w:r>
      <w:r w:rsidR="0022396C" w:rsidRPr="007E2902">
        <w:rPr>
          <w:rStyle w:val="hps"/>
          <w:rFonts w:asciiTheme="minorHAnsi" w:hAnsiTheme="minorHAnsi"/>
          <w:lang w:val="es-ES"/>
        </w:rPr>
        <w:t>s</w:t>
      </w:r>
      <w:r w:rsidR="0046791C" w:rsidRPr="007E2902">
        <w:rPr>
          <w:rFonts w:asciiTheme="minorHAnsi" w:hAnsiTheme="minorHAnsi"/>
          <w:lang w:val="es-ES"/>
        </w:rPr>
        <w:t>.</w:t>
      </w:r>
      <w:r w:rsidR="002D19FF" w:rsidRPr="007E2902">
        <w:rPr>
          <w:rFonts w:asciiTheme="minorHAnsi" w:hAnsiTheme="minorHAnsi"/>
          <w:lang w:val="es-ES"/>
        </w:rPr>
        <w:t xml:space="preserve"> Los sistemas</w:t>
      </w:r>
      <w:r w:rsidR="003A2E5C" w:rsidRPr="007E2902">
        <w:rPr>
          <w:rFonts w:asciiTheme="minorHAnsi" w:hAnsiTheme="minorHAnsi"/>
          <w:lang w:val="es-ES"/>
        </w:rPr>
        <w:t xml:space="preserve"> IBB </w:t>
      </w:r>
      <w:r w:rsidR="007B0602" w:rsidRPr="007E2902">
        <w:rPr>
          <w:rFonts w:asciiTheme="minorHAnsi" w:hAnsiTheme="minorHAnsi"/>
          <w:lang w:val="es-ES"/>
        </w:rPr>
        <w:t xml:space="preserve">proporcionan </w:t>
      </w:r>
      <w:r w:rsidR="003A2E5C" w:rsidRPr="007E2902">
        <w:rPr>
          <w:rFonts w:asciiTheme="minorHAnsi" w:hAnsiTheme="minorHAnsi"/>
          <w:lang w:val="es-ES"/>
        </w:rPr>
        <w:t>una</w:t>
      </w:r>
      <w:r w:rsidR="0046791C" w:rsidRPr="007E2902">
        <w:rPr>
          <w:rFonts w:asciiTheme="minorHAnsi" w:hAnsiTheme="minorHAnsi"/>
          <w:lang w:val="es-ES"/>
        </w:rPr>
        <w:t xml:space="preserve"> </w:t>
      </w:r>
      <w:r w:rsidR="003A2E5C" w:rsidRPr="007E2902">
        <w:rPr>
          <w:rFonts w:asciiTheme="minorHAnsi" w:hAnsiTheme="minorHAnsi"/>
          <w:lang w:val="es-ES"/>
        </w:rPr>
        <w:t>a</w:t>
      </w:r>
      <w:r w:rsidR="0046791C" w:rsidRPr="007E2902">
        <w:rPr>
          <w:rStyle w:val="hps"/>
          <w:rFonts w:asciiTheme="minorHAnsi" w:hAnsiTheme="minorHAnsi"/>
          <w:lang w:val="es-ES"/>
        </w:rPr>
        <w:t>mplia gama de servicios</w:t>
      </w:r>
      <w:r w:rsidR="0046791C" w:rsidRPr="007E2902">
        <w:rPr>
          <w:rFonts w:asciiTheme="minorHAnsi" w:hAnsiTheme="minorHAnsi"/>
          <w:lang w:val="es-ES"/>
        </w:rPr>
        <w:t>.</w:t>
      </w:r>
      <w:r w:rsidR="003A2E5C" w:rsidRPr="007E2902">
        <w:rPr>
          <w:rFonts w:asciiTheme="minorHAnsi" w:hAnsiTheme="minorHAnsi"/>
          <w:lang w:val="es-ES"/>
        </w:rPr>
        <w:t xml:space="preserve"> Habida cuenta de</w:t>
      </w:r>
      <w:r w:rsidR="001B7914" w:rsidRPr="007E2902">
        <w:rPr>
          <w:rFonts w:asciiTheme="minorHAnsi" w:hAnsiTheme="minorHAnsi"/>
          <w:lang w:val="es-ES"/>
        </w:rPr>
        <w:t xml:space="preserve"> la variedad tecnológica de la que se dispone</w:t>
      </w:r>
      <w:r w:rsidR="0046791C" w:rsidRPr="007E2902">
        <w:rPr>
          <w:rStyle w:val="hps"/>
          <w:rFonts w:asciiTheme="minorHAnsi" w:hAnsiTheme="minorHAnsi"/>
          <w:lang w:val="es-ES"/>
        </w:rPr>
        <w:t xml:space="preserve"> para</w:t>
      </w:r>
      <w:r w:rsidR="00FE62FD" w:rsidRPr="007E2902">
        <w:rPr>
          <w:rStyle w:val="hps"/>
          <w:rFonts w:asciiTheme="minorHAnsi" w:hAnsiTheme="minorHAnsi"/>
          <w:lang w:val="es-ES"/>
        </w:rPr>
        <w:t xml:space="preserve"> obtener el</w:t>
      </w:r>
      <w:r w:rsidR="001B7914" w:rsidRPr="007E2902">
        <w:rPr>
          <w:rStyle w:val="hps"/>
          <w:rFonts w:asciiTheme="minorHAnsi" w:hAnsiTheme="minorHAnsi"/>
          <w:lang w:val="es-ES"/>
        </w:rPr>
        <w:t xml:space="preserve"> comportamiento de</w:t>
      </w:r>
      <w:r w:rsidR="0046791C" w:rsidRPr="007E2902">
        <w:rPr>
          <w:rStyle w:val="hps"/>
          <w:rFonts w:asciiTheme="minorHAnsi" w:hAnsiTheme="minorHAnsi"/>
          <w:lang w:val="es-ES"/>
        </w:rPr>
        <w:t xml:space="preserve"> sistema</w:t>
      </w:r>
      <w:r w:rsidR="0046791C" w:rsidRPr="007E2902">
        <w:rPr>
          <w:rFonts w:asciiTheme="minorHAnsi" w:hAnsiTheme="minorHAnsi"/>
          <w:lang w:val="es-ES"/>
        </w:rPr>
        <w:t xml:space="preserve"> </w:t>
      </w:r>
      <w:r w:rsidR="0046791C" w:rsidRPr="007E2902">
        <w:rPr>
          <w:rStyle w:val="hps"/>
          <w:rFonts w:asciiTheme="minorHAnsi" w:hAnsiTheme="minorHAnsi"/>
          <w:lang w:val="es-ES"/>
        </w:rPr>
        <w:t>requerido</w:t>
      </w:r>
      <w:r w:rsidR="0046791C" w:rsidRPr="007E2902">
        <w:rPr>
          <w:rFonts w:asciiTheme="minorHAnsi" w:hAnsiTheme="minorHAnsi"/>
          <w:lang w:val="es-ES"/>
        </w:rPr>
        <w:t xml:space="preserve">, </w:t>
      </w:r>
      <w:r w:rsidR="00FE62FD" w:rsidRPr="007E2902">
        <w:rPr>
          <w:rStyle w:val="hps"/>
          <w:rFonts w:asciiTheme="minorHAnsi" w:hAnsiTheme="minorHAnsi"/>
          <w:lang w:val="es-ES"/>
        </w:rPr>
        <w:t>se puede</w:t>
      </w:r>
      <w:r w:rsidR="0022396C" w:rsidRPr="007E2902">
        <w:rPr>
          <w:rStyle w:val="hps"/>
          <w:rFonts w:asciiTheme="minorHAnsi" w:hAnsiTheme="minorHAnsi"/>
          <w:lang w:val="es-ES"/>
        </w:rPr>
        <w:t>n</w:t>
      </w:r>
      <w:r w:rsidR="00FE62FD" w:rsidRPr="007E2902">
        <w:rPr>
          <w:rStyle w:val="hps"/>
          <w:rFonts w:asciiTheme="minorHAnsi" w:hAnsiTheme="minorHAnsi"/>
          <w:lang w:val="es-ES"/>
        </w:rPr>
        <w:t xml:space="preserve"> utilizar t</w:t>
      </w:r>
      <w:r w:rsidR="0046791C" w:rsidRPr="007E2902">
        <w:rPr>
          <w:rStyle w:val="hps"/>
          <w:rFonts w:asciiTheme="minorHAnsi" w:hAnsiTheme="minorHAnsi"/>
          <w:lang w:val="es-ES"/>
        </w:rPr>
        <w:t>ecnologías similares</w:t>
      </w:r>
      <w:r w:rsidR="0046791C" w:rsidRPr="007E2902">
        <w:rPr>
          <w:rFonts w:asciiTheme="minorHAnsi" w:hAnsiTheme="minorHAnsi"/>
          <w:lang w:val="es-ES"/>
        </w:rPr>
        <w:t xml:space="preserve"> </w:t>
      </w:r>
      <w:r w:rsidR="0046791C" w:rsidRPr="007E2902">
        <w:rPr>
          <w:rStyle w:val="hps"/>
          <w:rFonts w:asciiTheme="minorHAnsi" w:hAnsiTheme="minorHAnsi"/>
          <w:lang w:val="es-ES"/>
        </w:rPr>
        <w:t>pero</w:t>
      </w:r>
      <w:r w:rsidR="0046791C" w:rsidRPr="007E2902">
        <w:rPr>
          <w:rFonts w:asciiTheme="minorHAnsi" w:hAnsiTheme="minorHAnsi"/>
          <w:lang w:val="es-ES"/>
        </w:rPr>
        <w:t xml:space="preserve"> </w:t>
      </w:r>
      <w:r w:rsidR="0046791C" w:rsidRPr="007E2902">
        <w:rPr>
          <w:rStyle w:val="hps"/>
          <w:rFonts w:asciiTheme="minorHAnsi" w:hAnsiTheme="minorHAnsi"/>
          <w:lang w:val="es-ES"/>
        </w:rPr>
        <w:t>di</w:t>
      </w:r>
      <w:r w:rsidR="00FE62FD" w:rsidRPr="007E2902">
        <w:rPr>
          <w:rStyle w:val="hps"/>
          <w:rFonts w:asciiTheme="minorHAnsi" w:hAnsiTheme="minorHAnsi"/>
          <w:lang w:val="es-ES"/>
        </w:rPr>
        <w:t>ferentes</w:t>
      </w:r>
      <w:r w:rsidR="0046791C" w:rsidRPr="007E2902">
        <w:rPr>
          <w:rStyle w:val="hps"/>
          <w:rFonts w:asciiTheme="minorHAnsi" w:hAnsiTheme="minorHAnsi"/>
          <w:lang w:val="es-ES"/>
        </w:rPr>
        <w:t xml:space="preserve"> para</w:t>
      </w:r>
      <w:r w:rsidR="00FE62FD" w:rsidRPr="007E2902">
        <w:rPr>
          <w:rStyle w:val="hps"/>
          <w:rFonts w:asciiTheme="minorHAnsi" w:hAnsiTheme="minorHAnsi"/>
          <w:lang w:val="es-ES"/>
        </w:rPr>
        <w:t xml:space="preserve"> la consecución de un mismo objetivo, o una</w:t>
      </w:r>
      <w:r w:rsidR="0046791C" w:rsidRPr="007E2902">
        <w:rPr>
          <w:rStyle w:val="hps"/>
          <w:rFonts w:asciiTheme="minorHAnsi" w:hAnsiTheme="minorHAnsi"/>
          <w:lang w:val="es-ES"/>
        </w:rPr>
        <w:t xml:space="preserve"> tecnología</w:t>
      </w:r>
      <w:r w:rsidR="00FE62FD" w:rsidRPr="007E2902">
        <w:rPr>
          <w:rStyle w:val="hps"/>
          <w:rFonts w:asciiTheme="minorHAnsi" w:hAnsiTheme="minorHAnsi"/>
          <w:lang w:val="es-ES"/>
        </w:rPr>
        <w:t xml:space="preserve"> que persiga 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un </w:t>
      </w:r>
      <w:r w:rsidR="0046791C" w:rsidRPr="007E2902">
        <w:rPr>
          <w:rStyle w:val="hps"/>
          <w:rFonts w:asciiTheme="minorHAnsi" w:hAnsiTheme="minorHAnsi"/>
          <w:lang w:val="es-ES"/>
        </w:rPr>
        <w:t>propósito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 distinto</w:t>
      </w:r>
      <w:r w:rsidR="0046791C" w:rsidRPr="007E2902">
        <w:rPr>
          <w:rFonts w:asciiTheme="minorHAnsi" w:hAnsiTheme="minorHAnsi"/>
          <w:lang w:val="es-ES"/>
        </w:rPr>
        <w:t xml:space="preserve">. </w:t>
      </w:r>
      <w:r w:rsidR="000856BB" w:rsidRPr="007E2902">
        <w:rPr>
          <w:rStyle w:val="hps"/>
          <w:rFonts w:asciiTheme="minorHAnsi" w:hAnsiTheme="minorHAnsi"/>
          <w:lang w:val="es-ES"/>
        </w:rPr>
        <w:t>Siempre que sea posible, deberían utilizarse sistemas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 cuya complejidad sea</w:t>
      </w:r>
      <w:r w:rsidR="000856BB" w:rsidRPr="007E2902">
        <w:rPr>
          <w:rStyle w:val="hps"/>
          <w:rFonts w:asciiTheme="minorHAnsi" w:hAnsiTheme="minorHAnsi"/>
          <w:lang w:val="es-ES"/>
        </w:rPr>
        <w:t xml:space="preserve"> semejante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 o moderada</w:t>
      </w:r>
      <w:r w:rsidR="000856BB" w:rsidRPr="007E2902">
        <w:rPr>
          <w:rStyle w:val="hps"/>
          <w:rFonts w:asciiTheme="minorHAnsi" w:hAnsiTheme="minorHAnsi"/>
          <w:lang w:val="es-ES"/>
        </w:rPr>
        <w:t xml:space="preserve">, a fin de evitar la proliferación de normas </w:t>
      </w:r>
      <w:r w:rsidR="002E6179" w:rsidRPr="007E2902">
        <w:rPr>
          <w:rStyle w:val="hps"/>
          <w:rFonts w:asciiTheme="minorHAnsi" w:hAnsiTheme="minorHAnsi"/>
          <w:lang w:val="es-ES"/>
        </w:rPr>
        <w:t>a ese respecto</w:t>
      </w:r>
      <w:r w:rsidR="0022396C" w:rsidRPr="007E2902">
        <w:rPr>
          <w:rStyle w:val="hps"/>
          <w:rFonts w:asciiTheme="minorHAnsi" w:hAnsiTheme="minorHAnsi"/>
          <w:lang w:val="es-ES"/>
        </w:rPr>
        <w:t xml:space="preserve"> y, por consiguiente, </w:t>
      </w:r>
      <w:r w:rsidR="000856BB" w:rsidRPr="007E2902">
        <w:rPr>
          <w:rStyle w:val="hps"/>
          <w:rFonts w:asciiTheme="minorHAnsi" w:hAnsiTheme="minorHAnsi"/>
          <w:lang w:val="es-ES"/>
        </w:rPr>
        <w:t>evitar o mitigar la fragmentación del mercado de receptores y servicios.</w:t>
      </w:r>
    </w:p>
    <w:p w:rsidR="00FE62FD" w:rsidRPr="007E2902" w:rsidRDefault="00FE62FD" w:rsidP="00FE62FD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Este GRI estudiará temas relacionados con los sistemas de radiodifusión y banda ancha integradas, con el objetivo de elaborar Recomendaciones y otros materiales sin carácter normativo, según corresponda.</w:t>
      </w:r>
    </w:p>
    <w:p w:rsidR="00FE62FD" w:rsidRPr="007E2902" w:rsidRDefault="0022396C" w:rsidP="00FE62FD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Su</w:t>
      </w:r>
      <w:r w:rsidR="00FE62FD" w:rsidRPr="007E2902">
        <w:rPr>
          <w:rFonts w:asciiTheme="minorHAnsi" w:hAnsiTheme="minorHAnsi"/>
          <w:lang w:val="es-ES"/>
        </w:rPr>
        <w:t>s ámbitos de estudio incluyen:</w:t>
      </w:r>
    </w:p>
    <w:p w:rsidR="00FE62FD" w:rsidRPr="007E2902" w:rsidRDefault="00960EA3" w:rsidP="00960EA3">
      <w:pPr>
        <w:pStyle w:val="enumlev1"/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–</w:t>
      </w:r>
      <w:r w:rsidRPr="007E2902">
        <w:rPr>
          <w:rFonts w:asciiTheme="minorHAnsi" w:hAnsiTheme="minorHAnsi"/>
          <w:lang w:val="es-ES"/>
        </w:rPr>
        <w:tab/>
      </w:r>
      <w:r w:rsidR="00FE62FD" w:rsidRPr="007E2902">
        <w:rPr>
          <w:rFonts w:asciiTheme="minorHAnsi" w:hAnsiTheme="minorHAnsi"/>
          <w:lang w:val="es-ES"/>
        </w:rPr>
        <w:t xml:space="preserve">la coordinación de los avances sobre temas específicos de interés mutuo, limitados al ámbito de los sistemas de radiodifusión y banda ancha integradas, </w:t>
      </w:r>
      <w:r w:rsidR="0048793E" w:rsidRPr="007E2902">
        <w:rPr>
          <w:rFonts w:asciiTheme="minorHAnsi" w:hAnsiTheme="minorHAnsi"/>
          <w:lang w:val="es-ES"/>
        </w:rPr>
        <w:t>incluidos</w:t>
      </w:r>
      <w:r w:rsidR="00FE62FD" w:rsidRPr="007E2902">
        <w:rPr>
          <w:rFonts w:asciiTheme="minorHAnsi" w:hAnsiTheme="minorHAnsi"/>
          <w:lang w:val="es-ES"/>
        </w:rPr>
        <w:t>, entre otros:</w:t>
      </w:r>
    </w:p>
    <w:p w:rsidR="002D19FF" w:rsidRPr="007E2902" w:rsidRDefault="00960EA3" w:rsidP="00960EA3">
      <w:pPr>
        <w:pStyle w:val="enumlev2"/>
        <w:rPr>
          <w:rFonts w:ascii="Calibri" w:hAnsi="Calibri"/>
          <w:lang w:val="es-ES"/>
        </w:rPr>
      </w:pPr>
      <w:r w:rsidRPr="007E2902">
        <w:rPr>
          <w:rFonts w:ascii="Calibri" w:hAnsi="Calibri"/>
          <w:lang w:val="es-ES"/>
        </w:rPr>
        <w:t>•</w:t>
      </w:r>
      <w:r w:rsidRPr="007E2902">
        <w:rPr>
          <w:rFonts w:ascii="Calibri" w:hAnsi="Calibri"/>
          <w:lang w:val="es-ES"/>
        </w:rPr>
        <w:tab/>
      </w:r>
      <w:proofErr w:type="gramStart"/>
      <w:r w:rsidR="00FE62FD" w:rsidRPr="007E2902">
        <w:rPr>
          <w:rFonts w:ascii="Calibri" w:hAnsi="Calibri"/>
          <w:lang w:val="es-ES"/>
        </w:rPr>
        <w:t>la</w:t>
      </w:r>
      <w:proofErr w:type="gramEnd"/>
      <w:r w:rsidR="00FE62FD" w:rsidRPr="007E2902">
        <w:rPr>
          <w:rFonts w:ascii="Calibri" w:hAnsi="Calibri"/>
          <w:lang w:val="es-ES"/>
        </w:rPr>
        <w:t xml:space="preserve"> identificación de posibles temas de trabajo que puedan evolucionar de manera conjunta para acabar convirtiéndose en Recomendaciones UIT-T y/o UIT-R;</w:t>
      </w:r>
      <w:r w:rsidR="0048793E" w:rsidRPr="007E2902">
        <w:rPr>
          <w:rFonts w:ascii="Calibri" w:hAnsi="Calibri"/>
          <w:lang w:val="es-ES"/>
        </w:rPr>
        <w:t xml:space="preserve"> y</w:t>
      </w:r>
    </w:p>
    <w:p w:rsidR="00FE62FD" w:rsidRPr="007E2902" w:rsidRDefault="00960EA3" w:rsidP="00960EA3">
      <w:pPr>
        <w:pStyle w:val="enumlev2"/>
        <w:rPr>
          <w:rFonts w:ascii="Calibri" w:hAnsi="Calibri"/>
          <w:lang w:val="es-ES"/>
        </w:rPr>
      </w:pPr>
      <w:r w:rsidRPr="007E2902">
        <w:rPr>
          <w:rFonts w:ascii="Calibri" w:hAnsi="Calibri"/>
          <w:lang w:val="es-ES"/>
        </w:rPr>
        <w:lastRenderedPageBreak/>
        <w:t>•</w:t>
      </w:r>
      <w:r w:rsidRPr="007E2902">
        <w:rPr>
          <w:rFonts w:ascii="Calibri" w:hAnsi="Calibri"/>
          <w:lang w:val="es-ES"/>
        </w:rPr>
        <w:tab/>
      </w:r>
      <w:proofErr w:type="gramStart"/>
      <w:r w:rsidR="002D19FF" w:rsidRPr="007E2902">
        <w:rPr>
          <w:rFonts w:ascii="Calibri" w:hAnsi="Calibri"/>
          <w:lang w:val="es-ES"/>
        </w:rPr>
        <w:t>el</w:t>
      </w:r>
      <w:proofErr w:type="gramEnd"/>
      <w:r w:rsidR="002D19FF" w:rsidRPr="007E2902">
        <w:rPr>
          <w:rFonts w:ascii="Calibri" w:hAnsi="Calibri"/>
          <w:lang w:val="es-ES"/>
        </w:rPr>
        <w:t xml:space="preserve"> análisis de los sistemas IBB existentes</w:t>
      </w:r>
      <w:r w:rsidR="0048793E" w:rsidRPr="007E2902">
        <w:rPr>
          <w:rFonts w:ascii="Calibri" w:hAnsi="Calibri"/>
          <w:lang w:val="es-ES"/>
        </w:rPr>
        <w:t>,</w:t>
      </w:r>
      <w:r w:rsidR="002D19FF" w:rsidRPr="007E2902">
        <w:rPr>
          <w:rFonts w:ascii="Calibri" w:hAnsi="Calibri"/>
          <w:lang w:val="es-ES"/>
        </w:rPr>
        <w:t xml:space="preserve"> desde la perspectiva de </w:t>
      </w:r>
      <w:r w:rsidR="002D19FF" w:rsidRPr="007E2902">
        <w:rPr>
          <w:rStyle w:val="hps"/>
          <w:rFonts w:ascii="Calibri" w:hAnsi="Calibri"/>
          <w:lang w:val="es-ES"/>
        </w:rPr>
        <w:t>las Recomendaciones UIT</w:t>
      </w:r>
      <w:r w:rsidR="002D19FF" w:rsidRPr="007E2902">
        <w:rPr>
          <w:rFonts w:ascii="Calibri" w:hAnsi="Calibri"/>
          <w:lang w:val="es-ES"/>
        </w:rPr>
        <w:t xml:space="preserve">-T </w:t>
      </w:r>
      <w:r w:rsidR="002D19FF" w:rsidRPr="007E2902">
        <w:rPr>
          <w:rStyle w:val="hps"/>
          <w:rFonts w:ascii="Calibri" w:hAnsi="Calibri"/>
          <w:lang w:val="es-ES"/>
        </w:rPr>
        <w:t>J.205</w:t>
      </w:r>
      <w:r w:rsidR="002D19FF" w:rsidRPr="007E2902">
        <w:rPr>
          <w:rFonts w:ascii="Calibri" w:hAnsi="Calibri"/>
          <w:lang w:val="es-ES"/>
        </w:rPr>
        <w:t xml:space="preserve"> </w:t>
      </w:r>
      <w:r w:rsidR="002D19FF" w:rsidRPr="007E2902">
        <w:rPr>
          <w:rStyle w:val="hps"/>
          <w:rFonts w:ascii="Calibri" w:hAnsi="Calibri"/>
          <w:lang w:val="es-ES"/>
        </w:rPr>
        <w:t>y UIT-</w:t>
      </w:r>
      <w:r w:rsidR="002D19FF" w:rsidRPr="007E2902">
        <w:rPr>
          <w:rFonts w:ascii="Calibri" w:hAnsi="Calibri"/>
          <w:lang w:val="es-ES"/>
        </w:rPr>
        <w:t xml:space="preserve">R </w:t>
      </w:r>
      <w:r w:rsidR="002D19FF" w:rsidRPr="007E2902">
        <w:rPr>
          <w:rStyle w:val="hps"/>
          <w:rFonts w:ascii="Calibri" w:hAnsi="Calibri"/>
          <w:lang w:val="es-ES"/>
        </w:rPr>
        <w:t>BT.2053</w:t>
      </w:r>
      <w:r w:rsidR="00FE62FD" w:rsidRPr="007E2902">
        <w:rPr>
          <w:rFonts w:ascii="Calibri" w:hAnsi="Calibri"/>
          <w:lang w:val="es-ES"/>
        </w:rPr>
        <w:t xml:space="preserve">. También deberían considerarse los </w:t>
      </w:r>
      <w:r w:rsidR="002D19FF" w:rsidRPr="007E2902">
        <w:rPr>
          <w:rFonts w:ascii="Calibri" w:hAnsi="Calibri"/>
          <w:lang w:val="es-ES"/>
        </w:rPr>
        <w:t xml:space="preserve">elementos comunes de la definición y </w:t>
      </w:r>
      <w:r w:rsidR="000856BB" w:rsidRPr="007E2902">
        <w:rPr>
          <w:rFonts w:ascii="Calibri" w:hAnsi="Calibri"/>
          <w:lang w:val="es-ES"/>
        </w:rPr>
        <w:t>el</w:t>
      </w:r>
      <w:r w:rsidR="002D19FF" w:rsidRPr="007E2902">
        <w:rPr>
          <w:rFonts w:ascii="Calibri" w:hAnsi="Calibri"/>
          <w:lang w:val="es-ES"/>
        </w:rPr>
        <w:t xml:space="preserve"> com</w:t>
      </w:r>
      <w:r w:rsidR="000856BB" w:rsidRPr="007E2902">
        <w:rPr>
          <w:rFonts w:ascii="Calibri" w:hAnsi="Calibri"/>
          <w:lang w:val="es-ES"/>
        </w:rPr>
        <w:t>portamiento</w:t>
      </w:r>
      <w:r w:rsidR="002D19FF" w:rsidRPr="007E2902">
        <w:rPr>
          <w:rFonts w:ascii="Calibri" w:hAnsi="Calibri"/>
          <w:lang w:val="es-ES"/>
        </w:rPr>
        <w:t xml:space="preserve"> de</w:t>
      </w:r>
      <w:r w:rsidR="001B7914" w:rsidRPr="007E2902">
        <w:rPr>
          <w:rFonts w:ascii="Calibri" w:hAnsi="Calibri"/>
          <w:lang w:val="es-ES"/>
        </w:rPr>
        <w:t xml:space="preserve"> </w:t>
      </w:r>
      <w:r w:rsidR="002D19FF" w:rsidRPr="007E2902">
        <w:rPr>
          <w:rFonts w:ascii="Calibri" w:hAnsi="Calibri"/>
          <w:lang w:val="es-ES"/>
        </w:rPr>
        <w:t>l</w:t>
      </w:r>
      <w:r w:rsidR="001B7914" w:rsidRPr="007E2902">
        <w:rPr>
          <w:rFonts w:ascii="Calibri" w:hAnsi="Calibri"/>
          <w:lang w:val="es-ES"/>
        </w:rPr>
        <w:t>os</w:t>
      </w:r>
      <w:r w:rsidR="002D19FF" w:rsidRPr="007E2902">
        <w:rPr>
          <w:rFonts w:ascii="Calibri" w:hAnsi="Calibri"/>
          <w:lang w:val="es-ES"/>
        </w:rPr>
        <w:t xml:space="preserve"> sistema</w:t>
      </w:r>
      <w:r w:rsidR="001B7914" w:rsidRPr="007E2902">
        <w:rPr>
          <w:rFonts w:ascii="Calibri" w:hAnsi="Calibri"/>
          <w:lang w:val="es-ES"/>
        </w:rPr>
        <w:t>s</w:t>
      </w:r>
      <w:r w:rsidR="002D19FF" w:rsidRPr="007E2902">
        <w:rPr>
          <w:rFonts w:ascii="Calibri" w:hAnsi="Calibri"/>
          <w:lang w:val="es-ES"/>
        </w:rPr>
        <w:t>.</w:t>
      </w:r>
    </w:p>
    <w:p w:rsidR="00FE62FD" w:rsidRPr="007E2902" w:rsidRDefault="002D19FF" w:rsidP="002D19FF">
      <w:pPr>
        <w:rPr>
          <w:rFonts w:ascii="Calibri" w:hAnsi="Calibri"/>
          <w:lang w:val="es-ES"/>
        </w:rPr>
      </w:pPr>
      <w:r w:rsidRPr="007E2902">
        <w:rPr>
          <w:rFonts w:ascii="Calibri" w:hAnsi="Calibri"/>
          <w:lang w:val="es-ES"/>
        </w:rPr>
        <w:t xml:space="preserve">El GRI-IBB colaborará con otras organizaciones de normalización, cuando corresponda, y con otras organizaciones pertinentes que desarrollen o participen en el desarrollo de tecnologías conexas (por ejemplo foros y consorcios, centros de investigación e </w:t>
      </w:r>
      <w:r w:rsidR="00960EA3" w:rsidRPr="007E2902">
        <w:rPr>
          <w:rFonts w:ascii="Calibri" w:hAnsi="Calibri"/>
          <w:lang w:val="es-ES"/>
        </w:rPr>
        <w:t>Instituciones Académicas</w:t>
      </w:r>
      <w:r w:rsidRPr="007E2902">
        <w:rPr>
          <w:rFonts w:ascii="Calibri" w:hAnsi="Calibri"/>
          <w:lang w:val="es-ES"/>
        </w:rPr>
        <w:t>).</w:t>
      </w:r>
    </w:p>
    <w:p w:rsidR="002D19FF" w:rsidRPr="007E2902" w:rsidRDefault="0048793E" w:rsidP="0048793E">
      <w:pPr>
        <w:rPr>
          <w:rFonts w:ascii="Calibri" w:hAnsi="Calibri"/>
          <w:lang w:val="es-ES"/>
        </w:rPr>
      </w:pPr>
      <w:r w:rsidRPr="007E2902">
        <w:rPr>
          <w:rFonts w:ascii="Calibri" w:hAnsi="Calibri"/>
          <w:lang w:val="es-ES"/>
        </w:rPr>
        <w:t>El</w:t>
      </w:r>
      <w:r w:rsidR="002D19FF" w:rsidRPr="007E2902">
        <w:rPr>
          <w:rFonts w:ascii="Calibri" w:hAnsi="Calibri"/>
          <w:lang w:val="es-ES"/>
        </w:rPr>
        <w:t xml:space="preserve"> GRI-IBB hará hincapié en</w:t>
      </w:r>
      <w:r w:rsidR="002D19FF" w:rsidRPr="007E2902">
        <w:rPr>
          <w:rFonts w:ascii="Calibri" w:hAnsi="Calibri"/>
          <w:color w:val="000000"/>
          <w:lang w:val="es-ES"/>
        </w:rPr>
        <w:t xml:space="preserve"> la importancia de la participación a distancia y de</w:t>
      </w:r>
      <w:r w:rsidRPr="007E2902">
        <w:rPr>
          <w:rFonts w:ascii="Calibri" w:hAnsi="Calibri"/>
          <w:color w:val="000000"/>
          <w:lang w:val="es-ES"/>
        </w:rPr>
        <w:t xml:space="preserve"> la celebración de</w:t>
      </w:r>
      <w:r w:rsidR="002D19FF" w:rsidRPr="007E2902">
        <w:rPr>
          <w:rFonts w:ascii="Calibri" w:hAnsi="Calibri"/>
          <w:color w:val="000000"/>
          <w:lang w:val="es-ES"/>
        </w:rPr>
        <w:t xml:space="preserve"> </w:t>
      </w:r>
      <w:proofErr w:type="gramStart"/>
      <w:r w:rsidR="002D19FF" w:rsidRPr="007E2902">
        <w:rPr>
          <w:rFonts w:ascii="Calibri" w:hAnsi="Calibri"/>
          <w:color w:val="000000"/>
          <w:lang w:val="es-ES"/>
        </w:rPr>
        <w:t>reuniones</w:t>
      </w:r>
      <w:proofErr w:type="gramEnd"/>
      <w:r w:rsidR="002D19FF" w:rsidRPr="007E2902">
        <w:rPr>
          <w:rFonts w:ascii="Calibri" w:hAnsi="Calibri"/>
          <w:color w:val="000000"/>
          <w:lang w:val="es-ES"/>
        </w:rPr>
        <w:t xml:space="preserve"> </w:t>
      </w:r>
      <w:r w:rsidRPr="007E2902">
        <w:rPr>
          <w:rFonts w:ascii="Calibri" w:hAnsi="Calibri"/>
          <w:color w:val="000000"/>
          <w:lang w:val="es-ES"/>
        </w:rPr>
        <w:t>en un lugar común</w:t>
      </w:r>
      <w:r w:rsidR="002D19FF" w:rsidRPr="007E2902">
        <w:rPr>
          <w:rFonts w:ascii="Calibri" w:hAnsi="Calibri"/>
          <w:color w:val="000000"/>
          <w:lang w:val="es-ES"/>
        </w:rPr>
        <w:t xml:space="preserve"> (por ejemplo, con una reunión de una Comisión de Estudio o de un Grupo de Relator interino)</w:t>
      </w:r>
      <w:r w:rsidR="002D19FF" w:rsidRPr="007E2902">
        <w:rPr>
          <w:rFonts w:ascii="Calibri" w:hAnsi="Calibri"/>
          <w:lang w:val="es-ES"/>
        </w:rPr>
        <w:t>.</w:t>
      </w:r>
    </w:p>
    <w:p w:rsidR="002D19FF" w:rsidRPr="007E2902" w:rsidRDefault="002D19FF" w:rsidP="000A30CC">
      <w:pPr>
        <w:rPr>
          <w:rFonts w:ascii="Calibri" w:hAnsi="Calibri"/>
          <w:lang w:val="es-ES"/>
        </w:rPr>
      </w:pPr>
      <w:r w:rsidRPr="007E2902">
        <w:rPr>
          <w:rFonts w:ascii="Calibri" w:hAnsi="Calibri"/>
          <w:lang w:val="es-ES"/>
        </w:rPr>
        <w:t xml:space="preserve">La página web del GRI-IBB está disponible en la dirección </w:t>
      </w:r>
      <w:hyperlink r:id="rId11" w:history="1">
        <w:r w:rsidRPr="007E2902">
          <w:rPr>
            <w:rStyle w:val="Hyperlink"/>
            <w:rFonts w:ascii="Calibri" w:hAnsi="Calibri"/>
            <w:lang w:val="es-ES"/>
          </w:rPr>
          <w:t>http://itu.int/en/irg/ibb</w:t>
        </w:r>
      </w:hyperlink>
      <w:r w:rsidRPr="007E2902">
        <w:rPr>
          <w:rFonts w:ascii="Calibri" w:hAnsi="Calibri"/>
          <w:lang w:val="es-ES"/>
        </w:rPr>
        <w:t>.</w:t>
      </w:r>
      <w:r w:rsidR="000A30CC" w:rsidRPr="007E2902">
        <w:rPr>
          <w:rFonts w:ascii="Calibri" w:hAnsi="Calibri"/>
          <w:lang w:val="es-ES"/>
        </w:rPr>
        <w:t xml:space="preserve"> Con objeto de facilitar la comunicación del grupo, se ha creado u</w:t>
      </w:r>
      <w:r w:rsidRPr="007E2902">
        <w:rPr>
          <w:rFonts w:ascii="Calibri" w:hAnsi="Calibri"/>
          <w:lang w:val="es-ES"/>
        </w:rPr>
        <w:t>na lista de correo electrónico (</w:t>
      </w:r>
      <w:hyperlink r:id="rId12" w:history="1">
        <w:r w:rsidR="000A30CC" w:rsidRPr="007E2902">
          <w:rPr>
            <w:rStyle w:val="Hyperlink"/>
            <w:rFonts w:ascii="Calibri" w:hAnsi="Calibri"/>
            <w:lang w:val="es-ES"/>
          </w:rPr>
          <w:t>irgibb@lists.itu.int</w:t>
        </w:r>
      </w:hyperlink>
      <w:r w:rsidRPr="007E2902">
        <w:rPr>
          <w:rFonts w:ascii="Calibri" w:hAnsi="Calibri"/>
          <w:lang w:val="es-ES"/>
        </w:rPr>
        <w:t>)</w:t>
      </w:r>
      <w:r w:rsidR="000A30CC" w:rsidRPr="007E2902">
        <w:rPr>
          <w:rFonts w:ascii="Calibri" w:hAnsi="Calibri"/>
          <w:lang w:val="es-ES"/>
        </w:rPr>
        <w:t xml:space="preserve"> que</w:t>
      </w:r>
      <w:r w:rsidRPr="007E2902">
        <w:rPr>
          <w:rFonts w:ascii="Calibri" w:hAnsi="Calibri"/>
          <w:lang w:val="es-ES"/>
        </w:rPr>
        <w:t xml:space="preserve"> </w:t>
      </w:r>
      <w:r w:rsidR="000A30CC" w:rsidRPr="007E2902">
        <w:rPr>
          <w:rFonts w:ascii="Calibri" w:hAnsi="Calibri"/>
          <w:lang w:val="es-ES"/>
        </w:rPr>
        <w:t>r</w:t>
      </w:r>
      <w:r w:rsidRPr="007E2902">
        <w:rPr>
          <w:rFonts w:ascii="Calibri" w:hAnsi="Calibri"/>
          <w:lang w:val="es-ES"/>
        </w:rPr>
        <w:t xml:space="preserve">equiere </w:t>
      </w:r>
      <w:hyperlink r:id="rId13" w:history="1">
        <w:r w:rsidRPr="007E2902">
          <w:rPr>
            <w:rStyle w:val="Hyperlink"/>
            <w:rFonts w:ascii="Calibri" w:hAnsi="Calibri"/>
            <w:lang w:val="es-ES"/>
          </w:rPr>
          <w:t>suscripción</w:t>
        </w:r>
      </w:hyperlink>
      <w:r w:rsidR="000A30CC" w:rsidRPr="007E2902">
        <w:rPr>
          <w:rFonts w:ascii="Calibri" w:hAnsi="Calibri"/>
          <w:lang w:val="es-ES"/>
        </w:rPr>
        <w:t xml:space="preserve">. Para obtener </w:t>
      </w:r>
      <w:r w:rsidRPr="007E2902">
        <w:rPr>
          <w:rFonts w:ascii="Calibri" w:hAnsi="Calibri"/>
          <w:lang w:val="es-ES"/>
        </w:rPr>
        <w:t>más información</w:t>
      </w:r>
      <w:r w:rsidR="000A30CC" w:rsidRPr="007E2902">
        <w:rPr>
          <w:rFonts w:ascii="Calibri" w:hAnsi="Calibri"/>
          <w:lang w:val="es-ES"/>
        </w:rPr>
        <w:t>, sírvase consultar</w:t>
      </w:r>
      <w:r w:rsidRPr="007E2902">
        <w:rPr>
          <w:rFonts w:ascii="Calibri" w:hAnsi="Calibri"/>
          <w:lang w:val="es-ES"/>
        </w:rPr>
        <w:t xml:space="preserve"> </w:t>
      </w:r>
      <w:r w:rsidR="000A30CC" w:rsidRPr="007E2902">
        <w:rPr>
          <w:rFonts w:ascii="Calibri" w:hAnsi="Calibri"/>
          <w:lang w:val="es-ES"/>
        </w:rPr>
        <w:t xml:space="preserve">el </w:t>
      </w:r>
      <w:hyperlink r:id="rId14" w:history="1">
        <w:r w:rsidR="000A30CC" w:rsidRPr="007E2902">
          <w:rPr>
            <w:rStyle w:val="Hyperlink"/>
            <w:rFonts w:ascii="Calibri" w:hAnsi="Calibri"/>
            <w:lang w:val="es-ES"/>
          </w:rPr>
          <w:t>sitio web</w:t>
        </w:r>
        <w:r w:rsidRPr="007E2902">
          <w:rPr>
            <w:rStyle w:val="Hyperlink"/>
            <w:rFonts w:ascii="Calibri" w:hAnsi="Calibri"/>
            <w:lang w:val="es-ES"/>
          </w:rPr>
          <w:t xml:space="preserve"> del GRI-IBB</w:t>
        </w:r>
      </w:hyperlink>
      <w:r w:rsidRPr="007E2902">
        <w:rPr>
          <w:rFonts w:ascii="Calibri" w:hAnsi="Calibri"/>
          <w:lang w:val="es-ES"/>
        </w:rPr>
        <w:t>.</w:t>
      </w:r>
    </w:p>
    <w:p w:rsidR="002172B9" w:rsidRPr="007E2902" w:rsidRDefault="00C34772" w:rsidP="000A30CC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bCs/>
          <w:lang w:val="es-ES"/>
        </w:rPr>
        <w:t>3</w:t>
      </w:r>
      <w:r w:rsidRPr="007E2902">
        <w:rPr>
          <w:rFonts w:asciiTheme="minorHAnsi" w:hAnsiTheme="minorHAnsi"/>
          <w:lang w:val="es-ES"/>
        </w:rPr>
        <w:tab/>
      </w:r>
      <w:r w:rsidR="002172B9" w:rsidRPr="007E2902">
        <w:rPr>
          <w:rFonts w:asciiTheme="minorHAnsi" w:hAnsiTheme="minorHAnsi"/>
          <w:lang w:val="es-ES"/>
        </w:rPr>
        <w:t xml:space="preserve">En el </w:t>
      </w:r>
      <w:r w:rsidR="002172B9" w:rsidRPr="007E2902">
        <w:rPr>
          <w:rFonts w:asciiTheme="minorHAnsi" w:hAnsiTheme="minorHAnsi"/>
          <w:b/>
          <w:bCs/>
          <w:lang w:val="es-ES"/>
        </w:rPr>
        <w:t>Anexo 1</w:t>
      </w:r>
      <w:r w:rsidR="002172B9" w:rsidRPr="007E2902">
        <w:rPr>
          <w:rFonts w:asciiTheme="minorHAnsi" w:hAnsiTheme="minorHAnsi"/>
          <w:lang w:val="es-ES"/>
        </w:rPr>
        <w:t xml:space="preserve"> figura el mandato acordado del GRI-</w:t>
      </w:r>
      <w:r w:rsidR="000A30CC" w:rsidRPr="007E2902">
        <w:rPr>
          <w:rFonts w:asciiTheme="minorHAnsi" w:hAnsiTheme="minorHAnsi"/>
          <w:lang w:val="es-ES"/>
        </w:rPr>
        <w:t>IBB</w:t>
      </w:r>
      <w:r w:rsidR="002172B9" w:rsidRPr="007E2902">
        <w:rPr>
          <w:rFonts w:asciiTheme="minorHAnsi" w:hAnsiTheme="minorHAnsi"/>
          <w:lang w:val="es-ES"/>
        </w:rPr>
        <w:t>.</w:t>
      </w:r>
    </w:p>
    <w:p w:rsidR="007501AF" w:rsidRPr="007E2902" w:rsidRDefault="007501AF" w:rsidP="000A30CC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4</w:t>
      </w:r>
      <w:r w:rsidRPr="007E2902">
        <w:rPr>
          <w:rFonts w:asciiTheme="minorHAnsi" w:hAnsiTheme="minorHAnsi"/>
          <w:lang w:val="es-ES"/>
        </w:rPr>
        <w:tab/>
      </w:r>
      <w:r w:rsidR="002172B9" w:rsidRPr="007E2902">
        <w:rPr>
          <w:rFonts w:asciiTheme="minorHAnsi" w:hAnsiTheme="minorHAnsi"/>
          <w:lang w:val="es-ES"/>
        </w:rPr>
        <w:t>Este GRI se rige por las disposiciones aplicables a los Grupos de Relator, que figuran en la Resolución UIT-R 1-6 y en la Recomendación UIT-T A.1 (en particular</w:t>
      </w:r>
      <w:r w:rsidR="000A30CC" w:rsidRPr="007E2902">
        <w:rPr>
          <w:rFonts w:asciiTheme="minorHAnsi" w:hAnsiTheme="minorHAnsi"/>
          <w:lang w:val="es-ES"/>
        </w:rPr>
        <w:t>, la cláusula 2.3).</w:t>
      </w:r>
    </w:p>
    <w:p w:rsidR="00D3694C" w:rsidRPr="007E2902" w:rsidRDefault="007501AF" w:rsidP="000A30CC">
      <w:pPr>
        <w:keepNext/>
        <w:rPr>
          <w:rFonts w:asciiTheme="minorHAnsi" w:hAnsiTheme="minorHAnsi" w:cstheme="majorBidi"/>
          <w:lang w:val="es-ES"/>
        </w:rPr>
      </w:pPr>
      <w:r w:rsidRPr="007E2902">
        <w:rPr>
          <w:rFonts w:asciiTheme="minorHAnsi" w:hAnsiTheme="minorHAnsi"/>
          <w:lang w:val="es-ES"/>
        </w:rPr>
        <w:t>5</w:t>
      </w:r>
      <w:r w:rsidRPr="007E2902">
        <w:rPr>
          <w:rFonts w:asciiTheme="minorHAnsi" w:hAnsiTheme="minorHAnsi"/>
          <w:lang w:val="es-ES"/>
        </w:rPr>
        <w:tab/>
        <w:t xml:space="preserve">La primera reunión del </w:t>
      </w:r>
      <w:r w:rsidR="00D3694C" w:rsidRPr="007E2902">
        <w:rPr>
          <w:rFonts w:asciiTheme="minorHAnsi" w:hAnsiTheme="minorHAnsi"/>
          <w:lang w:val="es-ES"/>
        </w:rPr>
        <w:t>GRI-</w:t>
      </w:r>
      <w:r w:rsidR="000A30CC" w:rsidRPr="007E2902">
        <w:rPr>
          <w:rFonts w:asciiTheme="minorHAnsi" w:hAnsiTheme="minorHAnsi"/>
          <w:lang w:val="es-ES"/>
        </w:rPr>
        <w:t>IBB</w:t>
      </w:r>
      <w:r w:rsidRPr="007E2902">
        <w:rPr>
          <w:rFonts w:asciiTheme="minorHAnsi" w:hAnsiTheme="minorHAnsi"/>
          <w:lang w:val="es-ES"/>
        </w:rPr>
        <w:t xml:space="preserve"> se celebrará </w:t>
      </w:r>
      <w:r w:rsidR="00D3694C" w:rsidRPr="007E2902">
        <w:rPr>
          <w:rFonts w:asciiTheme="minorHAnsi" w:hAnsiTheme="minorHAnsi"/>
          <w:lang w:val="es-ES"/>
        </w:rPr>
        <w:t>en Ginebra</w:t>
      </w:r>
      <w:r w:rsidR="000A30CC" w:rsidRPr="007E2902">
        <w:rPr>
          <w:rFonts w:asciiTheme="minorHAnsi" w:hAnsiTheme="minorHAnsi"/>
          <w:lang w:val="es-ES"/>
        </w:rPr>
        <w:t>,</w:t>
      </w:r>
      <w:r w:rsidR="00D3694C" w:rsidRPr="007E2902">
        <w:rPr>
          <w:rFonts w:asciiTheme="minorHAnsi" w:hAnsiTheme="minorHAnsi"/>
          <w:lang w:val="es-ES"/>
        </w:rPr>
        <w:t xml:space="preserve"> el</w:t>
      </w:r>
      <w:r w:rsidR="000A30CC" w:rsidRPr="007E2902">
        <w:rPr>
          <w:rFonts w:asciiTheme="minorHAnsi" w:hAnsiTheme="minorHAnsi"/>
          <w:lang w:val="es-ES"/>
        </w:rPr>
        <w:t xml:space="preserve"> </w:t>
      </w:r>
      <w:r w:rsidR="000A30CC" w:rsidRPr="007E2902">
        <w:rPr>
          <w:rFonts w:asciiTheme="minorHAnsi" w:hAnsiTheme="minorHAnsi"/>
          <w:b/>
          <w:bCs/>
          <w:lang w:val="es-ES"/>
        </w:rPr>
        <w:t>lunes 17</w:t>
      </w:r>
      <w:r w:rsidR="00D3694C" w:rsidRPr="007E2902">
        <w:rPr>
          <w:rFonts w:asciiTheme="minorHAnsi" w:hAnsiTheme="minorHAnsi"/>
          <w:b/>
          <w:bCs/>
          <w:lang w:val="es-ES"/>
        </w:rPr>
        <w:t xml:space="preserve"> </w:t>
      </w:r>
      <w:r w:rsidR="000A30CC" w:rsidRPr="007E2902">
        <w:rPr>
          <w:rFonts w:asciiTheme="minorHAnsi" w:hAnsiTheme="minorHAnsi"/>
          <w:b/>
          <w:bCs/>
          <w:lang w:val="es-ES"/>
        </w:rPr>
        <w:t xml:space="preserve">de noviembre de </w:t>
      </w:r>
      <w:r w:rsidR="00D3694C" w:rsidRPr="007E2902">
        <w:rPr>
          <w:rFonts w:asciiTheme="minorHAnsi" w:hAnsiTheme="minorHAnsi"/>
          <w:b/>
          <w:bCs/>
          <w:lang w:val="es-ES"/>
        </w:rPr>
        <w:t>2014</w:t>
      </w:r>
      <w:r w:rsidR="00D3694C" w:rsidRPr="007E2902">
        <w:rPr>
          <w:rFonts w:asciiTheme="minorHAnsi" w:hAnsiTheme="minorHAnsi"/>
          <w:lang w:val="es-ES"/>
        </w:rPr>
        <w:t xml:space="preserve">, </w:t>
      </w:r>
      <w:r w:rsidR="000A30CC" w:rsidRPr="007E2902">
        <w:rPr>
          <w:rFonts w:asciiTheme="minorHAnsi" w:hAnsiTheme="minorHAnsi"/>
          <w:lang w:val="es-ES"/>
        </w:rPr>
        <w:t>en el mismo lugar que la de la CE 6 del UIT-R. La reunión comenzará a las 18.00</w:t>
      </w:r>
      <w:r w:rsidR="00960EA3" w:rsidRPr="007E2902">
        <w:rPr>
          <w:rFonts w:asciiTheme="minorHAnsi" w:hAnsiTheme="minorHAnsi"/>
          <w:lang w:val="es-ES"/>
        </w:rPr>
        <w:t xml:space="preserve"> horas</w:t>
      </w:r>
      <w:r w:rsidR="000A30CC" w:rsidRPr="007E2902">
        <w:rPr>
          <w:rFonts w:asciiTheme="minorHAnsi" w:hAnsiTheme="minorHAnsi"/>
          <w:lang w:val="es-ES"/>
        </w:rPr>
        <w:t xml:space="preserve"> en la sala que se indicará e</w:t>
      </w:r>
      <w:r w:rsidR="000A30CC" w:rsidRPr="007E2902">
        <w:rPr>
          <w:rFonts w:asciiTheme="minorHAnsi" w:hAnsiTheme="minorHAnsi" w:cstheme="majorBidi"/>
          <w:lang w:val="es-ES"/>
        </w:rPr>
        <w:t>n las pantallas situadas en las instalaciones de la UIT.</w:t>
      </w:r>
    </w:p>
    <w:p w:rsidR="000A30CC" w:rsidRPr="007E2902" w:rsidRDefault="00630B61" w:rsidP="00135498">
      <w:pPr>
        <w:keepNext/>
        <w:rPr>
          <w:rFonts w:asciiTheme="minorHAnsi" w:hAnsiTheme="minorHAnsi" w:cstheme="majorBidi"/>
          <w:lang w:val="es-ES"/>
        </w:rPr>
      </w:pPr>
      <w:r w:rsidRPr="007E2902">
        <w:rPr>
          <w:rFonts w:asciiTheme="minorHAnsi" w:hAnsiTheme="minorHAnsi" w:cstheme="majorBidi"/>
          <w:lang w:val="es-ES"/>
        </w:rPr>
        <w:t xml:space="preserve">Los detalles </w:t>
      </w:r>
      <w:r w:rsidRPr="007E2902">
        <w:rPr>
          <w:rFonts w:asciiTheme="minorHAnsi" w:hAnsiTheme="minorHAnsi" w:cstheme="majorBidi"/>
          <w:color w:val="000000"/>
          <w:lang w:val="es-ES"/>
        </w:rPr>
        <w:t xml:space="preserve">relativos a los aspectos logísticos de la reunión, así como el formulario de inscripción </w:t>
      </w:r>
      <w:r w:rsidR="00135498" w:rsidRPr="007E2902">
        <w:rPr>
          <w:rFonts w:asciiTheme="minorHAnsi" w:hAnsiTheme="minorHAnsi" w:cstheme="majorBidi"/>
          <w:color w:val="000000"/>
          <w:lang w:val="es-ES"/>
        </w:rPr>
        <w:t>en línea</w:t>
      </w:r>
      <w:r w:rsidRPr="007E2902">
        <w:rPr>
          <w:rFonts w:asciiTheme="minorHAnsi" w:hAnsiTheme="minorHAnsi" w:cstheme="majorBidi"/>
          <w:color w:val="000000"/>
          <w:lang w:val="es-ES"/>
        </w:rPr>
        <w:t>, figuran</w:t>
      </w:r>
      <w:r w:rsidRPr="007E2902">
        <w:rPr>
          <w:rFonts w:asciiTheme="minorHAnsi" w:hAnsiTheme="minorHAnsi" w:cstheme="majorBidi"/>
          <w:lang w:val="es-ES"/>
        </w:rPr>
        <w:t xml:space="preserve"> en el sitio web del GRI-IBB.</w:t>
      </w:r>
    </w:p>
    <w:p w:rsidR="00630B61" w:rsidRPr="007E2902" w:rsidRDefault="00630B61" w:rsidP="00630B61">
      <w:pPr>
        <w:keepNext/>
        <w:rPr>
          <w:rFonts w:asciiTheme="minorHAnsi" w:hAnsiTheme="minorHAnsi" w:cstheme="majorBidi"/>
          <w:lang w:val="es-ES"/>
        </w:rPr>
      </w:pPr>
      <w:r w:rsidRPr="007E2902">
        <w:rPr>
          <w:rFonts w:asciiTheme="minorHAnsi" w:hAnsiTheme="minorHAnsi" w:cstheme="majorBidi"/>
          <w:lang w:val="es-ES"/>
        </w:rPr>
        <w:t>Se alienta a los participantes a que envíen sus contribuciones por correo electrónico (12 días antes del inicio de la reunión) a los dos copresidentes a las siguientes direcciones:</w:t>
      </w:r>
    </w:p>
    <w:p w:rsidR="00630B61" w:rsidRPr="007E2902" w:rsidRDefault="00960EA3" w:rsidP="00960EA3">
      <w:pPr>
        <w:pStyle w:val="enumlev1"/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–</w:t>
      </w:r>
      <w:r w:rsidRPr="007E2902">
        <w:rPr>
          <w:rFonts w:asciiTheme="minorHAnsi" w:hAnsiTheme="minorHAnsi"/>
          <w:lang w:val="es-ES"/>
        </w:rPr>
        <w:tab/>
      </w:r>
      <w:r w:rsidR="00630B61" w:rsidRPr="007E2902">
        <w:rPr>
          <w:rFonts w:asciiTheme="minorHAnsi" w:hAnsiTheme="minorHAnsi"/>
          <w:lang w:val="es-ES"/>
        </w:rPr>
        <w:t xml:space="preserve">Copresidenta de la CE 6 del UIT-R: Ana Eliza </w:t>
      </w:r>
      <w:proofErr w:type="spellStart"/>
      <w:r w:rsidR="00630B61" w:rsidRPr="007E2902">
        <w:rPr>
          <w:rFonts w:asciiTheme="minorHAnsi" w:hAnsiTheme="minorHAnsi"/>
          <w:lang w:val="es-ES"/>
        </w:rPr>
        <w:t>Faria</w:t>
      </w:r>
      <w:proofErr w:type="spellEnd"/>
      <w:r w:rsidR="00630B61" w:rsidRPr="007E2902">
        <w:rPr>
          <w:rFonts w:asciiTheme="minorHAnsi" w:hAnsiTheme="minorHAnsi"/>
          <w:lang w:val="es-ES"/>
        </w:rPr>
        <w:t xml:space="preserve"> e Silva (</w:t>
      </w:r>
      <w:hyperlink r:id="rId15" w:history="1">
        <w:r w:rsidR="00630B61" w:rsidRPr="007E2902">
          <w:rPr>
            <w:rStyle w:val="Hyperlink"/>
            <w:rFonts w:asciiTheme="minorHAnsi" w:hAnsiTheme="minorHAnsi" w:cstheme="majorBidi"/>
            <w:szCs w:val="24"/>
            <w:lang w:val="es-ES"/>
          </w:rPr>
          <w:t>ana.eliza@tvglobo.com.br</w:t>
        </w:r>
      </w:hyperlink>
      <w:r w:rsidR="00630B61" w:rsidRPr="007E2902">
        <w:rPr>
          <w:rFonts w:asciiTheme="minorHAnsi" w:hAnsiTheme="minorHAnsi"/>
          <w:lang w:val="es-ES"/>
        </w:rPr>
        <w:t xml:space="preserve">) </w:t>
      </w:r>
    </w:p>
    <w:p w:rsidR="00630B61" w:rsidRPr="007E2902" w:rsidRDefault="00960EA3" w:rsidP="00960EA3">
      <w:pPr>
        <w:pStyle w:val="enumlev1"/>
        <w:rPr>
          <w:rFonts w:asciiTheme="minorHAnsi" w:hAnsiTheme="minorHAnsi"/>
          <w:lang w:val="fr-FR"/>
        </w:rPr>
      </w:pPr>
      <w:r w:rsidRPr="007E2902">
        <w:rPr>
          <w:rFonts w:asciiTheme="minorHAnsi" w:hAnsiTheme="minorHAnsi"/>
          <w:lang w:val="fr-FR"/>
        </w:rPr>
        <w:t>–</w:t>
      </w:r>
      <w:r w:rsidRPr="007E2902">
        <w:rPr>
          <w:rFonts w:asciiTheme="minorHAnsi" w:hAnsiTheme="minorHAnsi"/>
          <w:lang w:val="fr-FR"/>
        </w:rPr>
        <w:tab/>
      </w:r>
      <w:proofErr w:type="spellStart"/>
      <w:r w:rsidR="00630B61" w:rsidRPr="007E2902">
        <w:rPr>
          <w:rFonts w:asciiTheme="minorHAnsi" w:hAnsiTheme="minorHAnsi"/>
          <w:lang w:val="fr-FR"/>
        </w:rPr>
        <w:t>Copresidente</w:t>
      </w:r>
      <w:proofErr w:type="spellEnd"/>
      <w:r w:rsidR="00630B61" w:rsidRPr="007E2902">
        <w:rPr>
          <w:rFonts w:asciiTheme="minorHAnsi" w:hAnsiTheme="minorHAnsi"/>
          <w:lang w:val="fr-FR"/>
        </w:rPr>
        <w:t xml:space="preserve"> de la CE 9 </w:t>
      </w:r>
      <w:proofErr w:type="spellStart"/>
      <w:r w:rsidR="00630B61" w:rsidRPr="007E2902">
        <w:rPr>
          <w:rFonts w:asciiTheme="minorHAnsi" w:hAnsiTheme="minorHAnsi"/>
          <w:lang w:val="fr-FR"/>
        </w:rPr>
        <w:t>del</w:t>
      </w:r>
      <w:proofErr w:type="spellEnd"/>
      <w:r w:rsidR="00630B61" w:rsidRPr="007E2902">
        <w:rPr>
          <w:rFonts w:asciiTheme="minorHAnsi" w:hAnsiTheme="minorHAnsi"/>
          <w:lang w:val="fr-FR"/>
        </w:rPr>
        <w:t xml:space="preserve"> UIT-T: Masaru </w:t>
      </w:r>
      <w:proofErr w:type="spellStart"/>
      <w:r w:rsidR="00630B61" w:rsidRPr="007E2902">
        <w:rPr>
          <w:rFonts w:asciiTheme="minorHAnsi" w:hAnsiTheme="minorHAnsi"/>
          <w:lang w:val="fr-FR"/>
        </w:rPr>
        <w:t>Takechi</w:t>
      </w:r>
      <w:proofErr w:type="spellEnd"/>
      <w:r w:rsidR="00630B61" w:rsidRPr="007E2902">
        <w:rPr>
          <w:rFonts w:asciiTheme="minorHAnsi" w:hAnsiTheme="minorHAnsi"/>
          <w:lang w:val="fr-FR"/>
        </w:rPr>
        <w:t xml:space="preserve"> (</w:t>
      </w:r>
      <w:hyperlink r:id="rId16" w:history="1">
        <w:r w:rsidR="00630B61" w:rsidRPr="007E2902">
          <w:rPr>
            <w:rStyle w:val="Hyperlink"/>
            <w:rFonts w:asciiTheme="minorHAnsi" w:hAnsiTheme="minorHAnsi" w:cstheme="majorBidi"/>
            <w:szCs w:val="24"/>
            <w:lang w:val="fr-FR"/>
          </w:rPr>
          <w:t>takechi.m-fa@nhk.or.jp</w:t>
        </w:r>
      </w:hyperlink>
      <w:r w:rsidR="00630B61" w:rsidRPr="007E2902">
        <w:rPr>
          <w:rFonts w:asciiTheme="minorHAnsi" w:hAnsiTheme="minorHAnsi"/>
          <w:lang w:val="fr-FR"/>
        </w:rPr>
        <w:t xml:space="preserve">) </w:t>
      </w:r>
    </w:p>
    <w:p w:rsidR="00630B61" w:rsidRPr="007E2902" w:rsidRDefault="00630B61" w:rsidP="00153BD1">
      <w:pPr>
        <w:rPr>
          <w:rFonts w:asciiTheme="minorHAnsi" w:hAnsiTheme="minorHAnsi" w:cstheme="majorBidi"/>
          <w:szCs w:val="24"/>
          <w:lang w:val="es-ES"/>
        </w:rPr>
      </w:pPr>
      <w:r w:rsidRPr="007E2902">
        <w:rPr>
          <w:rFonts w:asciiTheme="minorHAnsi" w:hAnsiTheme="minorHAnsi" w:cstheme="majorBidi"/>
          <w:szCs w:val="24"/>
          <w:lang w:val="es-ES"/>
        </w:rPr>
        <w:t>La reunión del GRI-IBB se celebrará sin documentos impresos</w:t>
      </w:r>
      <w:r w:rsidR="00153BD1" w:rsidRPr="007E2902">
        <w:rPr>
          <w:rFonts w:asciiTheme="minorHAnsi" w:hAnsiTheme="minorHAnsi" w:cstheme="majorBidi"/>
          <w:szCs w:val="24"/>
          <w:lang w:val="es-ES"/>
        </w:rPr>
        <w:t xml:space="preserve"> y l</w:t>
      </w:r>
      <w:r w:rsidRPr="007E2902">
        <w:rPr>
          <w:rFonts w:asciiTheme="minorHAnsi" w:hAnsiTheme="minorHAnsi" w:cstheme="majorBidi"/>
          <w:szCs w:val="24"/>
          <w:lang w:val="es-ES"/>
        </w:rPr>
        <w:t>os debates tendrán lugar únicamente en inglés.</w:t>
      </w:r>
    </w:p>
    <w:p w:rsidR="00293D78" w:rsidRPr="007E2902" w:rsidRDefault="00D3694C" w:rsidP="00153BD1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6</w:t>
      </w:r>
      <w:r w:rsidRPr="007E2902">
        <w:rPr>
          <w:rFonts w:asciiTheme="minorHAnsi" w:hAnsiTheme="minorHAnsi"/>
          <w:lang w:val="es-ES"/>
        </w:rPr>
        <w:tab/>
        <w:t xml:space="preserve">Se podrá participar a distancia en esta reunión. </w:t>
      </w:r>
      <w:r w:rsidR="00293D78" w:rsidRPr="007E2902">
        <w:rPr>
          <w:rFonts w:asciiTheme="minorHAnsi" w:hAnsiTheme="minorHAnsi"/>
          <w:lang w:val="es-ES"/>
        </w:rPr>
        <w:t>La participación a distancia se ha de solicitar con un mínimo de 2 semanas de antelación (a más tardar, el</w:t>
      </w:r>
      <w:r w:rsidR="00293D78" w:rsidRPr="007E2902">
        <w:rPr>
          <w:rFonts w:asciiTheme="minorHAnsi" w:hAnsiTheme="minorHAnsi"/>
          <w:b/>
          <w:bCs/>
          <w:lang w:val="es-ES"/>
        </w:rPr>
        <w:t xml:space="preserve"> lunes 3 de noviembre de 2014</w:t>
      </w:r>
      <w:r w:rsidR="00293D78" w:rsidRPr="007E2902">
        <w:rPr>
          <w:rFonts w:asciiTheme="minorHAnsi" w:hAnsiTheme="minorHAnsi"/>
          <w:lang w:val="es-ES"/>
        </w:rPr>
        <w:t>)</w:t>
      </w:r>
      <w:r w:rsidR="00153BD1" w:rsidRPr="007E2902">
        <w:rPr>
          <w:rFonts w:asciiTheme="minorHAnsi" w:hAnsiTheme="minorHAnsi"/>
          <w:lang w:val="es-ES"/>
        </w:rPr>
        <w:t xml:space="preserve"> a través del</w:t>
      </w:r>
      <w:r w:rsidR="00293D78" w:rsidRPr="007E2902">
        <w:rPr>
          <w:rFonts w:asciiTheme="minorHAnsi" w:hAnsiTheme="minorHAnsi"/>
          <w:lang w:val="es-ES"/>
        </w:rPr>
        <w:t xml:space="preserve"> formulario de inscripción en línea antes mencionado. </w:t>
      </w:r>
    </w:p>
    <w:p w:rsidR="007501AF" w:rsidRPr="007E2902" w:rsidRDefault="00B35844" w:rsidP="00293D78">
      <w:pPr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lang w:val="es-ES"/>
        </w:rPr>
        <w:t>7</w:t>
      </w:r>
      <w:r w:rsidRPr="007E2902">
        <w:rPr>
          <w:rFonts w:asciiTheme="minorHAnsi" w:hAnsiTheme="minorHAnsi"/>
          <w:lang w:val="es-ES"/>
        </w:rPr>
        <w:tab/>
      </w:r>
      <w:r w:rsidR="00293D78" w:rsidRPr="007E2902">
        <w:rPr>
          <w:rFonts w:asciiTheme="minorHAnsi" w:hAnsiTheme="minorHAnsi"/>
          <w:lang w:val="es-ES"/>
        </w:rPr>
        <w:t>E</w:t>
      </w:r>
      <w:r w:rsidRPr="007E2902">
        <w:rPr>
          <w:rFonts w:asciiTheme="minorHAnsi" w:hAnsiTheme="minorHAnsi"/>
          <w:lang w:val="es-ES"/>
        </w:rPr>
        <w:t>n la página web del GRI-</w:t>
      </w:r>
      <w:r w:rsidR="00293D78" w:rsidRPr="007E2902">
        <w:rPr>
          <w:rFonts w:asciiTheme="minorHAnsi" w:hAnsiTheme="minorHAnsi"/>
          <w:lang w:val="es-ES"/>
        </w:rPr>
        <w:t>IBB se podrán consultar</w:t>
      </w:r>
      <w:r w:rsidRPr="007E2902">
        <w:rPr>
          <w:rFonts w:asciiTheme="minorHAnsi" w:hAnsiTheme="minorHAnsi"/>
          <w:lang w:val="es-ES"/>
        </w:rPr>
        <w:t xml:space="preserve"> los temas de discusión para la reunión, así como </w:t>
      </w:r>
      <w:r w:rsidR="00BC53E0" w:rsidRPr="007E2902">
        <w:rPr>
          <w:rFonts w:asciiTheme="minorHAnsi" w:hAnsiTheme="minorHAnsi"/>
          <w:lang w:val="es-ES"/>
        </w:rPr>
        <w:t>otras informaciones</w:t>
      </w:r>
      <w:r w:rsidRPr="007E2902">
        <w:rPr>
          <w:rFonts w:asciiTheme="minorHAnsi" w:hAnsiTheme="minorHAnsi"/>
          <w:lang w:val="es-ES"/>
        </w:rPr>
        <w:t xml:space="preserve"> relacionada</w:t>
      </w:r>
      <w:r w:rsidR="00BC53E0" w:rsidRPr="007E2902">
        <w:rPr>
          <w:rFonts w:asciiTheme="minorHAnsi" w:hAnsiTheme="minorHAnsi"/>
          <w:lang w:val="es-ES"/>
        </w:rPr>
        <w:t>s</w:t>
      </w:r>
      <w:r w:rsidRPr="007E2902">
        <w:rPr>
          <w:rFonts w:asciiTheme="minorHAnsi" w:hAnsiTheme="minorHAnsi"/>
          <w:lang w:val="es-ES"/>
        </w:rPr>
        <w:t xml:space="preserve"> con la </w:t>
      </w:r>
      <w:r w:rsidR="00293D78" w:rsidRPr="007E2902">
        <w:rPr>
          <w:rFonts w:asciiTheme="minorHAnsi" w:hAnsiTheme="minorHAnsi"/>
          <w:lang w:val="es-ES"/>
        </w:rPr>
        <w:t>misma</w:t>
      </w:r>
      <w:r w:rsidRPr="007E2902">
        <w:rPr>
          <w:rFonts w:asciiTheme="minorHAnsi" w:hAnsiTheme="minorHAnsi"/>
          <w:lang w:val="es-ES"/>
        </w:rPr>
        <w:t xml:space="preserve">, un proyecto de orden del día y las contribuciones que se hayan recibido. </w:t>
      </w:r>
    </w:p>
    <w:p w:rsidR="005629D0" w:rsidRPr="007E2902" w:rsidRDefault="005629D0" w:rsidP="007E2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080"/>
        <w:textAlignment w:val="auto"/>
        <w:rPr>
          <w:rFonts w:asciiTheme="minorHAnsi" w:hAnsiTheme="minorHAnsi"/>
          <w:lang w:val="es-ES"/>
        </w:rPr>
      </w:pPr>
      <w:bookmarkStart w:id="5" w:name="_GoBack"/>
      <w:bookmarkEnd w:id="5"/>
      <w:r w:rsidRPr="007E2902">
        <w:rPr>
          <w:rFonts w:asciiTheme="minorHAnsi" w:hAnsiTheme="minorHAnsi"/>
          <w:lang w:val="es-ES"/>
        </w:rPr>
        <w:t>Atentamente</w:t>
      </w:r>
      <w:r w:rsidR="0002627E" w:rsidRPr="007E2902">
        <w:rPr>
          <w:rFonts w:asciiTheme="minorHAnsi" w:hAnsiTheme="minorHAnsi"/>
          <w:lang w:val="es-ES"/>
        </w:rPr>
        <w:t>,</w:t>
      </w:r>
      <w:r w:rsidR="00077073" w:rsidRPr="00077073">
        <w:rPr>
          <w:rFonts w:asciiTheme="minorHAnsi" w:hAnsiTheme="minorHAnsi"/>
          <w:noProof/>
          <w:lang w:val="en-US" w:eastAsia="zh-CN"/>
        </w:rPr>
        <w:t xml:space="preserve"> </w:t>
      </w: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4972"/>
        <w:gridCol w:w="4973"/>
      </w:tblGrid>
      <w:tr w:rsidR="008E037E" w:rsidRPr="007E2902" w:rsidTr="00B52D07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37E" w:rsidRPr="007E2902" w:rsidRDefault="008E037E" w:rsidP="00077073">
            <w:pPr>
              <w:jc w:val="center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Malcolm Johnson</w:t>
            </w:r>
          </w:p>
          <w:p w:rsidR="008E037E" w:rsidRPr="007E2902" w:rsidRDefault="008E037E" w:rsidP="00960EA3">
            <w:pPr>
              <w:spacing w:before="0"/>
              <w:jc w:val="center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Director,</w:t>
            </w:r>
            <w:r w:rsidRPr="007E2902">
              <w:rPr>
                <w:rFonts w:asciiTheme="minorHAnsi" w:hAnsiTheme="minorHAnsi"/>
                <w:lang w:val="es-ES"/>
              </w:rPr>
              <w:br/>
              <w:t>Oficina de Normalización de las Telecomunicaciones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37E" w:rsidRPr="007E2902" w:rsidRDefault="008E037E" w:rsidP="00077073">
            <w:pPr>
              <w:jc w:val="center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François Rancy</w:t>
            </w:r>
          </w:p>
          <w:p w:rsidR="008E037E" w:rsidRPr="007E2902" w:rsidRDefault="008E037E" w:rsidP="00960EA3">
            <w:pPr>
              <w:spacing w:before="0"/>
              <w:jc w:val="center"/>
              <w:rPr>
                <w:rFonts w:asciiTheme="minorHAnsi" w:hAnsiTheme="minorHAnsi"/>
                <w:lang w:val="es-ES"/>
              </w:rPr>
            </w:pPr>
            <w:r w:rsidRPr="007E2902">
              <w:rPr>
                <w:rFonts w:asciiTheme="minorHAnsi" w:hAnsiTheme="minorHAnsi"/>
                <w:lang w:val="es-ES"/>
              </w:rPr>
              <w:t>Director,</w:t>
            </w:r>
            <w:r w:rsidRPr="007E2902">
              <w:rPr>
                <w:rFonts w:asciiTheme="minorHAnsi" w:hAnsiTheme="minorHAnsi"/>
                <w:lang w:val="es-ES"/>
              </w:rPr>
              <w:br/>
              <w:t xml:space="preserve">Oficina de Radiocomunicaciones </w:t>
            </w:r>
          </w:p>
        </w:tc>
      </w:tr>
    </w:tbl>
    <w:p w:rsidR="007501AF" w:rsidRPr="007E2902" w:rsidRDefault="005629D0" w:rsidP="00960E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/>
          <w:lang w:val="es-ES"/>
        </w:rPr>
      </w:pPr>
      <w:r w:rsidRPr="007E2902">
        <w:rPr>
          <w:rFonts w:asciiTheme="minorHAnsi" w:hAnsiTheme="minorHAnsi"/>
          <w:b/>
          <w:bCs/>
          <w:lang w:val="es-ES"/>
        </w:rPr>
        <w:t>Anexo:</w:t>
      </w:r>
      <w:r w:rsidRPr="007E2902">
        <w:rPr>
          <w:rFonts w:asciiTheme="minorHAnsi" w:hAnsiTheme="minorHAnsi"/>
          <w:lang w:val="es-ES"/>
        </w:rPr>
        <w:t xml:space="preserve"> 1</w:t>
      </w:r>
      <w:r w:rsidR="007501AF" w:rsidRPr="007E2902">
        <w:rPr>
          <w:rFonts w:asciiTheme="minorHAnsi" w:hAnsiTheme="minorHAnsi"/>
          <w:lang w:val="es-ES"/>
        </w:rPr>
        <w:br w:type="page"/>
      </w:r>
    </w:p>
    <w:p w:rsidR="00C034BE" w:rsidRPr="007E2902" w:rsidRDefault="00C034BE" w:rsidP="0097545E">
      <w:pPr>
        <w:pStyle w:val="Annex"/>
        <w:rPr>
          <w:rFonts w:asciiTheme="minorHAnsi" w:hAnsiTheme="minorHAnsi"/>
          <w:b/>
          <w:bCs/>
          <w:szCs w:val="24"/>
          <w:lang w:val="es-ES"/>
        </w:rPr>
      </w:pPr>
      <w:r w:rsidRPr="007E2902">
        <w:rPr>
          <w:rFonts w:asciiTheme="minorHAnsi" w:hAnsiTheme="minorHAnsi"/>
          <w:b/>
          <w:bCs/>
          <w:szCs w:val="24"/>
          <w:lang w:val="es-ES"/>
        </w:rPr>
        <w:lastRenderedPageBreak/>
        <w:t>ANEXO 1</w:t>
      </w:r>
      <w:r w:rsidRPr="007E2902">
        <w:rPr>
          <w:rFonts w:asciiTheme="minorHAnsi" w:hAnsiTheme="minorHAnsi"/>
          <w:b/>
          <w:bCs/>
          <w:szCs w:val="24"/>
          <w:lang w:val="es-ES"/>
        </w:rPr>
        <w:br/>
        <w:t>(</w:t>
      </w:r>
      <w:r w:rsidRPr="007E2902">
        <w:rPr>
          <w:rFonts w:asciiTheme="minorHAnsi" w:hAnsiTheme="minorHAnsi"/>
          <w:b/>
          <w:bCs/>
          <w:caps w:val="0"/>
          <w:szCs w:val="24"/>
          <w:lang w:val="es-ES"/>
        </w:rPr>
        <w:t>a la</w:t>
      </w:r>
      <w:r w:rsidRPr="007E2902">
        <w:rPr>
          <w:rFonts w:asciiTheme="minorHAnsi" w:hAnsiTheme="minorHAnsi"/>
          <w:b/>
          <w:bCs/>
          <w:szCs w:val="24"/>
          <w:lang w:val="es-ES"/>
        </w:rPr>
        <w:t xml:space="preserve"> C</w:t>
      </w:r>
      <w:r w:rsidRPr="007E2902">
        <w:rPr>
          <w:rFonts w:asciiTheme="minorHAnsi" w:hAnsiTheme="minorHAnsi"/>
          <w:b/>
          <w:bCs/>
          <w:caps w:val="0"/>
          <w:szCs w:val="24"/>
          <w:lang w:val="es-ES"/>
        </w:rPr>
        <w:t>ircular</w:t>
      </w:r>
      <w:r w:rsidRPr="007E2902">
        <w:rPr>
          <w:rFonts w:asciiTheme="minorHAnsi" w:hAnsiTheme="minorHAnsi"/>
          <w:b/>
          <w:bCs/>
          <w:szCs w:val="24"/>
          <w:lang w:val="es-ES"/>
        </w:rPr>
        <w:t xml:space="preserve"> TSB </w:t>
      </w:r>
      <w:r w:rsidR="0097545E" w:rsidRPr="007E2902">
        <w:rPr>
          <w:rFonts w:asciiTheme="minorHAnsi" w:hAnsiTheme="minorHAnsi"/>
          <w:b/>
          <w:bCs/>
          <w:szCs w:val="24"/>
          <w:lang w:val="es-ES"/>
        </w:rPr>
        <w:t>119</w:t>
      </w:r>
      <w:r w:rsidR="00C2058D" w:rsidRPr="007E2902">
        <w:rPr>
          <w:rFonts w:asciiTheme="minorHAnsi" w:hAnsiTheme="minorHAnsi"/>
          <w:b/>
          <w:bCs/>
          <w:szCs w:val="24"/>
          <w:lang w:val="es-ES"/>
        </w:rPr>
        <w:t>/</w:t>
      </w:r>
      <w:r w:rsidR="00C2058D" w:rsidRPr="007E2902">
        <w:rPr>
          <w:rFonts w:asciiTheme="minorHAnsi" w:hAnsiTheme="minorHAnsi"/>
          <w:b/>
          <w:bCs/>
          <w:caps w:val="0"/>
          <w:szCs w:val="24"/>
          <w:lang w:val="es-ES"/>
        </w:rPr>
        <w:t xml:space="preserve">Circular </w:t>
      </w:r>
      <w:r w:rsidR="00C2058D" w:rsidRPr="007E2902">
        <w:rPr>
          <w:rFonts w:asciiTheme="minorHAnsi" w:hAnsiTheme="minorHAnsi"/>
          <w:b/>
          <w:bCs/>
          <w:szCs w:val="24"/>
          <w:lang w:val="es-ES"/>
        </w:rPr>
        <w:t>BR CACE/6</w:t>
      </w:r>
      <w:r w:rsidR="0097545E" w:rsidRPr="007E2902">
        <w:rPr>
          <w:rFonts w:asciiTheme="minorHAnsi" w:hAnsiTheme="minorHAnsi"/>
          <w:b/>
          <w:bCs/>
          <w:szCs w:val="24"/>
          <w:lang w:val="es-ES"/>
        </w:rPr>
        <w:t>96</w:t>
      </w:r>
      <w:r w:rsidRPr="007E2902">
        <w:rPr>
          <w:rFonts w:asciiTheme="minorHAnsi" w:hAnsiTheme="minorHAnsi"/>
          <w:b/>
          <w:bCs/>
          <w:szCs w:val="24"/>
          <w:lang w:val="es-ES"/>
        </w:rPr>
        <w:t>)</w:t>
      </w:r>
    </w:p>
    <w:p w:rsidR="00C034BE" w:rsidRPr="007E2902" w:rsidRDefault="00C034BE" w:rsidP="0097545E">
      <w:pPr>
        <w:pStyle w:val="AnnexNotitle"/>
        <w:rPr>
          <w:rFonts w:asciiTheme="minorHAnsi" w:hAnsiTheme="minorHAnsi"/>
          <w:sz w:val="24"/>
          <w:szCs w:val="24"/>
          <w:lang w:val="es-ES" w:eastAsia="en-CA"/>
        </w:rPr>
      </w:pPr>
      <w:r w:rsidRPr="007E2902">
        <w:rPr>
          <w:rFonts w:asciiTheme="minorHAnsi" w:hAnsiTheme="minorHAnsi"/>
          <w:sz w:val="24"/>
          <w:szCs w:val="24"/>
          <w:lang w:val="es-ES" w:eastAsia="en-CA"/>
        </w:rPr>
        <w:t xml:space="preserve">Mandato del </w:t>
      </w:r>
      <w:r w:rsidR="00C2058D" w:rsidRPr="007E2902">
        <w:rPr>
          <w:rFonts w:asciiTheme="minorHAnsi" w:hAnsiTheme="minorHAnsi"/>
          <w:sz w:val="24"/>
          <w:szCs w:val="24"/>
          <w:lang w:val="es-ES" w:eastAsia="en-CA"/>
        </w:rPr>
        <w:t xml:space="preserve">Grupo de Relator Intersectorial de la UIT </w:t>
      </w:r>
      <w:r w:rsidR="0097545E" w:rsidRPr="007E2902">
        <w:rPr>
          <w:rFonts w:asciiTheme="minorHAnsi" w:hAnsiTheme="minorHAnsi"/>
          <w:sz w:val="24"/>
          <w:szCs w:val="24"/>
          <w:lang w:val="es-ES" w:eastAsia="en-CA"/>
        </w:rPr>
        <w:t>sobre sistemas de radiodifusión y banda ancha integradas (GRI-IBB)</w:t>
      </w:r>
    </w:p>
    <w:p w:rsidR="00C2058D" w:rsidRPr="007E2902" w:rsidRDefault="00C2058D" w:rsidP="00C034BE">
      <w:pPr>
        <w:pStyle w:val="Heading1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Preámbulo</w:t>
      </w:r>
    </w:p>
    <w:p w:rsidR="00C2058D" w:rsidRPr="007E2902" w:rsidRDefault="00C2058D" w:rsidP="00BC53E0">
      <w:pPr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La Resolución 18 de la AMNT fue revisada en la AMNT-12 para permitir que expertos del UIT-R reali</w:t>
      </w:r>
      <w:r w:rsidR="00BC53E0" w:rsidRPr="007E2902">
        <w:rPr>
          <w:rFonts w:asciiTheme="minorHAnsi" w:hAnsiTheme="minorHAnsi"/>
          <w:szCs w:val="24"/>
          <w:lang w:val="es-ES" w:eastAsia="en-CA"/>
        </w:rPr>
        <w:t>zara</w:t>
      </w:r>
      <w:r w:rsidRPr="007E2902">
        <w:rPr>
          <w:rFonts w:asciiTheme="minorHAnsi" w:hAnsiTheme="minorHAnsi"/>
          <w:szCs w:val="24"/>
          <w:lang w:val="es-ES" w:eastAsia="en-CA"/>
        </w:rPr>
        <w:t xml:space="preserve">n trabajos de manera conjunta con expertos del UIT-T en un grupo oficialmente reconocido </w:t>
      </w:r>
      <w:r w:rsidR="00BC53E0" w:rsidRPr="007E2902">
        <w:rPr>
          <w:rFonts w:asciiTheme="minorHAnsi" w:hAnsiTheme="minorHAnsi"/>
          <w:szCs w:val="24"/>
          <w:lang w:val="es-ES" w:eastAsia="en-CA"/>
        </w:rPr>
        <w:t xml:space="preserve">tanto </w:t>
      </w:r>
      <w:r w:rsidRPr="007E2902">
        <w:rPr>
          <w:rFonts w:asciiTheme="minorHAnsi" w:hAnsiTheme="minorHAnsi"/>
          <w:szCs w:val="24"/>
          <w:lang w:val="es-ES" w:eastAsia="en-CA"/>
        </w:rPr>
        <w:t xml:space="preserve">por el UIT-R </w:t>
      </w:r>
      <w:r w:rsidR="00BC53E0" w:rsidRPr="007E2902">
        <w:rPr>
          <w:rFonts w:asciiTheme="minorHAnsi" w:hAnsiTheme="minorHAnsi"/>
          <w:szCs w:val="24"/>
          <w:lang w:val="es-ES" w:eastAsia="en-CA"/>
        </w:rPr>
        <w:t>como por</w:t>
      </w:r>
      <w:r w:rsidRPr="007E2902">
        <w:rPr>
          <w:rFonts w:asciiTheme="minorHAnsi" w:hAnsiTheme="minorHAnsi"/>
          <w:szCs w:val="24"/>
          <w:lang w:val="es-ES" w:eastAsia="en-CA"/>
        </w:rPr>
        <w:t xml:space="preserve"> el UIT-T.</w:t>
      </w:r>
    </w:p>
    <w:p w:rsidR="00C2058D" w:rsidRPr="007E2902" w:rsidRDefault="00C2058D" w:rsidP="00153BD1">
      <w:pPr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 xml:space="preserve">El </w:t>
      </w:r>
      <w:r w:rsidRPr="007E2902">
        <w:rPr>
          <w:rFonts w:asciiTheme="minorHAnsi" w:hAnsiTheme="minorHAnsi"/>
          <w:b/>
          <w:bCs/>
          <w:szCs w:val="24"/>
          <w:lang w:val="es-ES" w:eastAsia="en-CA"/>
        </w:rPr>
        <w:t>G</w:t>
      </w:r>
      <w:r w:rsidR="00153BD1" w:rsidRPr="007E2902">
        <w:rPr>
          <w:rFonts w:asciiTheme="minorHAnsi" w:hAnsiTheme="minorHAnsi"/>
          <w:b/>
          <w:bCs/>
          <w:szCs w:val="24"/>
          <w:lang w:val="es-ES" w:eastAsia="en-CA"/>
        </w:rPr>
        <w:t>rupo de Relator Intersectorial</w:t>
      </w:r>
      <w:r w:rsidRPr="007E2902">
        <w:rPr>
          <w:rFonts w:asciiTheme="minorHAnsi" w:hAnsiTheme="minorHAnsi"/>
          <w:b/>
          <w:bCs/>
          <w:szCs w:val="24"/>
          <w:lang w:val="es-ES" w:eastAsia="en-CA"/>
        </w:rPr>
        <w:t xml:space="preserve"> s</w:t>
      </w:r>
      <w:r w:rsidR="0097545E" w:rsidRPr="007E2902">
        <w:rPr>
          <w:rFonts w:asciiTheme="minorHAnsi" w:hAnsiTheme="minorHAnsi"/>
          <w:b/>
          <w:bCs/>
          <w:szCs w:val="24"/>
          <w:lang w:val="es-ES" w:eastAsia="en-CA"/>
        </w:rPr>
        <w:t>obre</w:t>
      </w:r>
      <w:r w:rsidR="0097545E" w:rsidRPr="007E2902">
        <w:rPr>
          <w:rFonts w:asciiTheme="minorHAnsi" w:hAnsiTheme="minorHAnsi"/>
          <w:szCs w:val="24"/>
          <w:lang w:val="es-ES"/>
        </w:rPr>
        <w:t xml:space="preserve"> </w:t>
      </w:r>
      <w:r w:rsidR="0097545E" w:rsidRPr="007E2902">
        <w:rPr>
          <w:rFonts w:asciiTheme="minorHAnsi" w:hAnsiTheme="minorHAnsi"/>
          <w:b/>
          <w:bCs/>
          <w:szCs w:val="24"/>
          <w:lang w:val="es-ES" w:eastAsia="en-CA"/>
        </w:rPr>
        <w:t>sistemas de radiodifusión y banda ancha integradas (GRI-IBB)</w:t>
      </w:r>
      <w:r w:rsidR="0079667B" w:rsidRPr="007E2902">
        <w:rPr>
          <w:rFonts w:asciiTheme="minorHAnsi" w:hAnsiTheme="minorHAnsi"/>
          <w:szCs w:val="24"/>
          <w:lang w:val="es-ES" w:eastAsia="en-CA"/>
        </w:rPr>
        <w:t xml:space="preserve"> </w:t>
      </w:r>
      <w:r w:rsidRPr="007E2902">
        <w:rPr>
          <w:rFonts w:asciiTheme="minorHAnsi" w:hAnsiTheme="minorHAnsi"/>
          <w:szCs w:val="24"/>
          <w:lang w:val="es-ES" w:eastAsia="en-CA"/>
        </w:rPr>
        <w:t xml:space="preserve">se crea con arreglo al Anexo C de la Resolución 18 de la AMNT-12 </w:t>
      </w:r>
      <w:r w:rsidRPr="007E2902">
        <w:rPr>
          <w:rFonts w:asciiTheme="minorHAnsi" w:hAnsiTheme="minorHAnsi"/>
          <w:szCs w:val="24"/>
          <w:u w:val="single"/>
          <w:lang w:val="es-ES" w:eastAsia="en-CA"/>
        </w:rPr>
        <w:t>y</w:t>
      </w:r>
      <w:r w:rsidRPr="007E2902">
        <w:rPr>
          <w:rFonts w:asciiTheme="minorHAnsi" w:hAnsiTheme="minorHAnsi"/>
          <w:szCs w:val="24"/>
          <w:lang w:val="es-ES" w:eastAsia="en-CA"/>
        </w:rPr>
        <w:t xml:space="preserve"> </w:t>
      </w:r>
      <w:r w:rsidR="00BC53E0" w:rsidRPr="007E2902">
        <w:rPr>
          <w:rFonts w:asciiTheme="minorHAnsi" w:hAnsiTheme="minorHAnsi"/>
          <w:szCs w:val="24"/>
          <w:lang w:val="es-ES" w:eastAsia="en-CA"/>
        </w:rPr>
        <w:t xml:space="preserve">a </w:t>
      </w:r>
      <w:r w:rsidRPr="007E2902">
        <w:rPr>
          <w:rFonts w:asciiTheme="minorHAnsi" w:hAnsiTheme="minorHAnsi"/>
          <w:szCs w:val="24"/>
          <w:lang w:val="es-ES" w:eastAsia="en-CA"/>
        </w:rPr>
        <w:t>las disposiciones correspondientes de la Resolución UIT-R 6 (de acuerdo con las conclusiones alcanzadas por el Grupo Asesor de Radiocomunicaciones (GAR) en su reunión del 22 al 24</w:t>
      </w:r>
      <w:r w:rsidR="0002627E" w:rsidRPr="007E2902">
        <w:rPr>
          <w:rFonts w:asciiTheme="minorHAnsi" w:hAnsiTheme="minorHAnsi"/>
          <w:szCs w:val="24"/>
          <w:lang w:val="es-ES" w:eastAsia="en-CA"/>
        </w:rPr>
        <w:t> </w:t>
      </w:r>
      <w:r w:rsidRPr="007E2902">
        <w:rPr>
          <w:rFonts w:asciiTheme="minorHAnsi" w:hAnsiTheme="minorHAnsi"/>
          <w:szCs w:val="24"/>
          <w:lang w:val="es-ES" w:eastAsia="en-CA"/>
        </w:rPr>
        <w:t>de</w:t>
      </w:r>
      <w:r w:rsidR="0002627E" w:rsidRPr="007E2902">
        <w:rPr>
          <w:rFonts w:asciiTheme="minorHAnsi" w:hAnsiTheme="minorHAnsi"/>
          <w:szCs w:val="24"/>
          <w:lang w:val="es-ES" w:eastAsia="en-CA"/>
        </w:rPr>
        <w:t> </w:t>
      </w:r>
      <w:r w:rsidRPr="007E2902">
        <w:rPr>
          <w:rFonts w:asciiTheme="minorHAnsi" w:hAnsiTheme="minorHAnsi"/>
          <w:szCs w:val="24"/>
          <w:lang w:val="es-ES" w:eastAsia="en-CA"/>
        </w:rPr>
        <w:t>mayo de 2013, Punto 5 del orden del día,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hyperlink r:id="rId17" w:history="1">
        <w:r w:rsidRPr="007E2902">
          <w:rPr>
            <w:rStyle w:val="Hyperlink"/>
            <w:rFonts w:asciiTheme="minorHAnsi" w:hAnsiTheme="minorHAnsi"/>
            <w:szCs w:val="24"/>
            <w:lang w:val="es-ES" w:eastAsia="en-CA"/>
          </w:rPr>
          <w:t>http://itu.int/en/ITU-R/conferences/rag/Documents/SUMOFCONCLFINAL.docx</w:t>
        </w:r>
      </w:hyperlink>
      <w:r w:rsidRPr="007E2902">
        <w:rPr>
          <w:rFonts w:asciiTheme="minorHAnsi" w:hAnsiTheme="minorHAnsi"/>
          <w:szCs w:val="24"/>
          <w:lang w:val="es-ES" w:eastAsia="en-CA"/>
        </w:rPr>
        <w:t>).</w:t>
      </w:r>
    </w:p>
    <w:p w:rsidR="00C034BE" w:rsidRPr="007E2902" w:rsidRDefault="000856BB" w:rsidP="00C034BE">
      <w:pPr>
        <w:pStyle w:val="Heading1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O</w:t>
      </w:r>
      <w:r w:rsidR="00C034BE" w:rsidRPr="007E2902">
        <w:rPr>
          <w:rFonts w:asciiTheme="minorHAnsi" w:hAnsiTheme="minorHAnsi"/>
          <w:szCs w:val="24"/>
          <w:lang w:val="es-ES" w:eastAsia="en-CA"/>
        </w:rPr>
        <w:t>bjetivos</w:t>
      </w:r>
    </w:p>
    <w:p w:rsidR="008E037E" w:rsidRPr="007E2902" w:rsidRDefault="00153BD1" w:rsidP="002E6179">
      <w:pPr>
        <w:pStyle w:val="enumlev1"/>
        <w:ind w:left="0" w:firstLine="0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Los</w:t>
      </w:r>
      <w:r w:rsidR="0097545E" w:rsidRPr="007E2902">
        <w:rPr>
          <w:rFonts w:asciiTheme="minorHAnsi" w:hAnsiTheme="minorHAnsi"/>
          <w:szCs w:val="24"/>
          <w:lang w:val="es-ES"/>
        </w:rPr>
        <w:t xml:space="preserve"> sistema</w:t>
      </w:r>
      <w:r w:rsidRPr="007E2902">
        <w:rPr>
          <w:rFonts w:asciiTheme="minorHAnsi" w:hAnsiTheme="minorHAnsi"/>
          <w:szCs w:val="24"/>
          <w:lang w:val="es-ES"/>
        </w:rPr>
        <w:t>s</w:t>
      </w:r>
      <w:r w:rsidR="0097545E" w:rsidRPr="007E2902">
        <w:rPr>
          <w:rFonts w:asciiTheme="minorHAnsi" w:hAnsiTheme="minorHAnsi"/>
          <w:szCs w:val="24"/>
          <w:lang w:val="es-ES"/>
        </w:rPr>
        <w:t xml:space="preserve"> de radiodifusión y banda ancha integradas (IBB)</w:t>
      </w:r>
      <w:r w:rsidRPr="007E2902">
        <w:rPr>
          <w:rFonts w:asciiTheme="minorHAnsi" w:hAnsiTheme="minorHAnsi"/>
          <w:szCs w:val="24"/>
          <w:lang w:val="es-ES"/>
        </w:rPr>
        <w:t xml:space="preserve"> se basan en la combinación de tecnologías de banda ancha y diferentes servicios de radiodifusión, tales como la radiodifusión por ondas hertzianas y por cable. Además, utilizan distintos dispositivos múltiples para presentar los contenidos con eficacia y permitir la interactividad de los usuarios. Los sistemas IBB proporcionan una amplia gama de servicios, gracias a su complejo comportamiento. </w:t>
      </w:r>
      <w:r w:rsidR="001B7914" w:rsidRPr="007E2902">
        <w:rPr>
          <w:rFonts w:asciiTheme="minorHAnsi" w:hAnsiTheme="minorHAnsi"/>
          <w:szCs w:val="24"/>
          <w:lang w:val="es-ES"/>
        </w:rPr>
        <w:t>Habida cuenta de la variedad tecnológica de la que se dispone para obtener el comportamiento de sistema requerido</w:t>
      </w:r>
      <w:r w:rsidRPr="007E2902">
        <w:rPr>
          <w:rFonts w:asciiTheme="minorHAnsi" w:hAnsiTheme="minorHAnsi"/>
          <w:szCs w:val="24"/>
          <w:lang w:val="es-ES"/>
        </w:rPr>
        <w:t xml:space="preserve">, se pueden utilizar tecnologías similares pero diferentes para la consecución de un mismo objetivo, o una tecnología que persiga un propósito distinto. Siempre que sea posible, deberían utilizarse sistemas cuya complejidad sea semejante o moderada, a fin de evitar la proliferación de normas </w:t>
      </w:r>
      <w:r w:rsidR="002E6179" w:rsidRPr="007E2902">
        <w:rPr>
          <w:rFonts w:asciiTheme="minorHAnsi" w:hAnsiTheme="minorHAnsi"/>
          <w:szCs w:val="24"/>
          <w:lang w:val="es-ES"/>
        </w:rPr>
        <w:t>a ese respecto</w:t>
      </w:r>
      <w:r w:rsidRPr="007E2902">
        <w:rPr>
          <w:rFonts w:asciiTheme="minorHAnsi" w:hAnsiTheme="minorHAnsi"/>
          <w:szCs w:val="24"/>
          <w:lang w:val="es-ES"/>
        </w:rPr>
        <w:t xml:space="preserve"> y, por consiguiente, evitar o mitigar la fragmentación del mercado de receptores y servicios.</w:t>
      </w:r>
    </w:p>
    <w:p w:rsidR="008E037E" w:rsidRPr="007E2902" w:rsidRDefault="008E037E" w:rsidP="008F3D6D">
      <w:pPr>
        <w:pStyle w:val="enumlev1"/>
        <w:ind w:left="0" w:firstLine="0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Así pues, el GRI estudiará</w:t>
      </w:r>
      <w:r w:rsidR="000856BB" w:rsidRPr="007E2902">
        <w:rPr>
          <w:rFonts w:asciiTheme="minorHAnsi" w:hAnsiTheme="minorHAnsi"/>
          <w:color w:val="000000"/>
          <w:szCs w:val="24"/>
          <w:lang w:val="es-ES"/>
        </w:rPr>
        <w:t xml:space="preserve"> la </w:t>
      </w:r>
      <w:r w:rsidR="001B7914" w:rsidRPr="007E2902">
        <w:rPr>
          <w:rFonts w:asciiTheme="minorHAnsi" w:hAnsiTheme="minorHAnsi"/>
          <w:color w:val="000000"/>
          <w:szCs w:val="24"/>
          <w:lang w:val="es-ES"/>
        </w:rPr>
        <w:t>definición y el comportamiento</w:t>
      </w:r>
      <w:r w:rsidR="000856BB" w:rsidRPr="007E2902">
        <w:rPr>
          <w:rFonts w:asciiTheme="minorHAnsi" w:hAnsiTheme="minorHAnsi"/>
          <w:color w:val="000000"/>
          <w:szCs w:val="24"/>
          <w:lang w:val="es-ES"/>
        </w:rPr>
        <w:t xml:space="preserve"> de los sistemas IBB</w:t>
      </w:r>
      <w:r w:rsidR="001B7914" w:rsidRPr="007E2902">
        <w:rPr>
          <w:rFonts w:asciiTheme="minorHAnsi" w:hAnsiTheme="minorHAnsi"/>
          <w:color w:val="000000"/>
          <w:szCs w:val="24"/>
          <w:lang w:val="es-ES"/>
        </w:rPr>
        <w:t xml:space="preserve"> presentes</w:t>
      </w:r>
      <w:r w:rsidR="000856BB" w:rsidRPr="007E2902">
        <w:rPr>
          <w:rFonts w:asciiTheme="minorHAnsi" w:hAnsiTheme="minorHAnsi"/>
          <w:color w:val="000000"/>
          <w:szCs w:val="24"/>
          <w:lang w:val="es-ES"/>
        </w:rPr>
        <w:t xml:space="preserve"> y futuros</w:t>
      </w:r>
      <w:r w:rsidR="001B7914" w:rsidRPr="007E2902">
        <w:rPr>
          <w:rFonts w:asciiTheme="minorHAnsi" w:hAnsiTheme="minorHAnsi"/>
          <w:color w:val="000000"/>
          <w:szCs w:val="24"/>
          <w:lang w:val="es-ES"/>
        </w:rPr>
        <w:t>,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="008F3D6D" w:rsidRPr="007E2902">
        <w:rPr>
          <w:rFonts w:asciiTheme="minorHAnsi" w:hAnsiTheme="minorHAnsi"/>
          <w:szCs w:val="24"/>
          <w:lang w:val="es-ES"/>
        </w:rPr>
        <w:t>los cuales recaen</w:t>
      </w:r>
      <w:r w:rsidR="007B0602" w:rsidRPr="007E2902">
        <w:rPr>
          <w:rFonts w:asciiTheme="minorHAnsi" w:hAnsiTheme="minorHAnsi"/>
          <w:szCs w:val="24"/>
          <w:lang w:val="es-ES"/>
        </w:rPr>
        <w:t>, actualmente,</w:t>
      </w:r>
      <w:r w:rsidR="001B7914" w:rsidRPr="007E2902">
        <w:rPr>
          <w:rFonts w:asciiTheme="minorHAnsi" w:hAnsiTheme="minorHAnsi"/>
          <w:szCs w:val="24"/>
          <w:lang w:val="es-ES"/>
        </w:rPr>
        <w:t xml:space="preserve"> en</w:t>
      </w:r>
      <w:r w:rsidR="00BC53E0" w:rsidRPr="007E2902">
        <w:rPr>
          <w:rFonts w:asciiTheme="minorHAnsi" w:hAnsiTheme="minorHAnsi"/>
          <w:szCs w:val="24"/>
          <w:lang w:val="es-ES"/>
        </w:rPr>
        <w:t xml:space="preserve"> los mandatos de</w:t>
      </w:r>
      <w:r w:rsidRPr="007E2902">
        <w:rPr>
          <w:rFonts w:asciiTheme="minorHAnsi" w:hAnsiTheme="minorHAnsi"/>
          <w:szCs w:val="24"/>
          <w:lang w:val="es-ES"/>
        </w:rPr>
        <w:t xml:space="preserve"> la Comisión de Estudio 6 del UIT-R y </w:t>
      </w:r>
      <w:r w:rsidR="00BC53E0" w:rsidRPr="007E2902">
        <w:rPr>
          <w:rFonts w:asciiTheme="minorHAnsi" w:hAnsiTheme="minorHAnsi"/>
          <w:szCs w:val="24"/>
          <w:lang w:val="es-ES"/>
        </w:rPr>
        <w:t>de</w:t>
      </w:r>
      <w:r w:rsidRPr="007E2902">
        <w:rPr>
          <w:rFonts w:asciiTheme="minorHAnsi" w:hAnsiTheme="minorHAnsi"/>
          <w:szCs w:val="24"/>
          <w:lang w:val="es-ES"/>
        </w:rPr>
        <w:t xml:space="preserve"> las Comisiones de Estudio </w:t>
      </w:r>
      <w:r w:rsidR="00B32305" w:rsidRPr="007E2902">
        <w:rPr>
          <w:rFonts w:asciiTheme="minorHAnsi" w:hAnsiTheme="minorHAnsi"/>
          <w:szCs w:val="24"/>
          <w:lang w:val="es-ES"/>
        </w:rPr>
        <w:t>9</w:t>
      </w:r>
      <w:r w:rsidRPr="007E2902">
        <w:rPr>
          <w:rFonts w:asciiTheme="minorHAnsi" w:hAnsiTheme="minorHAnsi"/>
          <w:szCs w:val="24"/>
          <w:lang w:val="es-ES"/>
        </w:rPr>
        <w:t xml:space="preserve"> del UIT-T.</w:t>
      </w:r>
    </w:p>
    <w:p w:rsidR="00D026A6" w:rsidRPr="007E2902" w:rsidRDefault="00D026A6" w:rsidP="000856BB">
      <w:pPr>
        <w:pStyle w:val="enumlev1"/>
        <w:ind w:left="0" w:firstLine="0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 xml:space="preserve">El GRI investigará temas relacionados con </w:t>
      </w:r>
      <w:r w:rsidR="000856BB" w:rsidRPr="007E2902">
        <w:rPr>
          <w:rFonts w:asciiTheme="minorHAnsi" w:hAnsiTheme="minorHAnsi"/>
          <w:szCs w:val="24"/>
          <w:lang w:val="es-ES"/>
        </w:rPr>
        <w:t>los sistemas de radiodifusión y banda ancha integradas,</w:t>
      </w:r>
      <w:r w:rsidRPr="007E2902">
        <w:rPr>
          <w:rFonts w:asciiTheme="minorHAnsi" w:hAnsiTheme="minorHAnsi"/>
          <w:szCs w:val="24"/>
          <w:lang w:val="es-ES"/>
        </w:rPr>
        <w:t xml:space="preserve"> con miras a la elaboración de Recomendaciones y otros materiales sin carácter normativo, según corresponda.</w:t>
      </w:r>
    </w:p>
    <w:p w:rsidR="00D026A6" w:rsidRPr="007E2902" w:rsidRDefault="00D026A6" w:rsidP="00D026A6">
      <w:pPr>
        <w:pStyle w:val="enumlev1"/>
        <w:ind w:left="0" w:firstLine="0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El GRI también tratará cuestiones que contribuyan a la coordinación de la labor de normalización de los grupos implicados del UIT-T y del UIT-R.</w:t>
      </w:r>
    </w:p>
    <w:p w:rsidR="000856BB" w:rsidRPr="007E2902" w:rsidRDefault="007B0602" w:rsidP="000856BB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Su</w:t>
      </w:r>
      <w:r w:rsidR="000856BB" w:rsidRPr="007E2902">
        <w:rPr>
          <w:rFonts w:asciiTheme="minorHAnsi" w:hAnsiTheme="minorHAnsi"/>
          <w:szCs w:val="24"/>
          <w:lang w:val="es-ES"/>
        </w:rPr>
        <w:t>s ámbitos de estudio incluyen:</w:t>
      </w:r>
    </w:p>
    <w:p w:rsidR="000856BB" w:rsidRPr="007E2902" w:rsidRDefault="00960EA3" w:rsidP="00960EA3">
      <w:pPr>
        <w:pStyle w:val="enumlev1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–</w:t>
      </w:r>
      <w:r w:rsidRPr="007E2902">
        <w:rPr>
          <w:rFonts w:asciiTheme="minorHAnsi" w:hAnsiTheme="minorHAnsi"/>
          <w:szCs w:val="24"/>
          <w:lang w:val="es-ES"/>
        </w:rPr>
        <w:tab/>
      </w:r>
      <w:r w:rsidR="000856BB" w:rsidRPr="007E2902">
        <w:rPr>
          <w:rFonts w:asciiTheme="minorHAnsi" w:hAnsiTheme="minorHAnsi"/>
          <w:szCs w:val="24"/>
          <w:lang w:val="es-ES"/>
        </w:rPr>
        <w:t xml:space="preserve">la coordinación de los avances sobre temas específicos de interés mutuo, limitados al ámbito de los sistemas de radiodifusión y banda ancha integradas, </w:t>
      </w:r>
      <w:r w:rsidR="007B0602" w:rsidRPr="007E2902">
        <w:rPr>
          <w:rFonts w:asciiTheme="minorHAnsi" w:hAnsiTheme="minorHAnsi"/>
          <w:szCs w:val="24"/>
          <w:lang w:val="es-ES"/>
        </w:rPr>
        <w:t>incluidos</w:t>
      </w:r>
      <w:r w:rsidR="000856BB" w:rsidRPr="007E2902">
        <w:rPr>
          <w:rFonts w:asciiTheme="minorHAnsi" w:hAnsiTheme="minorHAnsi"/>
          <w:szCs w:val="24"/>
          <w:lang w:val="es-ES"/>
        </w:rPr>
        <w:t>, entre otros:</w:t>
      </w:r>
    </w:p>
    <w:p w:rsidR="000856BB" w:rsidRPr="007E2902" w:rsidRDefault="00960EA3" w:rsidP="00960EA3">
      <w:pPr>
        <w:pStyle w:val="enumlev2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•</w:t>
      </w:r>
      <w:r w:rsidRPr="007E2902">
        <w:rPr>
          <w:rFonts w:asciiTheme="minorHAnsi" w:hAnsiTheme="minorHAnsi"/>
          <w:szCs w:val="24"/>
          <w:lang w:val="es-ES"/>
        </w:rPr>
        <w:tab/>
      </w:r>
      <w:proofErr w:type="gramStart"/>
      <w:r w:rsidR="000856BB" w:rsidRPr="007E2902">
        <w:rPr>
          <w:rFonts w:asciiTheme="minorHAnsi" w:hAnsiTheme="minorHAnsi"/>
          <w:szCs w:val="24"/>
          <w:lang w:val="es-ES"/>
        </w:rPr>
        <w:t>la</w:t>
      </w:r>
      <w:proofErr w:type="gramEnd"/>
      <w:r w:rsidR="000856BB" w:rsidRPr="007E2902">
        <w:rPr>
          <w:rFonts w:asciiTheme="minorHAnsi" w:hAnsiTheme="minorHAnsi"/>
          <w:szCs w:val="24"/>
          <w:lang w:val="es-ES"/>
        </w:rPr>
        <w:t xml:space="preserve"> identificación de posibles temas de trabajo que puedan evolucionar de manera conjunta para acabar convirtiéndose en Recomendaciones UIT-T y/o UIT-R;</w:t>
      </w:r>
    </w:p>
    <w:p w:rsidR="000856BB" w:rsidRPr="007E2902" w:rsidRDefault="00960EA3" w:rsidP="00960EA3">
      <w:pPr>
        <w:pStyle w:val="enumlev2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•</w:t>
      </w:r>
      <w:r w:rsidRPr="007E2902">
        <w:rPr>
          <w:rFonts w:asciiTheme="minorHAnsi" w:hAnsiTheme="minorHAnsi"/>
          <w:szCs w:val="24"/>
          <w:lang w:val="es-ES"/>
        </w:rPr>
        <w:tab/>
      </w:r>
      <w:proofErr w:type="gramStart"/>
      <w:r w:rsidR="000856BB" w:rsidRPr="007E2902">
        <w:rPr>
          <w:rFonts w:asciiTheme="minorHAnsi" w:hAnsiTheme="minorHAnsi"/>
          <w:szCs w:val="24"/>
          <w:lang w:val="es-ES"/>
        </w:rPr>
        <w:t>el</w:t>
      </w:r>
      <w:proofErr w:type="gramEnd"/>
      <w:r w:rsidR="000856BB" w:rsidRPr="007E2902">
        <w:rPr>
          <w:rFonts w:asciiTheme="minorHAnsi" w:hAnsiTheme="minorHAnsi"/>
          <w:szCs w:val="24"/>
          <w:lang w:val="es-ES"/>
        </w:rPr>
        <w:t xml:space="preserve"> análisis de los sistemas IBB existentes</w:t>
      </w:r>
      <w:r w:rsidR="007B0602" w:rsidRPr="007E2902">
        <w:rPr>
          <w:rFonts w:asciiTheme="minorHAnsi" w:hAnsiTheme="minorHAnsi"/>
          <w:szCs w:val="24"/>
          <w:lang w:val="es-ES"/>
        </w:rPr>
        <w:t>,</w:t>
      </w:r>
      <w:r w:rsidR="000856BB" w:rsidRPr="007E2902">
        <w:rPr>
          <w:rFonts w:asciiTheme="minorHAnsi" w:hAnsiTheme="minorHAnsi"/>
          <w:szCs w:val="24"/>
          <w:lang w:val="es-ES"/>
        </w:rPr>
        <w:t xml:space="preserve"> desde la perspectiva de las Recomendaciones UIT-T J.205 y UIT-R BT.2053. También deberían considerarse los elementos comunes de la definición y el comportamiento de</w:t>
      </w:r>
      <w:r w:rsidR="001B7914" w:rsidRPr="007E2902">
        <w:rPr>
          <w:rFonts w:asciiTheme="minorHAnsi" w:hAnsiTheme="minorHAnsi"/>
          <w:szCs w:val="24"/>
          <w:lang w:val="es-ES"/>
        </w:rPr>
        <w:t xml:space="preserve"> </w:t>
      </w:r>
      <w:r w:rsidR="000856BB" w:rsidRPr="007E2902">
        <w:rPr>
          <w:rFonts w:asciiTheme="minorHAnsi" w:hAnsiTheme="minorHAnsi"/>
          <w:szCs w:val="24"/>
          <w:lang w:val="es-ES"/>
        </w:rPr>
        <w:t>l</w:t>
      </w:r>
      <w:r w:rsidR="001B7914" w:rsidRPr="007E2902">
        <w:rPr>
          <w:rFonts w:asciiTheme="minorHAnsi" w:hAnsiTheme="minorHAnsi"/>
          <w:szCs w:val="24"/>
          <w:lang w:val="es-ES"/>
        </w:rPr>
        <w:t>os</w:t>
      </w:r>
      <w:r w:rsidR="000856BB" w:rsidRPr="007E2902">
        <w:rPr>
          <w:rFonts w:asciiTheme="minorHAnsi" w:hAnsiTheme="minorHAnsi"/>
          <w:szCs w:val="24"/>
          <w:lang w:val="es-ES"/>
        </w:rPr>
        <w:t xml:space="preserve"> sistema</w:t>
      </w:r>
      <w:r w:rsidR="001B7914" w:rsidRPr="007E2902">
        <w:rPr>
          <w:rFonts w:asciiTheme="minorHAnsi" w:hAnsiTheme="minorHAnsi"/>
          <w:szCs w:val="24"/>
          <w:lang w:val="es-ES"/>
        </w:rPr>
        <w:t>s</w:t>
      </w:r>
      <w:r w:rsidR="000856BB" w:rsidRPr="007E2902">
        <w:rPr>
          <w:rFonts w:asciiTheme="minorHAnsi" w:hAnsiTheme="minorHAnsi"/>
          <w:szCs w:val="24"/>
          <w:lang w:val="es-ES"/>
        </w:rPr>
        <w:t>.</w:t>
      </w:r>
    </w:p>
    <w:p w:rsidR="000856BB" w:rsidRPr="007E2902" w:rsidRDefault="000856BB" w:rsidP="000856BB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lastRenderedPageBreak/>
        <w:t>El GRI-IBB colaborará con otras organizaciones de normalización, cuando corresponda, y con otras organizaciones pertinentes que desarrollen o participen en el desarrollo de tecnologías conexas (por ejemplo foros y consorcios, centros de investigación e instituciones académicas).</w:t>
      </w:r>
    </w:p>
    <w:p w:rsidR="00C034BE" w:rsidRPr="007E2902" w:rsidRDefault="00C034BE" w:rsidP="009C09A0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Relaciones dentro y fuera del UIT-T</w:t>
      </w:r>
      <w:r w:rsidR="00517B95" w:rsidRPr="007E2902">
        <w:rPr>
          <w:rFonts w:asciiTheme="minorHAnsi" w:hAnsiTheme="minorHAnsi"/>
          <w:szCs w:val="24"/>
          <w:lang w:val="es-ES" w:eastAsia="en-CA"/>
        </w:rPr>
        <w:t xml:space="preserve"> y el UIT-R</w:t>
      </w:r>
    </w:p>
    <w:p w:rsidR="00517B95" w:rsidRPr="007E2902" w:rsidRDefault="00517B95" w:rsidP="00C034BE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 xml:space="preserve">Aunque el principal objetivo de este GRI es fomentar la coordinación y colaboración entre las Comisiones de Estudio tutoras respecto de los objetivos del GRI, se alienta la colaboración con otras Comisiones de Estudio o grupos que se consideren pertinentes. </w:t>
      </w:r>
    </w:p>
    <w:p w:rsidR="00517B95" w:rsidRPr="007E2902" w:rsidRDefault="00517B95" w:rsidP="007B0602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Los Grupos de Relator de otros grupos del UIT-T y el UIT-R pueden incorporarse a este GRI</w:t>
      </w:r>
      <w:r w:rsidR="00587FB4" w:rsidRPr="007E2902">
        <w:rPr>
          <w:rFonts w:asciiTheme="minorHAnsi" w:hAnsiTheme="minorHAnsi"/>
          <w:szCs w:val="24"/>
          <w:lang w:val="es-ES"/>
        </w:rPr>
        <w:t>,</w:t>
      </w:r>
      <w:r w:rsidRPr="007E2902">
        <w:rPr>
          <w:rFonts w:asciiTheme="minorHAnsi" w:hAnsiTheme="minorHAnsi"/>
          <w:szCs w:val="24"/>
          <w:lang w:val="es-ES"/>
        </w:rPr>
        <w:t xml:space="preserve"> previa solicitud y contando con el acuerdo de </w:t>
      </w:r>
      <w:r w:rsidR="007B0602" w:rsidRPr="007E2902">
        <w:rPr>
          <w:rFonts w:asciiTheme="minorHAnsi" w:hAnsiTheme="minorHAnsi"/>
          <w:szCs w:val="24"/>
          <w:lang w:val="es-ES"/>
        </w:rPr>
        <w:t>los grupos tutore</w:t>
      </w:r>
      <w:r w:rsidRPr="007E2902">
        <w:rPr>
          <w:rFonts w:asciiTheme="minorHAnsi" w:hAnsiTheme="minorHAnsi"/>
          <w:szCs w:val="24"/>
          <w:lang w:val="es-ES"/>
        </w:rPr>
        <w:t xml:space="preserve">s. </w:t>
      </w:r>
    </w:p>
    <w:p w:rsidR="00C034BE" w:rsidRPr="007E2902" w:rsidRDefault="00517B95" w:rsidP="00DA6417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 xml:space="preserve">El GRI puede preparar declaraciones de coordinación </w:t>
      </w:r>
      <w:r w:rsidR="00DA6417" w:rsidRPr="007E2902">
        <w:rPr>
          <w:rFonts w:asciiTheme="minorHAnsi" w:hAnsiTheme="minorHAnsi"/>
          <w:szCs w:val="24"/>
          <w:lang w:val="es-ES"/>
        </w:rPr>
        <w:t>para</w:t>
      </w:r>
      <w:r w:rsidRPr="007E2902">
        <w:rPr>
          <w:rFonts w:asciiTheme="minorHAnsi" w:hAnsiTheme="minorHAnsi"/>
          <w:szCs w:val="24"/>
          <w:lang w:val="es-ES"/>
        </w:rPr>
        <w:t xml:space="preserve"> otros grupos. Se facilitará a l</w:t>
      </w:r>
      <w:r w:rsidR="00DA6417" w:rsidRPr="007E2902">
        <w:rPr>
          <w:rFonts w:asciiTheme="minorHAnsi" w:hAnsiTheme="minorHAnsi"/>
          <w:szCs w:val="24"/>
          <w:lang w:val="es-ES"/>
        </w:rPr>
        <w:t>o</w:t>
      </w:r>
      <w:r w:rsidRPr="007E2902">
        <w:rPr>
          <w:rFonts w:asciiTheme="minorHAnsi" w:hAnsiTheme="minorHAnsi"/>
          <w:szCs w:val="24"/>
          <w:lang w:val="es-ES"/>
        </w:rPr>
        <w:t xml:space="preserve">s </w:t>
      </w:r>
      <w:r w:rsidR="00DA6417" w:rsidRPr="007E2902">
        <w:rPr>
          <w:rFonts w:asciiTheme="minorHAnsi" w:hAnsiTheme="minorHAnsi"/>
          <w:szCs w:val="24"/>
          <w:lang w:val="es-ES"/>
        </w:rPr>
        <w:t>grupos</w:t>
      </w:r>
      <w:r w:rsidRPr="007E2902">
        <w:rPr>
          <w:rFonts w:asciiTheme="minorHAnsi" w:hAnsiTheme="minorHAnsi"/>
          <w:szCs w:val="24"/>
          <w:lang w:val="es-ES"/>
        </w:rPr>
        <w:t xml:space="preserve"> tutor</w:t>
      </w:r>
      <w:r w:rsidR="00DA6417" w:rsidRPr="007E2902">
        <w:rPr>
          <w:rFonts w:asciiTheme="minorHAnsi" w:hAnsiTheme="minorHAnsi"/>
          <w:szCs w:val="24"/>
          <w:lang w:val="es-ES"/>
        </w:rPr>
        <w:t>e</w:t>
      </w:r>
      <w:r w:rsidRPr="007E2902">
        <w:rPr>
          <w:rFonts w:asciiTheme="minorHAnsi" w:hAnsiTheme="minorHAnsi"/>
          <w:szCs w:val="24"/>
          <w:lang w:val="es-ES"/>
        </w:rPr>
        <w:t>s copia</w:t>
      </w:r>
      <w:r w:rsidR="00DA6417" w:rsidRPr="007E2902">
        <w:rPr>
          <w:rFonts w:asciiTheme="minorHAnsi" w:hAnsiTheme="minorHAnsi"/>
          <w:szCs w:val="24"/>
          <w:lang w:val="es-ES"/>
        </w:rPr>
        <w:t>s</w:t>
      </w:r>
      <w:r w:rsidRPr="007E2902">
        <w:rPr>
          <w:rFonts w:asciiTheme="minorHAnsi" w:hAnsiTheme="minorHAnsi"/>
          <w:szCs w:val="24"/>
          <w:lang w:val="es-ES"/>
        </w:rPr>
        <w:t xml:space="preserve"> de toda</w:t>
      </w:r>
      <w:r w:rsidR="00DA6417" w:rsidRPr="007E2902">
        <w:rPr>
          <w:rFonts w:asciiTheme="minorHAnsi" w:hAnsiTheme="minorHAnsi"/>
          <w:szCs w:val="24"/>
          <w:lang w:val="es-ES"/>
        </w:rPr>
        <w:t>s las</w:t>
      </w:r>
      <w:r w:rsidRPr="007E2902">
        <w:rPr>
          <w:rFonts w:asciiTheme="minorHAnsi" w:hAnsiTheme="minorHAnsi"/>
          <w:szCs w:val="24"/>
          <w:lang w:val="es-ES"/>
        </w:rPr>
        <w:t xml:space="preserve"> comunicaci</w:t>
      </w:r>
      <w:r w:rsidR="00DA6417" w:rsidRPr="007E2902">
        <w:rPr>
          <w:rFonts w:asciiTheme="minorHAnsi" w:hAnsiTheme="minorHAnsi"/>
          <w:szCs w:val="24"/>
          <w:lang w:val="es-ES"/>
        </w:rPr>
        <w:t>ones de esta índole</w:t>
      </w:r>
      <w:r w:rsidRPr="007E2902">
        <w:rPr>
          <w:rFonts w:asciiTheme="minorHAnsi" w:hAnsiTheme="minorHAnsi"/>
          <w:szCs w:val="24"/>
          <w:lang w:val="es-ES"/>
        </w:rPr>
        <w:t xml:space="preserve">. </w:t>
      </w:r>
    </w:p>
    <w:p w:rsidR="00517B95" w:rsidRPr="007E2902" w:rsidRDefault="00DA6417" w:rsidP="00DA6417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Grupos tutore</w:t>
      </w:r>
      <w:r w:rsidR="00517B95" w:rsidRPr="007E2902">
        <w:rPr>
          <w:rFonts w:asciiTheme="minorHAnsi" w:hAnsiTheme="minorHAnsi"/>
          <w:szCs w:val="24"/>
          <w:lang w:val="es-ES" w:eastAsia="en-CA"/>
        </w:rPr>
        <w:t>s</w:t>
      </w:r>
    </w:p>
    <w:p w:rsidR="00C034BE" w:rsidRPr="007E2902" w:rsidRDefault="00DA6417" w:rsidP="00960EA3">
      <w:pPr>
        <w:pStyle w:val="Heading1"/>
        <w:spacing w:before="120"/>
        <w:ind w:left="0" w:firstLine="0"/>
        <w:rPr>
          <w:rFonts w:asciiTheme="minorHAnsi" w:hAnsiTheme="minorHAnsi"/>
          <w:b w:val="0"/>
          <w:szCs w:val="24"/>
          <w:lang w:val="es-ES"/>
        </w:rPr>
      </w:pPr>
      <w:r w:rsidRPr="007E2902">
        <w:rPr>
          <w:rFonts w:asciiTheme="minorHAnsi" w:hAnsiTheme="minorHAnsi"/>
          <w:b w:val="0"/>
          <w:szCs w:val="24"/>
          <w:lang w:val="es-ES"/>
        </w:rPr>
        <w:t>Los grupos tutores</w:t>
      </w:r>
      <w:r w:rsidR="00517B95" w:rsidRPr="007E2902">
        <w:rPr>
          <w:rFonts w:asciiTheme="minorHAnsi" w:hAnsiTheme="minorHAnsi"/>
          <w:b w:val="0"/>
          <w:szCs w:val="24"/>
          <w:lang w:val="es-ES"/>
        </w:rPr>
        <w:t xml:space="preserve"> del GRI-</w:t>
      </w:r>
      <w:r w:rsidRPr="007E2902">
        <w:rPr>
          <w:rFonts w:asciiTheme="minorHAnsi" w:hAnsiTheme="minorHAnsi"/>
          <w:b w:val="0"/>
          <w:szCs w:val="24"/>
          <w:lang w:val="es-ES"/>
        </w:rPr>
        <w:t>IBB</w:t>
      </w:r>
      <w:r w:rsidR="00517B95" w:rsidRPr="007E2902">
        <w:rPr>
          <w:rFonts w:asciiTheme="minorHAnsi" w:hAnsiTheme="minorHAnsi"/>
          <w:b w:val="0"/>
          <w:szCs w:val="24"/>
          <w:lang w:val="es-ES"/>
        </w:rPr>
        <w:t xml:space="preserve"> son la Comisión de Estudio </w:t>
      </w:r>
      <w:r w:rsidRPr="007E2902">
        <w:rPr>
          <w:rFonts w:asciiTheme="minorHAnsi" w:hAnsiTheme="minorHAnsi"/>
          <w:b w:val="0"/>
          <w:szCs w:val="24"/>
          <w:lang w:val="es-ES"/>
        </w:rPr>
        <w:t>9</w:t>
      </w:r>
      <w:r w:rsidR="00517B95" w:rsidRPr="007E2902">
        <w:rPr>
          <w:rFonts w:asciiTheme="minorHAnsi" w:hAnsiTheme="minorHAnsi"/>
          <w:b w:val="0"/>
          <w:szCs w:val="24"/>
          <w:lang w:val="es-ES"/>
        </w:rPr>
        <w:t xml:space="preserve"> del UIT-T y la C</w:t>
      </w:r>
      <w:r w:rsidR="00B32305" w:rsidRPr="007E2902">
        <w:rPr>
          <w:rFonts w:asciiTheme="minorHAnsi" w:hAnsiTheme="minorHAnsi"/>
          <w:b w:val="0"/>
          <w:szCs w:val="24"/>
          <w:lang w:val="es-ES"/>
        </w:rPr>
        <w:t>omisión de Estudio</w:t>
      </w:r>
      <w:r w:rsidR="00960EA3" w:rsidRPr="007E2902">
        <w:rPr>
          <w:rFonts w:asciiTheme="minorHAnsi" w:hAnsiTheme="minorHAnsi"/>
          <w:b w:val="0"/>
          <w:szCs w:val="24"/>
          <w:lang w:val="es-ES"/>
        </w:rPr>
        <w:t> </w:t>
      </w:r>
      <w:r w:rsidR="00B32305" w:rsidRPr="007E2902">
        <w:rPr>
          <w:rFonts w:asciiTheme="minorHAnsi" w:hAnsiTheme="minorHAnsi"/>
          <w:b w:val="0"/>
          <w:szCs w:val="24"/>
          <w:lang w:val="es-ES"/>
        </w:rPr>
        <w:t>6 del UIT-R.</w:t>
      </w:r>
    </w:p>
    <w:p w:rsidR="00C034BE" w:rsidRPr="007E2902" w:rsidRDefault="00517B95" w:rsidP="00517B95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Dirección</w:t>
      </w:r>
    </w:p>
    <w:p w:rsidR="006E481D" w:rsidRPr="007E2902" w:rsidRDefault="00517B95" w:rsidP="007B0602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El GRI-</w:t>
      </w:r>
      <w:r w:rsidR="002F4137" w:rsidRPr="007E2902">
        <w:rPr>
          <w:rFonts w:asciiTheme="minorHAnsi" w:hAnsiTheme="minorHAnsi"/>
          <w:szCs w:val="24"/>
          <w:lang w:val="es-ES"/>
        </w:rPr>
        <w:t>IBB</w:t>
      </w:r>
      <w:r w:rsidRPr="007E2902">
        <w:rPr>
          <w:rFonts w:asciiTheme="minorHAnsi" w:hAnsiTheme="minorHAnsi"/>
          <w:szCs w:val="24"/>
          <w:lang w:val="es-ES"/>
        </w:rPr>
        <w:t xml:space="preserve"> contará con un equipo directivo integrado por </w:t>
      </w:r>
      <w:r w:rsidR="002F4137" w:rsidRPr="007E2902">
        <w:rPr>
          <w:rFonts w:asciiTheme="minorHAnsi" w:hAnsiTheme="minorHAnsi"/>
          <w:szCs w:val="24"/>
          <w:lang w:val="es-ES"/>
        </w:rPr>
        <w:t>un mínimo de dos</w:t>
      </w:r>
      <w:r w:rsidRPr="007E2902">
        <w:rPr>
          <w:rFonts w:asciiTheme="minorHAnsi" w:hAnsiTheme="minorHAnsi"/>
          <w:szCs w:val="24"/>
          <w:lang w:val="es-ES"/>
        </w:rPr>
        <w:t xml:space="preserve"> expertos,</w:t>
      </w:r>
      <w:r w:rsidR="007B0602" w:rsidRPr="007E2902">
        <w:rPr>
          <w:rFonts w:asciiTheme="minorHAnsi" w:hAnsiTheme="minorHAnsi"/>
          <w:szCs w:val="24"/>
          <w:lang w:val="es-ES"/>
        </w:rPr>
        <w:t xml:space="preserve"> cada uno de ellos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="002F4137" w:rsidRPr="007E2902">
        <w:rPr>
          <w:rFonts w:asciiTheme="minorHAnsi" w:hAnsiTheme="minorHAnsi"/>
          <w:szCs w:val="24"/>
          <w:lang w:val="es-ES"/>
        </w:rPr>
        <w:t>designado por</w:t>
      </w:r>
      <w:r w:rsidR="007B0602" w:rsidRPr="007E2902">
        <w:rPr>
          <w:rFonts w:asciiTheme="minorHAnsi" w:hAnsiTheme="minorHAnsi"/>
          <w:szCs w:val="24"/>
          <w:lang w:val="es-ES"/>
        </w:rPr>
        <w:t xml:space="preserve"> uno de</w:t>
      </w:r>
      <w:r w:rsidR="002F4137" w:rsidRPr="007E2902">
        <w:rPr>
          <w:rFonts w:asciiTheme="minorHAnsi" w:hAnsiTheme="minorHAnsi"/>
          <w:szCs w:val="24"/>
          <w:lang w:val="es-ES"/>
        </w:rPr>
        <w:t xml:space="preserve"> los grupos tutores</w:t>
      </w:r>
      <w:r w:rsidRPr="007E2902">
        <w:rPr>
          <w:rFonts w:asciiTheme="minorHAnsi" w:hAnsiTheme="minorHAnsi"/>
          <w:szCs w:val="24"/>
          <w:lang w:val="es-ES"/>
        </w:rPr>
        <w:t xml:space="preserve">. </w:t>
      </w:r>
      <w:r w:rsidR="006E481D" w:rsidRPr="007E2902">
        <w:rPr>
          <w:rFonts w:asciiTheme="minorHAnsi" w:hAnsiTheme="minorHAnsi"/>
          <w:szCs w:val="24"/>
          <w:lang w:val="es-ES"/>
        </w:rPr>
        <w:t>Los Preside</w:t>
      </w:r>
      <w:r w:rsidR="007B0602" w:rsidRPr="007E2902">
        <w:rPr>
          <w:rFonts w:asciiTheme="minorHAnsi" w:hAnsiTheme="minorHAnsi"/>
          <w:szCs w:val="24"/>
          <w:lang w:val="es-ES"/>
        </w:rPr>
        <w:t>ntes del GRI deben formar parte</w:t>
      </w:r>
      <w:r w:rsidR="006E481D" w:rsidRPr="007E2902">
        <w:rPr>
          <w:rFonts w:asciiTheme="minorHAnsi" w:hAnsiTheme="minorHAnsi"/>
          <w:szCs w:val="24"/>
          <w:lang w:val="es-ES"/>
        </w:rPr>
        <w:t xml:space="preserve"> </w:t>
      </w:r>
      <w:r w:rsidR="007B0602" w:rsidRPr="007E2902">
        <w:rPr>
          <w:rFonts w:asciiTheme="minorHAnsi" w:hAnsiTheme="minorHAnsi"/>
          <w:szCs w:val="24"/>
          <w:lang w:val="es-ES"/>
        </w:rPr>
        <w:t>del equipo directivo</w:t>
      </w:r>
      <w:r w:rsidR="007B0602" w:rsidRPr="007E2902">
        <w:rPr>
          <w:rFonts w:asciiTheme="minorHAnsi" w:hAnsiTheme="minorHAnsi"/>
          <w:i/>
          <w:iCs/>
          <w:szCs w:val="24"/>
          <w:lang w:val="es-ES"/>
        </w:rPr>
        <w:t xml:space="preserve"> </w:t>
      </w:r>
      <w:r w:rsidR="006E481D" w:rsidRPr="007E2902">
        <w:rPr>
          <w:rFonts w:asciiTheme="minorHAnsi" w:hAnsiTheme="minorHAnsi"/>
          <w:i/>
          <w:iCs/>
          <w:szCs w:val="24"/>
          <w:lang w:val="es-ES"/>
        </w:rPr>
        <w:t>ex oficio</w:t>
      </w:r>
      <w:r w:rsidR="006E481D" w:rsidRPr="007E2902">
        <w:rPr>
          <w:rFonts w:asciiTheme="minorHAnsi" w:hAnsiTheme="minorHAnsi"/>
          <w:szCs w:val="24"/>
          <w:lang w:val="es-ES"/>
        </w:rPr>
        <w:t>. Este equipo directivo representa el núcleo del GRI y se espera de él que agilice las labores. En consecuencia, sólo debería</w:t>
      </w:r>
      <w:r w:rsidR="007B0602" w:rsidRPr="007E2902">
        <w:rPr>
          <w:rFonts w:asciiTheme="minorHAnsi" w:hAnsiTheme="minorHAnsi"/>
          <w:szCs w:val="24"/>
          <w:lang w:val="es-ES"/>
        </w:rPr>
        <w:t>n</w:t>
      </w:r>
      <w:r w:rsidR="006E481D" w:rsidRPr="007E2902">
        <w:rPr>
          <w:rFonts w:asciiTheme="minorHAnsi" w:hAnsiTheme="minorHAnsi"/>
          <w:szCs w:val="24"/>
          <w:lang w:val="es-ES"/>
        </w:rPr>
        <w:t xml:space="preserve"> nombrarse como miembro</w:t>
      </w:r>
      <w:r w:rsidR="007B0602" w:rsidRPr="007E2902">
        <w:rPr>
          <w:rFonts w:asciiTheme="minorHAnsi" w:hAnsiTheme="minorHAnsi"/>
          <w:szCs w:val="24"/>
          <w:lang w:val="es-ES"/>
        </w:rPr>
        <w:t>s</w:t>
      </w:r>
      <w:r w:rsidR="006E481D" w:rsidRPr="007E2902">
        <w:rPr>
          <w:rFonts w:asciiTheme="minorHAnsi" w:hAnsiTheme="minorHAnsi"/>
          <w:szCs w:val="24"/>
          <w:lang w:val="es-ES"/>
        </w:rPr>
        <w:t xml:space="preserve"> del equipo directivo a personas que dispongan del tiempo y de las calificaciones necesarias para hacer avanzar los trabajos del GRI.</w:t>
      </w:r>
    </w:p>
    <w:p w:rsidR="00C034BE" w:rsidRPr="007E2902" w:rsidRDefault="006E481D" w:rsidP="008F3D6D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A la hora de gestionar el trabajo, los miembros del equipo directivo tomarán decisiones relativas al reparto de las tareas y las respons</w:t>
      </w:r>
      <w:r w:rsidR="003459EA" w:rsidRPr="007E2902">
        <w:rPr>
          <w:rFonts w:asciiTheme="minorHAnsi" w:hAnsiTheme="minorHAnsi"/>
          <w:szCs w:val="24"/>
          <w:lang w:val="es-ES"/>
        </w:rPr>
        <w:t>abilidades asociadas con las labores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="008F3D6D" w:rsidRPr="007E2902">
        <w:rPr>
          <w:rFonts w:asciiTheme="minorHAnsi" w:hAnsiTheme="minorHAnsi"/>
          <w:szCs w:val="24"/>
          <w:lang w:val="es-ES"/>
        </w:rPr>
        <w:t>de</w:t>
      </w:r>
      <w:r w:rsidRPr="007E2902">
        <w:rPr>
          <w:rFonts w:asciiTheme="minorHAnsi" w:hAnsiTheme="minorHAnsi"/>
          <w:szCs w:val="24"/>
          <w:lang w:val="es-ES"/>
        </w:rPr>
        <w:t xml:space="preserve">l GRI. En cualquier caso, deben trabajar de consuno </w:t>
      </w:r>
      <w:r w:rsidR="003459EA" w:rsidRPr="007E2902">
        <w:rPr>
          <w:rFonts w:asciiTheme="minorHAnsi" w:hAnsiTheme="minorHAnsi"/>
          <w:szCs w:val="24"/>
          <w:lang w:val="es-ES"/>
        </w:rPr>
        <w:t>en la consecución de los resultados del GRI y finalizar los trabajos del Grupo dentro del período</w:t>
      </w:r>
      <w:r w:rsidRPr="007E2902">
        <w:rPr>
          <w:rFonts w:asciiTheme="minorHAnsi" w:hAnsiTheme="minorHAnsi"/>
          <w:szCs w:val="24"/>
          <w:lang w:val="es-ES"/>
        </w:rPr>
        <w:t xml:space="preserve"> de tiempo </w:t>
      </w:r>
      <w:r w:rsidR="003459EA" w:rsidRPr="007E2902">
        <w:rPr>
          <w:rFonts w:asciiTheme="minorHAnsi" w:hAnsiTheme="minorHAnsi"/>
          <w:szCs w:val="24"/>
          <w:lang w:val="es-ES"/>
        </w:rPr>
        <w:t>estipul</w:t>
      </w:r>
      <w:r w:rsidRPr="007E2902">
        <w:rPr>
          <w:rFonts w:asciiTheme="minorHAnsi" w:hAnsiTheme="minorHAnsi"/>
          <w:szCs w:val="24"/>
          <w:lang w:val="es-ES"/>
        </w:rPr>
        <w:t>ado.</w:t>
      </w:r>
    </w:p>
    <w:p w:rsidR="00C034BE" w:rsidRPr="007E2902" w:rsidRDefault="00C23E21" w:rsidP="00C23E21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Participación</w:t>
      </w:r>
    </w:p>
    <w:p w:rsidR="00C23E21" w:rsidRPr="007E2902" w:rsidRDefault="00C23E21" w:rsidP="001B7914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 xml:space="preserve">La participación está abierta a los miembros del UIT-T y el UIT-R que pueden </w:t>
      </w:r>
      <w:r w:rsidR="001B7914" w:rsidRPr="007E2902">
        <w:rPr>
          <w:rFonts w:asciiTheme="minorHAnsi" w:hAnsiTheme="minorHAnsi"/>
          <w:szCs w:val="24"/>
          <w:lang w:val="es-ES"/>
        </w:rPr>
        <w:t>toma</w:t>
      </w:r>
      <w:r w:rsidRPr="007E2902">
        <w:rPr>
          <w:rFonts w:asciiTheme="minorHAnsi" w:hAnsiTheme="minorHAnsi"/>
          <w:szCs w:val="24"/>
          <w:lang w:val="es-ES"/>
        </w:rPr>
        <w:t>r</w:t>
      </w:r>
      <w:r w:rsidR="001B7914" w:rsidRPr="007E2902">
        <w:rPr>
          <w:rFonts w:asciiTheme="minorHAnsi" w:hAnsiTheme="minorHAnsi"/>
          <w:szCs w:val="24"/>
          <w:lang w:val="es-ES"/>
        </w:rPr>
        <w:t xml:space="preserve"> parte</w:t>
      </w:r>
      <w:r w:rsidRPr="007E2902">
        <w:rPr>
          <w:rFonts w:asciiTheme="minorHAnsi" w:hAnsiTheme="minorHAnsi"/>
          <w:szCs w:val="24"/>
          <w:lang w:val="es-ES"/>
        </w:rPr>
        <w:t xml:space="preserve"> en los trabajos de </w:t>
      </w:r>
      <w:r w:rsidR="003459EA" w:rsidRPr="007E2902">
        <w:rPr>
          <w:rFonts w:asciiTheme="minorHAnsi" w:hAnsiTheme="minorHAnsi"/>
          <w:szCs w:val="24"/>
          <w:lang w:val="es-ES"/>
        </w:rPr>
        <w:t>los grupos tutores</w:t>
      </w:r>
      <w:r w:rsidRPr="007E2902">
        <w:rPr>
          <w:rFonts w:asciiTheme="minorHAnsi" w:hAnsiTheme="minorHAnsi"/>
          <w:szCs w:val="24"/>
          <w:lang w:val="es-ES"/>
        </w:rPr>
        <w:t xml:space="preserve"> del UIT-T y el UIT-R. El equipo directivo del GRI-</w:t>
      </w:r>
      <w:r w:rsidR="003459EA" w:rsidRPr="007E2902">
        <w:rPr>
          <w:rFonts w:asciiTheme="minorHAnsi" w:hAnsiTheme="minorHAnsi"/>
          <w:szCs w:val="24"/>
          <w:lang w:val="es-ES"/>
        </w:rPr>
        <w:t>IBB</w:t>
      </w:r>
      <w:r w:rsidRPr="007E2902">
        <w:rPr>
          <w:rFonts w:asciiTheme="minorHAnsi" w:hAnsiTheme="minorHAnsi"/>
          <w:szCs w:val="24"/>
          <w:lang w:val="es-ES"/>
        </w:rPr>
        <w:t xml:space="preserve"> puede invitar a expertos a título individual cuando lo considere apropiado y de acuerdo con las reglas aplicables para las reuniones de l</w:t>
      </w:r>
      <w:r w:rsidR="003459EA" w:rsidRPr="007E2902">
        <w:rPr>
          <w:rFonts w:asciiTheme="minorHAnsi" w:hAnsiTheme="minorHAnsi"/>
          <w:szCs w:val="24"/>
          <w:lang w:val="es-ES"/>
        </w:rPr>
        <w:t>os grupos tutores</w:t>
      </w:r>
      <w:r w:rsidRPr="007E2902">
        <w:rPr>
          <w:rFonts w:asciiTheme="minorHAnsi" w:hAnsiTheme="minorHAnsi"/>
          <w:szCs w:val="24"/>
          <w:lang w:val="es-ES"/>
        </w:rPr>
        <w:t xml:space="preserve"> del UIT-T y el UIT-R. </w:t>
      </w:r>
    </w:p>
    <w:p w:rsidR="00C23E21" w:rsidRPr="007E2902" w:rsidRDefault="00C23E21" w:rsidP="00DC2292">
      <w:pPr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 xml:space="preserve">Se mantendrá al día una lista de participantes con fines de referencia, </w:t>
      </w:r>
      <w:r w:rsidR="00DC2292" w:rsidRPr="007E2902">
        <w:rPr>
          <w:rFonts w:asciiTheme="minorHAnsi" w:hAnsiTheme="minorHAnsi"/>
          <w:szCs w:val="24"/>
          <w:lang w:val="es-ES"/>
        </w:rPr>
        <w:t>que</w:t>
      </w:r>
      <w:r w:rsidRPr="007E2902">
        <w:rPr>
          <w:rFonts w:asciiTheme="minorHAnsi" w:hAnsiTheme="minorHAnsi"/>
          <w:szCs w:val="24"/>
          <w:lang w:val="es-ES"/>
        </w:rPr>
        <w:t xml:space="preserve"> se comunicará a </w:t>
      </w:r>
      <w:r w:rsidR="003459EA" w:rsidRPr="007E2902">
        <w:rPr>
          <w:rFonts w:asciiTheme="minorHAnsi" w:hAnsiTheme="minorHAnsi"/>
          <w:szCs w:val="24"/>
          <w:lang w:val="es-ES"/>
        </w:rPr>
        <w:t>los grupos tutores</w:t>
      </w:r>
      <w:r w:rsidRPr="007E2902">
        <w:rPr>
          <w:rFonts w:asciiTheme="minorHAnsi" w:hAnsiTheme="minorHAnsi"/>
          <w:szCs w:val="24"/>
          <w:lang w:val="es-ES"/>
        </w:rPr>
        <w:t xml:space="preserve"> en forma de anexo al informe de cada reunión (véase la cláusula</w:t>
      </w:r>
      <w:r w:rsidR="0079667B" w:rsidRPr="007E2902">
        <w:rPr>
          <w:rFonts w:asciiTheme="minorHAnsi" w:hAnsiTheme="minorHAnsi"/>
          <w:szCs w:val="24"/>
          <w:lang w:val="es-ES"/>
        </w:rPr>
        <w:t> </w:t>
      </w:r>
      <w:r w:rsidRPr="007E2902">
        <w:rPr>
          <w:rFonts w:asciiTheme="minorHAnsi" w:hAnsiTheme="minorHAnsi"/>
          <w:szCs w:val="24"/>
          <w:lang w:val="es-ES"/>
        </w:rPr>
        <w:t>9).</w:t>
      </w:r>
    </w:p>
    <w:p w:rsidR="00C034BE" w:rsidRPr="007E2902" w:rsidRDefault="00C23E21" w:rsidP="00C23E21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Productos finales</w:t>
      </w:r>
    </w:p>
    <w:p w:rsidR="00C23E21" w:rsidRPr="007E2902" w:rsidRDefault="00C23E21" w:rsidP="00C034BE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>Un GRI puede redactar proyectos de Recomendación nueva o revisada, así como otros materiales sin carácter normativo.</w:t>
      </w:r>
    </w:p>
    <w:p w:rsidR="00C23E21" w:rsidRPr="007E2902" w:rsidRDefault="00C23E21" w:rsidP="003459EA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 xml:space="preserve">Estos productos finales, previo consenso en el GRI, se someterán a </w:t>
      </w:r>
      <w:r w:rsidR="003459EA" w:rsidRPr="007E2902">
        <w:rPr>
          <w:rFonts w:asciiTheme="minorHAnsi" w:hAnsiTheme="minorHAnsi"/>
          <w:szCs w:val="24"/>
          <w:lang w:val="es-ES" w:eastAsia="zh-CN"/>
        </w:rPr>
        <w:t>las Comisiones de Estudio tutoras</w:t>
      </w:r>
      <w:r w:rsidRPr="007E2902">
        <w:rPr>
          <w:rFonts w:asciiTheme="minorHAnsi" w:hAnsiTheme="minorHAnsi"/>
          <w:szCs w:val="24"/>
          <w:lang w:val="es-ES" w:eastAsia="zh-CN"/>
        </w:rPr>
        <w:t xml:space="preserve"> </w:t>
      </w:r>
      <w:r w:rsidR="00587FB4" w:rsidRPr="007E2902">
        <w:rPr>
          <w:rFonts w:asciiTheme="minorHAnsi" w:hAnsiTheme="minorHAnsi"/>
          <w:szCs w:val="24"/>
          <w:lang w:val="es-ES" w:eastAsia="zh-CN"/>
        </w:rPr>
        <w:t xml:space="preserve">del mismo </w:t>
      </w:r>
      <w:r w:rsidRPr="007E2902">
        <w:rPr>
          <w:rFonts w:asciiTheme="minorHAnsi" w:hAnsiTheme="minorHAnsi"/>
          <w:szCs w:val="24"/>
          <w:lang w:val="es-ES" w:eastAsia="zh-CN"/>
        </w:rPr>
        <w:t xml:space="preserve">para proseguir su examen </w:t>
      </w:r>
      <w:r w:rsidR="003459EA" w:rsidRPr="007E2902">
        <w:rPr>
          <w:rFonts w:asciiTheme="minorHAnsi" w:hAnsiTheme="minorHAnsi"/>
          <w:szCs w:val="24"/>
          <w:lang w:val="es-ES" w:eastAsia="zh-CN"/>
        </w:rPr>
        <w:t>de conformidad con</w:t>
      </w:r>
      <w:r w:rsidRPr="007E2902">
        <w:rPr>
          <w:rFonts w:asciiTheme="minorHAnsi" w:hAnsiTheme="minorHAnsi"/>
          <w:szCs w:val="24"/>
          <w:lang w:val="es-ES" w:eastAsia="zh-CN"/>
        </w:rPr>
        <w:t xml:space="preserve"> las reglas y prácticas d</w:t>
      </w:r>
      <w:r w:rsidR="003459EA" w:rsidRPr="007E2902">
        <w:rPr>
          <w:rFonts w:asciiTheme="minorHAnsi" w:hAnsiTheme="minorHAnsi"/>
          <w:szCs w:val="24"/>
          <w:lang w:val="es-ES" w:eastAsia="zh-CN"/>
        </w:rPr>
        <w:t>el grupo tutor al</w:t>
      </w:r>
      <w:r w:rsidRPr="007E2902">
        <w:rPr>
          <w:rFonts w:asciiTheme="minorHAnsi" w:hAnsiTheme="minorHAnsi"/>
          <w:szCs w:val="24"/>
          <w:lang w:val="es-ES" w:eastAsia="zh-CN"/>
        </w:rPr>
        <w:t xml:space="preserve"> que se asigne el producto final.</w:t>
      </w:r>
    </w:p>
    <w:p w:rsidR="00C23E21" w:rsidRPr="007E2902" w:rsidRDefault="00C23E21" w:rsidP="003459EA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lastRenderedPageBreak/>
        <w:t>El GRI-</w:t>
      </w:r>
      <w:r w:rsidR="003459EA" w:rsidRPr="007E2902">
        <w:rPr>
          <w:rFonts w:asciiTheme="minorHAnsi" w:hAnsiTheme="minorHAnsi"/>
          <w:szCs w:val="24"/>
          <w:lang w:val="es-ES" w:eastAsia="zh-CN"/>
        </w:rPr>
        <w:t>IBB</w:t>
      </w:r>
      <w:r w:rsidRPr="007E2902">
        <w:rPr>
          <w:rFonts w:asciiTheme="minorHAnsi" w:hAnsiTheme="minorHAnsi"/>
          <w:szCs w:val="24"/>
          <w:lang w:val="es-ES" w:eastAsia="zh-CN"/>
        </w:rPr>
        <w:t xml:space="preserve"> identificará dichos productos finales y formulará las propuestas correspondiente</w:t>
      </w:r>
      <w:r w:rsidR="003459EA" w:rsidRPr="007E2902">
        <w:rPr>
          <w:rFonts w:asciiTheme="minorHAnsi" w:hAnsiTheme="minorHAnsi"/>
          <w:szCs w:val="24"/>
          <w:lang w:val="es-ES" w:eastAsia="zh-CN"/>
        </w:rPr>
        <w:t>s a sus Comisiones de Estudio tuto</w:t>
      </w:r>
      <w:r w:rsidRPr="007E2902">
        <w:rPr>
          <w:rFonts w:asciiTheme="minorHAnsi" w:hAnsiTheme="minorHAnsi"/>
          <w:szCs w:val="24"/>
          <w:lang w:val="es-ES" w:eastAsia="zh-CN"/>
        </w:rPr>
        <w:t>ras (véase la cláusula 8).</w:t>
      </w:r>
    </w:p>
    <w:p w:rsidR="00C23E21" w:rsidRPr="007E2902" w:rsidRDefault="00C23E21" w:rsidP="00DC2292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 xml:space="preserve">Cada </w:t>
      </w:r>
      <w:r w:rsidR="00DC2292" w:rsidRPr="007E2902">
        <w:rPr>
          <w:rFonts w:asciiTheme="minorHAnsi" w:hAnsiTheme="minorHAnsi"/>
          <w:szCs w:val="24"/>
          <w:lang w:val="es-ES" w:eastAsia="zh-CN"/>
        </w:rPr>
        <w:t>grupo</w:t>
      </w:r>
      <w:r w:rsidRPr="007E2902">
        <w:rPr>
          <w:rFonts w:asciiTheme="minorHAnsi" w:hAnsiTheme="minorHAnsi"/>
          <w:szCs w:val="24"/>
          <w:lang w:val="es-ES" w:eastAsia="zh-CN"/>
        </w:rPr>
        <w:t xml:space="preserve"> </w:t>
      </w:r>
      <w:r w:rsidR="0022396C" w:rsidRPr="007E2902">
        <w:rPr>
          <w:rFonts w:asciiTheme="minorHAnsi" w:hAnsiTheme="minorHAnsi"/>
          <w:szCs w:val="24"/>
          <w:lang w:val="es-ES" w:eastAsia="zh-CN"/>
        </w:rPr>
        <w:t>tutor</w:t>
      </w:r>
      <w:r w:rsidRPr="007E2902">
        <w:rPr>
          <w:rFonts w:asciiTheme="minorHAnsi" w:hAnsiTheme="minorHAnsi"/>
          <w:szCs w:val="24"/>
          <w:lang w:val="es-ES" w:eastAsia="zh-CN"/>
        </w:rPr>
        <w:t xml:space="preserve"> será responsable de sus propias Recomendaciones. Todo texto de Recomendación conjunto será aprobado de manera coordinada por </w:t>
      </w:r>
      <w:r w:rsidR="003459EA" w:rsidRPr="007E2902">
        <w:rPr>
          <w:rFonts w:asciiTheme="minorHAnsi" w:hAnsiTheme="minorHAnsi"/>
          <w:szCs w:val="24"/>
          <w:lang w:val="es-ES" w:eastAsia="zh-CN"/>
        </w:rPr>
        <w:t>los grupos tutores</w:t>
      </w:r>
      <w:r w:rsidRPr="007E2902">
        <w:rPr>
          <w:rFonts w:asciiTheme="minorHAnsi" w:hAnsiTheme="minorHAnsi"/>
          <w:szCs w:val="24"/>
          <w:lang w:val="es-ES" w:eastAsia="zh-CN"/>
        </w:rPr>
        <w:t>. Los textos conjuntos deberán alinearse técnicamente en</w:t>
      </w:r>
      <w:r w:rsidR="003459EA" w:rsidRPr="007E2902">
        <w:rPr>
          <w:rFonts w:asciiTheme="minorHAnsi" w:hAnsiTheme="minorHAnsi"/>
          <w:szCs w:val="24"/>
          <w:lang w:val="es-ES" w:eastAsia="zh-CN"/>
        </w:rPr>
        <w:t xml:space="preserve"> </w:t>
      </w:r>
      <w:r w:rsidRPr="007E2902">
        <w:rPr>
          <w:rFonts w:asciiTheme="minorHAnsi" w:hAnsiTheme="minorHAnsi"/>
          <w:szCs w:val="24"/>
          <w:lang w:val="es-ES" w:eastAsia="zh-CN"/>
        </w:rPr>
        <w:t xml:space="preserve">la medida de lo posible. </w:t>
      </w:r>
    </w:p>
    <w:p w:rsidR="00C034BE" w:rsidRPr="007E2902" w:rsidRDefault="00C23E21" w:rsidP="00C23E21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 xml:space="preserve">Los resultados de los trabajos de un GRI tienen que representar un consenso acordado del GRI, o reflejar la diversidad de opiniones de los participantes en el GRI. </w:t>
      </w:r>
    </w:p>
    <w:p w:rsidR="00C034BE" w:rsidRPr="007E2902" w:rsidRDefault="005E6C76" w:rsidP="005E6C76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Reuniones</w:t>
      </w:r>
    </w:p>
    <w:p w:rsidR="005E6C76" w:rsidRPr="007E2902" w:rsidRDefault="005E6C76" w:rsidP="00AB2556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 xml:space="preserve">El GRI determinará la frecuencia y el lugar de celebración de sus reuniones, cuyo calendario general se publicará lo antes posible. </w:t>
      </w:r>
    </w:p>
    <w:p w:rsidR="005E6C76" w:rsidRPr="007E2902" w:rsidRDefault="00AB2556" w:rsidP="0002733C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Style w:val="hps"/>
          <w:rFonts w:asciiTheme="minorHAnsi" w:hAnsiTheme="minorHAnsi"/>
          <w:szCs w:val="24"/>
          <w:lang w:val="es-ES"/>
        </w:rPr>
        <w:t>Las reuniones del GRI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Pr="007E2902">
        <w:rPr>
          <w:rStyle w:val="hps"/>
          <w:rFonts w:asciiTheme="minorHAnsi" w:hAnsiTheme="minorHAnsi"/>
          <w:szCs w:val="24"/>
          <w:lang w:val="es-ES"/>
        </w:rPr>
        <w:t xml:space="preserve">deben ser </w:t>
      </w:r>
      <w:r w:rsidR="0002733C" w:rsidRPr="007E2902">
        <w:rPr>
          <w:rStyle w:val="hps"/>
          <w:rFonts w:asciiTheme="minorHAnsi" w:hAnsiTheme="minorHAnsi"/>
          <w:szCs w:val="24"/>
          <w:lang w:val="es-ES"/>
        </w:rPr>
        <w:t>aprobadas por los grupos tutores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Pr="007E2902">
        <w:rPr>
          <w:rStyle w:val="hps"/>
          <w:rFonts w:asciiTheme="minorHAnsi" w:hAnsiTheme="minorHAnsi"/>
          <w:szCs w:val="24"/>
          <w:lang w:val="es-ES"/>
        </w:rPr>
        <w:t>o</w:t>
      </w:r>
      <w:r w:rsidRPr="007E2902">
        <w:rPr>
          <w:rFonts w:asciiTheme="minorHAnsi" w:hAnsiTheme="minorHAnsi"/>
          <w:szCs w:val="24"/>
          <w:lang w:val="es-ES"/>
        </w:rPr>
        <w:t xml:space="preserve">, </w:t>
      </w:r>
      <w:r w:rsidRPr="007E2902">
        <w:rPr>
          <w:rStyle w:val="hps"/>
          <w:rFonts w:asciiTheme="minorHAnsi" w:hAnsiTheme="minorHAnsi"/>
          <w:szCs w:val="24"/>
          <w:lang w:val="es-ES"/>
        </w:rPr>
        <w:t>en caso de urgencia</w:t>
      </w:r>
      <w:r w:rsidRPr="007E2902">
        <w:rPr>
          <w:rFonts w:asciiTheme="minorHAnsi" w:hAnsiTheme="minorHAnsi"/>
          <w:szCs w:val="24"/>
          <w:lang w:val="es-ES"/>
        </w:rPr>
        <w:t xml:space="preserve">, </w:t>
      </w:r>
      <w:r w:rsidRPr="007E2902">
        <w:rPr>
          <w:rStyle w:val="hps"/>
          <w:rFonts w:asciiTheme="minorHAnsi" w:hAnsiTheme="minorHAnsi"/>
          <w:szCs w:val="24"/>
          <w:lang w:val="es-ES"/>
        </w:rPr>
        <w:t>por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="0002733C" w:rsidRPr="007E2902">
        <w:rPr>
          <w:rFonts w:asciiTheme="minorHAnsi" w:hAnsiTheme="minorHAnsi"/>
          <w:szCs w:val="24"/>
          <w:lang w:val="es-ES"/>
        </w:rPr>
        <w:t>el equipo directivo de los grupos tutores</w:t>
      </w:r>
      <w:r w:rsidRPr="007E2902">
        <w:rPr>
          <w:rFonts w:asciiTheme="minorHAnsi" w:hAnsiTheme="minorHAnsi"/>
          <w:szCs w:val="24"/>
          <w:lang w:val="es-ES"/>
        </w:rPr>
        <w:t>.</w:t>
      </w:r>
      <w:r w:rsidRPr="007E2902">
        <w:rPr>
          <w:rFonts w:asciiTheme="minorHAnsi" w:hAnsiTheme="minorHAnsi"/>
          <w:szCs w:val="24"/>
          <w:lang w:val="es-ES" w:eastAsia="zh-CN"/>
        </w:rPr>
        <w:t xml:space="preserve"> 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Las reuniones se convocarán por medios electrónicos (por ejemplo, </w:t>
      </w:r>
      <w:r w:rsidR="00DC2292" w:rsidRPr="007E2902">
        <w:rPr>
          <w:rFonts w:asciiTheme="minorHAnsi" w:hAnsiTheme="minorHAnsi"/>
          <w:szCs w:val="24"/>
          <w:lang w:val="es-ES" w:eastAsia="zh-CN"/>
        </w:rPr>
        <w:t xml:space="preserve">por </w:t>
      </w:r>
      <w:r w:rsidR="005E6C76" w:rsidRPr="007E2902">
        <w:rPr>
          <w:rFonts w:asciiTheme="minorHAnsi" w:hAnsiTheme="minorHAnsi"/>
          <w:szCs w:val="24"/>
          <w:lang w:val="es-ES" w:eastAsia="zh-CN"/>
        </w:rPr>
        <w:t>correo-e y</w:t>
      </w:r>
      <w:r w:rsidR="00DC2292" w:rsidRPr="007E2902">
        <w:rPr>
          <w:rFonts w:asciiTheme="minorHAnsi" w:hAnsiTheme="minorHAnsi"/>
          <w:szCs w:val="24"/>
          <w:lang w:val="es-ES" w:eastAsia="zh-CN"/>
        </w:rPr>
        <w:t xml:space="preserve"> en el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 sitio web de la UIT) como mínimo dos meses antes de su celebración.</w:t>
      </w:r>
    </w:p>
    <w:p w:rsidR="00C034BE" w:rsidRPr="007E2902" w:rsidRDefault="005E6C76" w:rsidP="0002733C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 xml:space="preserve">El </w:t>
      </w:r>
      <w:r w:rsidR="00A42EAB" w:rsidRPr="007E2902">
        <w:rPr>
          <w:rFonts w:asciiTheme="minorHAnsi" w:hAnsiTheme="minorHAnsi"/>
          <w:szCs w:val="24"/>
          <w:lang w:val="es-ES" w:eastAsia="zh-CN"/>
        </w:rPr>
        <w:t>GRI</w:t>
      </w:r>
      <w:r w:rsidRPr="007E2902">
        <w:rPr>
          <w:rFonts w:asciiTheme="minorHAnsi" w:hAnsiTheme="minorHAnsi"/>
          <w:szCs w:val="24"/>
          <w:lang w:val="es-ES" w:eastAsia="zh-CN"/>
        </w:rPr>
        <w:t xml:space="preserve"> deberá, siempre que sea posible, emplear herramientas de colaboración a distancia y, cuando se considere necesario</w:t>
      </w:r>
      <w:r w:rsidR="00587FB4" w:rsidRPr="007E2902">
        <w:rPr>
          <w:rFonts w:asciiTheme="minorHAnsi" w:hAnsiTheme="minorHAnsi"/>
          <w:szCs w:val="24"/>
          <w:lang w:val="es-ES" w:eastAsia="zh-CN"/>
        </w:rPr>
        <w:t>,</w:t>
      </w:r>
      <w:r w:rsidRPr="007E2902">
        <w:rPr>
          <w:rFonts w:asciiTheme="minorHAnsi" w:hAnsiTheme="minorHAnsi"/>
          <w:szCs w:val="24"/>
          <w:lang w:val="es-ES" w:eastAsia="zh-CN"/>
        </w:rPr>
        <w:t xml:space="preserve"> celebrar reuniones presenciales,</w:t>
      </w:r>
      <w:r w:rsidR="0079667B" w:rsidRPr="007E2902">
        <w:rPr>
          <w:rFonts w:asciiTheme="minorHAnsi" w:hAnsiTheme="minorHAnsi"/>
          <w:szCs w:val="24"/>
          <w:lang w:val="es-ES" w:eastAsia="zh-CN"/>
        </w:rPr>
        <w:t xml:space="preserve"> </w:t>
      </w:r>
      <w:r w:rsidR="00587FB4" w:rsidRPr="007E2902">
        <w:rPr>
          <w:rFonts w:asciiTheme="minorHAnsi" w:hAnsiTheme="minorHAnsi"/>
          <w:szCs w:val="24"/>
          <w:lang w:val="es-ES" w:eastAsia="zh-CN"/>
        </w:rPr>
        <w:t>coordinándolas</w:t>
      </w:r>
      <w:r w:rsidRPr="007E2902">
        <w:rPr>
          <w:rFonts w:asciiTheme="minorHAnsi" w:hAnsiTheme="minorHAnsi"/>
          <w:szCs w:val="24"/>
          <w:lang w:val="es-ES" w:eastAsia="zh-CN"/>
        </w:rPr>
        <w:t xml:space="preserve"> con otras reuniones presenciales previstas de las que puedan derivarse sinergias (en particular las de </w:t>
      </w:r>
      <w:r w:rsidR="0002733C" w:rsidRPr="007E2902">
        <w:rPr>
          <w:rFonts w:asciiTheme="minorHAnsi" w:hAnsiTheme="minorHAnsi"/>
          <w:szCs w:val="24"/>
          <w:lang w:val="es-ES" w:eastAsia="zh-CN"/>
        </w:rPr>
        <w:t>los grupos tutores</w:t>
      </w:r>
      <w:r w:rsidRPr="007E2902">
        <w:rPr>
          <w:rFonts w:asciiTheme="minorHAnsi" w:hAnsiTheme="minorHAnsi"/>
          <w:szCs w:val="24"/>
          <w:lang w:val="es-ES" w:eastAsia="zh-CN"/>
        </w:rPr>
        <w:t xml:space="preserve">, de sus </w:t>
      </w:r>
      <w:r w:rsidR="0002733C" w:rsidRPr="007E2902">
        <w:rPr>
          <w:rFonts w:asciiTheme="minorHAnsi" w:hAnsiTheme="minorHAnsi"/>
          <w:szCs w:val="24"/>
          <w:lang w:val="es-ES" w:eastAsia="zh-CN"/>
        </w:rPr>
        <w:t>grupos de t</w:t>
      </w:r>
      <w:r w:rsidRPr="007E2902">
        <w:rPr>
          <w:rFonts w:asciiTheme="minorHAnsi" w:hAnsiTheme="minorHAnsi"/>
          <w:szCs w:val="24"/>
          <w:lang w:val="es-ES" w:eastAsia="zh-CN"/>
        </w:rPr>
        <w:t xml:space="preserve">rabajo o </w:t>
      </w:r>
      <w:r w:rsidR="0002733C" w:rsidRPr="007E2902">
        <w:rPr>
          <w:rFonts w:asciiTheme="minorHAnsi" w:hAnsiTheme="minorHAnsi"/>
          <w:szCs w:val="24"/>
          <w:lang w:val="es-ES" w:eastAsia="zh-CN"/>
        </w:rPr>
        <w:t xml:space="preserve"> de</w:t>
      </w:r>
      <w:r w:rsidRPr="007E2902">
        <w:rPr>
          <w:rFonts w:asciiTheme="minorHAnsi" w:hAnsiTheme="minorHAnsi"/>
          <w:szCs w:val="24"/>
          <w:lang w:val="es-ES" w:eastAsia="zh-CN"/>
        </w:rPr>
        <w:t xml:space="preserve"> </w:t>
      </w:r>
      <w:r w:rsidR="00587FB4" w:rsidRPr="007E2902">
        <w:rPr>
          <w:rFonts w:asciiTheme="minorHAnsi" w:hAnsiTheme="minorHAnsi"/>
          <w:szCs w:val="24"/>
          <w:lang w:val="es-ES" w:eastAsia="zh-CN"/>
        </w:rPr>
        <w:t xml:space="preserve">los </w:t>
      </w:r>
      <w:r w:rsidRPr="007E2902">
        <w:rPr>
          <w:rFonts w:asciiTheme="minorHAnsi" w:hAnsiTheme="minorHAnsi"/>
          <w:szCs w:val="24"/>
          <w:lang w:val="es-ES" w:eastAsia="zh-CN"/>
        </w:rPr>
        <w:t>Grupos de Relator relacionad</w:t>
      </w:r>
      <w:r w:rsidR="00A42EAB" w:rsidRPr="007E2902">
        <w:rPr>
          <w:rFonts w:asciiTheme="minorHAnsi" w:hAnsiTheme="minorHAnsi"/>
          <w:szCs w:val="24"/>
          <w:lang w:val="es-ES" w:eastAsia="zh-CN"/>
        </w:rPr>
        <w:t>o</w:t>
      </w:r>
      <w:r w:rsidRPr="007E2902">
        <w:rPr>
          <w:rFonts w:asciiTheme="minorHAnsi" w:hAnsiTheme="minorHAnsi"/>
          <w:szCs w:val="24"/>
          <w:lang w:val="es-ES" w:eastAsia="zh-CN"/>
        </w:rPr>
        <w:t>s).</w:t>
      </w:r>
      <w:r w:rsidR="0079667B" w:rsidRPr="007E2902">
        <w:rPr>
          <w:rFonts w:asciiTheme="minorHAnsi" w:hAnsiTheme="minorHAnsi"/>
          <w:szCs w:val="24"/>
          <w:lang w:val="es-ES" w:eastAsia="zh-CN"/>
        </w:rPr>
        <w:t xml:space="preserve"> </w:t>
      </w:r>
    </w:p>
    <w:p w:rsidR="00C034BE" w:rsidRPr="007E2902" w:rsidRDefault="005E6C76" w:rsidP="005E6C76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Informes de reunión</w:t>
      </w:r>
    </w:p>
    <w:p w:rsidR="00C034BE" w:rsidRPr="007E2902" w:rsidRDefault="0002733C" w:rsidP="0002733C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>Este GRI elaborar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á informes sobre sus reuniones y actividades, que se presentarán a la reunión </w:t>
      </w:r>
      <w:r w:rsidR="00A42EAB" w:rsidRPr="007E2902">
        <w:rPr>
          <w:rFonts w:asciiTheme="minorHAnsi" w:hAnsiTheme="minorHAnsi"/>
          <w:szCs w:val="24"/>
          <w:lang w:val="es-ES" w:eastAsia="zh-CN"/>
        </w:rPr>
        <w:t xml:space="preserve">siguiente 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de sus Comisiones de Estudio </w:t>
      </w:r>
      <w:r w:rsidRPr="007E2902">
        <w:rPr>
          <w:rFonts w:asciiTheme="minorHAnsi" w:hAnsiTheme="minorHAnsi"/>
          <w:szCs w:val="24"/>
          <w:lang w:val="es-ES" w:eastAsia="zh-CN"/>
        </w:rPr>
        <w:t>tutoras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. La información contenida en los mismos deberá incluir los puntos enumerados en el Apéndice 1 </w:t>
      </w:r>
      <w:r w:rsidRPr="007E2902">
        <w:rPr>
          <w:rFonts w:asciiTheme="minorHAnsi" w:hAnsiTheme="minorHAnsi"/>
          <w:szCs w:val="24"/>
          <w:lang w:val="es-ES" w:eastAsia="zh-CN"/>
        </w:rPr>
        <w:t>a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 la Recomendación UIT-T A.1. </w:t>
      </w:r>
    </w:p>
    <w:p w:rsidR="00C034BE" w:rsidRPr="007E2902" w:rsidRDefault="005E6C76" w:rsidP="005E6C76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Idioma de trabajo</w:t>
      </w:r>
    </w:p>
    <w:p w:rsidR="00C034BE" w:rsidRPr="007E2902" w:rsidRDefault="00C034BE" w:rsidP="005E6C76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 xml:space="preserve">El 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idioma de trabajo de este GRI será el inglés. </w:t>
      </w:r>
    </w:p>
    <w:p w:rsidR="00C034BE" w:rsidRPr="007E2902" w:rsidRDefault="005E6C76" w:rsidP="005E6C76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Directrices de trabajo</w:t>
      </w:r>
    </w:p>
    <w:p w:rsidR="005E6C76" w:rsidRPr="007E2902" w:rsidRDefault="005E6C76" w:rsidP="0002733C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 xml:space="preserve">Este GRI </w:t>
      </w:r>
      <w:r w:rsidR="0002733C" w:rsidRPr="007E2902">
        <w:rPr>
          <w:rFonts w:asciiTheme="minorHAnsi" w:hAnsiTheme="minorHAnsi"/>
          <w:szCs w:val="24"/>
          <w:lang w:val="es-ES" w:eastAsia="zh-CN"/>
        </w:rPr>
        <w:t>trabajar</w:t>
      </w:r>
      <w:r w:rsidRPr="007E2902">
        <w:rPr>
          <w:rFonts w:asciiTheme="minorHAnsi" w:hAnsiTheme="minorHAnsi"/>
          <w:szCs w:val="24"/>
          <w:lang w:val="es-ES" w:eastAsia="zh-CN"/>
        </w:rPr>
        <w:t>á por consenso.</w:t>
      </w:r>
    </w:p>
    <w:p w:rsidR="00295D31" w:rsidRPr="007E2902" w:rsidRDefault="00587FB4" w:rsidP="00587FB4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>El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 GRI se </w:t>
      </w:r>
      <w:r w:rsidRPr="007E2902">
        <w:rPr>
          <w:rFonts w:asciiTheme="minorHAnsi" w:hAnsiTheme="minorHAnsi"/>
          <w:szCs w:val="24"/>
          <w:lang w:val="es-ES" w:eastAsia="zh-CN"/>
        </w:rPr>
        <w:t>regirá</w:t>
      </w:r>
      <w:r w:rsidR="005E6C76" w:rsidRPr="007E2902">
        <w:rPr>
          <w:rFonts w:asciiTheme="minorHAnsi" w:hAnsiTheme="minorHAnsi"/>
          <w:szCs w:val="24"/>
          <w:lang w:val="es-ES" w:eastAsia="zh-CN"/>
        </w:rPr>
        <w:t xml:space="preserve"> por las disposiciones aplicables a los Grupos de Relator, que figuran en la Recomendación UIT-R 1-6 y en la Recomendación UIT-T A.1</w:t>
      </w:r>
      <w:r w:rsidR="00295D31" w:rsidRPr="007E2902">
        <w:rPr>
          <w:rFonts w:asciiTheme="minorHAnsi" w:hAnsiTheme="minorHAnsi"/>
          <w:szCs w:val="24"/>
          <w:lang w:val="es-ES" w:eastAsia="zh-CN"/>
        </w:rPr>
        <w:t xml:space="preserve"> (véase también el manual del UIT-T para relatores y editores en la dirección </w:t>
      </w:r>
      <w:hyperlink r:id="rId18" w:history="1">
        <w:r w:rsidR="00295D31" w:rsidRPr="007E2902">
          <w:rPr>
            <w:rFonts w:asciiTheme="minorHAnsi" w:hAnsiTheme="minorHAnsi"/>
            <w:color w:val="0000FF"/>
            <w:szCs w:val="24"/>
            <w:u w:val="single"/>
            <w:lang w:val="es-ES"/>
          </w:rPr>
          <w:t>http://itu.int/go/ITU-T/REManual</w:t>
        </w:r>
      </w:hyperlink>
      <w:r w:rsidR="00295D31" w:rsidRPr="007E2902">
        <w:rPr>
          <w:rFonts w:asciiTheme="minorHAnsi" w:hAnsiTheme="minorHAnsi"/>
          <w:szCs w:val="24"/>
          <w:lang w:val="es-ES" w:eastAsia="zh-CN"/>
        </w:rPr>
        <w:t>).</w:t>
      </w:r>
    </w:p>
    <w:p w:rsidR="00C034BE" w:rsidRPr="007E2902" w:rsidRDefault="00295D31" w:rsidP="001B7914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>Además, el GRI seguirá las directrices</w:t>
      </w:r>
      <w:r w:rsidR="001B7914" w:rsidRPr="007E2902">
        <w:rPr>
          <w:rFonts w:asciiTheme="minorHAnsi" w:hAnsiTheme="minorHAnsi"/>
          <w:szCs w:val="24"/>
          <w:lang w:val="es-ES" w:eastAsia="zh-CN"/>
        </w:rPr>
        <w:t xml:space="preserve"> estipuladas</w:t>
      </w:r>
      <w:r w:rsidRPr="007E2902">
        <w:rPr>
          <w:rFonts w:asciiTheme="minorHAnsi" w:hAnsiTheme="minorHAnsi"/>
          <w:szCs w:val="24"/>
          <w:lang w:val="es-ES" w:eastAsia="zh-CN"/>
        </w:rPr>
        <w:t xml:space="preserve"> </w:t>
      </w:r>
      <w:r w:rsidR="00587FB4" w:rsidRPr="007E2902">
        <w:rPr>
          <w:rFonts w:asciiTheme="minorHAnsi" w:hAnsiTheme="minorHAnsi"/>
          <w:szCs w:val="24"/>
          <w:lang w:val="es-ES" w:eastAsia="zh-CN"/>
        </w:rPr>
        <w:t xml:space="preserve">tanto </w:t>
      </w:r>
      <w:r w:rsidRPr="007E2902">
        <w:rPr>
          <w:rFonts w:asciiTheme="minorHAnsi" w:hAnsiTheme="minorHAnsi"/>
          <w:szCs w:val="24"/>
          <w:lang w:val="es-ES" w:eastAsia="zh-CN"/>
        </w:rPr>
        <w:t xml:space="preserve">en el Anexo C de la Resolución 18 de la AMNT-12 como en las disposiciones </w:t>
      </w:r>
      <w:r w:rsidR="00587FB4" w:rsidRPr="007E2902">
        <w:rPr>
          <w:rFonts w:asciiTheme="minorHAnsi" w:hAnsiTheme="minorHAnsi"/>
          <w:szCs w:val="24"/>
          <w:lang w:val="es-ES" w:eastAsia="zh-CN"/>
        </w:rPr>
        <w:t xml:space="preserve">correspondientes </w:t>
      </w:r>
      <w:r w:rsidRPr="007E2902">
        <w:rPr>
          <w:rFonts w:asciiTheme="minorHAnsi" w:hAnsiTheme="minorHAnsi"/>
          <w:szCs w:val="24"/>
          <w:lang w:val="es-ES" w:eastAsia="zh-CN"/>
        </w:rPr>
        <w:t>de la Resolución UIT-R 6 (de acuerdo con las conclusiones alcanzadas por el Grupo Asesor de Radiocomunicaciones (GAR) en su reunión del</w:t>
      </w:r>
      <w:r w:rsidR="00B52D07" w:rsidRPr="007E2902">
        <w:rPr>
          <w:rFonts w:asciiTheme="minorHAnsi" w:hAnsiTheme="minorHAnsi"/>
          <w:szCs w:val="24"/>
          <w:lang w:val="es-ES" w:eastAsia="zh-CN"/>
        </w:rPr>
        <w:t> </w:t>
      </w:r>
      <w:r w:rsidRPr="007E2902">
        <w:rPr>
          <w:rFonts w:asciiTheme="minorHAnsi" w:hAnsiTheme="minorHAnsi"/>
          <w:szCs w:val="24"/>
          <w:lang w:val="es-ES" w:eastAsia="zh-CN"/>
        </w:rPr>
        <w:t>22 al 24 de mayo de 2013)</w:t>
      </w:r>
      <w:r w:rsidR="0002733C" w:rsidRPr="007E2902">
        <w:rPr>
          <w:rFonts w:asciiTheme="minorHAnsi" w:hAnsiTheme="minorHAnsi"/>
          <w:szCs w:val="24"/>
          <w:lang w:val="es-ES" w:eastAsia="zh-CN"/>
        </w:rPr>
        <w:t>.</w:t>
      </w:r>
    </w:p>
    <w:p w:rsidR="0002733C" w:rsidRPr="007E2902" w:rsidRDefault="0002733C" w:rsidP="00DC2292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Style w:val="hps"/>
          <w:rFonts w:asciiTheme="minorHAnsi" w:hAnsiTheme="minorHAnsi"/>
          <w:szCs w:val="24"/>
          <w:lang w:val="es-ES"/>
        </w:rPr>
        <w:t>Los miembros del</w:t>
      </w:r>
      <w:r w:rsidRPr="007E2902">
        <w:rPr>
          <w:rFonts w:asciiTheme="minorHAnsi" w:hAnsiTheme="minorHAnsi"/>
          <w:szCs w:val="24"/>
          <w:lang w:val="es-ES"/>
        </w:rPr>
        <w:t xml:space="preserve"> e</w:t>
      </w:r>
      <w:r w:rsidRPr="007E2902">
        <w:rPr>
          <w:rStyle w:val="hps"/>
          <w:rFonts w:asciiTheme="minorHAnsi" w:hAnsiTheme="minorHAnsi"/>
          <w:szCs w:val="24"/>
          <w:lang w:val="es-ES"/>
        </w:rPr>
        <w:t>quipo directivo debatirán y acordarán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Pr="007E2902">
        <w:rPr>
          <w:rStyle w:val="hps"/>
          <w:rFonts w:asciiTheme="minorHAnsi" w:hAnsiTheme="minorHAnsi"/>
          <w:szCs w:val="24"/>
          <w:lang w:val="es-ES"/>
        </w:rPr>
        <w:t>el método de trabajo del GRI antes de su primera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Pr="007E2902">
        <w:rPr>
          <w:rStyle w:val="hps"/>
          <w:rFonts w:asciiTheme="minorHAnsi" w:hAnsiTheme="minorHAnsi"/>
          <w:szCs w:val="24"/>
          <w:lang w:val="es-ES"/>
        </w:rPr>
        <w:t>reunión</w:t>
      </w:r>
      <w:r w:rsidRPr="007E2902">
        <w:rPr>
          <w:rFonts w:asciiTheme="minorHAnsi" w:hAnsiTheme="minorHAnsi"/>
          <w:szCs w:val="24"/>
          <w:lang w:val="es-ES"/>
        </w:rPr>
        <w:t xml:space="preserve">. </w:t>
      </w:r>
      <w:r w:rsidR="00DC2292" w:rsidRPr="007E2902">
        <w:rPr>
          <w:rFonts w:asciiTheme="minorHAnsi" w:hAnsiTheme="minorHAnsi"/>
          <w:szCs w:val="24"/>
          <w:lang w:val="es-ES"/>
        </w:rPr>
        <w:t>Dicho</w:t>
      </w:r>
      <w:r w:rsidRPr="007E2902">
        <w:rPr>
          <w:rStyle w:val="hps"/>
          <w:rFonts w:asciiTheme="minorHAnsi" w:hAnsiTheme="minorHAnsi"/>
          <w:szCs w:val="24"/>
          <w:lang w:val="es-ES"/>
        </w:rPr>
        <w:t xml:space="preserve"> método de trabajo</w:t>
      </w:r>
      <w:r w:rsidRPr="007E2902">
        <w:rPr>
          <w:rFonts w:asciiTheme="minorHAnsi" w:hAnsiTheme="minorHAnsi"/>
          <w:szCs w:val="24"/>
          <w:lang w:val="es-ES"/>
        </w:rPr>
        <w:t xml:space="preserve"> se aprobará </w:t>
      </w:r>
      <w:r w:rsidRPr="007E2902">
        <w:rPr>
          <w:rStyle w:val="hps"/>
          <w:rFonts w:asciiTheme="minorHAnsi" w:hAnsiTheme="minorHAnsi"/>
          <w:szCs w:val="24"/>
          <w:lang w:val="es-ES"/>
        </w:rPr>
        <w:t>en la primera reunión y comprenderá los medios necesarios para lograr</w:t>
      </w:r>
      <w:r w:rsidRPr="007E2902">
        <w:rPr>
          <w:rFonts w:asciiTheme="minorHAnsi" w:hAnsiTheme="minorHAnsi"/>
          <w:szCs w:val="24"/>
          <w:lang w:val="es-ES"/>
        </w:rPr>
        <w:t xml:space="preserve"> </w:t>
      </w:r>
      <w:r w:rsidRPr="007E2902">
        <w:rPr>
          <w:rStyle w:val="hps"/>
          <w:rFonts w:asciiTheme="minorHAnsi" w:hAnsiTheme="minorHAnsi"/>
          <w:szCs w:val="24"/>
          <w:lang w:val="es-ES"/>
        </w:rPr>
        <w:t>los objetivos del grupo dentro del período de tiempo estipulado.</w:t>
      </w:r>
    </w:p>
    <w:p w:rsidR="00295D31" w:rsidRPr="007E2902" w:rsidRDefault="00295D31" w:rsidP="004604C1">
      <w:pPr>
        <w:pStyle w:val="Heading1"/>
        <w:spacing w:before="36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t>Política en materia de patentes</w:t>
      </w:r>
    </w:p>
    <w:p w:rsidR="00C034BE" w:rsidRPr="007E2902" w:rsidRDefault="00295D31" w:rsidP="00295D31">
      <w:pPr>
        <w:rPr>
          <w:rFonts w:asciiTheme="minorHAnsi" w:hAnsiTheme="minorHAnsi"/>
          <w:szCs w:val="24"/>
          <w:lang w:val="es-ES" w:eastAsia="zh-CN"/>
        </w:rPr>
      </w:pPr>
      <w:r w:rsidRPr="007E2902">
        <w:rPr>
          <w:rFonts w:asciiTheme="minorHAnsi" w:hAnsiTheme="minorHAnsi"/>
          <w:szCs w:val="24"/>
          <w:lang w:val="es-ES" w:eastAsia="zh-CN"/>
        </w:rPr>
        <w:t>Se aplicará la Política Común de Patentes del UIT-T/UIT-R/CEI/ISO.</w:t>
      </w:r>
    </w:p>
    <w:p w:rsidR="00295D31" w:rsidRPr="007E2902" w:rsidRDefault="00295D31" w:rsidP="000E3A2A">
      <w:pPr>
        <w:pStyle w:val="Heading1"/>
        <w:spacing w:before="240"/>
        <w:rPr>
          <w:rFonts w:asciiTheme="minorHAnsi" w:hAnsiTheme="minorHAnsi"/>
          <w:szCs w:val="24"/>
          <w:lang w:val="es-ES" w:eastAsia="en-CA"/>
        </w:rPr>
      </w:pPr>
      <w:r w:rsidRPr="007E2902">
        <w:rPr>
          <w:rFonts w:asciiTheme="minorHAnsi" w:hAnsiTheme="minorHAnsi"/>
          <w:szCs w:val="24"/>
          <w:lang w:val="es-ES" w:eastAsia="en-CA"/>
        </w:rPr>
        <w:lastRenderedPageBreak/>
        <w:t>Terminación del GRI-</w:t>
      </w:r>
      <w:r w:rsidR="00ED7473" w:rsidRPr="007E2902">
        <w:rPr>
          <w:rFonts w:asciiTheme="minorHAnsi" w:hAnsiTheme="minorHAnsi"/>
          <w:szCs w:val="24"/>
          <w:lang w:val="es-ES" w:eastAsia="en-CA"/>
        </w:rPr>
        <w:t>IBB</w:t>
      </w:r>
    </w:p>
    <w:p w:rsidR="00C034BE" w:rsidRPr="007E2902" w:rsidRDefault="00295D31" w:rsidP="00ED7473">
      <w:pPr>
        <w:pStyle w:val="Heading1"/>
        <w:spacing w:before="120"/>
        <w:ind w:left="0" w:firstLine="0"/>
        <w:rPr>
          <w:rFonts w:asciiTheme="minorHAnsi" w:eastAsia="MS Mincho" w:hAnsiTheme="minorHAnsi"/>
          <w:szCs w:val="24"/>
          <w:lang w:val="es-ES" w:eastAsia="ja-JP"/>
        </w:rPr>
      </w:pPr>
      <w:r w:rsidRPr="007E2902">
        <w:rPr>
          <w:rFonts w:asciiTheme="minorHAnsi" w:hAnsiTheme="minorHAnsi"/>
          <w:b w:val="0"/>
          <w:bCs/>
          <w:szCs w:val="24"/>
          <w:lang w:val="es-ES" w:eastAsia="zh-CN"/>
        </w:rPr>
        <w:t>El GRI-</w:t>
      </w:r>
      <w:r w:rsidR="00ED7473" w:rsidRPr="007E2902">
        <w:rPr>
          <w:rFonts w:asciiTheme="minorHAnsi" w:hAnsiTheme="minorHAnsi"/>
          <w:b w:val="0"/>
          <w:bCs/>
          <w:szCs w:val="24"/>
          <w:lang w:val="es-ES" w:eastAsia="zh-CN"/>
        </w:rPr>
        <w:t>IBB</w:t>
      </w:r>
      <w:r w:rsidRPr="007E2902">
        <w:rPr>
          <w:rFonts w:asciiTheme="minorHAnsi" w:hAnsiTheme="minorHAnsi"/>
          <w:b w:val="0"/>
          <w:bCs/>
          <w:szCs w:val="24"/>
          <w:lang w:val="es-ES" w:eastAsia="zh-CN"/>
        </w:rPr>
        <w:t xml:space="preserve"> continuará hasta el final del actual periodo de estudios del UIT-T (2013-2016). </w:t>
      </w:r>
      <w:r w:rsidR="00ED7473" w:rsidRPr="007E2902">
        <w:rPr>
          <w:rFonts w:asciiTheme="minorHAnsi" w:hAnsiTheme="minorHAnsi"/>
          <w:b w:val="0"/>
          <w:bCs/>
          <w:szCs w:val="24"/>
          <w:lang w:val="es-ES" w:eastAsia="zh-CN"/>
        </w:rPr>
        <w:t>Su existencia p</w:t>
      </w:r>
      <w:r w:rsidRPr="007E2902">
        <w:rPr>
          <w:rFonts w:asciiTheme="minorHAnsi" w:hAnsiTheme="minorHAnsi"/>
          <w:b w:val="0"/>
          <w:bCs/>
          <w:szCs w:val="24"/>
          <w:lang w:val="es-ES" w:eastAsia="zh-CN"/>
        </w:rPr>
        <w:t>odrá prorrogarse por acuerdo mutuo de l</w:t>
      </w:r>
      <w:r w:rsidR="00ED7473" w:rsidRPr="007E2902">
        <w:rPr>
          <w:rFonts w:asciiTheme="minorHAnsi" w:hAnsiTheme="minorHAnsi"/>
          <w:b w:val="0"/>
          <w:bCs/>
          <w:szCs w:val="24"/>
          <w:lang w:val="es-ES" w:eastAsia="zh-CN"/>
        </w:rPr>
        <w:t>os grupos tutores.</w:t>
      </w:r>
      <w:r w:rsidRPr="007E2902">
        <w:rPr>
          <w:rFonts w:asciiTheme="minorHAnsi" w:hAnsiTheme="minorHAnsi"/>
          <w:b w:val="0"/>
          <w:bCs/>
          <w:szCs w:val="24"/>
          <w:lang w:val="es-ES" w:eastAsia="zh-CN"/>
        </w:rPr>
        <w:t xml:space="preserve"> </w:t>
      </w:r>
    </w:p>
    <w:p w:rsidR="008C394C" w:rsidRPr="007E2902" w:rsidRDefault="008C394C">
      <w:pPr>
        <w:jc w:val="center"/>
        <w:rPr>
          <w:rFonts w:asciiTheme="minorHAnsi" w:hAnsiTheme="minorHAnsi"/>
          <w:szCs w:val="24"/>
          <w:lang w:val="es-ES"/>
        </w:rPr>
      </w:pPr>
      <w:r w:rsidRPr="007E2902">
        <w:rPr>
          <w:rFonts w:asciiTheme="minorHAnsi" w:hAnsiTheme="minorHAnsi"/>
          <w:szCs w:val="24"/>
          <w:lang w:val="es-ES"/>
        </w:rPr>
        <w:t>______________</w:t>
      </w:r>
    </w:p>
    <w:sectPr w:rsidR="008C394C" w:rsidRPr="007E2902" w:rsidSect="00295D31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02" w:rsidRDefault="007B0602">
      <w:r>
        <w:separator/>
      </w:r>
    </w:p>
  </w:endnote>
  <w:endnote w:type="continuationSeparator" w:id="0">
    <w:p w:rsidR="007B0602" w:rsidRDefault="007B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02" w:rsidRDefault="007B0602" w:rsidP="008C394C">
    <w:pPr>
      <w:pStyle w:val="FirstFooter"/>
      <w:ind w:left="-397" w:right="-397"/>
      <w:jc w:val="center"/>
      <w:rPr>
        <w:rFonts w:ascii="Calibri" w:hAnsi="Calibri" w:cs="Calibri"/>
        <w:szCs w:val="18"/>
      </w:rPr>
    </w:pPr>
    <w:r w:rsidRPr="00613B0D">
      <w:rPr>
        <w:rFonts w:ascii="Calibri" w:hAnsi="Calibri" w:cs="Calibri"/>
        <w:szCs w:val="18"/>
      </w:rPr>
      <w:t xml:space="preserve">Unión Internacional de Telecomunicaciones • Place des </w:t>
    </w:r>
    <w:proofErr w:type="spellStart"/>
    <w:r w:rsidRPr="00613B0D">
      <w:rPr>
        <w:rFonts w:ascii="Calibri" w:hAnsi="Calibri" w:cs="Calibri"/>
        <w:szCs w:val="18"/>
      </w:rPr>
      <w:t>Nations</w:t>
    </w:r>
    <w:proofErr w:type="spellEnd"/>
    <w:r w:rsidRPr="00613B0D">
      <w:rPr>
        <w:rFonts w:ascii="Calibri" w:hAnsi="Calibri" w:cs="Calibri"/>
        <w:szCs w:val="18"/>
      </w:rPr>
      <w:t xml:space="preserve"> • CH</w:t>
    </w:r>
    <w:r w:rsidRPr="00613B0D">
      <w:rPr>
        <w:rFonts w:ascii="Calibri" w:hAnsi="Calibri" w:cs="Calibri"/>
        <w:szCs w:val="18"/>
      </w:rPr>
      <w:noBreakHyphen/>
      <w:t>1211 Ginebra 20 • Suiza</w:t>
    </w:r>
    <w:r w:rsidRPr="00613B0D">
      <w:rPr>
        <w:rFonts w:ascii="Calibri" w:hAnsi="Calibri" w:cs="Calibri"/>
        <w:szCs w:val="18"/>
      </w:rPr>
      <w:br/>
      <w:t xml:space="preserve">Tel.: +41 22 730 5111 • Fax: +41 22 733 7256 • Correo-e: </w:t>
    </w:r>
    <w:hyperlink r:id="rId1" w:history="1">
      <w:r w:rsidRPr="00613B0D">
        <w:rPr>
          <w:rStyle w:val="Hyperlink"/>
          <w:rFonts w:ascii="Calibri" w:hAnsi="Calibri" w:cs="Calibri"/>
          <w:szCs w:val="18"/>
        </w:rPr>
        <w:t>itumail@itu.int</w:t>
      </w:r>
    </w:hyperlink>
    <w:r w:rsidRPr="00613B0D">
      <w:rPr>
        <w:rFonts w:ascii="Calibri" w:hAnsi="Calibri" w:cs="Calibri"/>
        <w:szCs w:val="18"/>
      </w:rPr>
      <w:t xml:space="preserve"> • </w:t>
    </w:r>
    <w:hyperlink r:id="rId2" w:history="1">
      <w:r w:rsidRPr="00613B0D">
        <w:rPr>
          <w:rStyle w:val="Hyperlink"/>
          <w:rFonts w:ascii="Calibri" w:hAnsi="Calibri" w:cs="Calibri"/>
          <w:szCs w:val="18"/>
        </w:rPr>
        <w:t>www.itu.int</w:t>
      </w:r>
    </w:hyperlink>
    <w:r w:rsidRPr="00613B0D">
      <w:rPr>
        <w:rFonts w:ascii="Calibri" w:hAnsi="Calibri" w:cs="Calibri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02" w:rsidRDefault="007B0602">
      <w:r>
        <w:t>____________________</w:t>
      </w:r>
    </w:p>
  </w:footnote>
  <w:footnote w:type="continuationSeparator" w:id="0">
    <w:p w:rsidR="007B0602" w:rsidRDefault="007B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02" w:rsidRPr="00936753" w:rsidRDefault="007B0602">
    <w:pPr>
      <w:pStyle w:val="Header"/>
      <w:rPr>
        <w:rFonts w:asciiTheme="minorHAnsi" w:hAnsiTheme="minorHAnsi"/>
        <w:sz w:val="18"/>
        <w:szCs w:val="18"/>
      </w:rPr>
    </w:pPr>
    <w:r w:rsidRPr="00936753">
      <w:rPr>
        <w:rFonts w:asciiTheme="minorHAnsi" w:hAnsiTheme="minorHAnsi"/>
        <w:sz w:val="18"/>
        <w:szCs w:val="18"/>
      </w:rPr>
      <w:t xml:space="preserve">- </w:t>
    </w:r>
    <w:r w:rsidRPr="00936753">
      <w:rPr>
        <w:rStyle w:val="PageNumber"/>
        <w:rFonts w:asciiTheme="minorHAnsi" w:hAnsiTheme="minorHAnsi"/>
        <w:sz w:val="18"/>
        <w:szCs w:val="18"/>
      </w:rPr>
      <w:fldChar w:fldCharType="begin"/>
    </w:r>
    <w:r w:rsidRPr="00936753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936753">
      <w:rPr>
        <w:rStyle w:val="PageNumber"/>
        <w:rFonts w:asciiTheme="minorHAnsi" w:hAnsiTheme="minorHAnsi"/>
        <w:sz w:val="18"/>
        <w:szCs w:val="18"/>
      </w:rPr>
      <w:fldChar w:fldCharType="separate"/>
    </w:r>
    <w:r w:rsidR="00077073">
      <w:rPr>
        <w:rStyle w:val="PageNumber"/>
        <w:rFonts w:asciiTheme="minorHAnsi" w:hAnsiTheme="minorHAnsi"/>
        <w:noProof/>
        <w:sz w:val="18"/>
        <w:szCs w:val="18"/>
      </w:rPr>
      <w:t>6</w:t>
    </w:r>
    <w:r w:rsidRPr="00936753">
      <w:rPr>
        <w:rStyle w:val="PageNumber"/>
        <w:rFonts w:asciiTheme="minorHAnsi" w:hAnsiTheme="minorHAnsi"/>
        <w:sz w:val="18"/>
        <w:szCs w:val="18"/>
      </w:rPr>
      <w:fldChar w:fldCharType="end"/>
    </w:r>
    <w:r w:rsidRPr="00936753">
      <w:rPr>
        <w:rStyle w:val="PageNumber"/>
        <w:rFonts w:asciiTheme="minorHAnsi" w:hAnsiTheme="minorHAns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7270"/>
    <w:multiLevelType w:val="hybridMultilevel"/>
    <w:tmpl w:val="2216076C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FA61082"/>
    <w:multiLevelType w:val="hybridMultilevel"/>
    <w:tmpl w:val="1862C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B2BBC"/>
    <w:multiLevelType w:val="hybridMultilevel"/>
    <w:tmpl w:val="05061AD8"/>
    <w:lvl w:ilvl="0" w:tplc="5ABE8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C01E23"/>
    <w:multiLevelType w:val="hybridMultilevel"/>
    <w:tmpl w:val="CBC01762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EC068FA"/>
    <w:multiLevelType w:val="hybridMultilevel"/>
    <w:tmpl w:val="2B42EA20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7241C"/>
    <w:multiLevelType w:val="hybridMultilevel"/>
    <w:tmpl w:val="0EAADF0A"/>
    <w:lvl w:ilvl="0" w:tplc="B38C81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2D"/>
    <w:rsid w:val="00002529"/>
    <w:rsid w:val="0002627E"/>
    <w:rsid w:val="0002733C"/>
    <w:rsid w:val="00077073"/>
    <w:rsid w:val="000856BB"/>
    <w:rsid w:val="000A30CC"/>
    <w:rsid w:val="000C382F"/>
    <w:rsid w:val="000E3A2A"/>
    <w:rsid w:val="001173CC"/>
    <w:rsid w:val="00135498"/>
    <w:rsid w:val="00152CD4"/>
    <w:rsid w:val="00153BD1"/>
    <w:rsid w:val="00180D98"/>
    <w:rsid w:val="001A54CC"/>
    <w:rsid w:val="001B7914"/>
    <w:rsid w:val="002172B9"/>
    <w:rsid w:val="0022396C"/>
    <w:rsid w:val="00257FB4"/>
    <w:rsid w:val="00293D78"/>
    <w:rsid w:val="00295D31"/>
    <w:rsid w:val="002B79FC"/>
    <w:rsid w:val="002D19FF"/>
    <w:rsid w:val="002E6179"/>
    <w:rsid w:val="002F4137"/>
    <w:rsid w:val="00303D62"/>
    <w:rsid w:val="003124D9"/>
    <w:rsid w:val="00335367"/>
    <w:rsid w:val="003459EA"/>
    <w:rsid w:val="00370C2D"/>
    <w:rsid w:val="003A2E5C"/>
    <w:rsid w:val="003C4DD0"/>
    <w:rsid w:val="003D1E8D"/>
    <w:rsid w:val="003D673B"/>
    <w:rsid w:val="003F2855"/>
    <w:rsid w:val="00401C20"/>
    <w:rsid w:val="004604C1"/>
    <w:rsid w:val="0046791C"/>
    <w:rsid w:val="0048793E"/>
    <w:rsid w:val="004C4144"/>
    <w:rsid w:val="004C5E15"/>
    <w:rsid w:val="00505E5F"/>
    <w:rsid w:val="00517B95"/>
    <w:rsid w:val="005629D0"/>
    <w:rsid w:val="00587FB4"/>
    <w:rsid w:val="005A4065"/>
    <w:rsid w:val="005B3A0F"/>
    <w:rsid w:val="005B66A9"/>
    <w:rsid w:val="005E6C76"/>
    <w:rsid w:val="00613B0D"/>
    <w:rsid w:val="00630B61"/>
    <w:rsid w:val="006769DB"/>
    <w:rsid w:val="006969B4"/>
    <w:rsid w:val="006D2399"/>
    <w:rsid w:val="006E481D"/>
    <w:rsid w:val="00716588"/>
    <w:rsid w:val="007501AF"/>
    <w:rsid w:val="007608A2"/>
    <w:rsid w:val="00781E2A"/>
    <w:rsid w:val="0079667B"/>
    <w:rsid w:val="007B0602"/>
    <w:rsid w:val="007E2902"/>
    <w:rsid w:val="008258C2"/>
    <w:rsid w:val="008505BD"/>
    <w:rsid w:val="00850C78"/>
    <w:rsid w:val="00857B7C"/>
    <w:rsid w:val="008C17AD"/>
    <w:rsid w:val="008C394C"/>
    <w:rsid w:val="008D02CD"/>
    <w:rsid w:val="008E037E"/>
    <w:rsid w:val="008F3D6D"/>
    <w:rsid w:val="00906F98"/>
    <w:rsid w:val="00910A84"/>
    <w:rsid w:val="00936753"/>
    <w:rsid w:val="0095172A"/>
    <w:rsid w:val="00960EA3"/>
    <w:rsid w:val="0097545E"/>
    <w:rsid w:val="009A0BA0"/>
    <w:rsid w:val="009C09A0"/>
    <w:rsid w:val="00A04CCF"/>
    <w:rsid w:val="00A152D0"/>
    <w:rsid w:val="00A42EAB"/>
    <w:rsid w:val="00A54E47"/>
    <w:rsid w:val="00AB2556"/>
    <w:rsid w:val="00AC2AC2"/>
    <w:rsid w:val="00AE7093"/>
    <w:rsid w:val="00B32305"/>
    <w:rsid w:val="00B35844"/>
    <w:rsid w:val="00B422BC"/>
    <w:rsid w:val="00B43F77"/>
    <w:rsid w:val="00B47227"/>
    <w:rsid w:val="00B52D07"/>
    <w:rsid w:val="00B55A3E"/>
    <w:rsid w:val="00B745B1"/>
    <w:rsid w:val="00B95F0A"/>
    <w:rsid w:val="00B96180"/>
    <w:rsid w:val="00BC53E0"/>
    <w:rsid w:val="00C034BE"/>
    <w:rsid w:val="00C17AC0"/>
    <w:rsid w:val="00C2058D"/>
    <w:rsid w:val="00C23E21"/>
    <w:rsid w:val="00C33E2D"/>
    <w:rsid w:val="00C34772"/>
    <w:rsid w:val="00C5465A"/>
    <w:rsid w:val="00D026A6"/>
    <w:rsid w:val="00D059EB"/>
    <w:rsid w:val="00D3694C"/>
    <w:rsid w:val="00D443A3"/>
    <w:rsid w:val="00D52432"/>
    <w:rsid w:val="00D54642"/>
    <w:rsid w:val="00D73D4A"/>
    <w:rsid w:val="00D82A4C"/>
    <w:rsid w:val="00DA6417"/>
    <w:rsid w:val="00DC2292"/>
    <w:rsid w:val="00DD77C9"/>
    <w:rsid w:val="00E26E48"/>
    <w:rsid w:val="00E37E79"/>
    <w:rsid w:val="00E4081F"/>
    <w:rsid w:val="00E839B0"/>
    <w:rsid w:val="00E92C09"/>
    <w:rsid w:val="00ED7473"/>
    <w:rsid w:val="00F17850"/>
    <w:rsid w:val="00F6461F"/>
    <w:rsid w:val="00FD1FE2"/>
    <w:rsid w:val="00FD2B2D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4136D9CF-2161-403B-9D97-9198C15D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uiPriority w:val="99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C034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Malgun Gothic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5A40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065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56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8C39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link w:val="FootnoteText"/>
    <w:rsid w:val="0002627E"/>
    <w:rPr>
      <w:rFonts w:ascii="Times New Roman" w:hAnsi="Times New Roman"/>
      <w:sz w:val="24"/>
      <w:lang w:val="es-ES_tradnl" w:eastAsia="en-US"/>
    </w:rPr>
  </w:style>
  <w:style w:type="character" w:customStyle="1" w:styleId="hps">
    <w:name w:val="hps"/>
    <w:basedOn w:val="DefaultParagraphFont"/>
    <w:rsid w:val="0046791C"/>
  </w:style>
  <w:style w:type="character" w:customStyle="1" w:styleId="atn">
    <w:name w:val="atn"/>
    <w:basedOn w:val="DefaultParagraphFont"/>
    <w:rsid w:val="0046791C"/>
  </w:style>
  <w:style w:type="paragraph" w:styleId="ListParagraph">
    <w:name w:val="List Paragraph"/>
    <w:basedOn w:val="Normal"/>
    <w:uiPriority w:val="34"/>
    <w:qFormat/>
    <w:rsid w:val="002D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tu.int/net4/iwm/?p0=0&amp;p11=ITU&amp;p12=ITU-SEP-Cross-sector-SEP-IRG-SEP-IRG-IBB&amp;p21=ITU&amp;p22=ITU" TargetMode="External"/><Relationship Id="rId18" Type="http://schemas.openxmlformats.org/officeDocument/2006/relationships/hyperlink" Target="http://itu.int/go/ITU-T/REManua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rgibb@lists.itu.int" TargetMode="External"/><Relationship Id="rId17" Type="http://schemas.openxmlformats.org/officeDocument/2006/relationships/hyperlink" Target="http://itu.int/en/ITU-R/conferences/rag/Documents/SUMOFCONCLFINAL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kechi.m-fa@nhk.or.j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rg/i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a.eliza@tvglobo.com.br" TargetMode="External"/><Relationship Id="rId10" Type="http://schemas.openxmlformats.org/officeDocument/2006/relationships/hyperlink" Target="mailto:rsg6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itu.int/en/irg/ibb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830A-9355-40F9-BCB1-7BA5CB6B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6</Pages>
  <Words>2250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14851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amiguez</dc:creator>
  <cp:lastModifiedBy>Aveline, Marion</cp:lastModifiedBy>
  <cp:revision>3</cp:revision>
  <cp:lastPrinted>2014-11-07T14:29:00Z</cp:lastPrinted>
  <dcterms:created xsi:type="dcterms:W3CDTF">2014-11-07T14:24:00Z</dcterms:created>
  <dcterms:modified xsi:type="dcterms:W3CDTF">2014-11-07T14:29:00Z</dcterms:modified>
</cp:coreProperties>
</file>