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4253"/>
        <w:gridCol w:w="4394"/>
      </w:tblGrid>
      <w:tr w:rsidR="00951309" w:rsidTr="007632B1">
        <w:trPr>
          <w:trHeight w:val="15"/>
        </w:trPr>
        <w:tc>
          <w:tcPr>
            <w:tcW w:w="5387" w:type="dxa"/>
            <w:gridSpan w:val="2"/>
            <w:tcMar>
              <w:left w:w="0" w:type="dxa"/>
              <w:right w:w="0" w:type="dxa"/>
            </w:tcMar>
            <w:vAlign w:val="center"/>
          </w:tcPr>
          <w:p w:rsidR="00951309" w:rsidRPr="009A54D9" w:rsidRDefault="00951309" w:rsidP="00C347FF">
            <w:pPr>
              <w:pStyle w:val="Tabletext"/>
            </w:pPr>
            <w:bookmarkStart w:id="0" w:name="_GoBack"/>
            <w:bookmarkEnd w:id="0"/>
            <w:r w:rsidRPr="00D65A6D">
              <w:rPr>
                <w:b/>
                <w:bCs/>
                <w:iCs/>
                <w:sz w:val="32"/>
                <w:szCs w:val="32"/>
              </w:rPr>
              <w:t>Telecommunication Standardization</w:t>
            </w:r>
            <w:r w:rsidRPr="00D65A6D">
              <w:rPr>
                <w:b/>
                <w:bCs/>
                <w:iCs/>
                <w:sz w:val="32"/>
                <w:szCs w:val="32"/>
              </w:rPr>
              <w:br/>
              <w:t>Bureau</w:t>
            </w:r>
          </w:p>
        </w:tc>
        <w:tc>
          <w:tcPr>
            <w:tcW w:w="4394" w:type="dxa"/>
            <w:tcMar>
              <w:left w:w="0" w:type="dxa"/>
              <w:right w:w="0" w:type="dxa"/>
            </w:tcMar>
          </w:tcPr>
          <w:p w:rsidR="00951309" w:rsidRPr="00F50108" w:rsidRDefault="00951309" w:rsidP="002F6530">
            <w:pPr>
              <w:spacing w:before="0"/>
              <w:jc w:val="right"/>
              <w:rPr>
                <w:rFonts w:ascii="Verdana" w:hAnsi="Verdana"/>
                <w:color w:val="FFFFFF"/>
                <w:sz w:val="26"/>
                <w:szCs w:val="26"/>
              </w:rPr>
            </w:pPr>
            <w:bookmarkStart w:id="1" w:name="ditulogo"/>
            <w:r>
              <w:rPr>
                <w:rFonts w:ascii="Verdana" w:hAnsi="Verdana"/>
                <w:noProof/>
                <w:color w:val="FFFFFF"/>
                <w:sz w:val="26"/>
                <w:szCs w:val="26"/>
                <w:lang w:eastAsia="en-GB"/>
              </w:rPr>
              <w:drawing>
                <wp:inline distT="0" distB="0" distL="0" distR="0" wp14:anchorId="37C895A7" wp14:editId="2521E7BC">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1"/>
          </w:p>
        </w:tc>
      </w:tr>
      <w:tr w:rsidR="000305E1" w:rsidTr="007632B1">
        <w:trPr>
          <w:trHeight w:val="80"/>
        </w:trPr>
        <w:tc>
          <w:tcPr>
            <w:tcW w:w="5387" w:type="dxa"/>
            <w:gridSpan w:val="2"/>
            <w:tcMar>
              <w:left w:w="0" w:type="dxa"/>
              <w:right w:w="0" w:type="dxa"/>
            </w:tcMar>
          </w:tcPr>
          <w:p w:rsidR="000305E1" w:rsidRDefault="000305E1" w:rsidP="002F6530">
            <w:pPr>
              <w:pStyle w:val="Tabletext"/>
              <w:jc w:val="right"/>
            </w:pPr>
          </w:p>
        </w:tc>
        <w:tc>
          <w:tcPr>
            <w:tcW w:w="4394" w:type="dxa"/>
            <w:tcMar>
              <w:left w:w="0" w:type="dxa"/>
              <w:right w:w="0" w:type="dxa"/>
            </w:tcMar>
            <w:vAlign w:val="center"/>
          </w:tcPr>
          <w:p w:rsidR="000305E1" w:rsidRDefault="000305E1" w:rsidP="005541C1">
            <w:pPr>
              <w:pStyle w:val="Tabletext"/>
              <w:spacing w:before="480" w:after="120"/>
            </w:pPr>
            <w:r>
              <w:t xml:space="preserve">Geneva, </w:t>
            </w:r>
            <w:r w:rsidR="005541C1">
              <w:t xml:space="preserve">25 </w:t>
            </w:r>
            <w:r w:rsidR="00797060">
              <w:t>August 2014</w:t>
            </w:r>
          </w:p>
        </w:tc>
      </w:tr>
      <w:tr w:rsidR="00951309" w:rsidTr="007632B1">
        <w:trPr>
          <w:trHeight w:val="408"/>
        </w:trPr>
        <w:tc>
          <w:tcPr>
            <w:tcW w:w="1134" w:type="dxa"/>
            <w:tcMar>
              <w:left w:w="0" w:type="dxa"/>
              <w:right w:w="0" w:type="dxa"/>
            </w:tcMar>
          </w:tcPr>
          <w:p w:rsidR="00951309" w:rsidRPr="00F36AC4" w:rsidRDefault="00951309" w:rsidP="002F6530">
            <w:pPr>
              <w:pStyle w:val="Tabletext"/>
              <w:rPr>
                <w:rFonts w:ascii="Futura Lt BT" w:hAnsi="Futura Lt BT"/>
              </w:rPr>
            </w:pPr>
            <w:bookmarkStart w:id="2" w:name="Adress_E" w:colFirst="2" w:colLast="2"/>
            <w:r w:rsidRPr="00F36AC4">
              <w:t>Ref:</w:t>
            </w:r>
          </w:p>
        </w:tc>
        <w:tc>
          <w:tcPr>
            <w:tcW w:w="4253" w:type="dxa"/>
            <w:tcMar>
              <w:left w:w="0" w:type="dxa"/>
              <w:right w:w="0" w:type="dxa"/>
            </w:tcMar>
          </w:tcPr>
          <w:p w:rsidR="00951309" w:rsidRPr="000305E1" w:rsidRDefault="00951309" w:rsidP="00D97119">
            <w:pPr>
              <w:pStyle w:val="Tabletext"/>
              <w:rPr>
                <w:b/>
                <w:bCs/>
              </w:rPr>
            </w:pPr>
            <w:r w:rsidRPr="000305E1">
              <w:rPr>
                <w:b/>
                <w:bCs/>
              </w:rPr>
              <w:t xml:space="preserve">TSB Circular </w:t>
            </w:r>
            <w:r w:rsidR="00D97119">
              <w:rPr>
                <w:b/>
                <w:bCs/>
              </w:rPr>
              <w:t>114</w:t>
            </w:r>
          </w:p>
          <w:p w:rsidR="00951309" w:rsidRPr="00F36AC4" w:rsidRDefault="00845394" w:rsidP="000305E1">
            <w:pPr>
              <w:pStyle w:val="Tabletext"/>
            </w:pPr>
            <w:r>
              <w:t>FG DFS</w:t>
            </w:r>
            <w:r w:rsidR="00C707C8" w:rsidRPr="00FC6C2C">
              <w:t>/VM</w:t>
            </w:r>
          </w:p>
        </w:tc>
        <w:tc>
          <w:tcPr>
            <w:tcW w:w="4394" w:type="dxa"/>
            <w:vMerge w:val="restart"/>
            <w:tcMar>
              <w:left w:w="0" w:type="dxa"/>
              <w:right w:w="0" w:type="dxa"/>
            </w:tcMar>
          </w:tcPr>
          <w:p w:rsidR="00951309" w:rsidRDefault="00951309" w:rsidP="00C347FF">
            <w:pPr>
              <w:pStyle w:val="Tabletext"/>
              <w:ind w:left="283" w:hanging="283"/>
            </w:pPr>
            <w:r>
              <w:t>-</w:t>
            </w:r>
            <w:r>
              <w:tab/>
              <w:t>To Administrations of Member States of the Union</w:t>
            </w:r>
          </w:p>
          <w:p w:rsidR="00845394" w:rsidRPr="00506865" w:rsidRDefault="00845394" w:rsidP="00845394">
            <w:pPr>
              <w:pStyle w:val="Tabletext"/>
              <w:ind w:left="283" w:hanging="283"/>
            </w:pPr>
            <w:r>
              <w:tab/>
            </w:r>
            <w:r w:rsidRPr="00506865">
              <w:t>To ITU Sector Members;</w:t>
            </w:r>
          </w:p>
          <w:p w:rsidR="00845394" w:rsidRDefault="00845394" w:rsidP="00845394">
            <w:pPr>
              <w:pStyle w:val="Tabletext"/>
              <w:ind w:left="283" w:hanging="283"/>
            </w:pPr>
            <w:r w:rsidRPr="00506865">
              <w:t xml:space="preserve">- </w:t>
            </w:r>
            <w:r>
              <w:tab/>
            </w:r>
            <w:r w:rsidRPr="00506865">
              <w:t>To ITU Associates</w:t>
            </w:r>
            <w:r>
              <w:t>;</w:t>
            </w:r>
          </w:p>
          <w:p w:rsidR="00845394" w:rsidRDefault="00845394" w:rsidP="00845394">
            <w:pPr>
              <w:pStyle w:val="Tabletext"/>
              <w:ind w:left="283" w:hanging="283"/>
            </w:pPr>
            <w:r>
              <w:t xml:space="preserve">- </w:t>
            </w:r>
            <w:r>
              <w:tab/>
              <w:t>To ITU Academia</w:t>
            </w:r>
          </w:p>
        </w:tc>
      </w:tr>
      <w:bookmarkEnd w:id="2"/>
      <w:tr w:rsidR="00951309" w:rsidTr="007632B1">
        <w:trPr>
          <w:trHeight w:val="281"/>
        </w:trPr>
        <w:tc>
          <w:tcPr>
            <w:tcW w:w="1134" w:type="dxa"/>
            <w:tcMar>
              <w:left w:w="0" w:type="dxa"/>
              <w:right w:w="0" w:type="dxa"/>
            </w:tcMar>
          </w:tcPr>
          <w:p w:rsidR="00951309" w:rsidRPr="00F36AC4" w:rsidRDefault="00951309" w:rsidP="002F6530">
            <w:pPr>
              <w:pStyle w:val="Tabletext"/>
            </w:pPr>
          </w:p>
        </w:tc>
        <w:tc>
          <w:tcPr>
            <w:tcW w:w="4253" w:type="dxa"/>
            <w:tcMar>
              <w:left w:w="0" w:type="dxa"/>
              <w:right w:w="0" w:type="dxa"/>
            </w:tcMar>
          </w:tcPr>
          <w:p w:rsidR="00951309" w:rsidRPr="000305E1" w:rsidRDefault="00951309" w:rsidP="002F6530">
            <w:pPr>
              <w:pStyle w:val="Tabletext"/>
              <w:rPr>
                <w:bCs/>
              </w:rPr>
            </w:pPr>
          </w:p>
        </w:tc>
        <w:tc>
          <w:tcPr>
            <w:tcW w:w="4394" w:type="dxa"/>
            <w:vMerge/>
            <w:tcMar>
              <w:left w:w="0" w:type="dxa"/>
              <w:right w:w="0" w:type="dxa"/>
            </w:tcMar>
          </w:tcPr>
          <w:p w:rsidR="00951309" w:rsidRDefault="00951309" w:rsidP="002F6530">
            <w:pPr>
              <w:pStyle w:val="Tabletext"/>
              <w:ind w:left="142" w:hanging="142"/>
            </w:pPr>
          </w:p>
        </w:tc>
      </w:tr>
      <w:tr w:rsidR="00951309" w:rsidTr="007632B1">
        <w:trPr>
          <w:trHeight w:val="221"/>
        </w:trPr>
        <w:tc>
          <w:tcPr>
            <w:tcW w:w="1134" w:type="dxa"/>
            <w:tcMar>
              <w:left w:w="0" w:type="dxa"/>
              <w:right w:w="0" w:type="dxa"/>
            </w:tcMar>
          </w:tcPr>
          <w:p w:rsidR="00951309" w:rsidRPr="00F36AC4" w:rsidRDefault="00951309" w:rsidP="002F6530">
            <w:pPr>
              <w:pStyle w:val="Tabletext"/>
            </w:pPr>
            <w:r w:rsidRPr="00F36AC4">
              <w:t>Tel:</w:t>
            </w:r>
          </w:p>
        </w:tc>
        <w:tc>
          <w:tcPr>
            <w:tcW w:w="4253" w:type="dxa"/>
            <w:tcMar>
              <w:left w:w="0" w:type="dxa"/>
              <w:right w:w="0" w:type="dxa"/>
            </w:tcMar>
          </w:tcPr>
          <w:p w:rsidR="00951309" w:rsidRPr="00F36AC4" w:rsidRDefault="00951309" w:rsidP="00D97119">
            <w:pPr>
              <w:pStyle w:val="Tabletext"/>
              <w:rPr>
                <w:b/>
              </w:rPr>
            </w:pPr>
            <w:r w:rsidRPr="00F36AC4">
              <w:t>+41 22 730</w:t>
            </w:r>
            <w:r w:rsidR="00AF10F1">
              <w:t xml:space="preserve"> </w:t>
            </w:r>
            <w:r w:rsidR="00845394">
              <w:t>5591</w:t>
            </w:r>
          </w:p>
        </w:tc>
        <w:tc>
          <w:tcPr>
            <w:tcW w:w="4394" w:type="dxa"/>
            <w:vMerge/>
            <w:tcMar>
              <w:left w:w="0" w:type="dxa"/>
              <w:right w:w="0" w:type="dxa"/>
            </w:tcMar>
          </w:tcPr>
          <w:p w:rsidR="00951309" w:rsidRDefault="00951309" w:rsidP="002F6530">
            <w:pPr>
              <w:pStyle w:val="Tabletext"/>
              <w:ind w:left="142" w:hanging="142"/>
            </w:pPr>
          </w:p>
        </w:tc>
      </w:tr>
      <w:tr w:rsidR="00951309" w:rsidTr="007632B1">
        <w:trPr>
          <w:trHeight w:val="282"/>
        </w:trPr>
        <w:tc>
          <w:tcPr>
            <w:tcW w:w="1134" w:type="dxa"/>
            <w:tcMar>
              <w:left w:w="0" w:type="dxa"/>
              <w:right w:w="0" w:type="dxa"/>
            </w:tcMar>
          </w:tcPr>
          <w:p w:rsidR="00951309" w:rsidRPr="00F36AC4" w:rsidRDefault="00951309" w:rsidP="002F6530">
            <w:pPr>
              <w:pStyle w:val="Tabletext"/>
            </w:pPr>
            <w:r w:rsidRPr="00F36AC4">
              <w:t>Fax:</w:t>
            </w:r>
          </w:p>
        </w:tc>
        <w:tc>
          <w:tcPr>
            <w:tcW w:w="4253" w:type="dxa"/>
            <w:tcMar>
              <w:left w:w="0" w:type="dxa"/>
              <w:right w:w="0" w:type="dxa"/>
            </w:tcMar>
          </w:tcPr>
          <w:p w:rsidR="00951309" w:rsidRPr="00F36AC4" w:rsidRDefault="00951309" w:rsidP="002F6530">
            <w:pPr>
              <w:pStyle w:val="Tabletext"/>
              <w:rPr>
                <w:b/>
              </w:rPr>
            </w:pPr>
            <w:r w:rsidRPr="00F36AC4">
              <w:t>+41 22 730 5853</w:t>
            </w:r>
          </w:p>
        </w:tc>
        <w:tc>
          <w:tcPr>
            <w:tcW w:w="4394" w:type="dxa"/>
            <w:vMerge/>
            <w:tcMar>
              <w:left w:w="0" w:type="dxa"/>
              <w:right w:w="0" w:type="dxa"/>
            </w:tcMar>
          </w:tcPr>
          <w:p w:rsidR="00951309" w:rsidRDefault="00951309" w:rsidP="002F6530">
            <w:pPr>
              <w:pStyle w:val="Tabletext"/>
              <w:ind w:left="142" w:hanging="142"/>
            </w:pPr>
          </w:p>
        </w:tc>
      </w:tr>
      <w:tr w:rsidR="00951309" w:rsidTr="00497D51">
        <w:trPr>
          <w:trHeight w:val="2774"/>
        </w:trPr>
        <w:tc>
          <w:tcPr>
            <w:tcW w:w="1134" w:type="dxa"/>
            <w:tcMar>
              <w:left w:w="0" w:type="dxa"/>
              <w:right w:w="0" w:type="dxa"/>
            </w:tcMar>
          </w:tcPr>
          <w:p w:rsidR="00951309" w:rsidRPr="00F36AC4" w:rsidRDefault="00951309" w:rsidP="002F6530">
            <w:pPr>
              <w:pStyle w:val="Tabletext"/>
            </w:pPr>
            <w:r w:rsidRPr="00F36AC4">
              <w:t>E-mail:</w:t>
            </w:r>
          </w:p>
        </w:tc>
        <w:tc>
          <w:tcPr>
            <w:tcW w:w="4253" w:type="dxa"/>
            <w:tcMar>
              <w:left w:w="0" w:type="dxa"/>
              <w:right w:w="0" w:type="dxa"/>
            </w:tcMar>
          </w:tcPr>
          <w:p w:rsidR="00951309" w:rsidRPr="00F36AC4" w:rsidRDefault="00733A90" w:rsidP="002F6530">
            <w:pPr>
              <w:pStyle w:val="Tabletext"/>
            </w:pPr>
            <w:hyperlink r:id="rId9" w:history="1">
              <w:r w:rsidR="00845394" w:rsidRPr="00A60C73">
                <w:rPr>
                  <w:rStyle w:val="Hyperlink"/>
                </w:rPr>
                <w:t>tsbfgdfs@itu.int</w:t>
              </w:r>
            </w:hyperlink>
          </w:p>
        </w:tc>
        <w:tc>
          <w:tcPr>
            <w:tcW w:w="4394" w:type="dxa"/>
            <w:tcMar>
              <w:left w:w="0" w:type="dxa"/>
              <w:right w:w="0" w:type="dxa"/>
            </w:tcMar>
          </w:tcPr>
          <w:p w:rsidR="00951309" w:rsidRDefault="00951309" w:rsidP="002F6530">
            <w:pPr>
              <w:pStyle w:val="Tabletext"/>
              <w:rPr>
                <w:b/>
              </w:rPr>
            </w:pPr>
            <w:r>
              <w:rPr>
                <w:b/>
              </w:rPr>
              <w:t>Copy:</w:t>
            </w:r>
          </w:p>
          <w:p w:rsidR="00951309" w:rsidRDefault="00951309" w:rsidP="00845394">
            <w:pPr>
              <w:pStyle w:val="Tabletext"/>
              <w:tabs>
                <w:tab w:val="clear" w:pos="284"/>
                <w:tab w:val="clear" w:pos="567"/>
                <w:tab w:val="left" w:pos="283"/>
              </w:tabs>
              <w:ind w:left="283" w:hanging="283"/>
            </w:pPr>
            <w:r>
              <w:t>-</w:t>
            </w:r>
            <w:r>
              <w:tab/>
              <w:t>To the Chairm</w:t>
            </w:r>
            <w:r w:rsidR="00845394">
              <w:t>e</w:t>
            </w:r>
            <w:r>
              <w:t xml:space="preserve">n and Vice-Chairmen of </w:t>
            </w:r>
            <w:r w:rsidR="00845394">
              <w:t xml:space="preserve">all ITU-T </w:t>
            </w:r>
            <w:r>
              <w:t>Study Group</w:t>
            </w:r>
            <w:r w:rsidR="00845394">
              <w:t>s</w:t>
            </w:r>
            <w:r>
              <w:t>;</w:t>
            </w:r>
          </w:p>
          <w:p w:rsidR="00951309" w:rsidRDefault="00951309" w:rsidP="00845394">
            <w:pPr>
              <w:pStyle w:val="Tabletext"/>
              <w:tabs>
                <w:tab w:val="clear" w:pos="284"/>
                <w:tab w:val="left" w:pos="283"/>
              </w:tabs>
              <w:ind w:left="283" w:hanging="283"/>
            </w:pPr>
            <w:r>
              <w:t>-</w:t>
            </w:r>
            <w:r>
              <w:tab/>
              <w:t>To the Director of the Telecommunication Development Bureau;</w:t>
            </w:r>
          </w:p>
          <w:p w:rsidR="00951309" w:rsidRDefault="00951309" w:rsidP="00845394">
            <w:pPr>
              <w:pStyle w:val="Tabletext"/>
              <w:tabs>
                <w:tab w:val="clear" w:pos="284"/>
                <w:tab w:val="left" w:pos="283"/>
              </w:tabs>
              <w:ind w:left="283" w:hanging="283"/>
            </w:pPr>
            <w:r>
              <w:t>-</w:t>
            </w:r>
            <w:r>
              <w:tab/>
              <w:t>To the Director of the Radiocommunication Bureau</w:t>
            </w:r>
            <w:r w:rsidR="00D97119">
              <w:t>;</w:t>
            </w:r>
          </w:p>
          <w:p w:rsidR="00845394" w:rsidRDefault="00845394" w:rsidP="00845394">
            <w:pPr>
              <w:pStyle w:val="Tabletext"/>
              <w:ind w:left="283" w:hanging="283"/>
            </w:pPr>
            <w:r>
              <w:t>-</w:t>
            </w:r>
            <w:r>
              <w:tab/>
              <w:t>To the Directors of ITU Regional Offices</w:t>
            </w:r>
          </w:p>
        </w:tc>
      </w:tr>
      <w:tr w:rsidR="00951309" w:rsidRPr="009B6449" w:rsidTr="007632B1">
        <w:trPr>
          <w:trHeight w:val="660"/>
        </w:trPr>
        <w:tc>
          <w:tcPr>
            <w:tcW w:w="1134" w:type="dxa"/>
            <w:tcMar>
              <w:left w:w="0" w:type="dxa"/>
              <w:right w:w="0" w:type="dxa"/>
            </w:tcMar>
          </w:tcPr>
          <w:p w:rsidR="00951309" w:rsidRPr="009B6449" w:rsidRDefault="00951309" w:rsidP="002F6530">
            <w:pPr>
              <w:pStyle w:val="Tabletext"/>
            </w:pPr>
            <w:r w:rsidRPr="009B6449">
              <w:t>Subject:</w:t>
            </w:r>
          </w:p>
        </w:tc>
        <w:tc>
          <w:tcPr>
            <w:tcW w:w="8647" w:type="dxa"/>
            <w:gridSpan w:val="2"/>
            <w:tcMar>
              <w:left w:w="0" w:type="dxa"/>
              <w:right w:w="0" w:type="dxa"/>
            </w:tcMar>
          </w:tcPr>
          <w:p w:rsidR="00951309" w:rsidRPr="00B61F60" w:rsidRDefault="00845394" w:rsidP="006976BA">
            <w:pPr>
              <w:pStyle w:val="Tabletext"/>
              <w:rPr>
                <w:b/>
              </w:rPr>
            </w:pPr>
            <w:r w:rsidRPr="00B61F60">
              <w:rPr>
                <w:b/>
              </w:rPr>
              <w:t xml:space="preserve">Creation of a new Focus Group </w:t>
            </w:r>
            <w:r w:rsidR="00D97119" w:rsidRPr="00B61F60">
              <w:rPr>
                <w:b/>
              </w:rPr>
              <w:t xml:space="preserve">on </w:t>
            </w:r>
            <w:r w:rsidRPr="00B61F60">
              <w:rPr>
                <w:b/>
              </w:rPr>
              <w:t>Digital Financial Services (</w:t>
            </w:r>
            <w:r w:rsidR="00D97119" w:rsidRPr="00B61F60">
              <w:rPr>
                <w:b/>
              </w:rPr>
              <w:t xml:space="preserve">FG </w:t>
            </w:r>
            <w:r w:rsidR="00B61F60" w:rsidRPr="00B61F60">
              <w:rPr>
                <w:b/>
              </w:rPr>
              <w:t xml:space="preserve">DFS) and </w:t>
            </w:r>
            <w:r w:rsidRPr="00B61F60">
              <w:rPr>
                <w:b/>
              </w:rPr>
              <w:t>First meeting of FG DFS, Geneva, Switzerland, 5 December 2014</w:t>
            </w:r>
          </w:p>
        </w:tc>
      </w:tr>
    </w:tbl>
    <w:p w:rsidR="00383598" w:rsidRDefault="00383598" w:rsidP="00D97119">
      <w:pPr>
        <w:spacing w:before="360"/>
        <w:rPr>
          <w:szCs w:val="22"/>
        </w:rPr>
      </w:pPr>
      <w:bookmarkStart w:id="3" w:name="StartTyping_E"/>
      <w:bookmarkEnd w:id="3"/>
      <w:r w:rsidRPr="00624555">
        <w:rPr>
          <w:szCs w:val="22"/>
        </w:rPr>
        <w:t>Dear Sir/Madam,</w:t>
      </w:r>
    </w:p>
    <w:p w:rsidR="00845394" w:rsidRPr="00845394" w:rsidRDefault="00845394" w:rsidP="00CE3A3D">
      <w:pPr>
        <w:shd w:val="clear" w:color="auto" w:fill="FFFFFF"/>
        <w:ind w:right="-113"/>
        <w:rPr>
          <w:rFonts w:cstheme="majorBidi"/>
          <w:szCs w:val="24"/>
        </w:rPr>
      </w:pPr>
      <w:r w:rsidRPr="00845394">
        <w:rPr>
          <w:rFonts w:cstheme="majorBidi"/>
          <w:szCs w:val="24"/>
        </w:rPr>
        <w:t>1</w:t>
      </w:r>
      <w:r w:rsidRPr="00845394">
        <w:rPr>
          <w:rFonts w:cstheme="majorBidi"/>
          <w:szCs w:val="24"/>
        </w:rPr>
        <w:tab/>
        <w:t xml:space="preserve">I am pleased to announce the establishment of the </w:t>
      </w:r>
      <w:hyperlink r:id="rId10" w:history="1">
        <w:r w:rsidRPr="00845394">
          <w:rPr>
            <w:rStyle w:val="Hyperlink"/>
            <w:rFonts w:cstheme="majorBidi"/>
            <w:szCs w:val="24"/>
          </w:rPr>
          <w:t xml:space="preserve">ITU-T Focus Group </w:t>
        </w:r>
        <w:r w:rsidR="00D97119">
          <w:rPr>
            <w:rStyle w:val="Hyperlink"/>
            <w:rFonts w:cstheme="majorBidi"/>
            <w:szCs w:val="24"/>
          </w:rPr>
          <w:t xml:space="preserve">on </w:t>
        </w:r>
        <w:r w:rsidRPr="00845394">
          <w:rPr>
            <w:rStyle w:val="Hyperlink"/>
            <w:rFonts w:cstheme="majorBidi"/>
            <w:szCs w:val="24"/>
          </w:rPr>
          <w:t>Digital Financial Services</w:t>
        </w:r>
      </w:hyperlink>
      <w:r w:rsidRPr="00845394">
        <w:rPr>
          <w:rFonts w:cstheme="majorBidi"/>
          <w:szCs w:val="24"/>
        </w:rPr>
        <w:t xml:space="preserve"> (FG DFS) further to the agreement by ITU-T TSAG at its meeting in Geneva, 17-20 June 2014.</w:t>
      </w:r>
    </w:p>
    <w:p w:rsidR="005F63F0" w:rsidRDefault="006976BA" w:rsidP="006976BA">
      <w:pPr>
        <w:tabs>
          <w:tab w:val="clear" w:pos="794"/>
          <w:tab w:val="clear" w:pos="1191"/>
          <w:tab w:val="clear" w:pos="1588"/>
          <w:tab w:val="clear" w:pos="1985"/>
        </w:tabs>
        <w:overflowPunct/>
        <w:autoSpaceDE/>
        <w:autoSpaceDN/>
        <w:adjustRightInd/>
        <w:textAlignment w:val="auto"/>
      </w:pPr>
      <w:r w:rsidRPr="00845394">
        <w:rPr>
          <w:rFonts w:cstheme="majorBidi"/>
          <w:szCs w:val="24"/>
          <w:lang w:val="en-US"/>
        </w:rPr>
        <w:t>2</w:t>
      </w:r>
      <w:r w:rsidRPr="00845394">
        <w:rPr>
          <w:rFonts w:cstheme="majorBidi"/>
          <w:szCs w:val="24"/>
          <w:lang w:val="en-US"/>
        </w:rPr>
        <w:tab/>
        <w:t>T</w:t>
      </w:r>
      <w:r w:rsidRPr="00845394">
        <w:rPr>
          <w:rFonts w:cstheme="majorBidi"/>
          <w:szCs w:val="24"/>
        </w:rPr>
        <w:t xml:space="preserve">he first meeting of FG DFS </w:t>
      </w:r>
      <w:r>
        <w:rPr>
          <w:rFonts w:cstheme="majorBidi"/>
          <w:szCs w:val="24"/>
        </w:rPr>
        <w:t xml:space="preserve">is scheduled </w:t>
      </w:r>
      <w:r w:rsidRPr="00845394">
        <w:rPr>
          <w:rFonts w:cstheme="majorBidi"/>
          <w:szCs w:val="24"/>
        </w:rPr>
        <w:t xml:space="preserve">(see agenda in </w:t>
      </w:r>
      <w:r w:rsidRPr="00B61F60">
        <w:rPr>
          <w:rFonts w:cstheme="majorBidi"/>
          <w:b/>
          <w:szCs w:val="24"/>
        </w:rPr>
        <w:t>Annex 2</w:t>
      </w:r>
      <w:r w:rsidRPr="00845394">
        <w:rPr>
          <w:rFonts w:cstheme="majorBidi"/>
          <w:szCs w:val="24"/>
        </w:rPr>
        <w:t xml:space="preserve">) </w:t>
      </w:r>
      <w:r>
        <w:rPr>
          <w:rFonts w:cstheme="majorBidi"/>
          <w:szCs w:val="24"/>
        </w:rPr>
        <w:t xml:space="preserve">to take place </w:t>
      </w:r>
      <w:r w:rsidRPr="00845394">
        <w:rPr>
          <w:rFonts w:cstheme="majorBidi"/>
          <w:szCs w:val="24"/>
        </w:rPr>
        <w:t xml:space="preserve">at the ITU Headquarters in Geneva, Switzerland, on </w:t>
      </w:r>
      <w:r w:rsidRPr="00FC6C2C">
        <w:rPr>
          <w:rFonts w:cstheme="majorBidi"/>
          <w:b/>
          <w:bCs/>
          <w:szCs w:val="24"/>
          <w:u w:val="single"/>
        </w:rPr>
        <w:t>5</w:t>
      </w:r>
      <w:r w:rsidRPr="00845394">
        <w:rPr>
          <w:rFonts w:cstheme="majorBidi"/>
          <w:b/>
          <w:bCs/>
          <w:szCs w:val="24"/>
          <w:u w:val="single"/>
        </w:rPr>
        <w:t xml:space="preserve"> December 2014</w:t>
      </w:r>
      <w:r>
        <w:rPr>
          <w:rFonts w:cstheme="majorBidi"/>
          <w:b/>
          <w:bCs/>
          <w:szCs w:val="24"/>
          <w:u w:val="single"/>
        </w:rPr>
        <w:t xml:space="preserve">. </w:t>
      </w:r>
      <w:r>
        <w:rPr>
          <w:rFonts w:cstheme="majorBidi"/>
          <w:szCs w:val="24"/>
        </w:rPr>
        <w:t>The meeting will be preceded by</w:t>
      </w:r>
      <w:r w:rsidRPr="00845394">
        <w:rPr>
          <w:rFonts w:cstheme="majorBidi"/>
          <w:szCs w:val="24"/>
        </w:rPr>
        <w:t xml:space="preserve"> a workshop on Digital Financial Services </w:t>
      </w:r>
      <w:r w:rsidR="000310F0">
        <w:rPr>
          <w:rFonts w:cstheme="majorBidi"/>
          <w:szCs w:val="24"/>
        </w:rPr>
        <w:t xml:space="preserve">and Financial Inclusion </w:t>
      </w:r>
      <w:r w:rsidRPr="00845394">
        <w:rPr>
          <w:rFonts w:cstheme="majorBidi"/>
          <w:szCs w:val="24"/>
        </w:rPr>
        <w:t xml:space="preserve">on </w:t>
      </w:r>
      <w:r w:rsidRPr="00FC6C2C">
        <w:rPr>
          <w:rFonts w:cstheme="majorBidi"/>
          <w:b/>
          <w:bCs/>
          <w:szCs w:val="24"/>
          <w:u w:val="single"/>
        </w:rPr>
        <w:t>4</w:t>
      </w:r>
      <w:r w:rsidRPr="00845394">
        <w:rPr>
          <w:rFonts w:cstheme="majorBidi"/>
          <w:b/>
          <w:bCs/>
          <w:szCs w:val="24"/>
          <w:u w:val="single"/>
        </w:rPr>
        <w:t xml:space="preserve"> December 2014</w:t>
      </w:r>
      <w:r w:rsidR="00C707C8" w:rsidRPr="00FC6C2C">
        <w:rPr>
          <w:rFonts w:cstheme="majorBidi"/>
          <w:bCs/>
          <w:szCs w:val="24"/>
        </w:rPr>
        <w:t xml:space="preserve"> at the same venue</w:t>
      </w:r>
      <w:r w:rsidRPr="00845394">
        <w:rPr>
          <w:rFonts w:cstheme="majorBidi"/>
          <w:szCs w:val="24"/>
        </w:rPr>
        <w:t>.</w:t>
      </w:r>
      <w:r w:rsidR="00C707C8">
        <w:rPr>
          <w:rFonts w:cstheme="majorBidi"/>
          <w:szCs w:val="24"/>
        </w:rPr>
        <w:t xml:space="preserve"> </w:t>
      </w:r>
      <w:r w:rsidR="005F63F0">
        <w:rPr>
          <w:rFonts w:cs="Segoe UI"/>
          <w:color w:val="000000"/>
          <w:lang w:val="en-US"/>
        </w:rPr>
        <w:t xml:space="preserve">Detailed information can be found </w:t>
      </w:r>
      <w:r w:rsidR="00797060">
        <w:rPr>
          <w:rFonts w:cs="Segoe UI"/>
          <w:color w:val="000000"/>
          <w:lang w:val="en-US"/>
        </w:rPr>
        <w:t>at the workshop</w:t>
      </w:r>
      <w:r w:rsidR="005F63F0">
        <w:rPr>
          <w:rFonts w:cs="Segoe UI"/>
          <w:color w:val="000000"/>
          <w:lang w:val="en-US"/>
        </w:rPr>
        <w:t xml:space="preserve"> website: </w:t>
      </w:r>
      <w:hyperlink r:id="rId11" w:history="1">
        <w:r w:rsidR="00797060" w:rsidRPr="00CE4F5A">
          <w:rPr>
            <w:rStyle w:val="Hyperlink"/>
          </w:rPr>
          <w:t>http://www.itu.int/en/ITU-T/Workshops-and-Seminars/ifds/Pages/default.aspx</w:t>
        </w:r>
      </w:hyperlink>
      <w:r w:rsidR="00797060">
        <w:rPr>
          <w:rStyle w:val="Hyperlink"/>
        </w:rPr>
        <w:t>.</w:t>
      </w:r>
    </w:p>
    <w:p w:rsidR="00845394" w:rsidRPr="00845394" w:rsidRDefault="00845394" w:rsidP="00D97119">
      <w:pPr>
        <w:shd w:val="clear" w:color="auto" w:fill="FFFFFF"/>
        <w:rPr>
          <w:rFonts w:cstheme="majorBidi"/>
          <w:color w:val="000000"/>
          <w:szCs w:val="24"/>
        </w:rPr>
      </w:pPr>
      <w:r w:rsidRPr="00845394">
        <w:rPr>
          <w:rFonts w:cstheme="majorBidi"/>
          <w:szCs w:val="24"/>
        </w:rPr>
        <w:t>3</w:t>
      </w:r>
      <w:r w:rsidRPr="00845394">
        <w:rPr>
          <w:rFonts w:cstheme="majorBidi"/>
          <w:szCs w:val="24"/>
        </w:rPr>
        <w:tab/>
        <w:t xml:space="preserve">Globally, more than 2.5 billion adults do not have access to a formal bank account, most of them in developing economies. Low levels of financial inclusion represent a barrier to socio-economic development in developing countries. Digital financial services can be a game changer for people of limited income and an enabler for financial inclusion in developing countries. </w:t>
      </w:r>
      <w:r w:rsidRPr="00845394">
        <w:rPr>
          <w:rFonts w:cstheme="majorBidi"/>
          <w:color w:val="000000"/>
          <w:szCs w:val="24"/>
        </w:rPr>
        <w:t>Digital financial services can expand the delivery of basic financial services to the poor through new technologies like mobile phones, electronic money and new channels such as retail agents. These channels can drastically drive down costs for customers and service providers, opening the door to remote and underserved populations.</w:t>
      </w:r>
    </w:p>
    <w:p w:rsidR="00845394" w:rsidRDefault="00845394" w:rsidP="00D97119">
      <w:pPr>
        <w:rPr>
          <w:rFonts w:cstheme="majorBidi"/>
          <w:szCs w:val="24"/>
        </w:rPr>
      </w:pPr>
      <w:r w:rsidRPr="00845394">
        <w:rPr>
          <w:rFonts w:cstheme="majorBidi"/>
          <w:szCs w:val="24"/>
        </w:rPr>
        <w:t>4</w:t>
      </w:r>
      <w:r w:rsidRPr="00845394">
        <w:rPr>
          <w:rFonts w:cstheme="majorBidi"/>
          <w:szCs w:val="24"/>
        </w:rPr>
        <w:tab/>
        <w:t xml:space="preserve">The ITU-T FG DFS will analyse ICT solutions, business models and platforms that promote financial inclusion and will identify best practices and standards which would facilitate, inter alia, access to technology, the development of platforms allowing to handle effectively low value transactions and the implementation of interoperable digital financial services solutions on a global scale. </w:t>
      </w:r>
    </w:p>
    <w:p w:rsidR="00CE3A3D" w:rsidRPr="00845394" w:rsidRDefault="00CE3A3D" w:rsidP="00D97119">
      <w:pPr>
        <w:rPr>
          <w:rFonts w:cstheme="majorBidi"/>
          <w:szCs w:val="24"/>
        </w:rPr>
      </w:pPr>
    </w:p>
    <w:p w:rsidR="00845394" w:rsidRPr="00845394" w:rsidRDefault="00845394" w:rsidP="00D97119">
      <w:pPr>
        <w:rPr>
          <w:rFonts w:cstheme="majorBidi"/>
          <w:szCs w:val="24"/>
        </w:rPr>
      </w:pPr>
      <w:r w:rsidRPr="00845394">
        <w:rPr>
          <w:rFonts w:cstheme="majorBidi"/>
          <w:szCs w:val="24"/>
        </w:rPr>
        <w:lastRenderedPageBreak/>
        <w:t>5</w:t>
      </w:r>
      <w:r w:rsidRPr="00845394">
        <w:rPr>
          <w:rFonts w:cstheme="majorBidi"/>
          <w:szCs w:val="24"/>
        </w:rPr>
        <w:tab/>
        <w:t xml:space="preserve">The Focus Group will operate under procedures set out in Recommendation ITU-T A.7. TSAG serves as the parent group. The agreed Terms of Reference are reproduced in </w:t>
      </w:r>
      <w:r w:rsidRPr="00845394">
        <w:rPr>
          <w:rFonts w:cstheme="majorBidi"/>
          <w:b/>
          <w:bCs/>
          <w:szCs w:val="24"/>
        </w:rPr>
        <w:t>Annex 1</w:t>
      </w:r>
      <w:r w:rsidRPr="00845394">
        <w:rPr>
          <w:rFonts w:cstheme="majorBidi"/>
          <w:szCs w:val="24"/>
        </w:rPr>
        <w:t xml:space="preserve">. </w:t>
      </w:r>
      <w:r w:rsidRPr="00845394">
        <w:rPr>
          <w:rFonts w:cstheme="majorBidi"/>
          <w:szCs w:val="24"/>
          <w:lang w:val="en-US"/>
        </w:rPr>
        <w:t>Mr</w:t>
      </w:r>
      <w:r w:rsidR="00D97119">
        <w:rPr>
          <w:rFonts w:cstheme="majorBidi"/>
          <w:szCs w:val="24"/>
          <w:lang w:val="en-US"/>
        </w:rPr>
        <w:t> </w:t>
      </w:r>
      <w:r w:rsidRPr="00845394">
        <w:rPr>
          <w:rFonts w:cstheme="majorBidi"/>
          <w:szCs w:val="24"/>
          <w:lang w:val="en-US"/>
        </w:rPr>
        <w:t xml:space="preserve">Sacha Polverini, from the Bill and Melinda Gates Foundation has agreed to be the chairman of the Focus Group. </w:t>
      </w:r>
      <w:r w:rsidRPr="00845394">
        <w:rPr>
          <w:rFonts w:cstheme="majorBidi"/>
          <w:szCs w:val="24"/>
        </w:rPr>
        <w:t>I believe that by establishing the Focus Group, ITU-T will meet the expectations of its membership and demonstrate its ability to address critical topics requiring urgent attention from both policy makers and market participants.</w:t>
      </w:r>
    </w:p>
    <w:p w:rsidR="00845394" w:rsidRPr="00845394" w:rsidRDefault="00845394" w:rsidP="00D97119">
      <w:pPr>
        <w:rPr>
          <w:rFonts w:cstheme="majorBidi"/>
          <w:szCs w:val="24"/>
        </w:rPr>
      </w:pPr>
      <w:r w:rsidRPr="00845394">
        <w:rPr>
          <w:rFonts w:cstheme="majorBidi"/>
          <w:szCs w:val="24"/>
        </w:rPr>
        <w:t>6</w:t>
      </w:r>
      <w:r w:rsidRPr="00845394">
        <w:rPr>
          <w:rFonts w:cstheme="majorBidi"/>
          <w:szCs w:val="24"/>
        </w:rPr>
        <w:tab/>
        <w:t xml:space="preserve">FG </w:t>
      </w:r>
      <w:r w:rsidRPr="00845394">
        <w:rPr>
          <w:rFonts w:eastAsia="MS Mincho" w:cstheme="majorBidi"/>
          <w:szCs w:val="24"/>
          <w:lang w:eastAsia="ja-JP"/>
        </w:rPr>
        <w:t>DFS</w:t>
      </w:r>
      <w:r w:rsidRPr="00845394">
        <w:rPr>
          <w:rFonts w:cstheme="majorBidi"/>
          <w:szCs w:val="24"/>
        </w:rPr>
        <w:t xml:space="preserve"> is open to </w:t>
      </w:r>
      <w:r w:rsidRPr="00845394">
        <w:rPr>
          <w:rFonts w:cstheme="majorBidi"/>
          <w:szCs w:val="24"/>
          <w:lang w:val="en-US"/>
        </w:rPr>
        <w:t>ITU</w:t>
      </w:r>
      <w:r w:rsidRPr="00845394">
        <w:rPr>
          <w:rFonts w:cstheme="majorBidi"/>
          <w:szCs w:val="24"/>
        </w:rPr>
        <w:t xml:space="preserve"> Member States, Sector Members, Associates, Academia and to any individual from a country which is a member of ITU and who is willing to contribute to the work; this includes individuals who are also members or representatives of interested standards development organizations. </w:t>
      </w:r>
    </w:p>
    <w:p w:rsidR="00845394" w:rsidRPr="00845394" w:rsidRDefault="00705F9E" w:rsidP="00D97119">
      <w:pPr>
        <w:rPr>
          <w:rFonts w:cstheme="majorBidi"/>
          <w:szCs w:val="24"/>
        </w:rPr>
      </w:pPr>
      <w:r>
        <w:rPr>
          <w:rFonts w:cstheme="majorBidi"/>
          <w:szCs w:val="24"/>
        </w:rPr>
        <w:t>7</w:t>
      </w:r>
      <w:r w:rsidR="00845394" w:rsidRPr="00845394">
        <w:rPr>
          <w:rFonts w:cstheme="majorBidi"/>
          <w:szCs w:val="24"/>
        </w:rPr>
        <w:tab/>
        <w:t>Contributions are invited on projects related to digital financial services and financial inclusion in their respective regions, highlighting the state of digital financial services in the region, main challenges (and possible solutions) and industry best practices that have been implemented.</w:t>
      </w:r>
    </w:p>
    <w:p w:rsidR="00845394" w:rsidRPr="00845394" w:rsidRDefault="00705F9E" w:rsidP="00D97119">
      <w:pPr>
        <w:tabs>
          <w:tab w:val="clear" w:pos="794"/>
          <w:tab w:val="clear" w:pos="1191"/>
          <w:tab w:val="clear" w:pos="1588"/>
          <w:tab w:val="clear" w:pos="1985"/>
        </w:tabs>
        <w:overflowPunct/>
        <w:autoSpaceDE/>
        <w:autoSpaceDN/>
        <w:adjustRightInd/>
        <w:textAlignment w:val="auto"/>
        <w:rPr>
          <w:rFonts w:cstheme="majorBidi"/>
          <w:szCs w:val="24"/>
        </w:rPr>
      </w:pPr>
      <w:r>
        <w:rPr>
          <w:rFonts w:cstheme="majorBidi"/>
          <w:szCs w:val="24"/>
        </w:rPr>
        <w:t>8</w:t>
      </w:r>
      <w:r w:rsidR="00845394" w:rsidRPr="00845394">
        <w:rPr>
          <w:rFonts w:cstheme="majorBidi"/>
          <w:szCs w:val="24"/>
        </w:rPr>
        <w:tab/>
        <w:t xml:space="preserve">Remote participation will be available for the meeting. More information about remote participation will be available on the Focus Group web page: </w:t>
      </w:r>
      <w:hyperlink r:id="rId12" w:history="1">
        <w:r w:rsidR="00845394" w:rsidRPr="00845394">
          <w:rPr>
            <w:rStyle w:val="Hyperlink"/>
            <w:rFonts w:cstheme="majorBidi"/>
            <w:szCs w:val="24"/>
          </w:rPr>
          <w:t>http://www.itu.int/en/ITU-T/focusgroups/dfs/Pages/default.aspx</w:t>
        </w:r>
      </w:hyperlink>
      <w:r w:rsidR="00845394" w:rsidRPr="00845394">
        <w:rPr>
          <w:rFonts w:cstheme="majorBidi"/>
          <w:szCs w:val="24"/>
        </w:rPr>
        <w:t>.</w:t>
      </w:r>
    </w:p>
    <w:p w:rsidR="00845394" w:rsidRPr="00845394" w:rsidRDefault="00705F9E" w:rsidP="00D97119">
      <w:pPr>
        <w:tabs>
          <w:tab w:val="clear" w:pos="794"/>
          <w:tab w:val="clear" w:pos="1191"/>
          <w:tab w:val="clear" w:pos="1588"/>
          <w:tab w:val="clear" w:pos="1985"/>
        </w:tabs>
        <w:overflowPunct/>
        <w:autoSpaceDE/>
        <w:autoSpaceDN/>
        <w:adjustRightInd/>
        <w:textAlignment w:val="auto"/>
      </w:pPr>
      <w:r>
        <w:rPr>
          <w:rFonts w:cstheme="majorBidi"/>
          <w:szCs w:val="24"/>
        </w:rPr>
        <w:t>9</w:t>
      </w:r>
      <w:r w:rsidR="00845394" w:rsidRPr="00845394">
        <w:rPr>
          <w:rFonts w:cstheme="majorBidi"/>
          <w:szCs w:val="24"/>
        </w:rPr>
        <w:tab/>
        <w:t xml:space="preserve">The items for discussion at the meeting will be made available on the Focus Group web page: </w:t>
      </w:r>
      <w:hyperlink r:id="rId13" w:history="1">
        <w:r w:rsidR="00845394" w:rsidRPr="00845394">
          <w:rPr>
            <w:rStyle w:val="Hyperlink"/>
            <w:rFonts w:cstheme="majorBidi"/>
            <w:szCs w:val="24"/>
          </w:rPr>
          <w:t>http://www.itu.int/en/ITU-T/focusgroups/dfs/Pages/default.aspx</w:t>
        </w:r>
      </w:hyperlink>
      <w:r w:rsidR="00845394" w:rsidRPr="00845394">
        <w:rPr>
          <w:rFonts w:cstheme="majorBidi"/>
          <w:szCs w:val="24"/>
        </w:rPr>
        <w:t xml:space="preserve">. Information related to the meeting as well as the contributions received will be provided on the Focus Group website. </w:t>
      </w:r>
      <w:r w:rsidR="00845394" w:rsidRPr="00845394">
        <w:t xml:space="preserve">The meeting will open at 0930 hours on </w:t>
      </w:r>
      <w:r w:rsidR="00EC4B23" w:rsidRPr="00FC6C2C">
        <w:t>5</w:t>
      </w:r>
      <w:r w:rsidR="00EC4B23" w:rsidRPr="00845394">
        <w:t xml:space="preserve"> </w:t>
      </w:r>
      <w:r w:rsidR="00845394" w:rsidRPr="00845394">
        <w:t xml:space="preserve">December 2014. Participant registration will begin at </w:t>
      </w:r>
      <w:r w:rsidR="00CE3A3D">
        <w:br/>
      </w:r>
      <w:r w:rsidR="00845394" w:rsidRPr="00845394">
        <w:t>0830 hours at the Montbrillant entrance. Detailed information concerning the meeting room will be displayed on screens at the entrances to ITU headquarters. No registration fee is required for participating in this meeting.</w:t>
      </w:r>
    </w:p>
    <w:p w:rsidR="00845394" w:rsidRPr="00845394" w:rsidRDefault="00E4452F" w:rsidP="00D97119">
      <w:pPr>
        <w:pStyle w:val="BodyText2"/>
        <w:tabs>
          <w:tab w:val="clear" w:pos="1191"/>
          <w:tab w:val="left" w:pos="851"/>
        </w:tabs>
        <w:ind w:right="91"/>
        <w:rPr>
          <w:rFonts w:cstheme="majorBidi"/>
          <w:szCs w:val="24"/>
        </w:rPr>
      </w:pPr>
      <w:r>
        <w:rPr>
          <w:rFonts w:cstheme="majorBidi"/>
          <w:szCs w:val="24"/>
        </w:rPr>
        <w:t>1</w:t>
      </w:r>
      <w:r w:rsidR="00705F9E">
        <w:rPr>
          <w:rFonts w:cstheme="majorBidi"/>
          <w:szCs w:val="24"/>
        </w:rPr>
        <w:t>0</w:t>
      </w:r>
      <w:r w:rsidR="00845394" w:rsidRPr="00845394">
        <w:rPr>
          <w:rFonts w:cstheme="majorBidi"/>
          <w:szCs w:val="24"/>
        </w:rPr>
        <w:tab/>
        <w:t>The discussions will be held in English only.</w:t>
      </w:r>
    </w:p>
    <w:p w:rsidR="00845394" w:rsidRDefault="00845394" w:rsidP="00D97119">
      <w:pPr>
        <w:pStyle w:val="BodyText2"/>
        <w:tabs>
          <w:tab w:val="clear" w:pos="1191"/>
          <w:tab w:val="left" w:pos="851"/>
        </w:tabs>
        <w:ind w:right="91"/>
        <w:rPr>
          <w:rFonts w:cstheme="majorBidi"/>
          <w:szCs w:val="24"/>
          <w:lang w:val="en-US"/>
        </w:rPr>
      </w:pPr>
      <w:r w:rsidRPr="00845394">
        <w:rPr>
          <w:rFonts w:cstheme="majorBidi"/>
          <w:szCs w:val="24"/>
        </w:rPr>
        <w:t>1</w:t>
      </w:r>
      <w:r w:rsidR="00705F9E">
        <w:rPr>
          <w:rFonts w:cstheme="majorBidi"/>
          <w:szCs w:val="24"/>
        </w:rPr>
        <w:t>1</w:t>
      </w:r>
      <w:r w:rsidRPr="00845394">
        <w:rPr>
          <w:rFonts w:cstheme="majorBidi"/>
          <w:szCs w:val="24"/>
        </w:rPr>
        <w:tab/>
        <w:t xml:space="preserve">The documents will be made publicly available for this meeting. </w:t>
      </w:r>
      <w:r w:rsidRPr="00845394">
        <w:rPr>
          <w:rFonts w:cstheme="majorBidi"/>
          <w:szCs w:val="24"/>
          <w:lang w:val="en-US"/>
        </w:rPr>
        <w:t>In preparing documents, please use the basic template for the FG documents available from the Focus Group web page. Participants shall submit input documents to FG DFS in electronic format to TSB as follows:</w:t>
      </w:r>
    </w:p>
    <w:p w:rsidR="00F10549" w:rsidRPr="00845394" w:rsidRDefault="00F10549" w:rsidP="00D97119">
      <w:pPr>
        <w:tabs>
          <w:tab w:val="left" w:pos="1418"/>
          <w:tab w:val="left" w:pos="1702"/>
          <w:tab w:val="left" w:pos="2160"/>
        </w:tabs>
        <w:spacing w:before="0"/>
        <w:ind w:right="91"/>
        <w:rPr>
          <w:rFonts w:cstheme="majorBidi"/>
          <w:szCs w:val="24"/>
          <w:lang w:val="en-US"/>
        </w:rPr>
      </w:pPr>
    </w:p>
    <w:p w:rsidR="00845394" w:rsidRPr="00845394" w:rsidRDefault="00845394" w:rsidP="00D97119">
      <w:pPr>
        <w:tabs>
          <w:tab w:val="left" w:pos="1418"/>
          <w:tab w:val="left" w:pos="1702"/>
          <w:tab w:val="left" w:pos="2160"/>
        </w:tabs>
        <w:spacing w:before="0"/>
        <w:ind w:right="91"/>
        <w:rPr>
          <w:rFonts w:cstheme="majorBidi"/>
          <w:szCs w:val="24"/>
          <w:lang w:val="en-US"/>
        </w:rPr>
      </w:pPr>
      <w:r w:rsidRPr="00845394">
        <w:rPr>
          <w:rFonts w:cstheme="majorBidi"/>
          <w:szCs w:val="24"/>
          <w:lang w:val="en-US"/>
        </w:rPr>
        <w:t>-</w:t>
      </w:r>
      <w:r w:rsidRPr="00845394">
        <w:rPr>
          <w:rFonts w:cstheme="majorBidi"/>
          <w:szCs w:val="24"/>
          <w:lang w:val="en-US"/>
        </w:rPr>
        <w:tab/>
        <w:t xml:space="preserve">contact TSB at </w:t>
      </w:r>
      <w:hyperlink r:id="rId14" w:history="1">
        <w:r w:rsidRPr="00845394">
          <w:rPr>
            <w:rStyle w:val="Hyperlink"/>
            <w:rFonts w:cstheme="majorBidi"/>
            <w:szCs w:val="24"/>
            <w:lang w:val="en-US"/>
          </w:rPr>
          <w:t>tsbfgdfs@itu.int</w:t>
        </w:r>
      </w:hyperlink>
      <w:r w:rsidRPr="00845394">
        <w:rPr>
          <w:rFonts w:cstheme="majorBidi"/>
          <w:szCs w:val="24"/>
          <w:lang w:val="en-US"/>
        </w:rPr>
        <w:t xml:space="preserve"> to receive a number (nnnn) for each document</w:t>
      </w:r>
    </w:p>
    <w:p w:rsidR="00845394" w:rsidRPr="00845394" w:rsidRDefault="00845394" w:rsidP="00D97119">
      <w:pPr>
        <w:tabs>
          <w:tab w:val="clear" w:pos="794"/>
          <w:tab w:val="left" w:pos="851"/>
          <w:tab w:val="left" w:pos="1418"/>
          <w:tab w:val="left" w:pos="1702"/>
          <w:tab w:val="left" w:pos="2160"/>
        </w:tabs>
        <w:spacing w:before="0"/>
        <w:ind w:left="851" w:right="91" w:hanging="851"/>
        <w:rPr>
          <w:rFonts w:cstheme="majorBidi"/>
          <w:szCs w:val="24"/>
          <w:lang w:val="en-US"/>
        </w:rPr>
      </w:pPr>
      <w:r w:rsidRPr="00845394">
        <w:rPr>
          <w:rFonts w:cstheme="majorBidi"/>
          <w:szCs w:val="24"/>
          <w:lang w:val="en-US"/>
        </w:rPr>
        <w:t>-</w:t>
      </w:r>
      <w:r w:rsidRPr="00845394">
        <w:rPr>
          <w:rFonts w:cstheme="majorBidi"/>
          <w:szCs w:val="24"/>
          <w:lang w:val="en-US"/>
        </w:rPr>
        <w:tab/>
        <w:t>prepare documents with a file name as follows: dfs-i-nnnn (with the appropriate file extension)</w:t>
      </w:r>
    </w:p>
    <w:p w:rsidR="00845394" w:rsidRDefault="00845394" w:rsidP="00D97119">
      <w:pPr>
        <w:tabs>
          <w:tab w:val="clear" w:pos="794"/>
          <w:tab w:val="left" w:pos="851"/>
          <w:tab w:val="left" w:pos="1418"/>
          <w:tab w:val="left" w:pos="1702"/>
          <w:tab w:val="left" w:pos="2160"/>
        </w:tabs>
        <w:spacing w:before="0"/>
        <w:ind w:left="851" w:right="91" w:hanging="851"/>
        <w:rPr>
          <w:rFonts w:cstheme="majorBidi"/>
          <w:szCs w:val="24"/>
          <w:lang w:val="en-US"/>
        </w:rPr>
      </w:pPr>
      <w:r w:rsidRPr="00845394">
        <w:rPr>
          <w:rFonts w:cstheme="majorBidi"/>
          <w:szCs w:val="24"/>
          <w:lang w:val="en-US"/>
        </w:rPr>
        <w:t>-</w:t>
      </w:r>
      <w:r w:rsidRPr="00845394">
        <w:rPr>
          <w:rFonts w:cstheme="majorBidi"/>
          <w:szCs w:val="24"/>
          <w:lang w:val="en-US"/>
        </w:rPr>
        <w:tab/>
        <w:t xml:space="preserve">using an FTP client, upload the document to the document drop folder in the FG DFS FTP area, namely: </w:t>
      </w:r>
    </w:p>
    <w:p w:rsidR="00845394" w:rsidRDefault="00845394" w:rsidP="00D97119">
      <w:pPr>
        <w:tabs>
          <w:tab w:val="clear" w:pos="794"/>
          <w:tab w:val="left" w:pos="851"/>
          <w:tab w:val="left" w:pos="1418"/>
          <w:tab w:val="left" w:pos="1702"/>
          <w:tab w:val="left" w:pos="2160"/>
        </w:tabs>
        <w:spacing w:before="0"/>
        <w:ind w:left="851" w:right="91" w:hanging="851"/>
        <w:rPr>
          <w:rFonts w:cstheme="majorBidi"/>
          <w:szCs w:val="24"/>
          <w:lang w:val="en-US"/>
        </w:rPr>
      </w:pPr>
      <w:r w:rsidRPr="00845394">
        <w:rPr>
          <w:rFonts w:cstheme="majorBidi"/>
          <w:szCs w:val="24"/>
          <w:lang w:val="en-US"/>
        </w:rPr>
        <w:tab/>
      </w:r>
      <w:r w:rsidRPr="00845394">
        <w:rPr>
          <w:rFonts w:cstheme="majorBidi"/>
          <w:b/>
          <w:bCs/>
          <w:szCs w:val="24"/>
          <w:lang w:val="en-US"/>
        </w:rPr>
        <w:t>Host name:</w:t>
      </w:r>
      <w:r w:rsidRPr="00845394">
        <w:rPr>
          <w:rFonts w:cstheme="majorBidi"/>
          <w:szCs w:val="24"/>
          <w:lang w:val="en-US"/>
        </w:rPr>
        <w:t xml:space="preserve"> ifa.itu.int</w:t>
      </w:r>
    </w:p>
    <w:p w:rsidR="00845394" w:rsidRPr="00845394" w:rsidRDefault="00845394" w:rsidP="00D97119">
      <w:pPr>
        <w:tabs>
          <w:tab w:val="clear" w:pos="794"/>
          <w:tab w:val="left" w:pos="851"/>
          <w:tab w:val="left" w:pos="1418"/>
          <w:tab w:val="left" w:pos="1702"/>
          <w:tab w:val="left" w:pos="2160"/>
        </w:tabs>
        <w:spacing w:before="0"/>
        <w:ind w:left="851" w:right="91" w:hanging="851"/>
        <w:rPr>
          <w:rFonts w:cstheme="majorBidi"/>
          <w:szCs w:val="24"/>
          <w:lang w:val="en-US"/>
        </w:rPr>
      </w:pPr>
      <w:r w:rsidRPr="00845394">
        <w:rPr>
          <w:rFonts w:cstheme="majorBidi"/>
          <w:szCs w:val="24"/>
          <w:lang w:val="en-US"/>
        </w:rPr>
        <w:tab/>
      </w:r>
      <w:r w:rsidRPr="00845394">
        <w:rPr>
          <w:rFonts w:cstheme="majorBidi"/>
          <w:b/>
          <w:bCs/>
          <w:szCs w:val="24"/>
          <w:lang w:val="en-US"/>
        </w:rPr>
        <w:t>Path:</w:t>
      </w:r>
      <w:r w:rsidRPr="00845394">
        <w:rPr>
          <w:rFonts w:cstheme="majorBidi"/>
          <w:szCs w:val="24"/>
          <w:lang w:val="en-US"/>
        </w:rPr>
        <w:t xml:space="preserve"> /t/fg/dfs/docs/incoming</w:t>
      </w:r>
    </w:p>
    <w:p w:rsidR="00845394" w:rsidRPr="00845394" w:rsidRDefault="00845394" w:rsidP="00D97119">
      <w:pPr>
        <w:tabs>
          <w:tab w:val="left" w:pos="1418"/>
          <w:tab w:val="left" w:pos="1702"/>
          <w:tab w:val="left" w:pos="2160"/>
        </w:tabs>
        <w:ind w:right="92"/>
        <w:rPr>
          <w:rFonts w:eastAsia="Malgun Gothic" w:cstheme="majorBidi"/>
          <w:szCs w:val="24"/>
          <w:lang w:val="en-US"/>
        </w:rPr>
      </w:pPr>
      <w:r w:rsidRPr="00845394">
        <w:rPr>
          <w:rFonts w:eastAsia="Malgun Gothic" w:cstheme="majorBidi"/>
          <w:szCs w:val="24"/>
          <w:lang w:val="en-US"/>
        </w:rPr>
        <w:t xml:space="preserve">Note: contents of the document drop box can be read with a web browser at: </w:t>
      </w:r>
      <w:hyperlink r:id="rId15" w:history="1">
        <w:r w:rsidRPr="00845394">
          <w:rPr>
            <w:rStyle w:val="Hyperlink"/>
            <w:rFonts w:eastAsia="Malgun Gothic" w:cstheme="majorBidi"/>
            <w:szCs w:val="24"/>
            <w:lang w:val="en-US"/>
          </w:rPr>
          <w:t>http://ifa.itu.int/t/fg/dfs/docs/1412-gva/in/</w:t>
        </w:r>
      </w:hyperlink>
      <w:r w:rsidRPr="00845394">
        <w:rPr>
          <w:rFonts w:eastAsia="Malgun Gothic" w:cstheme="majorBidi"/>
          <w:szCs w:val="24"/>
          <w:lang w:val="en-US"/>
        </w:rPr>
        <w:t xml:space="preserve"> . </w:t>
      </w:r>
    </w:p>
    <w:p w:rsidR="00D97119" w:rsidRDefault="00845394" w:rsidP="00D97119">
      <w:pPr>
        <w:tabs>
          <w:tab w:val="left" w:pos="1418"/>
          <w:tab w:val="left" w:pos="1702"/>
          <w:tab w:val="left" w:pos="2160"/>
        </w:tabs>
        <w:ind w:right="92"/>
        <w:rPr>
          <w:rFonts w:eastAsia="Malgun Gothic" w:cstheme="majorBidi"/>
          <w:szCs w:val="24"/>
          <w:lang w:val="en-US"/>
        </w:rPr>
      </w:pPr>
      <w:r w:rsidRPr="00845394">
        <w:rPr>
          <w:rFonts w:eastAsia="Malgun Gothic" w:cstheme="majorBidi"/>
          <w:szCs w:val="24"/>
          <w:lang w:val="en-US"/>
        </w:rPr>
        <w:t>Documents will be processed by TSB and moved to the relevant read only folder.</w:t>
      </w:r>
    </w:p>
    <w:p w:rsidR="00845394" w:rsidRPr="00845394" w:rsidRDefault="00E4452F" w:rsidP="00D97119">
      <w:pPr>
        <w:tabs>
          <w:tab w:val="left" w:pos="1418"/>
          <w:tab w:val="left" w:pos="1702"/>
          <w:tab w:val="left" w:pos="2160"/>
        </w:tabs>
        <w:ind w:right="92"/>
        <w:rPr>
          <w:rFonts w:eastAsia="Malgun Gothic" w:cstheme="majorBidi"/>
          <w:szCs w:val="24"/>
          <w:lang w:val="en-US"/>
        </w:rPr>
      </w:pPr>
      <w:r>
        <w:rPr>
          <w:rFonts w:cstheme="majorBidi"/>
          <w:szCs w:val="24"/>
          <w:lang w:val="en-US" w:eastAsia="ja-JP"/>
        </w:rPr>
        <w:t>1</w:t>
      </w:r>
      <w:r w:rsidR="00705F9E">
        <w:rPr>
          <w:rFonts w:cstheme="majorBidi"/>
          <w:szCs w:val="24"/>
          <w:lang w:val="en-US" w:eastAsia="ja-JP"/>
        </w:rPr>
        <w:t>2</w:t>
      </w:r>
      <w:r w:rsidR="00845394" w:rsidRPr="00845394">
        <w:rPr>
          <w:rFonts w:cstheme="majorBidi"/>
          <w:szCs w:val="24"/>
          <w:lang w:val="en-US" w:eastAsia="ja-JP"/>
        </w:rPr>
        <w:tab/>
        <w:t>T</w:t>
      </w:r>
      <w:r w:rsidR="00845394" w:rsidRPr="00845394">
        <w:rPr>
          <w:rFonts w:eastAsia="Malgun Gothic" w:cstheme="majorBidi"/>
          <w:szCs w:val="24"/>
          <w:lang w:val="en-US"/>
        </w:rPr>
        <w:t>he deadline for document submission for this meeting is</w:t>
      </w:r>
      <w:r w:rsidR="00845394" w:rsidRPr="00845394">
        <w:rPr>
          <w:rFonts w:eastAsia="Malgun Gothic" w:cstheme="majorBidi"/>
          <w:b/>
          <w:bCs/>
          <w:szCs w:val="24"/>
          <w:lang w:val="en-US"/>
        </w:rPr>
        <w:t xml:space="preserve"> 22 November 2014</w:t>
      </w:r>
      <w:r w:rsidR="00845394" w:rsidRPr="00845394">
        <w:rPr>
          <w:rFonts w:eastAsia="Malgun Gothic" w:cstheme="majorBidi"/>
          <w:szCs w:val="24"/>
          <w:lang w:val="en-US"/>
        </w:rPr>
        <w:t>. Please note that this is a paperless meeting.</w:t>
      </w:r>
    </w:p>
    <w:p w:rsidR="00845394" w:rsidRPr="00845394" w:rsidRDefault="00845394" w:rsidP="00D97119">
      <w:pPr>
        <w:tabs>
          <w:tab w:val="left" w:pos="1418"/>
          <w:tab w:val="left" w:pos="1702"/>
          <w:tab w:val="left" w:pos="2160"/>
        </w:tabs>
        <w:ind w:right="92"/>
        <w:rPr>
          <w:rFonts w:eastAsia="Malgun Gothic" w:cstheme="majorBidi"/>
          <w:szCs w:val="24"/>
        </w:rPr>
      </w:pPr>
      <w:r w:rsidRPr="00845394">
        <w:rPr>
          <w:rFonts w:cstheme="majorBidi"/>
          <w:szCs w:val="24"/>
          <w:lang w:eastAsia="ja-JP"/>
        </w:rPr>
        <w:t>1</w:t>
      </w:r>
      <w:r w:rsidR="00705F9E">
        <w:rPr>
          <w:rFonts w:cstheme="majorBidi"/>
          <w:szCs w:val="24"/>
          <w:lang w:eastAsia="ja-JP"/>
        </w:rPr>
        <w:t>3</w:t>
      </w:r>
      <w:r w:rsidRPr="00845394">
        <w:rPr>
          <w:rFonts w:eastAsia="Malgun Gothic" w:cstheme="majorBidi"/>
          <w:szCs w:val="24"/>
        </w:rPr>
        <w:tab/>
        <w:t>Wireless LAN facilities are available for use by delegates in the ITU main conference room areas. Wired network access continues to be available in the ITU Montbrillant building. Detailed information is available on the ITU-T website (</w:t>
      </w:r>
      <w:hyperlink r:id="rId16" w:history="1">
        <w:r w:rsidRPr="00845394">
          <w:rPr>
            <w:rFonts w:eastAsia="Malgun Gothic" w:cstheme="majorBidi"/>
            <w:color w:val="0000FF"/>
            <w:szCs w:val="24"/>
            <w:u w:val="single"/>
          </w:rPr>
          <w:t>http://www.itu.int/ITU-T/edh/faqs-support.html</w:t>
        </w:r>
      </w:hyperlink>
      <w:r w:rsidRPr="00845394">
        <w:rPr>
          <w:rFonts w:eastAsia="Malgun Gothic" w:cstheme="majorBidi"/>
          <w:szCs w:val="24"/>
        </w:rPr>
        <w:t>).</w:t>
      </w:r>
    </w:p>
    <w:p w:rsidR="00845394" w:rsidRPr="00845394" w:rsidRDefault="00845394" w:rsidP="00D97119">
      <w:pPr>
        <w:tabs>
          <w:tab w:val="left" w:pos="1418"/>
          <w:tab w:val="left" w:pos="1702"/>
          <w:tab w:val="left" w:pos="2160"/>
        </w:tabs>
        <w:ind w:right="92"/>
        <w:rPr>
          <w:rFonts w:eastAsia="Malgun Gothic" w:cstheme="majorBidi"/>
          <w:szCs w:val="24"/>
        </w:rPr>
      </w:pPr>
      <w:r w:rsidRPr="00845394">
        <w:rPr>
          <w:rFonts w:cstheme="majorBidi"/>
          <w:szCs w:val="24"/>
          <w:lang w:eastAsia="ja-JP"/>
        </w:rPr>
        <w:t>1</w:t>
      </w:r>
      <w:r w:rsidR="00705F9E">
        <w:rPr>
          <w:rFonts w:cstheme="majorBidi"/>
          <w:szCs w:val="24"/>
          <w:lang w:eastAsia="ja-JP"/>
        </w:rPr>
        <w:t>4</w:t>
      </w:r>
      <w:r w:rsidRPr="00845394">
        <w:rPr>
          <w:rFonts w:eastAsia="Malgun Gothic" w:cstheme="majorBidi"/>
          <w:szCs w:val="24"/>
        </w:rPr>
        <w:tab/>
        <w:t xml:space="preserve">For your convenience, a hotel confirmation form is enclosed as </w:t>
      </w:r>
      <w:r w:rsidRPr="00845394">
        <w:rPr>
          <w:rFonts w:eastAsia="Malgun Gothic" w:cstheme="majorBidi"/>
          <w:b/>
          <w:szCs w:val="24"/>
        </w:rPr>
        <w:t>Annex </w:t>
      </w:r>
      <w:r w:rsidRPr="00845394">
        <w:rPr>
          <w:rFonts w:cstheme="majorBidi"/>
          <w:b/>
          <w:szCs w:val="24"/>
          <w:lang w:eastAsia="ja-JP"/>
        </w:rPr>
        <w:t>3</w:t>
      </w:r>
      <w:r w:rsidRPr="00845394">
        <w:rPr>
          <w:rFonts w:eastAsia="Malgun Gothic" w:cstheme="majorBidi"/>
          <w:szCs w:val="24"/>
        </w:rPr>
        <w:t xml:space="preserve"> (see </w:t>
      </w:r>
      <w:hyperlink r:id="rId17" w:history="1">
        <w:r w:rsidRPr="00845394">
          <w:rPr>
            <w:rFonts w:eastAsia="Malgun Gothic" w:cstheme="majorBidi"/>
            <w:color w:val="0000FF"/>
            <w:szCs w:val="24"/>
            <w:u w:val="single"/>
          </w:rPr>
          <w:t>http://www.itu.int/travel/</w:t>
        </w:r>
      </w:hyperlink>
      <w:r w:rsidRPr="00845394">
        <w:rPr>
          <w:rFonts w:eastAsia="Malgun Gothic" w:cstheme="majorBidi"/>
          <w:szCs w:val="24"/>
        </w:rPr>
        <w:t xml:space="preserve"> for the list of hotels).</w:t>
      </w:r>
    </w:p>
    <w:p w:rsidR="00845394" w:rsidRPr="00845394" w:rsidRDefault="00845394" w:rsidP="00D97119">
      <w:pPr>
        <w:rPr>
          <w:rFonts w:eastAsia="Malgun Gothic" w:cstheme="majorBidi"/>
          <w:b/>
          <w:bCs/>
          <w:i/>
          <w:iCs/>
          <w:szCs w:val="24"/>
        </w:rPr>
      </w:pPr>
      <w:r w:rsidRPr="00845394">
        <w:rPr>
          <w:rFonts w:eastAsia="Malgun Gothic" w:cstheme="majorBidi"/>
          <w:szCs w:val="24"/>
        </w:rPr>
        <w:lastRenderedPageBreak/>
        <w:t>1</w:t>
      </w:r>
      <w:r w:rsidR="00705F9E">
        <w:rPr>
          <w:rFonts w:eastAsia="Malgun Gothic" w:cstheme="majorBidi"/>
          <w:szCs w:val="24"/>
        </w:rPr>
        <w:t>5</w:t>
      </w:r>
      <w:r w:rsidRPr="00845394">
        <w:rPr>
          <w:rFonts w:eastAsia="Malgun Gothic" w:cstheme="majorBidi"/>
          <w:szCs w:val="24"/>
        </w:rPr>
        <w:tab/>
        <w:t xml:space="preserve">To enable TSB to make the necessary arrangements concerning the organization of the Focus Group meeting and workshop, </w:t>
      </w:r>
      <w:r w:rsidRPr="00845394">
        <w:rPr>
          <w:rFonts w:cstheme="majorBidi"/>
          <w:szCs w:val="24"/>
          <w:lang w:eastAsia="ja-JP"/>
        </w:rPr>
        <w:t>please</w:t>
      </w:r>
      <w:r w:rsidRPr="00845394">
        <w:rPr>
          <w:rFonts w:eastAsia="Malgun Gothic" w:cstheme="majorBidi"/>
          <w:szCs w:val="24"/>
        </w:rPr>
        <w:t xml:space="preserve"> register via the online form as soon as possible, but </w:t>
      </w:r>
      <w:r w:rsidRPr="00845394">
        <w:rPr>
          <w:rFonts w:eastAsia="Malgun Gothic" w:cstheme="majorBidi"/>
          <w:b/>
          <w:szCs w:val="24"/>
        </w:rPr>
        <w:t xml:space="preserve">not later than </w:t>
      </w:r>
      <w:r w:rsidRPr="00845394">
        <w:rPr>
          <w:rFonts w:eastAsia="Malgun Gothic" w:cstheme="majorBidi"/>
          <w:b/>
          <w:bCs/>
          <w:szCs w:val="24"/>
          <w:lang w:val="en-US"/>
        </w:rPr>
        <w:t>24 November 2014</w:t>
      </w:r>
      <w:r w:rsidRPr="00845394">
        <w:rPr>
          <w:rFonts w:eastAsia="Malgun Gothic" w:cstheme="majorBidi"/>
          <w:szCs w:val="24"/>
        </w:rPr>
        <w:t xml:space="preserve">.  </w:t>
      </w:r>
      <w:r w:rsidRPr="00845394">
        <w:rPr>
          <w:rFonts w:eastAsia="Malgun Gothic" w:cstheme="majorBidi"/>
          <w:b/>
          <w:bCs/>
          <w:szCs w:val="24"/>
        </w:rPr>
        <w:t xml:space="preserve">Please note that pre-registration of participants to the meeting is carried out exclusively </w:t>
      </w:r>
      <w:r w:rsidRPr="00845394">
        <w:rPr>
          <w:rFonts w:eastAsia="Malgun Gothic" w:cstheme="majorBidi"/>
          <w:b/>
          <w:bCs/>
          <w:i/>
          <w:iCs/>
          <w:szCs w:val="24"/>
        </w:rPr>
        <w:t>online</w:t>
      </w:r>
      <w:r w:rsidR="007F10E7">
        <w:rPr>
          <w:rFonts w:eastAsia="Malgun Gothic" w:cstheme="majorBidi"/>
          <w:b/>
          <w:bCs/>
          <w:i/>
          <w:iCs/>
          <w:szCs w:val="24"/>
        </w:rPr>
        <w:t xml:space="preserve"> </w:t>
      </w:r>
      <w:r w:rsidR="007F10E7" w:rsidRPr="007F10E7">
        <w:rPr>
          <w:rFonts w:eastAsia="Malgun Gothic" w:cstheme="majorBidi"/>
          <w:bCs/>
          <w:i/>
          <w:iCs/>
          <w:szCs w:val="24"/>
        </w:rPr>
        <w:t>at</w:t>
      </w:r>
      <w:r w:rsidR="007F10E7">
        <w:rPr>
          <w:rFonts w:eastAsia="Malgun Gothic" w:cstheme="majorBidi"/>
          <w:b/>
          <w:bCs/>
          <w:i/>
          <w:iCs/>
          <w:szCs w:val="24"/>
        </w:rPr>
        <w:t xml:space="preserve"> </w:t>
      </w:r>
      <w:hyperlink r:id="rId18" w:history="1">
        <w:r w:rsidR="007F10E7" w:rsidRPr="00BC337F">
          <w:rPr>
            <w:rStyle w:val="Hyperlink"/>
            <w:rFonts w:eastAsia="Malgun Gothic" w:cstheme="majorBidi"/>
            <w:szCs w:val="24"/>
          </w:rPr>
          <w:t>http://www.itu.int/en/ITU-T/focusgroups/dfs/Pages/default.aspx</w:t>
        </w:r>
      </w:hyperlink>
      <w:r w:rsidRPr="00845394">
        <w:rPr>
          <w:rFonts w:eastAsia="Malgun Gothic" w:cstheme="majorBidi"/>
          <w:b/>
          <w:bCs/>
          <w:i/>
          <w:iCs/>
          <w:szCs w:val="24"/>
        </w:rPr>
        <w:t xml:space="preserve">. </w:t>
      </w:r>
      <w:r w:rsidRPr="00845394">
        <w:rPr>
          <w:rFonts w:eastAsia="Malgun Gothic" w:cstheme="majorBidi"/>
          <w:szCs w:val="24"/>
        </w:rPr>
        <w:t>To easily provide you with any updates concerning the meeting planning, please fill in your valid e-mail address on your registration form.</w:t>
      </w:r>
      <w:r w:rsidRPr="00845394">
        <w:rPr>
          <w:rFonts w:eastAsia="Malgun Gothic" w:cstheme="majorBidi"/>
          <w:b/>
          <w:bCs/>
          <w:i/>
          <w:iCs/>
          <w:szCs w:val="24"/>
        </w:rPr>
        <w:t xml:space="preserve"> </w:t>
      </w:r>
    </w:p>
    <w:p w:rsidR="00845394" w:rsidRPr="00845394" w:rsidRDefault="00845394" w:rsidP="00D97119">
      <w:pPr>
        <w:rPr>
          <w:rFonts w:cstheme="majorBidi"/>
          <w:szCs w:val="24"/>
          <w:lang w:val="en-US"/>
        </w:rPr>
      </w:pPr>
      <w:r w:rsidRPr="00845394">
        <w:rPr>
          <w:rFonts w:cstheme="majorBidi"/>
          <w:szCs w:val="24"/>
          <w:lang w:eastAsia="ja-JP"/>
        </w:rPr>
        <w:t>1</w:t>
      </w:r>
      <w:r w:rsidR="00705F9E">
        <w:rPr>
          <w:rFonts w:cstheme="majorBidi"/>
          <w:szCs w:val="24"/>
          <w:lang w:eastAsia="ja-JP"/>
        </w:rPr>
        <w:t>6</w:t>
      </w:r>
      <w:r w:rsidRPr="00845394">
        <w:rPr>
          <w:rFonts w:eastAsia="Malgun Gothic" w:cstheme="majorBidi"/>
          <w:szCs w:val="24"/>
        </w:rPr>
        <w:tab/>
        <w:t xml:space="preserve">We would remind you </w:t>
      </w:r>
      <w:r w:rsidRPr="00845394">
        <w:rPr>
          <w:rFonts w:cstheme="majorBidi"/>
          <w:szCs w:val="24"/>
        </w:rPr>
        <w:t xml:space="preserve">that citizens of some countries are required to obtain a visa in order to enter and spend time in Switzerland. </w:t>
      </w:r>
      <w:r w:rsidRPr="00845394">
        <w:rPr>
          <w:rFonts w:cstheme="majorBidi"/>
          <w:b/>
          <w:bCs/>
          <w:szCs w:val="24"/>
        </w:rPr>
        <w:t xml:space="preserve">The visa must be requested at least </w:t>
      </w:r>
      <w:r w:rsidR="00D97119">
        <w:rPr>
          <w:rFonts w:cstheme="majorBidi"/>
          <w:b/>
          <w:bCs/>
          <w:szCs w:val="24"/>
        </w:rPr>
        <w:t xml:space="preserve">four </w:t>
      </w:r>
      <w:r w:rsidRPr="00845394">
        <w:rPr>
          <w:rFonts w:cstheme="majorBidi"/>
          <w:b/>
          <w:bCs/>
          <w:szCs w:val="24"/>
        </w:rPr>
        <w:t>(</w:t>
      </w:r>
      <w:r w:rsidR="00D97119">
        <w:rPr>
          <w:rFonts w:cstheme="majorBidi"/>
          <w:b/>
          <w:bCs/>
          <w:szCs w:val="24"/>
        </w:rPr>
        <w:t>4</w:t>
      </w:r>
      <w:r w:rsidRPr="00845394">
        <w:rPr>
          <w:rFonts w:cstheme="majorBidi"/>
          <w:b/>
          <w:bCs/>
          <w:szCs w:val="24"/>
        </w:rPr>
        <w:t>) weeks before the date of beginning of the meeting</w:t>
      </w:r>
      <w:r w:rsidRPr="00845394">
        <w:rPr>
          <w:rFonts w:cstheme="majorBidi"/>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D97119">
        <w:rPr>
          <w:rFonts w:cstheme="majorBidi"/>
          <w:b/>
          <w:bCs/>
          <w:szCs w:val="24"/>
        </w:rPr>
        <w:t>four</w:t>
      </w:r>
      <w:r w:rsidRPr="00845394">
        <w:rPr>
          <w:rFonts w:cstheme="majorBidi"/>
          <w:b/>
          <w:bCs/>
          <w:szCs w:val="24"/>
        </w:rPr>
        <w:t xml:space="preserve"> </w:t>
      </w:r>
      <w:r w:rsidRPr="00845394">
        <w:rPr>
          <w:rFonts w:cstheme="majorBidi"/>
          <w:szCs w:val="24"/>
        </w:rPr>
        <w:t xml:space="preserve">weeks. </w:t>
      </w:r>
      <w:r w:rsidRPr="00845394">
        <w:rPr>
          <w:rFonts w:cstheme="majorBidi"/>
          <w:szCs w:val="24"/>
          <w:lang w:val="en-US"/>
        </w:rPr>
        <w:t>Any such request must specify the name and functions, date of birth, number, dates of issue and expiry of passport of the individual(s) for whom the visa(s) is/are requested</w:t>
      </w:r>
      <w:r w:rsidRPr="00845394">
        <w:rPr>
          <w:rStyle w:val="FootnoteReference"/>
          <w:rFonts w:cstheme="majorBidi"/>
          <w:szCs w:val="24"/>
          <w:lang w:val="en-US"/>
        </w:rPr>
        <w:footnoteReference w:id="1"/>
      </w:r>
      <w:r w:rsidRPr="00845394">
        <w:rPr>
          <w:rFonts w:cstheme="majorBidi"/>
          <w:szCs w:val="24"/>
          <w:lang w:val="en-US"/>
        </w:rPr>
        <w:t xml:space="preserve"> and be accompanied by a copy of the notification of confirmation of registration approved for the ITU-T meeting in question, and must be sent to TSB by fax (+41 22 730 5853) or e-mail (</w:t>
      </w:r>
      <w:hyperlink r:id="rId19" w:history="1">
        <w:r w:rsidRPr="00845394">
          <w:rPr>
            <w:rStyle w:val="Hyperlink"/>
            <w:rFonts w:cstheme="majorBidi"/>
            <w:szCs w:val="24"/>
            <w:lang w:val="en-US"/>
          </w:rPr>
          <w:t>tsbreg@itu.int</w:t>
        </w:r>
      </w:hyperlink>
      <w:r w:rsidRPr="00845394">
        <w:rPr>
          <w:rFonts w:cstheme="majorBidi"/>
          <w:szCs w:val="24"/>
          <w:lang w:val="en-US"/>
        </w:rPr>
        <w:t xml:space="preserve">) bearing the words </w:t>
      </w:r>
      <w:r w:rsidRPr="00845394">
        <w:rPr>
          <w:rFonts w:cstheme="majorBidi"/>
          <w:b/>
          <w:bCs/>
          <w:szCs w:val="24"/>
          <w:lang w:val="en-US"/>
        </w:rPr>
        <w:t>“visa request”</w:t>
      </w:r>
      <w:r w:rsidRPr="00845394">
        <w:rPr>
          <w:rFonts w:cstheme="majorBidi"/>
          <w:szCs w:val="24"/>
          <w:lang w:val="en-US"/>
        </w:rPr>
        <w:t xml:space="preserve">. </w:t>
      </w:r>
    </w:p>
    <w:p w:rsidR="00845394" w:rsidRPr="00845394" w:rsidRDefault="00845394" w:rsidP="00D97119">
      <w:pPr>
        <w:tabs>
          <w:tab w:val="left" w:pos="1418"/>
          <w:tab w:val="left" w:pos="1702"/>
          <w:tab w:val="left" w:pos="2160"/>
        </w:tabs>
        <w:ind w:right="92"/>
        <w:rPr>
          <w:rFonts w:eastAsia="Malgun Gothic" w:cstheme="majorBidi"/>
          <w:b/>
          <w:bCs/>
          <w:szCs w:val="24"/>
        </w:rPr>
      </w:pPr>
      <w:r w:rsidRPr="00845394">
        <w:rPr>
          <w:rFonts w:eastAsia="Malgun Gothic" w:cstheme="majorBidi"/>
          <w:b/>
          <w:bCs/>
          <w:szCs w:val="24"/>
          <w:u w:val="single"/>
        </w:rPr>
        <w:t>Please also note that ITU can assist only representatives of ITU Member States, ITU Sector Members, ITU Associates or Academic Institutions</w:t>
      </w:r>
      <w:r w:rsidRPr="00845394">
        <w:rPr>
          <w:rFonts w:eastAsia="Malgun Gothic" w:cstheme="majorBidi"/>
          <w:b/>
          <w:bCs/>
          <w:szCs w:val="24"/>
        </w:rPr>
        <w:t>.</w:t>
      </w:r>
    </w:p>
    <w:p w:rsidR="00845394" w:rsidRPr="00845394" w:rsidRDefault="00845394" w:rsidP="00D97119">
      <w:pPr>
        <w:tabs>
          <w:tab w:val="left" w:pos="1418"/>
          <w:tab w:val="left" w:pos="1702"/>
          <w:tab w:val="left" w:pos="2160"/>
        </w:tabs>
        <w:spacing w:before="0"/>
        <w:ind w:right="92"/>
        <w:rPr>
          <w:rFonts w:eastAsia="Malgun Gothic" w:cstheme="majorBidi"/>
          <w:b/>
          <w:bCs/>
          <w:szCs w:val="24"/>
        </w:rPr>
      </w:pPr>
    </w:p>
    <w:p w:rsidR="00CE3A3D" w:rsidRDefault="00845394" w:rsidP="00CE3A3D">
      <w:pPr>
        <w:keepNext/>
        <w:spacing w:before="480"/>
        <w:ind w:right="92"/>
        <w:rPr>
          <w:rFonts w:cstheme="majorBidi"/>
          <w:szCs w:val="24"/>
        </w:rPr>
      </w:pPr>
      <w:r w:rsidRPr="00845394">
        <w:rPr>
          <w:rFonts w:cstheme="majorBidi"/>
          <w:szCs w:val="24"/>
        </w:rPr>
        <w:t>Yours faithfully,</w:t>
      </w:r>
    </w:p>
    <w:p w:rsidR="00CE3A3D" w:rsidRDefault="00CE3A3D" w:rsidP="00CE3A3D">
      <w:pPr>
        <w:keepNext/>
        <w:spacing w:before="480"/>
        <w:ind w:right="92"/>
        <w:rPr>
          <w:rFonts w:cstheme="majorBidi"/>
          <w:szCs w:val="24"/>
        </w:rPr>
      </w:pPr>
    </w:p>
    <w:p w:rsidR="00845394" w:rsidRPr="00845394" w:rsidRDefault="00845394" w:rsidP="00CE3A3D">
      <w:pPr>
        <w:keepNext/>
        <w:spacing w:before="480"/>
        <w:ind w:right="92"/>
        <w:rPr>
          <w:rFonts w:cstheme="majorBidi"/>
          <w:szCs w:val="24"/>
        </w:rPr>
      </w:pPr>
      <w:r w:rsidRPr="00845394">
        <w:rPr>
          <w:rFonts w:cstheme="majorBidi"/>
          <w:szCs w:val="24"/>
          <w:lang w:val="en-US"/>
        </w:rPr>
        <w:t>Malcolm Johnson</w:t>
      </w:r>
      <w:r w:rsidRPr="00845394">
        <w:rPr>
          <w:rFonts w:cstheme="majorBidi"/>
          <w:szCs w:val="24"/>
        </w:rPr>
        <w:br/>
        <w:t>Director of the Telecommunication</w:t>
      </w:r>
      <w:r w:rsidRPr="00845394">
        <w:rPr>
          <w:rFonts w:cstheme="majorBidi"/>
          <w:szCs w:val="24"/>
        </w:rPr>
        <w:br/>
        <w:t>Standardization Bureau</w:t>
      </w:r>
    </w:p>
    <w:p w:rsidR="00845394" w:rsidRDefault="00845394" w:rsidP="00D97119">
      <w:pPr>
        <w:rPr>
          <w:rFonts w:cstheme="majorBidi"/>
          <w:szCs w:val="24"/>
        </w:rPr>
      </w:pPr>
    </w:p>
    <w:p w:rsidR="00CE3A3D" w:rsidRDefault="00CE3A3D" w:rsidP="00D97119">
      <w:pPr>
        <w:rPr>
          <w:rFonts w:cstheme="majorBidi"/>
          <w:szCs w:val="24"/>
        </w:rPr>
      </w:pPr>
    </w:p>
    <w:p w:rsidR="00CE3A3D" w:rsidRPr="00CE3A3D" w:rsidRDefault="00CE3A3D" w:rsidP="00D97119">
      <w:pPr>
        <w:rPr>
          <w:rFonts w:cstheme="majorBidi"/>
          <w:b/>
          <w:bCs/>
          <w:szCs w:val="24"/>
        </w:rPr>
      </w:pPr>
      <w:r>
        <w:rPr>
          <w:rFonts w:cstheme="majorBidi"/>
          <w:b/>
          <w:bCs/>
          <w:szCs w:val="24"/>
        </w:rPr>
        <w:t xml:space="preserve">Annexes: 2 </w:t>
      </w:r>
    </w:p>
    <w:p w:rsidR="00D97119" w:rsidRDefault="00845394" w:rsidP="00D97119">
      <w:pPr>
        <w:tabs>
          <w:tab w:val="clear" w:pos="794"/>
          <w:tab w:val="clear" w:pos="1191"/>
          <w:tab w:val="clear" w:pos="1588"/>
          <w:tab w:val="clear" w:pos="1985"/>
        </w:tabs>
        <w:overflowPunct/>
        <w:autoSpaceDE/>
        <w:autoSpaceDN/>
        <w:adjustRightInd/>
        <w:spacing w:before="0"/>
        <w:jc w:val="center"/>
        <w:textAlignment w:val="auto"/>
        <w:rPr>
          <w:rFonts w:cstheme="majorBidi"/>
          <w:szCs w:val="24"/>
        </w:rPr>
      </w:pPr>
      <w:r w:rsidRPr="00845394">
        <w:rPr>
          <w:rFonts w:cstheme="majorBidi"/>
          <w:szCs w:val="24"/>
        </w:rPr>
        <w:br w:type="page"/>
      </w:r>
      <w:r w:rsidRPr="00845394">
        <w:rPr>
          <w:rFonts w:cstheme="majorBidi"/>
          <w:szCs w:val="24"/>
        </w:rPr>
        <w:lastRenderedPageBreak/>
        <w:t>ANNEX 1</w:t>
      </w:r>
    </w:p>
    <w:p w:rsidR="00845394" w:rsidRPr="00845394" w:rsidRDefault="00845394" w:rsidP="00D97119">
      <w:pPr>
        <w:tabs>
          <w:tab w:val="clear" w:pos="794"/>
          <w:tab w:val="clear" w:pos="1191"/>
          <w:tab w:val="clear" w:pos="1588"/>
          <w:tab w:val="clear" w:pos="1985"/>
        </w:tabs>
        <w:overflowPunct/>
        <w:autoSpaceDE/>
        <w:autoSpaceDN/>
        <w:adjustRightInd/>
        <w:spacing w:before="0"/>
        <w:jc w:val="center"/>
        <w:textAlignment w:val="auto"/>
        <w:rPr>
          <w:rFonts w:cstheme="majorBidi"/>
          <w:szCs w:val="24"/>
        </w:rPr>
      </w:pPr>
      <w:r w:rsidRPr="00845394">
        <w:rPr>
          <w:rFonts w:cstheme="majorBidi"/>
          <w:szCs w:val="24"/>
        </w:rPr>
        <w:t xml:space="preserve">(to TSB Circular </w:t>
      </w:r>
      <w:r w:rsidR="00D97119">
        <w:rPr>
          <w:rFonts w:cstheme="majorBidi"/>
          <w:szCs w:val="24"/>
        </w:rPr>
        <w:t>114</w:t>
      </w:r>
      <w:r w:rsidRPr="00845394">
        <w:rPr>
          <w:rFonts w:cstheme="majorBidi"/>
          <w:szCs w:val="24"/>
        </w:rPr>
        <w:t>)</w:t>
      </w:r>
    </w:p>
    <w:p w:rsidR="00845394" w:rsidRPr="00845394" w:rsidRDefault="00845394" w:rsidP="00D97119">
      <w:pPr>
        <w:rPr>
          <w:rFonts w:cstheme="majorBidi"/>
          <w:szCs w:val="24"/>
        </w:rPr>
      </w:pPr>
    </w:p>
    <w:p w:rsidR="00845394" w:rsidRPr="00845394" w:rsidRDefault="00845394" w:rsidP="00D97119">
      <w:pPr>
        <w:rPr>
          <w:rFonts w:cstheme="majorBidi"/>
          <w:b/>
          <w:bCs/>
          <w:szCs w:val="24"/>
        </w:rPr>
      </w:pPr>
      <w:r w:rsidRPr="00845394">
        <w:rPr>
          <w:rFonts w:cstheme="majorBidi"/>
          <w:b/>
          <w:bCs/>
          <w:szCs w:val="24"/>
        </w:rPr>
        <w:t xml:space="preserve">Terms of Reference of the Focus Group </w:t>
      </w:r>
      <w:r w:rsidR="00D97119">
        <w:rPr>
          <w:rFonts w:cstheme="majorBidi"/>
          <w:b/>
          <w:bCs/>
          <w:szCs w:val="24"/>
        </w:rPr>
        <w:t xml:space="preserve">on </w:t>
      </w:r>
      <w:r w:rsidRPr="00845394">
        <w:rPr>
          <w:rFonts w:cstheme="majorBidi"/>
          <w:b/>
          <w:bCs/>
          <w:szCs w:val="24"/>
        </w:rPr>
        <w:t>Digital Financial Services</w:t>
      </w:r>
    </w:p>
    <w:p w:rsidR="00845394" w:rsidRPr="00845394" w:rsidRDefault="00845394" w:rsidP="00D97119">
      <w:pPr>
        <w:rPr>
          <w:rFonts w:cstheme="majorBidi"/>
          <w:b/>
          <w:bCs/>
          <w:szCs w:val="24"/>
        </w:rPr>
      </w:pPr>
      <w:r w:rsidRPr="00845394">
        <w:rPr>
          <w:rFonts w:cstheme="majorBidi"/>
          <w:b/>
          <w:bCs/>
          <w:szCs w:val="24"/>
        </w:rPr>
        <w:t>1.</w:t>
      </w:r>
      <w:r w:rsidRPr="00845394">
        <w:rPr>
          <w:rFonts w:cstheme="majorBidi"/>
          <w:b/>
          <w:bCs/>
          <w:szCs w:val="24"/>
        </w:rPr>
        <w:tab/>
        <w:t>Rationale and Scope</w:t>
      </w:r>
    </w:p>
    <w:p w:rsidR="00845394" w:rsidRPr="00845394" w:rsidRDefault="00845394" w:rsidP="00D97119">
      <w:pPr>
        <w:rPr>
          <w:rFonts w:cstheme="majorBidi"/>
          <w:szCs w:val="24"/>
        </w:rPr>
      </w:pPr>
      <w:r w:rsidRPr="00845394">
        <w:rPr>
          <w:rFonts w:cstheme="majorBidi"/>
          <w:szCs w:val="24"/>
        </w:rPr>
        <w:t>Globally, more than 2.5 billion adults do not have a formal bank account, most of them in developing economies. Low levels of financial inclusion represent a barrier to socio-economic development in developing countries. Mobile money can be a game changer for people of limited income and an enabler for financial inclusion in developing countries. As indicated by a growing body of evidence, i</w:t>
      </w:r>
      <w:r w:rsidRPr="00845394">
        <w:rPr>
          <w:rStyle w:val="A4"/>
          <w:rFonts w:cstheme="majorBidi"/>
          <w:szCs w:val="24"/>
        </w:rPr>
        <w:t xml:space="preserve">ncreasing the poor’s access to high quality, affordable financial services will accelerate the well-being of households, communities, and economies in the developing world. One of the most promising ways to deliver these financial services to the poor – profitably and at scale – is by using digital payment platforms. </w:t>
      </w:r>
      <w:r w:rsidRPr="00845394">
        <w:rPr>
          <w:rFonts w:cstheme="majorBidi"/>
          <w:szCs w:val="24"/>
        </w:rPr>
        <w:t xml:space="preserve">The recent growth of digital financial services has allowed millions of people who are otherwise excluded from the formal financial system to perform financial transactions relatively cheaply, securely, and reliably. </w:t>
      </w:r>
    </w:p>
    <w:p w:rsidR="00845394" w:rsidRPr="00845394" w:rsidRDefault="00845394" w:rsidP="00D97119">
      <w:pPr>
        <w:rPr>
          <w:rFonts w:cstheme="majorBidi"/>
          <w:szCs w:val="24"/>
        </w:rPr>
      </w:pPr>
      <w:r w:rsidRPr="00845394">
        <w:rPr>
          <w:rFonts w:cstheme="majorBidi"/>
          <w:szCs w:val="24"/>
        </w:rPr>
        <w:t>Digital financial services can expand the delivery of basic financial services to the poor through new technologies like mobile phones, electronic money and new channels such as retail agents. These channels can drastically drive down costs for customers and service providers, opening the door to remote and underserved populations. Smartphones coupled with innovations in technologies such as near field communications (NFC) and cloud computing is also changing the landscape of this field.</w:t>
      </w:r>
    </w:p>
    <w:p w:rsidR="00845394" w:rsidRPr="00845394" w:rsidRDefault="00845394" w:rsidP="00D97119">
      <w:pPr>
        <w:rPr>
          <w:rFonts w:cstheme="majorBidi"/>
          <w:szCs w:val="24"/>
        </w:rPr>
      </w:pPr>
      <w:r w:rsidRPr="00845394">
        <w:rPr>
          <w:rFonts w:cstheme="majorBidi"/>
          <w:szCs w:val="24"/>
        </w:rPr>
        <w:t xml:space="preserve">The Focus Group activities will be focused on innovations in payments and delivery of financial services via mobile technologies occurring in both developed and developing countries with a particular focus on the latter. Innovation in digital financial services in developed countries can provide examples of products, services and best practices which could find a meaningful and effective application to promote financial inclusion in emerging markets, particularly, when the use of such products and services is consolidated and standardized. </w:t>
      </w:r>
    </w:p>
    <w:p w:rsidR="00845394" w:rsidRPr="00845394" w:rsidRDefault="00845394" w:rsidP="00D97119">
      <w:pPr>
        <w:rPr>
          <w:rFonts w:cstheme="majorBidi"/>
          <w:b/>
          <w:bCs/>
          <w:szCs w:val="24"/>
        </w:rPr>
      </w:pPr>
      <w:r w:rsidRPr="00845394">
        <w:rPr>
          <w:rFonts w:cstheme="majorBidi"/>
          <w:b/>
          <w:bCs/>
          <w:szCs w:val="24"/>
        </w:rPr>
        <w:t>2.</w:t>
      </w:r>
      <w:r w:rsidRPr="00845394">
        <w:rPr>
          <w:rFonts w:cstheme="majorBidi"/>
          <w:b/>
          <w:bCs/>
          <w:szCs w:val="24"/>
        </w:rPr>
        <w:tab/>
        <w:t>ITU-T Focus Group on Digital Financial Services (FG DFS)</w:t>
      </w:r>
    </w:p>
    <w:p w:rsidR="00845394" w:rsidRPr="00845394" w:rsidRDefault="00845394" w:rsidP="00D97119">
      <w:pPr>
        <w:rPr>
          <w:rFonts w:cstheme="majorBidi"/>
          <w:szCs w:val="24"/>
        </w:rPr>
      </w:pPr>
      <w:r w:rsidRPr="00845394">
        <w:rPr>
          <w:rFonts w:cstheme="majorBidi"/>
          <w:szCs w:val="24"/>
        </w:rPr>
        <w:t xml:space="preserve">The ITU-T FG DFS will analyse ICT solutions and projects that promote financial inclusion, secure mobile financial services and emerging technologies in the field that can be standardized by ITU-T study groups and will identify best practices which could facilitate the implementation of such solutions on a global scale. </w:t>
      </w:r>
    </w:p>
    <w:p w:rsidR="00845394" w:rsidRPr="00845394" w:rsidRDefault="00845394" w:rsidP="00D97119">
      <w:pPr>
        <w:rPr>
          <w:rFonts w:cstheme="majorBidi"/>
          <w:szCs w:val="24"/>
        </w:rPr>
      </w:pPr>
      <w:r w:rsidRPr="00845394">
        <w:rPr>
          <w:rFonts w:cstheme="majorBidi"/>
          <w:szCs w:val="24"/>
        </w:rPr>
        <w:t>It will develop a standardization roadmap for interoperable digital financial services taking into consideration the activities currently undertaken by the various standards developing organizations (SDOs) and forums and a regulatory toolkit which may be used by national policymakers and regulatory authorities from ITU Member States for scaling up digital financial services uptake.</w:t>
      </w:r>
    </w:p>
    <w:p w:rsidR="00845394" w:rsidRPr="00845394" w:rsidRDefault="00845394" w:rsidP="00D97119">
      <w:pPr>
        <w:rPr>
          <w:rFonts w:cstheme="majorBidi"/>
          <w:szCs w:val="24"/>
        </w:rPr>
      </w:pPr>
      <w:r w:rsidRPr="00845394">
        <w:rPr>
          <w:rFonts w:cstheme="majorBidi"/>
          <w:szCs w:val="24"/>
        </w:rPr>
        <w:t>This Focus Group will work closely with ITU-D study groups and will also invite non ITU-T members to participate in its work. This Focus Group does not intend to duplicate other efforts but will benefit from existing work and expertise.</w:t>
      </w:r>
    </w:p>
    <w:p w:rsidR="00845394" w:rsidRPr="00845394" w:rsidRDefault="00845394" w:rsidP="00D97119">
      <w:pPr>
        <w:rPr>
          <w:rFonts w:cstheme="majorBidi"/>
          <w:b/>
          <w:bCs/>
          <w:szCs w:val="24"/>
        </w:rPr>
      </w:pPr>
      <w:r w:rsidRPr="00845394">
        <w:rPr>
          <w:rFonts w:cstheme="majorBidi"/>
          <w:b/>
          <w:bCs/>
          <w:szCs w:val="24"/>
        </w:rPr>
        <w:t>2.1</w:t>
      </w:r>
      <w:r w:rsidRPr="00845394">
        <w:rPr>
          <w:rFonts w:cstheme="majorBidi"/>
          <w:b/>
          <w:bCs/>
          <w:szCs w:val="24"/>
        </w:rPr>
        <w:tab/>
        <w:t>Objectives</w:t>
      </w:r>
    </w:p>
    <w:p w:rsidR="00845394" w:rsidRPr="00845394" w:rsidRDefault="00845394" w:rsidP="00D97119">
      <w:pPr>
        <w:pStyle w:val="enumlev1"/>
        <w:tabs>
          <w:tab w:val="clear" w:pos="794"/>
          <w:tab w:val="clear" w:pos="1191"/>
          <w:tab w:val="left" w:pos="851"/>
          <w:tab w:val="left" w:pos="1134"/>
        </w:tabs>
        <w:spacing w:before="120"/>
        <w:ind w:left="0" w:firstLine="0"/>
        <w:rPr>
          <w:rFonts w:cstheme="majorBidi"/>
          <w:szCs w:val="24"/>
        </w:rPr>
      </w:pPr>
      <w:r w:rsidRPr="00845394">
        <w:rPr>
          <w:rFonts w:cstheme="majorBidi"/>
          <w:szCs w:val="24"/>
        </w:rPr>
        <w:t>To support the development of base materials for global standards for digital financial services the objectives of this focus group include:</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Identify the technology trends in digital financial services over the coming years and how the role of various stakeholders in this ecosystem will evolve. This will include identifying underlying frameworks, new business models and public private partnership arrangements necessary for digital financial services.</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 xml:space="preserve">Establish liaisons and relationships with other organizations which could contribute to the standardization activities of digital financial services. </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Describe the ecosystem for digital financial services in developed and developing countries and the respective roles and responsibilities of the stakeholders in the ecosystem.</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Identify successful use cases for implementation of secure digital financial services including developing countries with a particular focus on the benefits for women;</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 xml:space="preserve">Suggest future ITU-T study items and related actions for various ITU-T study groups for example on: </w:t>
      </w:r>
    </w:p>
    <w:p w:rsidR="00845394" w:rsidRPr="00845394" w:rsidRDefault="00845394" w:rsidP="00D97119">
      <w:pPr>
        <w:pStyle w:val="enumlev2"/>
        <w:numPr>
          <w:ilvl w:val="1"/>
          <w:numId w:val="12"/>
        </w:numPr>
        <w:spacing w:before="120"/>
        <w:rPr>
          <w:rFonts w:cstheme="majorBidi"/>
          <w:szCs w:val="24"/>
        </w:rPr>
      </w:pPr>
      <w:r w:rsidRPr="00845394">
        <w:rPr>
          <w:rFonts w:cstheme="majorBidi"/>
          <w:szCs w:val="24"/>
        </w:rPr>
        <w:t xml:space="preserve"> Concepts, coverage, vision and use cases of digital financial services.</w:t>
      </w:r>
    </w:p>
    <w:p w:rsidR="00845394" w:rsidRPr="00845394" w:rsidRDefault="00845394" w:rsidP="00D97119">
      <w:pPr>
        <w:pStyle w:val="enumlev2"/>
        <w:numPr>
          <w:ilvl w:val="1"/>
          <w:numId w:val="12"/>
        </w:numPr>
        <w:spacing w:before="120"/>
        <w:rPr>
          <w:rFonts w:cstheme="majorBidi"/>
          <w:szCs w:val="24"/>
        </w:rPr>
      </w:pPr>
      <w:r w:rsidRPr="00845394">
        <w:rPr>
          <w:rFonts w:cstheme="majorBidi"/>
          <w:szCs w:val="24"/>
        </w:rPr>
        <w:t xml:space="preserve"> Characteristics and requirements for digital financial services.</w:t>
      </w:r>
    </w:p>
    <w:p w:rsidR="00845394" w:rsidRPr="00845394" w:rsidRDefault="00845394" w:rsidP="00D97119">
      <w:pPr>
        <w:pStyle w:val="enumlev2"/>
        <w:numPr>
          <w:ilvl w:val="1"/>
          <w:numId w:val="12"/>
        </w:numPr>
        <w:spacing w:before="120"/>
        <w:rPr>
          <w:rFonts w:cstheme="majorBidi"/>
          <w:szCs w:val="24"/>
        </w:rPr>
      </w:pPr>
      <w:r w:rsidRPr="00845394">
        <w:rPr>
          <w:rFonts w:cstheme="majorBidi"/>
          <w:szCs w:val="24"/>
        </w:rPr>
        <w:t xml:space="preserve"> Architectural framework for digital financial services including security of mobile transactions.</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 xml:space="preserve">In collaboration with ITU-D study the best practices related to policies, regulatory frameworks, consumer and fraud protection, business models and ecosystems for digital financial services in developed and developing countries. </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 xml:space="preserve">Work towards the creation of an enabling framework for digital financial services which could be submitted, through TSAG, for endorsement at the ITU Global Regulators Symposium. </w:t>
      </w:r>
    </w:p>
    <w:p w:rsidR="00845394" w:rsidRPr="00845394" w:rsidRDefault="00845394" w:rsidP="00D97119">
      <w:pPr>
        <w:rPr>
          <w:rFonts w:cstheme="majorBidi"/>
          <w:b/>
          <w:bCs/>
          <w:szCs w:val="24"/>
        </w:rPr>
      </w:pPr>
      <w:r w:rsidRPr="00845394">
        <w:rPr>
          <w:rFonts w:cstheme="majorBidi"/>
          <w:b/>
          <w:bCs/>
          <w:szCs w:val="24"/>
        </w:rPr>
        <w:t>2.2</w:t>
      </w:r>
      <w:r w:rsidRPr="00845394">
        <w:rPr>
          <w:rFonts w:cstheme="majorBidi"/>
          <w:b/>
          <w:bCs/>
          <w:szCs w:val="24"/>
        </w:rPr>
        <w:tab/>
        <w:t>Relationships</w:t>
      </w:r>
    </w:p>
    <w:p w:rsidR="00845394" w:rsidRPr="00845394" w:rsidRDefault="00845394" w:rsidP="00D97119">
      <w:pPr>
        <w:rPr>
          <w:rFonts w:cstheme="majorBidi"/>
          <w:szCs w:val="24"/>
        </w:rPr>
      </w:pPr>
      <w:r w:rsidRPr="00845394">
        <w:rPr>
          <w:rFonts w:cstheme="majorBidi"/>
          <w:szCs w:val="24"/>
        </w:rPr>
        <w:t xml:space="preserve">This Focus Group will work in close collaboration with all ITU-T study groups, especially SG2, SG3, SG13, SG16 and SG17. </w:t>
      </w:r>
    </w:p>
    <w:p w:rsidR="00845394" w:rsidRPr="00845394" w:rsidRDefault="00845394" w:rsidP="00D97119">
      <w:pPr>
        <w:rPr>
          <w:rFonts w:cstheme="majorBidi"/>
          <w:szCs w:val="24"/>
        </w:rPr>
      </w:pPr>
      <w:r w:rsidRPr="00845394">
        <w:rPr>
          <w:rFonts w:cstheme="majorBidi"/>
          <w:szCs w:val="24"/>
        </w:rPr>
        <w:t>This FG DFS will collaborate with relevant entities, in accordance with Recommendation ITU-T A.7.</w:t>
      </w:r>
    </w:p>
    <w:p w:rsidR="00845394" w:rsidRDefault="00845394" w:rsidP="00D97119">
      <w:pPr>
        <w:rPr>
          <w:rFonts w:cstheme="majorBidi"/>
          <w:szCs w:val="24"/>
        </w:rPr>
      </w:pPr>
      <w:r w:rsidRPr="00845394">
        <w:rPr>
          <w:rFonts w:cstheme="majorBidi"/>
          <w:szCs w:val="24"/>
        </w:rPr>
        <w:t>These entities include the following: financial institutions, telecommunications regulators, financial regulators, non-governmental organizations (NGOs), policy makers, SDOs , industry forums and consortia (such as ISO TC 68, ISO/IEC JTC 1, GSMA, SWIFT etc.), payment systems networks, remittances companies, ICT companies, academic institutions, research institutions and other relevant organizations.</w:t>
      </w:r>
    </w:p>
    <w:p w:rsidR="00845394" w:rsidRPr="00845394" w:rsidRDefault="00845394" w:rsidP="00D97119">
      <w:pPr>
        <w:rPr>
          <w:rFonts w:cstheme="majorBidi"/>
          <w:b/>
          <w:bCs/>
          <w:szCs w:val="24"/>
        </w:rPr>
      </w:pPr>
      <w:r w:rsidRPr="00845394">
        <w:rPr>
          <w:rFonts w:cstheme="majorBidi"/>
          <w:b/>
          <w:bCs/>
          <w:szCs w:val="24"/>
        </w:rPr>
        <w:t>2.3</w:t>
      </w:r>
      <w:r w:rsidRPr="00845394">
        <w:rPr>
          <w:rFonts w:cstheme="majorBidi"/>
          <w:b/>
          <w:bCs/>
          <w:szCs w:val="24"/>
        </w:rPr>
        <w:tab/>
        <w:t>Specific Tasks and deliverables</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Study the material from SG2 in TSAG-TD158</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 xml:space="preserve">Collect and document information on current initiatives from the stakeholders involved in digital financial services. This will involve developing use cases and identifying standards related to digital financial services deployments across the world. </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 xml:space="preserve">Develop a document which reflects how technologies enable financial inclusion in developing countries and the underlying nature of the ecosystem including best practices of policy and regulatory framework, risk assessment methodologies and business models being used. </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Develop a report on the definitions of terminologies and taxonomy for digital financial services and its ecosystem. This will also include developing a stakeholder map identifying all stakeholders involved in the area of digital financial services and their respective roles and responsibilities in the ecosystem. Develop a report on the potential barriers for the deployment of digital financial services.</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Study and analyse the implications of mandating interoperability and interconnection of digital financial services. This will include the development of a roadmap for interoperable digital financial services taking into consideration the interoperability challenges and best practices.</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Study and analyse the implications of standards for cross border remittances.</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Study and analyse technology competitiveness issues that may hinder the deployment of digital financial services (i.e. USSD</w:t>
      </w:r>
      <w:r w:rsidRPr="00845394">
        <w:rPr>
          <w:rStyle w:val="FootnoteReference"/>
          <w:rFonts w:cstheme="majorBidi"/>
          <w:szCs w:val="24"/>
        </w:rPr>
        <w:footnoteReference w:id="2"/>
      </w:r>
      <w:r w:rsidRPr="00845394">
        <w:rPr>
          <w:rFonts w:cstheme="majorBidi"/>
          <w:szCs w:val="24"/>
        </w:rPr>
        <w:t xml:space="preserve"> channel). </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Develop a regulatory toolkit which can be used by policymakers and regulatory authorities for scaling up digital financial services uptake.</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 xml:space="preserve">Organise regional thematic workshops, in accordance with Recommendation ITU-T A.31, in order to collect inputs from various stakeholders. The workshops will be a platform to investigate best practices for the harmonization of legal and regulatory framework for mobile money globally and to safeguard the issuance of new digital payment instruments like mobile money, e-money and other digital currencies. The workshops will bring together the Telecommunication Regulators, Financial Regulators, Policy makers and other relevant parties to identify issues and priorities, exchange information and best practices through peer learning and knowledge dissemination processes and identifying possible policy interventions enabling financial inclusion. Issues such as anti-money laundering (AML), taxation of mobile transfers and devices and know your customer (KYC) in relation to digital financial services and mobile-enabled cross border remittances will also be considered. </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Draft technical reports describing and addressing the standardization gaps and identifying future standardization work for ITU-T study groups in the area of digital financial services.</w:t>
      </w:r>
    </w:p>
    <w:p w:rsidR="00845394" w:rsidRPr="00845394" w:rsidRDefault="00845394" w:rsidP="00D97119">
      <w:pPr>
        <w:pStyle w:val="enumlev1"/>
        <w:numPr>
          <w:ilvl w:val="0"/>
          <w:numId w:val="11"/>
        </w:numPr>
        <w:spacing w:before="120"/>
        <w:rPr>
          <w:rFonts w:cstheme="majorBidi"/>
          <w:szCs w:val="24"/>
        </w:rPr>
      </w:pPr>
      <w:r w:rsidRPr="00845394">
        <w:rPr>
          <w:rFonts w:cstheme="majorBidi"/>
          <w:szCs w:val="24"/>
        </w:rPr>
        <w:t>Send the final deliverables to the parent group, at least four calendar weeks before the parent group meeting.</w:t>
      </w:r>
    </w:p>
    <w:p w:rsidR="00845394" w:rsidRPr="00845394" w:rsidRDefault="00845394" w:rsidP="00D97119">
      <w:pPr>
        <w:rPr>
          <w:rFonts w:cstheme="majorBidi"/>
          <w:b/>
          <w:bCs/>
          <w:szCs w:val="24"/>
        </w:rPr>
      </w:pPr>
      <w:r w:rsidRPr="00845394">
        <w:rPr>
          <w:rFonts w:cstheme="majorBidi"/>
          <w:b/>
          <w:bCs/>
          <w:szCs w:val="24"/>
        </w:rPr>
        <w:t>2.4</w:t>
      </w:r>
      <w:r w:rsidRPr="00845394">
        <w:rPr>
          <w:rFonts w:cstheme="majorBidi"/>
          <w:b/>
          <w:bCs/>
          <w:szCs w:val="24"/>
        </w:rPr>
        <w:tab/>
        <w:t xml:space="preserve">Parent group </w:t>
      </w:r>
    </w:p>
    <w:p w:rsidR="00845394" w:rsidRPr="00845394" w:rsidRDefault="00845394" w:rsidP="00D97119">
      <w:pPr>
        <w:rPr>
          <w:rFonts w:cstheme="majorBidi"/>
          <w:szCs w:val="24"/>
        </w:rPr>
      </w:pPr>
      <w:r w:rsidRPr="00845394">
        <w:rPr>
          <w:rFonts w:cstheme="majorBidi"/>
          <w:szCs w:val="24"/>
        </w:rPr>
        <w:t>The parent group is TSAG.</w:t>
      </w:r>
    </w:p>
    <w:p w:rsidR="00845394" w:rsidRPr="00845394" w:rsidRDefault="00845394" w:rsidP="00D97119">
      <w:pPr>
        <w:rPr>
          <w:rFonts w:cstheme="majorBidi"/>
          <w:b/>
          <w:bCs/>
          <w:szCs w:val="24"/>
        </w:rPr>
      </w:pPr>
      <w:r w:rsidRPr="00845394">
        <w:rPr>
          <w:rFonts w:cstheme="majorBidi"/>
          <w:b/>
          <w:bCs/>
          <w:szCs w:val="24"/>
        </w:rPr>
        <w:t>2.5</w:t>
      </w:r>
      <w:r w:rsidRPr="00845394">
        <w:rPr>
          <w:rFonts w:cstheme="majorBidi"/>
          <w:b/>
          <w:bCs/>
          <w:szCs w:val="24"/>
        </w:rPr>
        <w:tab/>
        <w:t xml:space="preserve">Leadership </w:t>
      </w:r>
    </w:p>
    <w:p w:rsidR="00845394" w:rsidRPr="00845394" w:rsidRDefault="00845394" w:rsidP="00D97119">
      <w:pPr>
        <w:rPr>
          <w:rFonts w:cstheme="majorBidi"/>
          <w:szCs w:val="24"/>
        </w:rPr>
      </w:pPr>
      <w:r w:rsidRPr="00845394">
        <w:rPr>
          <w:rFonts w:cstheme="majorBidi"/>
          <w:szCs w:val="24"/>
        </w:rPr>
        <w:t>See clause 2.3 of Recommendation ITU-T A.7.</w:t>
      </w:r>
    </w:p>
    <w:p w:rsidR="00845394" w:rsidRPr="00845394" w:rsidRDefault="00845394" w:rsidP="00D97119">
      <w:pPr>
        <w:rPr>
          <w:rFonts w:cstheme="majorBidi"/>
          <w:b/>
          <w:bCs/>
          <w:szCs w:val="24"/>
          <w:lang w:val="en-US"/>
        </w:rPr>
      </w:pPr>
      <w:r w:rsidRPr="00845394">
        <w:rPr>
          <w:rFonts w:cstheme="majorBidi"/>
          <w:b/>
          <w:bCs/>
          <w:szCs w:val="24"/>
          <w:lang w:val="en-US"/>
        </w:rPr>
        <w:t>2.6</w:t>
      </w:r>
      <w:r w:rsidRPr="00845394">
        <w:rPr>
          <w:rFonts w:cstheme="majorBidi"/>
          <w:b/>
          <w:bCs/>
          <w:szCs w:val="24"/>
          <w:lang w:val="en-US"/>
        </w:rPr>
        <w:tab/>
      </w:r>
      <w:r w:rsidRPr="00845394">
        <w:rPr>
          <w:rFonts w:cstheme="majorBidi"/>
          <w:b/>
          <w:bCs/>
          <w:szCs w:val="24"/>
        </w:rPr>
        <w:t>Participation</w:t>
      </w:r>
    </w:p>
    <w:p w:rsidR="00845394" w:rsidRPr="00845394" w:rsidRDefault="00845394" w:rsidP="00D97119">
      <w:pPr>
        <w:rPr>
          <w:rFonts w:cstheme="majorBidi"/>
          <w:szCs w:val="24"/>
        </w:rPr>
      </w:pPr>
      <w:r w:rsidRPr="00845394">
        <w:rPr>
          <w:rFonts w:cstheme="majorBidi"/>
          <w:szCs w:val="24"/>
          <w:lang w:val="en-US"/>
        </w:rPr>
        <w:t xml:space="preserve">See clause 3 of Recommendation ITU-T A.7. </w:t>
      </w:r>
      <w:r w:rsidRPr="00845394">
        <w:rPr>
          <w:rFonts w:cstheme="majorBidi"/>
          <w:szCs w:val="24"/>
        </w:rPr>
        <w:t xml:space="preserve">A list of participants will be maintained for reference purposes and reported to the parent group. </w:t>
      </w:r>
    </w:p>
    <w:p w:rsidR="00845394" w:rsidRPr="00845394" w:rsidRDefault="00845394" w:rsidP="00D97119">
      <w:pPr>
        <w:rPr>
          <w:rFonts w:cstheme="majorBidi"/>
          <w:szCs w:val="24"/>
        </w:rPr>
      </w:pPr>
      <w:r w:rsidRPr="00845394">
        <w:rPr>
          <w:rFonts w:cstheme="majorBidi"/>
          <w:szCs w:val="24"/>
        </w:rPr>
        <w:t>It is important to mention that the participation in this Focus Group has to be based on contributions and active participations.</w:t>
      </w:r>
    </w:p>
    <w:p w:rsidR="00845394" w:rsidRPr="00845394" w:rsidRDefault="00845394" w:rsidP="00D97119">
      <w:pPr>
        <w:rPr>
          <w:rFonts w:cstheme="majorBidi"/>
          <w:b/>
          <w:bCs/>
          <w:szCs w:val="24"/>
        </w:rPr>
      </w:pPr>
      <w:r w:rsidRPr="00845394">
        <w:rPr>
          <w:rFonts w:cstheme="majorBidi"/>
          <w:b/>
          <w:bCs/>
          <w:szCs w:val="24"/>
        </w:rPr>
        <w:t>2.7</w:t>
      </w:r>
      <w:r w:rsidRPr="00845394">
        <w:rPr>
          <w:rFonts w:cstheme="majorBidi"/>
          <w:b/>
          <w:bCs/>
          <w:szCs w:val="24"/>
        </w:rPr>
        <w:tab/>
        <w:t xml:space="preserve">Administrative support </w:t>
      </w:r>
    </w:p>
    <w:p w:rsidR="00845394" w:rsidRPr="00845394" w:rsidRDefault="00845394" w:rsidP="00D97119">
      <w:pPr>
        <w:rPr>
          <w:rFonts w:cstheme="majorBidi"/>
          <w:szCs w:val="24"/>
        </w:rPr>
      </w:pPr>
      <w:r w:rsidRPr="00845394">
        <w:rPr>
          <w:rFonts w:cstheme="majorBidi"/>
          <w:szCs w:val="24"/>
        </w:rPr>
        <w:t>See clause 5 of Recommendation ITU-T A.7.</w:t>
      </w:r>
    </w:p>
    <w:p w:rsidR="00845394" w:rsidRPr="00845394" w:rsidRDefault="00845394" w:rsidP="00D97119">
      <w:pPr>
        <w:rPr>
          <w:rFonts w:cstheme="majorBidi"/>
          <w:b/>
          <w:bCs/>
          <w:szCs w:val="24"/>
        </w:rPr>
      </w:pPr>
      <w:r w:rsidRPr="00845394">
        <w:rPr>
          <w:rFonts w:cstheme="majorBidi"/>
          <w:szCs w:val="24"/>
        </w:rPr>
        <w:t xml:space="preserve"> </w:t>
      </w:r>
      <w:r w:rsidRPr="00845394">
        <w:rPr>
          <w:rFonts w:cstheme="majorBidi"/>
          <w:b/>
          <w:bCs/>
          <w:szCs w:val="24"/>
        </w:rPr>
        <w:t>2.8</w:t>
      </w:r>
      <w:r w:rsidRPr="00845394">
        <w:rPr>
          <w:rFonts w:cstheme="majorBidi"/>
          <w:b/>
          <w:bCs/>
          <w:szCs w:val="24"/>
        </w:rPr>
        <w:tab/>
        <w:t xml:space="preserve">General financing </w:t>
      </w:r>
    </w:p>
    <w:p w:rsidR="00845394" w:rsidRPr="00845394" w:rsidRDefault="00845394" w:rsidP="00D97119">
      <w:pPr>
        <w:rPr>
          <w:rFonts w:cstheme="majorBidi"/>
          <w:szCs w:val="24"/>
        </w:rPr>
      </w:pPr>
      <w:r w:rsidRPr="00845394">
        <w:rPr>
          <w:rFonts w:cstheme="majorBidi"/>
          <w:szCs w:val="24"/>
        </w:rPr>
        <w:t xml:space="preserve">See clauses 4 and 10.2 of Recommendation ITU-T A.7. </w:t>
      </w:r>
    </w:p>
    <w:p w:rsidR="00845394" w:rsidRDefault="00845394" w:rsidP="00D97119">
      <w:pPr>
        <w:tabs>
          <w:tab w:val="clear" w:pos="794"/>
          <w:tab w:val="clear" w:pos="1191"/>
          <w:tab w:val="clear" w:pos="1588"/>
          <w:tab w:val="clear" w:pos="1985"/>
        </w:tabs>
        <w:overflowPunct/>
        <w:autoSpaceDE/>
        <w:autoSpaceDN/>
        <w:adjustRightInd/>
        <w:spacing w:before="0"/>
        <w:textAlignment w:val="auto"/>
        <w:rPr>
          <w:rFonts w:cstheme="majorBidi"/>
          <w:b/>
          <w:bCs/>
          <w:szCs w:val="24"/>
        </w:rPr>
      </w:pPr>
      <w:r>
        <w:rPr>
          <w:rFonts w:cstheme="majorBidi"/>
          <w:b/>
          <w:bCs/>
          <w:szCs w:val="24"/>
        </w:rPr>
        <w:br w:type="page"/>
      </w:r>
    </w:p>
    <w:p w:rsidR="00845394" w:rsidRPr="00845394" w:rsidRDefault="00845394" w:rsidP="00D97119">
      <w:pPr>
        <w:rPr>
          <w:rFonts w:cstheme="majorBidi"/>
          <w:b/>
          <w:bCs/>
          <w:szCs w:val="24"/>
        </w:rPr>
      </w:pPr>
      <w:r w:rsidRPr="00845394">
        <w:rPr>
          <w:rFonts w:cstheme="majorBidi"/>
          <w:b/>
          <w:bCs/>
          <w:szCs w:val="24"/>
        </w:rPr>
        <w:t>2.9</w:t>
      </w:r>
      <w:r w:rsidRPr="00845394">
        <w:rPr>
          <w:rFonts w:cstheme="majorBidi"/>
          <w:b/>
          <w:bCs/>
          <w:szCs w:val="24"/>
        </w:rPr>
        <w:tab/>
        <w:t xml:space="preserve">Meetings </w:t>
      </w:r>
    </w:p>
    <w:p w:rsidR="00845394" w:rsidRPr="00845394" w:rsidRDefault="00845394" w:rsidP="00D97119">
      <w:pPr>
        <w:rPr>
          <w:rFonts w:cstheme="majorBidi"/>
          <w:szCs w:val="24"/>
        </w:rPr>
      </w:pPr>
      <w:r w:rsidRPr="00845394">
        <w:rPr>
          <w:rFonts w:cstheme="majorBidi"/>
          <w:szCs w:val="24"/>
        </w:rPr>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rsidR="00845394" w:rsidRPr="00845394" w:rsidRDefault="00845394" w:rsidP="00D97119">
      <w:pPr>
        <w:rPr>
          <w:rFonts w:cstheme="majorBidi"/>
          <w:b/>
          <w:bCs/>
          <w:szCs w:val="24"/>
        </w:rPr>
      </w:pPr>
      <w:r w:rsidRPr="00845394">
        <w:rPr>
          <w:rFonts w:cstheme="majorBidi"/>
          <w:b/>
          <w:bCs/>
          <w:szCs w:val="24"/>
        </w:rPr>
        <w:t>2.10</w:t>
      </w:r>
      <w:r w:rsidRPr="00845394">
        <w:rPr>
          <w:rFonts w:cstheme="majorBidi"/>
          <w:b/>
          <w:bCs/>
          <w:szCs w:val="24"/>
        </w:rPr>
        <w:tab/>
        <w:t xml:space="preserve">Technical contributions </w:t>
      </w:r>
    </w:p>
    <w:p w:rsidR="00845394" w:rsidRPr="00845394" w:rsidRDefault="00845394" w:rsidP="00D97119">
      <w:pPr>
        <w:rPr>
          <w:rFonts w:cstheme="majorBidi"/>
          <w:szCs w:val="24"/>
        </w:rPr>
      </w:pPr>
      <w:r w:rsidRPr="00845394">
        <w:rPr>
          <w:rFonts w:cstheme="majorBidi"/>
          <w:szCs w:val="24"/>
        </w:rPr>
        <w:t xml:space="preserve">Contributions are to be submitted at least twelve calendar days before the meeting takes place. </w:t>
      </w:r>
    </w:p>
    <w:p w:rsidR="00845394" w:rsidRPr="00845394" w:rsidRDefault="00845394" w:rsidP="00D97119">
      <w:pPr>
        <w:rPr>
          <w:rFonts w:cstheme="majorBidi"/>
          <w:b/>
          <w:bCs/>
          <w:szCs w:val="24"/>
        </w:rPr>
      </w:pPr>
      <w:r w:rsidRPr="00845394">
        <w:rPr>
          <w:rFonts w:cstheme="majorBidi"/>
          <w:b/>
          <w:bCs/>
          <w:szCs w:val="24"/>
        </w:rPr>
        <w:t>2.11</w:t>
      </w:r>
      <w:r w:rsidRPr="00845394">
        <w:rPr>
          <w:rFonts w:cstheme="majorBidi"/>
          <w:b/>
          <w:bCs/>
          <w:szCs w:val="24"/>
        </w:rPr>
        <w:tab/>
        <w:t xml:space="preserve">Working language </w:t>
      </w:r>
    </w:p>
    <w:p w:rsidR="00845394" w:rsidRPr="00845394" w:rsidRDefault="00845394" w:rsidP="00D97119">
      <w:pPr>
        <w:rPr>
          <w:rFonts w:cstheme="majorBidi"/>
          <w:szCs w:val="24"/>
        </w:rPr>
      </w:pPr>
      <w:r w:rsidRPr="00845394">
        <w:rPr>
          <w:rFonts w:cstheme="majorBidi"/>
          <w:szCs w:val="24"/>
        </w:rPr>
        <w:t xml:space="preserve">The working language is English. </w:t>
      </w:r>
    </w:p>
    <w:p w:rsidR="00845394" w:rsidRPr="00845394" w:rsidRDefault="00845394" w:rsidP="00D97119">
      <w:pPr>
        <w:rPr>
          <w:rFonts w:cstheme="majorBidi"/>
          <w:b/>
          <w:bCs/>
          <w:szCs w:val="24"/>
        </w:rPr>
      </w:pPr>
      <w:r w:rsidRPr="00845394">
        <w:rPr>
          <w:rFonts w:cstheme="majorBidi"/>
          <w:b/>
          <w:bCs/>
          <w:szCs w:val="24"/>
        </w:rPr>
        <w:t>2.12</w:t>
      </w:r>
      <w:r w:rsidRPr="00845394">
        <w:rPr>
          <w:rFonts w:cstheme="majorBidi"/>
          <w:b/>
          <w:bCs/>
          <w:szCs w:val="24"/>
        </w:rPr>
        <w:tab/>
        <w:t xml:space="preserve">Approval of deliverables </w:t>
      </w:r>
    </w:p>
    <w:p w:rsidR="00845394" w:rsidRPr="00845394" w:rsidRDefault="00845394" w:rsidP="00D97119">
      <w:pPr>
        <w:rPr>
          <w:rFonts w:cstheme="majorBidi"/>
          <w:szCs w:val="24"/>
        </w:rPr>
      </w:pPr>
      <w:r w:rsidRPr="00845394">
        <w:rPr>
          <w:rFonts w:cstheme="majorBidi"/>
          <w:szCs w:val="24"/>
        </w:rPr>
        <w:t xml:space="preserve">Approval of deliverables shall be taken by consensus. </w:t>
      </w:r>
    </w:p>
    <w:p w:rsidR="00845394" w:rsidRPr="00845394" w:rsidRDefault="00845394" w:rsidP="00D97119">
      <w:pPr>
        <w:rPr>
          <w:rFonts w:cstheme="majorBidi"/>
          <w:b/>
          <w:bCs/>
          <w:szCs w:val="24"/>
        </w:rPr>
      </w:pPr>
      <w:r w:rsidRPr="00845394">
        <w:rPr>
          <w:rFonts w:cstheme="majorBidi"/>
          <w:b/>
          <w:bCs/>
          <w:szCs w:val="24"/>
        </w:rPr>
        <w:t>2.13</w:t>
      </w:r>
      <w:r w:rsidRPr="00845394">
        <w:rPr>
          <w:rFonts w:cstheme="majorBidi"/>
          <w:b/>
          <w:bCs/>
          <w:szCs w:val="24"/>
        </w:rPr>
        <w:tab/>
        <w:t xml:space="preserve">Working guidelines </w:t>
      </w:r>
    </w:p>
    <w:p w:rsidR="00845394" w:rsidRPr="00845394" w:rsidRDefault="00845394" w:rsidP="00D97119">
      <w:pPr>
        <w:rPr>
          <w:rFonts w:cstheme="majorBidi"/>
          <w:szCs w:val="24"/>
        </w:rPr>
      </w:pPr>
      <w:r w:rsidRPr="00845394">
        <w:rPr>
          <w:rFonts w:cstheme="majorBidi"/>
          <w:szCs w:val="24"/>
        </w:rPr>
        <w:t>See clause 13 of Recommendation ITU-T A.7.</w:t>
      </w:r>
    </w:p>
    <w:p w:rsidR="00845394" w:rsidRPr="00845394" w:rsidRDefault="00845394" w:rsidP="00D97119">
      <w:pPr>
        <w:rPr>
          <w:rFonts w:cstheme="majorBidi"/>
          <w:b/>
          <w:bCs/>
          <w:szCs w:val="24"/>
        </w:rPr>
      </w:pPr>
      <w:r w:rsidRPr="00845394">
        <w:rPr>
          <w:rFonts w:cstheme="majorBidi"/>
          <w:b/>
          <w:bCs/>
          <w:szCs w:val="24"/>
        </w:rPr>
        <w:t>2.14</w:t>
      </w:r>
      <w:r w:rsidRPr="00845394">
        <w:rPr>
          <w:rFonts w:cstheme="majorBidi"/>
          <w:b/>
          <w:bCs/>
          <w:szCs w:val="24"/>
        </w:rPr>
        <w:tab/>
        <w:t xml:space="preserve">Progress reports </w:t>
      </w:r>
    </w:p>
    <w:p w:rsidR="00845394" w:rsidRPr="00845394" w:rsidRDefault="00845394" w:rsidP="00D97119">
      <w:pPr>
        <w:rPr>
          <w:rFonts w:cstheme="majorBidi"/>
          <w:szCs w:val="24"/>
        </w:rPr>
      </w:pPr>
      <w:r w:rsidRPr="00845394">
        <w:rPr>
          <w:rFonts w:cstheme="majorBidi"/>
          <w:szCs w:val="24"/>
        </w:rPr>
        <w:t xml:space="preserve">See clause 11 of Recommendation ITU-T A.7. </w:t>
      </w:r>
    </w:p>
    <w:p w:rsidR="00845394" w:rsidRPr="00845394" w:rsidRDefault="00845394" w:rsidP="00D97119">
      <w:pPr>
        <w:rPr>
          <w:rFonts w:cstheme="majorBidi"/>
          <w:b/>
          <w:bCs/>
          <w:szCs w:val="24"/>
        </w:rPr>
      </w:pPr>
      <w:r w:rsidRPr="00845394">
        <w:rPr>
          <w:rFonts w:cstheme="majorBidi"/>
          <w:b/>
          <w:bCs/>
          <w:szCs w:val="24"/>
        </w:rPr>
        <w:t>2.15</w:t>
      </w:r>
      <w:r w:rsidRPr="00845394">
        <w:rPr>
          <w:rFonts w:cstheme="majorBidi"/>
          <w:b/>
          <w:bCs/>
          <w:szCs w:val="24"/>
        </w:rPr>
        <w:tab/>
        <w:t xml:space="preserve">Announcement of Focus Group formation </w:t>
      </w:r>
    </w:p>
    <w:p w:rsidR="00845394" w:rsidRPr="00845394" w:rsidRDefault="00845394" w:rsidP="00D97119">
      <w:pPr>
        <w:rPr>
          <w:rFonts w:cstheme="majorBidi"/>
          <w:szCs w:val="24"/>
        </w:rPr>
      </w:pPr>
      <w:r w:rsidRPr="00845394">
        <w:rPr>
          <w:rFonts w:cstheme="majorBidi"/>
          <w:szCs w:val="24"/>
        </w:rPr>
        <w:t xml:space="preserve">The formation of the Focus Group will be announced via TSB Circular to all ITU membership, via the ITU-T Newslog and other means, including communication with the other involved organizations. </w:t>
      </w:r>
    </w:p>
    <w:p w:rsidR="00845394" w:rsidRPr="00845394" w:rsidRDefault="00845394" w:rsidP="00D97119">
      <w:pPr>
        <w:rPr>
          <w:rFonts w:cstheme="majorBidi"/>
          <w:b/>
          <w:bCs/>
          <w:szCs w:val="24"/>
        </w:rPr>
      </w:pPr>
      <w:r w:rsidRPr="00845394">
        <w:rPr>
          <w:rFonts w:cstheme="majorBidi"/>
          <w:b/>
          <w:bCs/>
          <w:szCs w:val="24"/>
        </w:rPr>
        <w:t>2.16</w:t>
      </w:r>
      <w:r w:rsidRPr="00845394">
        <w:rPr>
          <w:rFonts w:cstheme="majorBidi"/>
          <w:b/>
          <w:bCs/>
          <w:szCs w:val="24"/>
        </w:rPr>
        <w:tab/>
        <w:t xml:space="preserve">Milestones and duration of the Focus Group </w:t>
      </w:r>
    </w:p>
    <w:p w:rsidR="00845394" w:rsidRPr="00845394" w:rsidRDefault="00845394" w:rsidP="00D97119">
      <w:pPr>
        <w:rPr>
          <w:rFonts w:cstheme="majorBidi"/>
          <w:szCs w:val="24"/>
        </w:rPr>
      </w:pPr>
      <w:r w:rsidRPr="00845394">
        <w:rPr>
          <w:rFonts w:cstheme="majorBidi"/>
          <w:szCs w:val="24"/>
        </w:rPr>
        <w:t>The Focus Group lifetime is two years from the first meeting, but extensible by decision of the parent group if necessary.</w:t>
      </w:r>
    </w:p>
    <w:p w:rsidR="00845394" w:rsidRPr="00845394" w:rsidRDefault="00845394" w:rsidP="00D97119">
      <w:pPr>
        <w:rPr>
          <w:rFonts w:cstheme="majorBidi"/>
          <w:szCs w:val="24"/>
        </w:rPr>
      </w:pPr>
      <w:r w:rsidRPr="00845394">
        <w:rPr>
          <w:rFonts w:cstheme="majorBidi"/>
          <w:szCs w:val="24"/>
        </w:rPr>
        <w:t xml:space="preserve">A preliminary set of milestones includes: </w:t>
      </w:r>
    </w:p>
    <w:p w:rsidR="00845394" w:rsidRPr="00845394" w:rsidRDefault="00845394" w:rsidP="00D97119">
      <w:pPr>
        <w:pStyle w:val="ListParagraph"/>
        <w:numPr>
          <w:ilvl w:val="0"/>
          <w:numId w:val="13"/>
        </w:numPr>
        <w:tabs>
          <w:tab w:val="clear" w:pos="794"/>
          <w:tab w:val="clear" w:pos="1191"/>
          <w:tab w:val="clear" w:pos="1588"/>
          <w:tab w:val="clear" w:pos="1985"/>
        </w:tabs>
        <w:overflowPunct/>
        <w:autoSpaceDE/>
        <w:autoSpaceDN/>
        <w:adjustRightInd/>
        <w:jc w:val="left"/>
        <w:rPr>
          <w:rFonts w:asciiTheme="minorHAnsi" w:hAnsiTheme="minorHAnsi" w:cstheme="majorBidi"/>
          <w:szCs w:val="24"/>
        </w:rPr>
      </w:pPr>
      <w:r w:rsidRPr="00845394">
        <w:rPr>
          <w:rFonts w:asciiTheme="minorHAnsi" w:hAnsiTheme="minorHAnsi" w:cstheme="majorBidi"/>
          <w:szCs w:val="24"/>
        </w:rPr>
        <w:t>First Focus Group meeting: Fourth quarter of 2014</w:t>
      </w:r>
    </w:p>
    <w:p w:rsidR="00845394" w:rsidRPr="00845394" w:rsidRDefault="00845394" w:rsidP="00D97119">
      <w:pPr>
        <w:rPr>
          <w:rFonts w:cstheme="majorBidi"/>
          <w:b/>
          <w:bCs/>
          <w:szCs w:val="24"/>
        </w:rPr>
      </w:pPr>
      <w:r w:rsidRPr="00845394">
        <w:rPr>
          <w:rFonts w:cstheme="majorBidi"/>
          <w:b/>
          <w:bCs/>
          <w:szCs w:val="24"/>
        </w:rPr>
        <w:t>2.17</w:t>
      </w:r>
      <w:r w:rsidRPr="00845394">
        <w:rPr>
          <w:rFonts w:cstheme="majorBidi"/>
          <w:b/>
          <w:bCs/>
          <w:szCs w:val="24"/>
        </w:rPr>
        <w:tab/>
        <w:t xml:space="preserve">Patent policy </w:t>
      </w:r>
    </w:p>
    <w:p w:rsidR="00845394" w:rsidRPr="00845394" w:rsidRDefault="00845394" w:rsidP="00D97119">
      <w:pPr>
        <w:rPr>
          <w:rFonts w:cstheme="majorBidi"/>
          <w:szCs w:val="24"/>
        </w:rPr>
      </w:pPr>
      <w:r w:rsidRPr="00845394">
        <w:rPr>
          <w:rFonts w:cstheme="majorBidi"/>
          <w:szCs w:val="24"/>
        </w:rPr>
        <w:t>See clause 9 of Recommendation ITU-T A.7.</w:t>
      </w:r>
    </w:p>
    <w:p w:rsidR="00845394" w:rsidRDefault="00845394" w:rsidP="00D97119">
      <w:pPr>
        <w:tabs>
          <w:tab w:val="clear" w:pos="794"/>
          <w:tab w:val="clear" w:pos="1191"/>
          <w:tab w:val="clear" w:pos="1588"/>
          <w:tab w:val="clear" w:pos="1985"/>
        </w:tabs>
        <w:overflowPunct/>
        <w:autoSpaceDE/>
        <w:autoSpaceDN/>
        <w:adjustRightInd/>
        <w:spacing w:before="0"/>
        <w:textAlignment w:val="auto"/>
      </w:pPr>
      <w:r>
        <w:br w:type="page"/>
      </w:r>
    </w:p>
    <w:p w:rsidR="00D0795E" w:rsidRDefault="00845394" w:rsidP="00D0795E">
      <w:pPr>
        <w:tabs>
          <w:tab w:val="clear" w:pos="794"/>
        </w:tabs>
        <w:jc w:val="center"/>
      </w:pPr>
      <w:r w:rsidRPr="00845394">
        <w:t>ANNEX 2</w:t>
      </w:r>
    </w:p>
    <w:p w:rsidR="00845394" w:rsidRPr="00845394" w:rsidRDefault="00845394" w:rsidP="00D0795E">
      <w:pPr>
        <w:tabs>
          <w:tab w:val="clear" w:pos="794"/>
        </w:tabs>
        <w:jc w:val="center"/>
      </w:pPr>
      <w:r w:rsidRPr="00845394">
        <w:t xml:space="preserve">(to TSB Circular </w:t>
      </w:r>
      <w:r w:rsidR="00D0795E">
        <w:t>114</w:t>
      </w:r>
      <w:r w:rsidRPr="00845394">
        <w:t>)</w:t>
      </w:r>
    </w:p>
    <w:p w:rsidR="00845394" w:rsidRPr="00845394" w:rsidRDefault="00845394" w:rsidP="009D0B8F">
      <w:pPr>
        <w:tabs>
          <w:tab w:val="clear" w:pos="794"/>
        </w:tabs>
        <w:jc w:val="center"/>
        <w:rPr>
          <w:b/>
          <w:bCs/>
        </w:rPr>
      </w:pPr>
      <w:r w:rsidRPr="00845394">
        <w:rPr>
          <w:b/>
          <w:bCs/>
        </w:rPr>
        <w:t>Draft agenda for First Meeting of FG</w:t>
      </w:r>
      <w:r w:rsidR="00D97119">
        <w:rPr>
          <w:b/>
          <w:bCs/>
        </w:rPr>
        <w:t xml:space="preserve"> on </w:t>
      </w:r>
      <w:r w:rsidRPr="00845394">
        <w:rPr>
          <w:b/>
          <w:bCs/>
        </w:rPr>
        <w:t>Digital Financial Services</w:t>
      </w:r>
    </w:p>
    <w:p w:rsidR="00845394" w:rsidRPr="00845394" w:rsidRDefault="00845394" w:rsidP="006976BA">
      <w:pPr>
        <w:tabs>
          <w:tab w:val="clear" w:pos="794"/>
        </w:tabs>
        <w:jc w:val="center"/>
        <w:rPr>
          <w:b/>
          <w:bCs/>
        </w:rPr>
      </w:pPr>
      <w:r w:rsidRPr="00845394">
        <w:rPr>
          <w:b/>
          <w:bCs/>
        </w:rPr>
        <w:t>Geneva, 5 December 2014</w:t>
      </w:r>
    </w:p>
    <w:p w:rsidR="00845394" w:rsidRDefault="00845394" w:rsidP="00D97119">
      <w:pPr>
        <w:tabs>
          <w:tab w:val="clear" w:pos="794"/>
        </w:tabs>
        <w:rPr>
          <w:b/>
          <w:bC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938"/>
      </w:tblGrid>
      <w:tr w:rsidR="006976BA" w:rsidRPr="00845394" w:rsidTr="009D2F8D">
        <w:trPr>
          <w:trHeight w:val="472"/>
        </w:trPr>
        <w:tc>
          <w:tcPr>
            <w:tcW w:w="1560" w:type="dxa"/>
            <w:tcBorders>
              <w:top w:val="single" w:sz="4" w:space="0" w:color="auto"/>
              <w:left w:val="single" w:sz="4" w:space="0" w:color="auto"/>
              <w:bottom w:val="single" w:sz="4" w:space="0" w:color="auto"/>
              <w:right w:val="single" w:sz="4" w:space="0" w:color="auto"/>
            </w:tcBorders>
            <w:hideMark/>
          </w:tcPr>
          <w:p w:rsidR="006976BA" w:rsidRPr="00845394" w:rsidRDefault="006976BA" w:rsidP="009D2F8D">
            <w:pPr>
              <w:rPr>
                <w:rFonts w:cstheme="majorBidi"/>
              </w:rPr>
            </w:pPr>
            <w:r w:rsidRPr="00845394">
              <w:rPr>
                <w:rFonts w:cstheme="majorBidi"/>
                <w:lang w:val="en-US"/>
              </w:rPr>
              <w:t>08:30-09:30</w:t>
            </w:r>
          </w:p>
        </w:tc>
        <w:tc>
          <w:tcPr>
            <w:tcW w:w="7938" w:type="dxa"/>
            <w:tcBorders>
              <w:top w:val="single" w:sz="4" w:space="0" w:color="auto"/>
              <w:left w:val="single" w:sz="4" w:space="0" w:color="auto"/>
              <w:bottom w:val="single" w:sz="4" w:space="0" w:color="auto"/>
              <w:right w:val="single" w:sz="4" w:space="0" w:color="auto"/>
            </w:tcBorders>
            <w:hideMark/>
          </w:tcPr>
          <w:p w:rsidR="006976BA" w:rsidRPr="00845394" w:rsidRDefault="006976BA" w:rsidP="009D2F8D">
            <w:pPr>
              <w:rPr>
                <w:rFonts w:cstheme="majorBidi"/>
                <w:b/>
                <w:bCs/>
              </w:rPr>
            </w:pPr>
            <w:r w:rsidRPr="00845394">
              <w:rPr>
                <w:rFonts w:cstheme="majorBidi"/>
                <w:b/>
                <w:bCs/>
                <w:lang w:val="en-US"/>
              </w:rPr>
              <w:t xml:space="preserve">Registration </w:t>
            </w:r>
          </w:p>
        </w:tc>
      </w:tr>
      <w:tr w:rsidR="006976BA" w:rsidRPr="00845394" w:rsidTr="009D2F8D">
        <w:trPr>
          <w:trHeight w:val="2110"/>
        </w:trPr>
        <w:tc>
          <w:tcPr>
            <w:tcW w:w="1560" w:type="dxa"/>
            <w:tcBorders>
              <w:top w:val="single" w:sz="4" w:space="0" w:color="auto"/>
              <w:left w:val="single" w:sz="4" w:space="0" w:color="auto"/>
              <w:bottom w:val="single" w:sz="4" w:space="0" w:color="auto"/>
              <w:right w:val="single" w:sz="4" w:space="0" w:color="auto"/>
            </w:tcBorders>
            <w:hideMark/>
          </w:tcPr>
          <w:p w:rsidR="006976BA" w:rsidRPr="00845394" w:rsidRDefault="006976BA" w:rsidP="009D2F8D">
            <w:pPr>
              <w:rPr>
                <w:rFonts w:cstheme="majorBidi"/>
              </w:rPr>
            </w:pPr>
            <w:r w:rsidRPr="00845394">
              <w:rPr>
                <w:rFonts w:cstheme="majorBidi"/>
                <w:lang w:val="en-US"/>
              </w:rPr>
              <w:t>09:30-10:10</w:t>
            </w:r>
          </w:p>
        </w:tc>
        <w:tc>
          <w:tcPr>
            <w:tcW w:w="7938" w:type="dxa"/>
            <w:tcBorders>
              <w:top w:val="single" w:sz="4" w:space="0" w:color="auto"/>
              <w:left w:val="single" w:sz="4" w:space="0" w:color="auto"/>
              <w:bottom w:val="single" w:sz="4" w:space="0" w:color="auto"/>
              <w:right w:val="single" w:sz="4" w:space="0" w:color="auto"/>
            </w:tcBorders>
            <w:hideMark/>
          </w:tcPr>
          <w:p w:rsidR="006976BA" w:rsidRPr="00845394" w:rsidRDefault="006976BA" w:rsidP="009D2F8D">
            <w:pPr>
              <w:rPr>
                <w:rFonts w:cstheme="majorBidi"/>
                <w:b/>
                <w:bCs/>
                <w:lang w:val="en-US"/>
              </w:rPr>
            </w:pPr>
            <w:r w:rsidRPr="00845394">
              <w:rPr>
                <w:rFonts w:cstheme="majorBidi"/>
                <w:b/>
                <w:bCs/>
                <w:lang w:val="en-US"/>
              </w:rPr>
              <w:t>Opening plenary session</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lang w:val="en-US"/>
              </w:rPr>
            </w:pPr>
            <w:r w:rsidRPr="00845394">
              <w:rPr>
                <w:rFonts w:cstheme="majorBidi"/>
                <w:lang w:val="en-US"/>
              </w:rPr>
              <w:t>Welcome remarks</w:t>
            </w:r>
          </w:p>
          <w:p w:rsidR="006976BA" w:rsidRPr="00845394" w:rsidRDefault="006976BA" w:rsidP="009D2F8D">
            <w:pPr>
              <w:pStyle w:val="ListParagraph"/>
              <w:numPr>
                <w:ilvl w:val="0"/>
                <w:numId w:val="15"/>
              </w:numPr>
              <w:tabs>
                <w:tab w:val="clear" w:pos="794"/>
                <w:tab w:val="clear" w:pos="1191"/>
                <w:tab w:val="clear" w:pos="1588"/>
                <w:tab w:val="clear" w:pos="1985"/>
              </w:tabs>
              <w:overflowPunct/>
              <w:autoSpaceDE/>
              <w:autoSpaceDN/>
              <w:adjustRightInd/>
              <w:spacing w:after="200" w:line="276" w:lineRule="auto"/>
              <w:jc w:val="left"/>
              <w:rPr>
                <w:rFonts w:asciiTheme="minorHAnsi" w:hAnsiTheme="minorHAnsi" w:cstheme="majorBidi"/>
              </w:rPr>
            </w:pPr>
            <w:r w:rsidRPr="00845394">
              <w:rPr>
                <w:rFonts w:asciiTheme="minorHAnsi" w:hAnsiTheme="minorHAnsi" w:cstheme="majorBidi"/>
              </w:rPr>
              <w:t>ITU/TSB Director</w:t>
            </w:r>
          </w:p>
          <w:p w:rsidR="006976BA" w:rsidRPr="00845394" w:rsidRDefault="006976BA" w:rsidP="009D2F8D">
            <w:pPr>
              <w:pStyle w:val="ListParagraph"/>
              <w:numPr>
                <w:ilvl w:val="0"/>
                <w:numId w:val="15"/>
              </w:numPr>
              <w:tabs>
                <w:tab w:val="clear" w:pos="794"/>
                <w:tab w:val="clear" w:pos="1191"/>
                <w:tab w:val="clear" w:pos="1588"/>
                <w:tab w:val="clear" w:pos="1985"/>
              </w:tabs>
              <w:overflowPunct/>
              <w:autoSpaceDE/>
              <w:autoSpaceDN/>
              <w:adjustRightInd/>
              <w:spacing w:after="200" w:line="276" w:lineRule="auto"/>
              <w:jc w:val="left"/>
              <w:rPr>
                <w:rFonts w:asciiTheme="minorHAnsi" w:hAnsiTheme="minorHAnsi" w:cstheme="majorBidi"/>
              </w:rPr>
            </w:pPr>
            <w:r w:rsidRPr="00845394">
              <w:rPr>
                <w:rFonts w:asciiTheme="minorHAnsi" w:hAnsiTheme="minorHAnsi" w:cstheme="majorBidi"/>
              </w:rPr>
              <w:t xml:space="preserve">Focus Group Chairman </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lang w:val="en-US"/>
              </w:rPr>
            </w:pPr>
            <w:r w:rsidRPr="00845394">
              <w:rPr>
                <w:rFonts w:cstheme="majorBidi"/>
                <w:lang w:val="en-US"/>
              </w:rPr>
              <w:t xml:space="preserve">Logistics, Focus Group rules and ITU IPR policy </w:t>
            </w:r>
          </w:p>
        </w:tc>
      </w:tr>
      <w:tr w:rsidR="006976BA" w:rsidRPr="00845394" w:rsidTr="009D2F8D">
        <w:trPr>
          <w:trHeight w:val="2112"/>
        </w:trPr>
        <w:tc>
          <w:tcPr>
            <w:tcW w:w="1560" w:type="dxa"/>
            <w:tcBorders>
              <w:top w:val="single" w:sz="4" w:space="0" w:color="auto"/>
              <w:left w:val="single" w:sz="4" w:space="0" w:color="auto"/>
              <w:bottom w:val="single" w:sz="4" w:space="0" w:color="auto"/>
              <w:right w:val="single" w:sz="4" w:space="0" w:color="auto"/>
            </w:tcBorders>
            <w:hideMark/>
          </w:tcPr>
          <w:p w:rsidR="006976BA" w:rsidRPr="00845394" w:rsidRDefault="006976BA" w:rsidP="009D2F8D">
            <w:pPr>
              <w:rPr>
                <w:rFonts w:cstheme="majorBidi"/>
              </w:rPr>
            </w:pPr>
            <w:r w:rsidRPr="00845394">
              <w:rPr>
                <w:rFonts w:cstheme="majorBidi"/>
                <w:lang w:val="en-US"/>
              </w:rPr>
              <w:t>10</w:t>
            </w:r>
            <w:r>
              <w:rPr>
                <w:rFonts w:cstheme="majorBidi"/>
                <w:lang w:val="en-US"/>
              </w:rPr>
              <w:t>:</w:t>
            </w:r>
            <w:r w:rsidRPr="00845394">
              <w:rPr>
                <w:rFonts w:cstheme="majorBidi"/>
                <w:lang w:val="en-US"/>
              </w:rPr>
              <w:t>10-10:45</w:t>
            </w:r>
          </w:p>
        </w:tc>
        <w:tc>
          <w:tcPr>
            <w:tcW w:w="7938" w:type="dxa"/>
            <w:tcBorders>
              <w:top w:val="single" w:sz="4" w:space="0" w:color="auto"/>
              <w:left w:val="single" w:sz="4" w:space="0" w:color="auto"/>
              <w:bottom w:val="single" w:sz="4" w:space="0" w:color="auto"/>
              <w:right w:val="single" w:sz="4" w:space="0" w:color="auto"/>
            </w:tcBorders>
            <w:hideMark/>
          </w:tcPr>
          <w:p w:rsidR="006976BA" w:rsidRPr="00845394" w:rsidRDefault="006976BA" w:rsidP="009D2F8D">
            <w:pPr>
              <w:rPr>
                <w:rFonts w:cstheme="majorBidi"/>
                <w:b/>
                <w:bCs/>
              </w:rPr>
            </w:pPr>
            <w:r w:rsidRPr="00845394">
              <w:rPr>
                <w:rFonts w:cstheme="majorBidi"/>
                <w:b/>
                <w:bCs/>
              </w:rPr>
              <w:t>Session 1: Focus Group Terms of Reference (ToR) and management</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rPr>
            </w:pPr>
            <w:r w:rsidRPr="00845394">
              <w:rPr>
                <w:rFonts w:cstheme="majorBidi"/>
              </w:rPr>
              <w:t>Presentation of the management team</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rPr>
            </w:pPr>
            <w:r w:rsidRPr="00845394">
              <w:rPr>
                <w:rFonts w:cstheme="majorBidi"/>
              </w:rPr>
              <w:t xml:space="preserve">Presentation of the Terms of Reference (ToR) </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rPr>
            </w:pPr>
            <w:r w:rsidRPr="00845394">
              <w:rPr>
                <w:rFonts w:cstheme="majorBidi"/>
              </w:rPr>
              <w:t xml:space="preserve">Document allocation </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rPr>
            </w:pPr>
            <w:r w:rsidRPr="00845394">
              <w:rPr>
                <w:rFonts w:cstheme="majorBidi"/>
              </w:rPr>
              <w:t xml:space="preserve">Agenda approval </w:t>
            </w:r>
          </w:p>
        </w:tc>
      </w:tr>
      <w:tr w:rsidR="006976BA" w:rsidRPr="00845394" w:rsidTr="009D2F8D">
        <w:tc>
          <w:tcPr>
            <w:tcW w:w="1560" w:type="dxa"/>
            <w:tcBorders>
              <w:top w:val="single" w:sz="4" w:space="0" w:color="auto"/>
              <w:left w:val="single" w:sz="4" w:space="0" w:color="auto"/>
              <w:bottom w:val="single" w:sz="4" w:space="0" w:color="auto"/>
              <w:right w:val="single" w:sz="4" w:space="0" w:color="auto"/>
            </w:tcBorders>
          </w:tcPr>
          <w:p w:rsidR="006976BA" w:rsidRPr="00845394" w:rsidRDefault="006976BA" w:rsidP="009D2F8D">
            <w:pPr>
              <w:rPr>
                <w:rFonts w:cstheme="majorBidi"/>
                <w:lang w:val="en-US"/>
              </w:rPr>
            </w:pPr>
            <w:r w:rsidRPr="00845394">
              <w:rPr>
                <w:rFonts w:cstheme="majorBidi"/>
                <w:lang w:val="en-US"/>
              </w:rPr>
              <w:t>10:45-11:00</w:t>
            </w:r>
          </w:p>
        </w:tc>
        <w:tc>
          <w:tcPr>
            <w:tcW w:w="7938" w:type="dxa"/>
            <w:tcBorders>
              <w:top w:val="single" w:sz="4" w:space="0" w:color="auto"/>
              <w:left w:val="single" w:sz="4" w:space="0" w:color="auto"/>
              <w:bottom w:val="single" w:sz="4" w:space="0" w:color="auto"/>
              <w:right w:val="single" w:sz="4" w:space="0" w:color="auto"/>
            </w:tcBorders>
          </w:tcPr>
          <w:p w:rsidR="006976BA" w:rsidRPr="00845394" w:rsidRDefault="006976BA" w:rsidP="009D2F8D">
            <w:pPr>
              <w:rPr>
                <w:rFonts w:cstheme="majorBidi"/>
                <w:lang w:val="en-US"/>
              </w:rPr>
            </w:pPr>
            <w:r w:rsidRPr="00845394">
              <w:rPr>
                <w:rFonts w:cstheme="majorBidi"/>
                <w:lang w:val="en-US"/>
              </w:rPr>
              <w:t xml:space="preserve">Coffee Break </w:t>
            </w:r>
          </w:p>
        </w:tc>
      </w:tr>
      <w:tr w:rsidR="006976BA" w:rsidRPr="00845394" w:rsidTr="009D2F8D">
        <w:trPr>
          <w:trHeight w:val="1283"/>
        </w:trPr>
        <w:tc>
          <w:tcPr>
            <w:tcW w:w="1560" w:type="dxa"/>
            <w:tcBorders>
              <w:top w:val="single" w:sz="4" w:space="0" w:color="auto"/>
              <w:left w:val="single" w:sz="4" w:space="0" w:color="auto"/>
              <w:bottom w:val="single" w:sz="4" w:space="0" w:color="auto"/>
              <w:right w:val="single" w:sz="4" w:space="0" w:color="auto"/>
            </w:tcBorders>
            <w:hideMark/>
          </w:tcPr>
          <w:p w:rsidR="006976BA" w:rsidRPr="00845394" w:rsidRDefault="006976BA" w:rsidP="009D2F8D">
            <w:pPr>
              <w:rPr>
                <w:rFonts w:cstheme="majorBidi"/>
              </w:rPr>
            </w:pPr>
            <w:r w:rsidRPr="00845394">
              <w:rPr>
                <w:rFonts w:cstheme="majorBidi"/>
                <w:lang w:val="en-US"/>
              </w:rPr>
              <w:t>11:00-12:30</w:t>
            </w:r>
          </w:p>
        </w:tc>
        <w:tc>
          <w:tcPr>
            <w:tcW w:w="7938" w:type="dxa"/>
            <w:tcBorders>
              <w:top w:val="single" w:sz="4" w:space="0" w:color="auto"/>
              <w:left w:val="single" w:sz="4" w:space="0" w:color="auto"/>
              <w:bottom w:val="single" w:sz="4" w:space="0" w:color="auto"/>
              <w:right w:val="single" w:sz="4" w:space="0" w:color="auto"/>
            </w:tcBorders>
            <w:hideMark/>
          </w:tcPr>
          <w:p w:rsidR="006976BA" w:rsidRPr="00845394" w:rsidRDefault="006976BA" w:rsidP="009D2F8D">
            <w:pPr>
              <w:rPr>
                <w:rFonts w:cstheme="majorBidi"/>
                <w:lang w:val="en-US"/>
              </w:rPr>
            </w:pPr>
            <w:r w:rsidRPr="00845394">
              <w:rPr>
                <w:rFonts w:cstheme="majorBidi"/>
                <w:b/>
                <w:bCs/>
                <w:lang w:val="en-US"/>
              </w:rPr>
              <w:t>Session 2 part 1: Focus Group structure, deliverables and work plan</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lang w:val="en-US"/>
              </w:rPr>
            </w:pPr>
            <w:r w:rsidRPr="00845394">
              <w:rPr>
                <w:rFonts w:cstheme="majorBidi"/>
                <w:lang w:val="en-US"/>
              </w:rPr>
              <w:t xml:space="preserve">Establishment of working groups and deliverables </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lang w:val="en-US"/>
              </w:rPr>
            </w:pPr>
            <w:r w:rsidRPr="00845394">
              <w:rPr>
                <w:rFonts w:cstheme="majorBidi"/>
                <w:lang w:val="en-US"/>
              </w:rPr>
              <w:t xml:space="preserve">Focus Group work plan </w:t>
            </w:r>
          </w:p>
        </w:tc>
      </w:tr>
      <w:tr w:rsidR="006976BA" w:rsidRPr="00845394" w:rsidTr="009D2F8D">
        <w:tc>
          <w:tcPr>
            <w:tcW w:w="1560" w:type="dxa"/>
            <w:tcBorders>
              <w:top w:val="single" w:sz="4" w:space="0" w:color="auto"/>
              <w:left w:val="single" w:sz="4" w:space="0" w:color="auto"/>
              <w:bottom w:val="single" w:sz="4" w:space="0" w:color="auto"/>
              <w:right w:val="single" w:sz="4" w:space="0" w:color="auto"/>
            </w:tcBorders>
            <w:hideMark/>
          </w:tcPr>
          <w:p w:rsidR="006976BA" w:rsidRPr="00845394" w:rsidRDefault="006976BA" w:rsidP="009D2F8D">
            <w:pPr>
              <w:rPr>
                <w:rFonts w:cstheme="majorBidi"/>
              </w:rPr>
            </w:pPr>
            <w:r w:rsidRPr="00845394">
              <w:rPr>
                <w:rFonts w:cstheme="majorBidi"/>
                <w:lang w:val="en-US"/>
              </w:rPr>
              <w:t>12:30-14:30</w:t>
            </w:r>
          </w:p>
        </w:tc>
        <w:tc>
          <w:tcPr>
            <w:tcW w:w="7938" w:type="dxa"/>
            <w:tcBorders>
              <w:top w:val="single" w:sz="4" w:space="0" w:color="auto"/>
              <w:left w:val="single" w:sz="4" w:space="0" w:color="auto"/>
              <w:bottom w:val="single" w:sz="4" w:space="0" w:color="auto"/>
              <w:right w:val="single" w:sz="4" w:space="0" w:color="auto"/>
            </w:tcBorders>
            <w:hideMark/>
          </w:tcPr>
          <w:p w:rsidR="006976BA" w:rsidRPr="00845394" w:rsidRDefault="006976BA" w:rsidP="009D2F8D">
            <w:pPr>
              <w:rPr>
                <w:rFonts w:cstheme="majorBidi"/>
              </w:rPr>
            </w:pPr>
            <w:r w:rsidRPr="00845394">
              <w:rPr>
                <w:rFonts w:cstheme="majorBidi"/>
                <w:lang w:val="en-US"/>
              </w:rPr>
              <w:t>Lunch</w:t>
            </w:r>
          </w:p>
        </w:tc>
      </w:tr>
      <w:tr w:rsidR="006976BA" w:rsidRPr="00845394" w:rsidTr="009D2F8D">
        <w:tc>
          <w:tcPr>
            <w:tcW w:w="1560" w:type="dxa"/>
            <w:tcBorders>
              <w:top w:val="single" w:sz="4" w:space="0" w:color="auto"/>
              <w:left w:val="single" w:sz="4" w:space="0" w:color="auto"/>
              <w:bottom w:val="single" w:sz="4" w:space="0" w:color="auto"/>
              <w:right w:val="single" w:sz="4" w:space="0" w:color="auto"/>
            </w:tcBorders>
          </w:tcPr>
          <w:p w:rsidR="006976BA" w:rsidRPr="00845394" w:rsidRDefault="006976BA" w:rsidP="009D2F8D">
            <w:pPr>
              <w:rPr>
                <w:rFonts w:cstheme="majorBidi"/>
                <w:lang w:val="en-US"/>
              </w:rPr>
            </w:pPr>
            <w:r w:rsidRPr="00845394">
              <w:rPr>
                <w:rFonts w:cstheme="majorBidi"/>
                <w:lang w:val="en-US"/>
              </w:rPr>
              <w:t>14:30</w:t>
            </w:r>
            <w:r>
              <w:rPr>
                <w:rFonts w:cstheme="majorBidi"/>
                <w:lang w:val="en-US"/>
              </w:rPr>
              <w:t>-</w:t>
            </w:r>
            <w:r w:rsidRPr="00845394">
              <w:rPr>
                <w:rFonts w:cstheme="majorBidi"/>
                <w:lang w:val="en-US"/>
              </w:rPr>
              <w:t>16:30</w:t>
            </w:r>
          </w:p>
        </w:tc>
        <w:tc>
          <w:tcPr>
            <w:tcW w:w="7938" w:type="dxa"/>
            <w:tcBorders>
              <w:top w:val="single" w:sz="4" w:space="0" w:color="auto"/>
              <w:left w:val="single" w:sz="4" w:space="0" w:color="auto"/>
              <w:bottom w:val="single" w:sz="4" w:space="0" w:color="auto"/>
              <w:right w:val="single" w:sz="4" w:space="0" w:color="auto"/>
            </w:tcBorders>
          </w:tcPr>
          <w:p w:rsidR="006976BA" w:rsidRPr="00845394" w:rsidRDefault="006976BA" w:rsidP="009D2F8D">
            <w:pPr>
              <w:rPr>
                <w:rFonts w:cstheme="majorBidi"/>
                <w:b/>
                <w:bCs/>
              </w:rPr>
            </w:pPr>
            <w:r w:rsidRPr="00845394">
              <w:rPr>
                <w:rFonts w:cstheme="majorBidi"/>
                <w:b/>
                <w:bCs/>
              </w:rPr>
              <w:t xml:space="preserve">Session 2 part 2:  Contributions and Work on Deliverables </w:t>
            </w:r>
          </w:p>
          <w:p w:rsidR="006976BA" w:rsidRPr="00845394" w:rsidRDefault="006976BA" w:rsidP="009D2F8D">
            <w:pPr>
              <w:rPr>
                <w:rFonts w:cstheme="majorBidi"/>
                <w:lang w:val="en-US"/>
              </w:rPr>
            </w:pPr>
            <w:r w:rsidRPr="00845394">
              <w:rPr>
                <w:rFonts w:cstheme="majorBidi"/>
                <w:lang w:val="en-US"/>
              </w:rPr>
              <w:t xml:space="preserve">Contributions </w:t>
            </w:r>
          </w:p>
        </w:tc>
      </w:tr>
      <w:tr w:rsidR="006976BA" w:rsidRPr="00845394" w:rsidTr="009D2F8D">
        <w:tc>
          <w:tcPr>
            <w:tcW w:w="1560" w:type="dxa"/>
            <w:tcBorders>
              <w:top w:val="single" w:sz="4" w:space="0" w:color="auto"/>
              <w:left w:val="single" w:sz="4" w:space="0" w:color="auto"/>
              <w:bottom w:val="single" w:sz="4" w:space="0" w:color="auto"/>
              <w:right w:val="single" w:sz="4" w:space="0" w:color="auto"/>
            </w:tcBorders>
          </w:tcPr>
          <w:p w:rsidR="006976BA" w:rsidRPr="00845394" w:rsidRDefault="006976BA" w:rsidP="009D2F8D">
            <w:pPr>
              <w:rPr>
                <w:rFonts w:cstheme="majorBidi"/>
                <w:lang w:val="en-US"/>
              </w:rPr>
            </w:pPr>
            <w:r w:rsidRPr="00845394">
              <w:rPr>
                <w:rFonts w:cstheme="majorBidi"/>
                <w:lang w:val="en-US"/>
              </w:rPr>
              <w:t>16:30</w:t>
            </w:r>
            <w:r>
              <w:rPr>
                <w:rFonts w:cstheme="majorBidi"/>
                <w:lang w:val="en-US"/>
              </w:rPr>
              <w:t>-</w:t>
            </w:r>
            <w:r w:rsidRPr="00845394">
              <w:rPr>
                <w:rFonts w:cstheme="majorBidi"/>
                <w:lang w:val="en-US"/>
              </w:rPr>
              <w:t>16: 45</w:t>
            </w:r>
          </w:p>
        </w:tc>
        <w:tc>
          <w:tcPr>
            <w:tcW w:w="7938" w:type="dxa"/>
            <w:tcBorders>
              <w:top w:val="single" w:sz="4" w:space="0" w:color="auto"/>
              <w:left w:val="single" w:sz="4" w:space="0" w:color="auto"/>
              <w:bottom w:val="single" w:sz="4" w:space="0" w:color="auto"/>
              <w:right w:val="single" w:sz="4" w:space="0" w:color="auto"/>
            </w:tcBorders>
          </w:tcPr>
          <w:p w:rsidR="006976BA" w:rsidRPr="00845394" w:rsidRDefault="006976BA" w:rsidP="009D2F8D">
            <w:pPr>
              <w:rPr>
                <w:rFonts w:cstheme="majorBidi"/>
                <w:lang w:val="en-US"/>
              </w:rPr>
            </w:pPr>
            <w:r w:rsidRPr="00845394">
              <w:rPr>
                <w:rFonts w:cstheme="majorBidi"/>
                <w:lang w:val="en-US"/>
              </w:rPr>
              <w:t>Coffee Break</w:t>
            </w:r>
          </w:p>
        </w:tc>
      </w:tr>
      <w:tr w:rsidR="006976BA" w:rsidRPr="00845394" w:rsidTr="009D2F8D">
        <w:tc>
          <w:tcPr>
            <w:tcW w:w="1560" w:type="dxa"/>
            <w:tcBorders>
              <w:top w:val="single" w:sz="4" w:space="0" w:color="auto"/>
              <w:left w:val="single" w:sz="4" w:space="0" w:color="auto"/>
              <w:bottom w:val="single" w:sz="4" w:space="0" w:color="auto"/>
              <w:right w:val="single" w:sz="4" w:space="0" w:color="auto"/>
            </w:tcBorders>
          </w:tcPr>
          <w:p w:rsidR="006976BA" w:rsidRPr="00845394" w:rsidRDefault="006976BA" w:rsidP="009D2F8D">
            <w:pPr>
              <w:rPr>
                <w:rFonts w:cstheme="majorBidi"/>
                <w:lang w:val="en-US"/>
              </w:rPr>
            </w:pPr>
            <w:r w:rsidRPr="00845394">
              <w:rPr>
                <w:rFonts w:cstheme="majorBidi"/>
                <w:lang w:val="en-US"/>
              </w:rPr>
              <w:t>16:45</w:t>
            </w:r>
            <w:r>
              <w:rPr>
                <w:rFonts w:cstheme="majorBidi"/>
                <w:lang w:val="en-US"/>
              </w:rPr>
              <w:t>-</w:t>
            </w:r>
            <w:r w:rsidRPr="00845394">
              <w:rPr>
                <w:rFonts w:cstheme="majorBidi"/>
                <w:lang w:val="en-US"/>
              </w:rPr>
              <w:t>17:30</w:t>
            </w:r>
          </w:p>
        </w:tc>
        <w:tc>
          <w:tcPr>
            <w:tcW w:w="7938" w:type="dxa"/>
            <w:tcBorders>
              <w:top w:val="single" w:sz="4" w:space="0" w:color="auto"/>
              <w:left w:val="single" w:sz="4" w:space="0" w:color="auto"/>
              <w:bottom w:val="single" w:sz="4" w:space="0" w:color="auto"/>
              <w:right w:val="single" w:sz="4" w:space="0" w:color="auto"/>
            </w:tcBorders>
          </w:tcPr>
          <w:p w:rsidR="006976BA" w:rsidRPr="00845394" w:rsidRDefault="006976BA" w:rsidP="009D2F8D">
            <w:pPr>
              <w:rPr>
                <w:rFonts w:cstheme="majorBidi"/>
                <w:lang w:val="en-US"/>
              </w:rPr>
            </w:pPr>
            <w:r w:rsidRPr="00845394">
              <w:rPr>
                <w:rFonts w:cstheme="majorBidi"/>
                <w:b/>
                <w:bCs/>
                <w:lang w:val="en-US"/>
              </w:rPr>
              <w:t>Session 3: Work Plan for next meeting</w:t>
            </w:r>
          </w:p>
        </w:tc>
      </w:tr>
      <w:tr w:rsidR="006976BA" w:rsidRPr="009D2F8D" w:rsidTr="009D2F8D">
        <w:tc>
          <w:tcPr>
            <w:tcW w:w="1560" w:type="dxa"/>
            <w:tcBorders>
              <w:top w:val="single" w:sz="4" w:space="0" w:color="auto"/>
              <w:left w:val="single" w:sz="4" w:space="0" w:color="auto"/>
              <w:bottom w:val="single" w:sz="4" w:space="0" w:color="auto"/>
              <w:right w:val="single" w:sz="4" w:space="0" w:color="auto"/>
            </w:tcBorders>
          </w:tcPr>
          <w:p w:rsidR="006976BA" w:rsidRPr="00845394" w:rsidRDefault="006976BA" w:rsidP="009D2F8D">
            <w:pPr>
              <w:rPr>
                <w:rFonts w:cstheme="majorBidi"/>
                <w:lang w:val="en-US"/>
              </w:rPr>
            </w:pPr>
            <w:r w:rsidRPr="00845394">
              <w:rPr>
                <w:rFonts w:cstheme="majorBidi"/>
                <w:lang w:val="en-US"/>
              </w:rPr>
              <w:t>17:30</w:t>
            </w:r>
            <w:r>
              <w:rPr>
                <w:rFonts w:cstheme="majorBidi"/>
                <w:lang w:val="en-US"/>
              </w:rPr>
              <w:t>-</w:t>
            </w:r>
            <w:r w:rsidRPr="00845394">
              <w:rPr>
                <w:rFonts w:cstheme="majorBidi"/>
                <w:lang w:val="en-US"/>
              </w:rPr>
              <w:t>18:00</w:t>
            </w:r>
          </w:p>
          <w:p w:rsidR="006976BA" w:rsidRPr="00845394" w:rsidRDefault="006976BA" w:rsidP="009D2F8D">
            <w:pPr>
              <w:rPr>
                <w:rFonts w:cstheme="majorBidi"/>
                <w:lang w:val="en-US"/>
              </w:rPr>
            </w:pPr>
          </w:p>
        </w:tc>
        <w:tc>
          <w:tcPr>
            <w:tcW w:w="7938" w:type="dxa"/>
            <w:tcBorders>
              <w:top w:val="single" w:sz="4" w:space="0" w:color="auto"/>
              <w:left w:val="single" w:sz="4" w:space="0" w:color="auto"/>
              <w:bottom w:val="single" w:sz="4" w:space="0" w:color="auto"/>
              <w:right w:val="single" w:sz="4" w:space="0" w:color="auto"/>
            </w:tcBorders>
          </w:tcPr>
          <w:p w:rsidR="006976BA" w:rsidRPr="00845394" w:rsidRDefault="006976BA" w:rsidP="009D2F8D">
            <w:pPr>
              <w:rPr>
                <w:rFonts w:cstheme="majorBidi"/>
                <w:b/>
                <w:bCs/>
              </w:rPr>
            </w:pPr>
            <w:r w:rsidRPr="00845394">
              <w:rPr>
                <w:rFonts w:cstheme="majorBidi"/>
                <w:b/>
                <w:bCs/>
                <w:lang w:val="en-US"/>
              </w:rPr>
              <w:t xml:space="preserve">Wrap up and Closing </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lang w:val="en-US"/>
              </w:rPr>
            </w:pPr>
            <w:r w:rsidRPr="00845394">
              <w:rPr>
                <w:rFonts w:cstheme="majorBidi"/>
                <w:lang w:val="en-US"/>
              </w:rPr>
              <w:t>Contribution plan for next meeting</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lang w:val="en-US"/>
              </w:rPr>
            </w:pPr>
            <w:r w:rsidRPr="00845394">
              <w:rPr>
                <w:rFonts w:cstheme="majorBidi"/>
                <w:lang w:val="en-US"/>
              </w:rPr>
              <w:t>Outgoing liaisons</w:t>
            </w:r>
          </w:p>
          <w:p w:rsidR="006976BA" w:rsidRPr="00845394"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lang w:val="en-US"/>
              </w:rPr>
            </w:pPr>
            <w:r w:rsidRPr="00845394">
              <w:rPr>
                <w:rFonts w:cstheme="majorBidi"/>
                <w:lang w:val="en-US"/>
              </w:rPr>
              <w:t xml:space="preserve">Meeting plan </w:t>
            </w:r>
          </w:p>
          <w:p w:rsidR="006976BA"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lang w:val="en-US"/>
              </w:rPr>
            </w:pPr>
            <w:r w:rsidRPr="00845394">
              <w:rPr>
                <w:rFonts w:cstheme="majorBidi"/>
                <w:lang w:val="en-US"/>
              </w:rPr>
              <w:t>Any other business</w:t>
            </w:r>
          </w:p>
          <w:p w:rsidR="006976BA" w:rsidRPr="009D2F8D" w:rsidRDefault="006976BA" w:rsidP="009D2F8D">
            <w:pPr>
              <w:numPr>
                <w:ilvl w:val="0"/>
                <w:numId w:val="14"/>
              </w:numPr>
              <w:tabs>
                <w:tab w:val="clear" w:pos="794"/>
                <w:tab w:val="clear" w:pos="1191"/>
                <w:tab w:val="clear" w:pos="1588"/>
                <w:tab w:val="clear" w:pos="1985"/>
              </w:tabs>
              <w:overflowPunct/>
              <w:autoSpaceDE/>
              <w:autoSpaceDN/>
              <w:adjustRightInd/>
              <w:textAlignment w:val="auto"/>
              <w:rPr>
                <w:rFonts w:cstheme="majorBidi"/>
                <w:lang w:val="en-US"/>
              </w:rPr>
            </w:pPr>
            <w:r w:rsidRPr="009D2F8D">
              <w:rPr>
                <w:rFonts w:cstheme="majorBidi"/>
                <w:lang w:val="en-US"/>
              </w:rPr>
              <w:t>Closing</w:t>
            </w:r>
          </w:p>
        </w:tc>
      </w:tr>
    </w:tbl>
    <w:p w:rsidR="00845394" w:rsidRDefault="00845394" w:rsidP="00D97119"/>
    <w:p w:rsidR="00845394" w:rsidRPr="00845394" w:rsidRDefault="00845394" w:rsidP="00D97119">
      <w:pPr>
        <w:tabs>
          <w:tab w:val="clear" w:pos="794"/>
          <w:tab w:val="clear" w:pos="1191"/>
          <w:tab w:val="clear" w:pos="1588"/>
          <w:tab w:val="clear" w:pos="1985"/>
        </w:tabs>
        <w:overflowPunct/>
        <w:autoSpaceDE/>
        <w:autoSpaceDN/>
        <w:adjustRightInd/>
        <w:textAlignment w:val="auto"/>
      </w:pPr>
      <w:r w:rsidRPr="00845394">
        <w:br w:type="page"/>
      </w:r>
    </w:p>
    <w:p w:rsidR="00D0795E" w:rsidRDefault="00845394" w:rsidP="00D0795E">
      <w:pPr>
        <w:jc w:val="center"/>
      </w:pPr>
      <w:r w:rsidRPr="00845394">
        <w:t>ANNEX 3</w:t>
      </w:r>
    </w:p>
    <w:p w:rsidR="00845394" w:rsidRDefault="00845394" w:rsidP="00D0795E">
      <w:pPr>
        <w:jc w:val="center"/>
      </w:pPr>
      <w:r w:rsidRPr="00845394">
        <w:t xml:space="preserve">(to TSB Circular </w:t>
      </w:r>
      <w:r w:rsidR="00B61F60">
        <w:t>114</w:t>
      </w:r>
      <w:r w:rsidRPr="00845394">
        <w:t>)</w:t>
      </w:r>
    </w:p>
    <w:p w:rsidR="00D0795E" w:rsidRPr="00845394" w:rsidRDefault="00D0795E" w:rsidP="00D0795E">
      <w:pPr>
        <w:rPr>
          <w:rFonts w:eastAsia="Malgun Gothic"/>
          <w:sz w:val="16"/>
        </w:rPr>
      </w:pPr>
    </w:p>
    <w:tbl>
      <w:tblPr>
        <w:tblW w:w="9955" w:type="dxa"/>
        <w:jc w:val="center"/>
        <w:tblLayout w:type="fixed"/>
        <w:tblLook w:val="0000" w:firstRow="0" w:lastRow="0" w:firstColumn="0" w:lastColumn="0" w:noHBand="0" w:noVBand="0"/>
      </w:tblPr>
      <w:tblGrid>
        <w:gridCol w:w="1291"/>
        <w:gridCol w:w="7264"/>
        <w:gridCol w:w="1384"/>
        <w:gridCol w:w="16"/>
      </w:tblGrid>
      <w:tr w:rsidR="00845394" w:rsidRPr="00845394" w:rsidTr="0028697B">
        <w:trPr>
          <w:gridAfter w:val="1"/>
          <w:wAfter w:w="16" w:type="dxa"/>
          <w:cantSplit/>
          <w:jc w:val="center"/>
        </w:trPr>
        <w:tc>
          <w:tcPr>
            <w:tcW w:w="9939" w:type="dxa"/>
            <w:gridSpan w:val="3"/>
            <w:tcBorders>
              <w:top w:val="single" w:sz="6" w:space="0" w:color="auto"/>
              <w:left w:val="single" w:sz="6" w:space="0" w:color="auto"/>
              <w:bottom w:val="single" w:sz="6" w:space="0" w:color="auto"/>
              <w:right w:val="single" w:sz="6" w:space="0" w:color="auto"/>
            </w:tcBorders>
          </w:tcPr>
          <w:p w:rsidR="00845394" w:rsidRPr="00845394" w:rsidRDefault="00845394" w:rsidP="00D97119">
            <w:pPr>
              <w:tabs>
                <w:tab w:val="left" w:pos="1440"/>
                <w:tab w:val="left" w:pos="8647"/>
              </w:tabs>
              <w:spacing w:line="288" w:lineRule="atLeast"/>
              <w:ind w:right="133"/>
              <w:rPr>
                <w:rFonts w:eastAsia="Malgun Gothic"/>
                <w:i/>
                <w:sz w:val="20"/>
              </w:rPr>
            </w:pPr>
          </w:p>
          <w:p w:rsidR="00845394" w:rsidRPr="00845394" w:rsidRDefault="00845394" w:rsidP="00D97119">
            <w:pPr>
              <w:tabs>
                <w:tab w:val="left" w:pos="1440"/>
                <w:tab w:val="left" w:pos="8647"/>
              </w:tabs>
              <w:spacing w:line="288" w:lineRule="atLeast"/>
              <w:ind w:right="133"/>
              <w:rPr>
                <w:rFonts w:eastAsia="Malgun Gothic"/>
                <w:i/>
                <w:szCs w:val="24"/>
              </w:rPr>
            </w:pPr>
            <w:r w:rsidRPr="00845394">
              <w:rPr>
                <w:rFonts w:eastAsia="Malgun Gothic"/>
                <w:i/>
                <w:szCs w:val="24"/>
              </w:rPr>
              <w:t xml:space="preserve">This confirmation form </w:t>
            </w:r>
            <w:r w:rsidRPr="00845394">
              <w:rPr>
                <w:rFonts w:eastAsia="Malgun Gothic"/>
                <w:bCs/>
                <w:i/>
                <w:szCs w:val="24"/>
              </w:rPr>
              <w:t xml:space="preserve">should </w:t>
            </w:r>
            <w:r w:rsidRPr="00845394">
              <w:rPr>
                <w:rFonts w:eastAsia="Malgun Gothic"/>
                <w:b/>
                <w:i/>
                <w:szCs w:val="24"/>
              </w:rPr>
              <w:t xml:space="preserve">be sent direct to the hotel </w:t>
            </w:r>
            <w:r w:rsidRPr="00845394">
              <w:rPr>
                <w:rFonts w:eastAsia="Malgun Gothic"/>
                <w:i/>
                <w:szCs w:val="24"/>
              </w:rPr>
              <w:t>of your choice</w:t>
            </w:r>
          </w:p>
          <w:p w:rsidR="00845394" w:rsidRPr="00845394" w:rsidRDefault="00845394" w:rsidP="00D97119">
            <w:pPr>
              <w:spacing w:after="100" w:line="288" w:lineRule="atLeast"/>
              <w:ind w:right="130"/>
              <w:rPr>
                <w:rFonts w:eastAsia="Malgun Gothic"/>
                <w:sz w:val="20"/>
                <w:lang w:val="en-US"/>
              </w:rPr>
            </w:pPr>
          </w:p>
        </w:tc>
      </w:tr>
      <w:tr w:rsidR="00845394" w:rsidRPr="00845394" w:rsidTr="0028697B">
        <w:trPr>
          <w:cantSplit/>
          <w:jc w:val="center"/>
        </w:trPr>
        <w:tc>
          <w:tcPr>
            <w:tcW w:w="1291" w:type="dxa"/>
          </w:tcPr>
          <w:p w:rsidR="00845394" w:rsidRPr="00845394" w:rsidRDefault="00845394" w:rsidP="00D97119">
            <w:pPr>
              <w:tabs>
                <w:tab w:val="center" w:pos="9639"/>
              </w:tabs>
              <w:spacing w:line="240" w:lineRule="atLeast"/>
              <w:ind w:right="-176"/>
              <w:rPr>
                <w:rFonts w:eastAsia="Malgun Gothic"/>
                <w:sz w:val="28"/>
              </w:rPr>
            </w:pPr>
            <w:r w:rsidRPr="00845394">
              <w:rPr>
                <w:rFonts w:eastAsia="Malgun Gothic"/>
                <w:noProof/>
                <w:lang w:eastAsia="en-GB"/>
              </w:rPr>
              <w:drawing>
                <wp:inline distT="0" distB="0" distL="0" distR="0" wp14:anchorId="725AAAD5" wp14:editId="1B589B73">
                  <wp:extent cx="629920"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920" cy="665480"/>
                          </a:xfrm>
                          <a:prstGeom prst="rect">
                            <a:avLst/>
                          </a:prstGeom>
                          <a:noFill/>
                          <a:ln>
                            <a:noFill/>
                          </a:ln>
                        </pic:spPr>
                      </pic:pic>
                    </a:graphicData>
                  </a:graphic>
                </wp:inline>
              </w:drawing>
            </w:r>
          </w:p>
        </w:tc>
        <w:tc>
          <w:tcPr>
            <w:tcW w:w="7264" w:type="dxa"/>
          </w:tcPr>
          <w:p w:rsidR="00845394" w:rsidRPr="00845394" w:rsidRDefault="00845394" w:rsidP="00FC6C2C">
            <w:pPr>
              <w:tabs>
                <w:tab w:val="center" w:pos="9639"/>
              </w:tabs>
              <w:spacing w:line="240" w:lineRule="atLeast"/>
              <w:ind w:right="-40"/>
              <w:jc w:val="center"/>
              <w:rPr>
                <w:rFonts w:eastAsia="Malgun Gothic"/>
                <w:b/>
                <w:bCs/>
                <w:sz w:val="28"/>
                <w:szCs w:val="28"/>
                <w:lang w:val="es-ES_tradnl"/>
              </w:rPr>
            </w:pPr>
            <w:r w:rsidRPr="00845394">
              <w:rPr>
                <w:rFonts w:eastAsia="Malgun Gothic"/>
                <w:sz w:val="26"/>
                <w:lang w:val="es-ES_tradnl"/>
              </w:rPr>
              <w:br/>
            </w:r>
            <w:r w:rsidRPr="00845394">
              <w:rPr>
                <w:rFonts w:eastAsia="Malgun Gothic"/>
                <w:b/>
                <w:bCs/>
                <w:sz w:val="28"/>
                <w:szCs w:val="28"/>
                <w:lang w:val="es-ES_tradnl"/>
              </w:rPr>
              <w:t>INTERNATIONAL TELECOMMUNICATION UNION</w:t>
            </w:r>
            <w:r w:rsidRPr="00845394">
              <w:rPr>
                <w:rFonts w:eastAsia="Malgun Gothic"/>
                <w:b/>
                <w:bCs/>
                <w:sz w:val="28"/>
                <w:szCs w:val="28"/>
                <w:lang w:val="es-ES_tradnl"/>
              </w:rPr>
              <w:br/>
            </w:r>
          </w:p>
        </w:tc>
        <w:tc>
          <w:tcPr>
            <w:tcW w:w="1400" w:type="dxa"/>
            <w:gridSpan w:val="2"/>
          </w:tcPr>
          <w:p w:rsidR="00845394" w:rsidRPr="00845394" w:rsidRDefault="00845394" w:rsidP="00D97119">
            <w:pPr>
              <w:tabs>
                <w:tab w:val="center" w:pos="9639"/>
              </w:tabs>
              <w:spacing w:line="240" w:lineRule="atLeast"/>
              <w:ind w:left="-142" w:right="-74"/>
              <w:rPr>
                <w:rFonts w:eastAsia="Malgun Gothic"/>
                <w:sz w:val="28"/>
              </w:rPr>
            </w:pPr>
            <w:r w:rsidRPr="00845394">
              <w:rPr>
                <w:rFonts w:eastAsia="Malgun Gothic"/>
                <w:noProof/>
                <w:lang w:eastAsia="en-GB"/>
              </w:rPr>
              <w:drawing>
                <wp:inline distT="0" distB="0" distL="0" distR="0" wp14:anchorId="31505E2C" wp14:editId="73399E31">
                  <wp:extent cx="629920"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9920" cy="665480"/>
                          </a:xfrm>
                          <a:prstGeom prst="rect">
                            <a:avLst/>
                          </a:prstGeom>
                          <a:noFill/>
                          <a:ln>
                            <a:noFill/>
                          </a:ln>
                        </pic:spPr>
                      </pic:pic>
                    </a:graphicData>
                  </a:graphic>
                </wp:inline>
              </w:drawing>
            </w:r>
          </w:p>
        </w:tc>
      </w:tr>
    </w:tbl>
    <w:p w:rsidR="00845394" w:rsidRPr="00845394" w:rsidRDefault="00845394" w:rsidP="00D97119">
      <w:pPr>
        <w:tabs>
          <w:tab w:val="left" w:pos="1440"/>
        </w:tabs>
        <w:spacing w:before="100" w:line="240" w:lineRule="atLeast"/>
        <w:ind w:left="284" w:right="-143"/>
        <w:rPr>
          <w:rFonts w:eastAsia="Malgun Gothic"/>
          <w:b/>
        </w:rPr>
      </w:pPr>
    </w:p>
    <w:p w:rsidR="00845394" w:rsidRPr="00845394" w:rsidRDefault="00845394" w:rsidP="00FC6C2C">
      <w:pPr>
        <w:tabs>
          <w:tab w:val="center" w:pos="4678"/>
        </w:tabs>
        <w:spacing w:before="100" w:line="240" w:lineRule="atLeast"/>
        <w:ind w:left="284" w:right="-143"/>
        <w:jc w:val="center"/>
        <w:rPr>
          <w:rFonts w:eastAsia="Malgun Gothic"/>
          <w:b/>
          <w:bCs/>
          <w:szCs w:val="24"/>
          <w:lang w:val="en-US"/>
        </w:rPr>
      </w:pPr>
      <w:r w:rsidRPr="00845394">
        <w:rPr>
          <w:rFonts w:eastAsia="Malgun Gothic"/>
          <w:b/>
          <w:bCs/>
          <w:szCs w:val="24"/>
          <w:lang w:val="en-US"/>
        </w:rPr>
        <w:t>TELECOMMUNICATION STANDARDIZATION SECTOR</w:t>
      </w:r>
      <w:r w:rsidRPr="00845394">
        <w:rPr>
          <w:rFonts w:eastAsia="Malgun Gothic"/>
          <w:b/>
          <w:bCs/>
          <w:szCs w:val="24"/>
          <w:lang w:val="en-US"/>
        </w:rPr>
        <w:br/>
      </w:r>
    </w:p>
    <w:p w:rsidR="00845394" w:rsidRPr="00FC6C2C" w:rsidRDefault="00845394" w:rsidP="00FC6C2C">
      <w:pPr>
        <w:tabs>
          <w:tab w:val="left" w:pos="1440"/>
        </w:tabs>
        <w:spacing w:after="240" w:line="240" w:lineRule="atLeast"/>
        <w:ind w:left="284" w:right="516"/>
        <w:rPr>
          <w:rFonts w:eastAsia="Malgun Gothic"/>
          <w:szCs w:val="24"/>
        </w:rPr>
      </w:pPr>
      <w:r w:rsidRPr="00FC6C2C">
        <w:rPr>
          <w:rFonts w:eastAsia="Malgun Gothic"/>
          <w:b/>
          <w:szCs w:val="24"/>
        </w:rPr>
        <w:t>ITU Focus Group on Digital Financial Services</w:t>
      </w:r>
      <w:r w:rsidRPr="00FC6C2C">
        <w:rPr>
          <w:rFonts w:eastAsia="Malgun Gothic"/>
          <w:szCs w:val="24"/>
        </w:rPr>
        <w:t xml:space="preserve"> </w:t>
      </w:r>
      <w:r w:rsidR="00540000" w:rsidRPr="00FC6C2C">
        <w:rPr>
          <w:rFonts w:eastAsia="Malgun Gothic"/>
          <w:szCs w:val="24"/>
        </w:rPr>
        <w:t>on 5 December 2014 in Geneva</w:t>
      </w:r>
    </w:p>
    <w:p w:rsidR="00845394" w:rsidRPr="00FC6C2C" w:rsidRDefault="00845394" w:rsidP="00FC6C2C">
      <w:pPr>
        <w:tabs>
          <w:tab w:val="left" w:pos="1440"/>
        </w:tabs>
        <w:spacing w:after="240" w:line="240" w:lineRule="atLeast"/>
        <w:ind w:left="284" w:right="516"/>
        <w:rPr>
          <w:rFonts w:eastAsia="Malgun Gothic"/>
          <w:szCs w:val="24"/>
        </w:rPr>
      </w:pPr>
      <w:r w:rsidRPr="00FC6C2C">
        <w:rPr>
          <w:rFonts w:eastAsia="Malgun Gothic"/>
          <w:szCs w:val="24"/>
        </w:rPr>
        <w:t>Confirmation of the reservation made on (date) -------------------  with (hotel)   -------------------</w:t>
      </w:r>
    </w:p>
    <w:p w:rsidR="00845394" w:rsidRPr="00540000" w:rsidRDefault="00845394" w:rsidP="00FC6C2C">
      <w:pPr>
        <w:tabs>
          <w:tab w:val="left" w:pos="1440"/>
        </w:tabs>
        <w:spacing w:after="240" w:line="240" w:lineRule="atLeast"/>
        <w:ind w:left="284" w:right="516"/>
        <w:rPr>
          <w:rFonts w:eastAsia="Malgun Gothic"/>
          <w:szCs w:val="24"/>
          <w:u w:val="single"/>
          <w:lang w:val="en-US"/>
        </w:rPr>
      </w:pPr>
      <w:r w:rsidRPr="00FC6C2C">
        <w:rPr>
          <w:rFonts w:eastAsia="Malgun Gothic"/>
          <w:b/>
          <w:szCs w:val="24"/>
          <w:u w:val="single"/>
          <w:lang w:val="en-US"/>
        </w:rPr>
        <w:t xml:space="preserve">at the ITU preferential tariff </w:t>
      </w:r>
    </w:p>
    <w:p w:rsidR="00845394" w:rsidRPr="00FC6C2C" w:rsidRDefault="00845394" w:rsidP="00FC6C2C">
      <w:pPr>
        <w:tabs>
          <w:tab w:val="left" w:pos="1440"/>
        </w:tabs>
        <w:spacing w:after="240" w:line="240" w:lineRule="atLeast"/>
        <w:ind w:left="284" w:right="516"/>
        <w:rPr>
          <w:rFonts w:eastAsia="Malgun Gothic"/>
          <w:szCs w:val="24"/>
        </w:rPr>
      </w:pPr>
      <w:r w:rsidRPr="00FC6C2C">
        <w:rPr>
          <w:rFonts w:eastAsia="Malgun Gothic"/>
          <w:szCs w:val="24"/>
        </w:rPr>
        <w:t>------------ single/double room(s)</w:t>
      </w:r>
    </w:p>
    <w:p w:rsidR="00845394" w:rsidRPr="00FC6C2C" w:rsidRDefault="00845394" w:rsidP="00FC6C2C">
      <w:pPr>
        <w:tabs>
          <w:tab w:val="left" w:pos="1440"/>
        </w:tabs>
        <w:spacing w:after="240" w:line="240" w:lineRule="atLeast"/>
        <w:ind w:left="284" w:right="516"/>
        <w:rPr>
          <w:rFonts w:eastAsia="Malgun Gothic"/>
          <w:szCs w:val="24"/>
        </w:rPr>
      </w:pPr>
      <w:r w:rsidRPr="00FC6C2C">
        <w:rPr>
          <w:rFonts w:eastAsia="Malgun Gothic"/>
          <w:szCs w:val="24"/>
        </w:rPr>
        <w:t>arriving on (date)---------------------------- at (time)  ------------- departing on (date)----------</w:t>
      </w:r>
      <w:r w:rsidR="00540000">
        <w:rPr>
          <w:rFonts w:eastAsia="Malgun Gothic"/>
          <w:szCs w:val="24"/>
        </w:rPr>
        <w:t>-</w:t>
      </w:r>
      <w:r w:rsidRPr="00FC6C2C">
        <w:rPr>
          <w:rFonts w:eastAsia="Malgun Gothic"/>
          <w:szCs w:val="24"/>
        </w:rPr>
        <w:t>-----</w:t>
      </w:r>
    </w:p>
    <w:p w:rsidR="00845394" w:rsidRPr="00FC6C2C" w:rsidRDefault="00845394" w:rsidP="00FC6C2C">
      <w:pPr>
        <w:tabs>
          <w:tab w:val="left" w:pos="1440"/>
        </w:tabs>
        <w:spacing w:after="120" w:line="240" w:lineRule="atLeast"/>
        <w:ind w:left="284" w:right="516"/>
        <w:rPr>
          <w:rFonts w:eastAsia="Malgun Gothic"/>
          <w:szCs w:val="24"/>
        </w:rPr>
      </w:pPr>
    </w:p>
    <w:p w:rsidR="00845394" w:rsidRPr="00FC6C2C" w:rsidRDefault="00845394" w:rsidP="00D97119">
      <w:pPr>
        <w:tabs>
          <w:tab w:val="clear" w:pos="794"/>
          <w:tab w:val="clear" w:pos="1191"/>
          <w:tab w:val="clear" w:pos="1588"/>
          <w:tab w:val="clear" w:pos="1985"/>
        </w:tabs>
        <w:spacing w:before="100" w:after="100" w:afterAutospacing="1"/>
        <w:ind w:left="284"/>
        <w:outlineLvl w:val="3"/>
        <w:rPr>
          <w:rFonts w:eastAsia="SimSun"/>
          <w:iCs/>
          <w:szCs w:val="24"/>
          <w:lang w:val="en-US" w:eastAsia="zh-CN"/>
        </w:rPr>
      </w:pPr>
      <w:r w:rsidRPr="00FC6C2C">
        <w:rPr>
          <w:rFonts w:eastAsia="SimSun"/>
          <w:b/>
          <w:bCs/>
          <w:iCs/>
          <w:szCs w:val="24"/>
          <w:lang w:val="en-US" w:eastAsia="zh-CN"/>
        </w:rPr>
        <w:t xml:space="preserve">GENEVA TRANSPORT CARD: </w:t>
      </w:r>
      <w:r w:rsidRPr="00FC6C2C">
        <w:rPr>
          <w:rFonts w:eastAsia="SimSun"/>
          <w:iCs/>
          <w:szCs w:val="24"/>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45394" w:rsidRPr="00FC6C2C" w:rsidRDefault="00845394" w:rsidP="00FC6C2C">
      <w:pPr>
        <w:tabs>
          <w:tab w:val="left" w:pos="1440"/>
        </w:tabs>
        <w:spacing w:after="240" w:line="240" w:lineRule="atLeast"/>
        <w:ind w:left="284" w:right="516"/>
        <w:rPr>
          <w:rFonts w:eastAsia="Malgun Gothic"/>
          <w:szCs w:val="24"/>
          <w:lang w:val="en-US"/>
        </w:rPr>
      </w:pPr>
      <w:r w:rsidRPr="00FC6C2C">
        <w:rPr>
          <w:rFonts w:eastAsia="Malgun Gothic"/>
          <w:szCs w:val="24"/>
          <w:lang w:val="en-US"/>
        </w:rPr>
        <w:t>Family name  --------------------------------------------------------------------------------------------------</w:t>
      </w:r>
      <w:r w:rsidR="00540000">
        <w:rPr>
          <w:rFonts w:eastAsia="Malgun Gothic"/>
          <w:szCs w:val="24"/>
          <w:lang w:val="en-US"/>
        </w:rPr>
        <w:t>-</w:t>
      </w:r>
      <w:r w:rsidRPr="00FC6C2C">
        <w:rPr>
          <w:rFonts w:eastAsia="Malgun Gothic"/>
          <w:szCs w:val="24"/>
          <w:lang w:val="en-US"/>
        </w:rPr>
        <w:t>--</w:t>
      </w:r>
    </w:p>
    <w:p w:rsidR="00845394" w:rsidRPr="00FC6C2C" w:rsidRDefault="00845394" w:rsidP="00FC6C2C">
      <w:pPr>
        <w:tabs>
          <w:tab w:val="left" w:pos="1440"/>
        </w:tabs>
        <w:spacing w:after="240" w:line="240" w:lineRule="atLeast"/>
        <w:ind w:left="284" w:right="516"/>
        <w:rPr>
          <w:rFonts w:eastAsia="Malgun Gothic"/>
          <w:szCs w:val="24"/>
          <w:lang w:val="en-US"/>
        </w:rPr>
      </w:pPr>
      <w:r w:rsidRPr="00FC6C2C">
        <w:rPr>
          <w:rFonts w:eastAsia="Malgun Gothic"/>
          <w:szCs w:val="24"/>
          <w:lang w:val="en-US"/>
        </w:rPr>
        <w:t>First name  --------------------------------------------------------------------------------------------------------</w:t>
      </w:r>
    </w:p>
    <w:p w:rsidR="00845394" w:rsidRPr="00FC6C2C" w:rsidRDefault="00845394" w:rsidP="00FC6C2C">
      <w:pPr>
        <w:tabs>
          <w:tab w:val="left" w:pos="1440"/>
        </w:tabs>
        <w:spacing w:after="240" w:line="240" w:lineRule="atLeast"/>
        <w:ind w:left="284" w:right="516"/>
        <w:rPr>
          <w:rFonts w:eastAsia="Malgun Gothic"/>
          <w:iCs/>
          <w:szCs w:val="24"/>
          <w:lang w:val="en-US"/>
        </w:rPr>
      </w:pPr>
      <w:r w:rsidRPr="00FC6C2C">
        <w:rPr>
          <w:rFonts w:eastAsia="Malgun Gothic"/>
          <w:szCs w:val="24"/>
          <w:lang w:val="en-US"/>
        </w:rPr>
        <w:t xml:space="preserve">Address  -------------------------------------------------------------------        </w:t>
      </w:r>
      <w:r w:rsidRPr="00FC6C2C">
        <w:rPr>
          <w:rFonts w:eastAsia="Malgun Gothic"/>
          <w:iCs/>
          <w:szCs w:val="24"/>
          <w:lang w:val="en-US"/>
        </w:rPr>
        <w:t>Tel: -----------------------------</w:t>
      </w:r>
    </w:p>
    <w:p w:rsidR="00845394" w:rsidRPr="00FC6C2C" w:rsidRDefault="00845394" w:rsidP="00FC6C2C">
      <w:pPr>
        <w:tabs>
          <w:tab w:val="left" w:pos="1440"/>
        </w:tabs>
        <w:spacing w:after="240" w:line="240" w:lineRule="atLeast"/>
        <w:ind w:left="284" w:right="516"/>
        <w:rPr>
          <w:rFonts w:eastAsia="Malgun Gothic"/>
          <w:iCs/>
          <w:szCs w:val="24"/>
          <w:lang w:val="en-US"/>
        </w:rPr>
      </w:pPr>
      <w:r w:rsidRPr="00FC6C2C">
        <w:rPr>
          <w:rFonts w:eastAsia="Malgun Gothic"/>
          <w:iCs/>
          <w:szCs w:val="24"/>
          <w:lang w:val="en-US"/>
        </w:rPr>
        <w:t>----------------------------------------------------------------------------------     Fax: --------------------------</w:t>
      </w:r>
      <w:r w:rsidR="00540000">
        <w:rPr>
          <w:rFonts w:eastAsia="Malgun Gothic"/>
          <w:iCs/>
          <w:szCs w:val="24"/>
          <w:lang w:val="en-US"/>
        </w:rPr>
        <w:t>-</w:t>
      </w:r>
      <w:r w:rsidRPr="00FC6C2C">
        <w:rPr>
          <w:rFonts w:eastAsia="Malgun Gothic"/>
          <w:iCs/>
          <w:szCs w:val="24"/>
          <w:lang w:val="en-US"/>
        </w:rPr>
        <w:t>-</w:t>
      </w:r>
    </w:p>
    <w:p w:rsidR="00845394" w:rsidRPr="00FC6C2C" w:rsidRDefault="00845394" w:rsidP="00FC6C2C">
      <w:pPr>
        <w:tabs>
          <w:tab w:val="left" w:pos="1440"/>
        </w:tabs>
        <w:spacing w:after="240" w:line="240" w:lineRule="atLeast"/>
        <w:ind w:left="284" w:right="516"/>
        <w:rPr>
          <w:rFonts w:eastAsia="Malgun Gothic"/>
          <w:szCs w:val="24"/>
          <w:lang w:val="en-US"/>
        </w:rPr>
      </w:pPr>
      <w:r w:rsidRPr="00FC6C2C">
        <w:rPr>
          <w:rFonts w:eastAsia="Malgun Gothic"/>
          <w:iCs/>
          <w:szCs w:val="24"/>
          <w:lang w:val="en-US"/>
        </w:rPr>
        <w:t>-----------------------------------------------------------------------------------   E-mail:</w:t>
      </w:r>
      <w:r w:rsidRPr="00FC6C2C">
        <w:rPr>
          <w:rFonts w:eastAsia="Malgun Gothic"/>
          <w:szCs w:val="24"/>
          <w:lang w:val="en-US"/>
        </w:rPr>
        <w:t xml:space="preserve"> -------------------</w:t>
      </w:r>
      <w:r w:rsidR="00540000">
        <w:rPr>
          <w:rFonts w:eastAsia="Malgun Gothic"/>
          <w:szCs w:val="24"/>
          <w:lang w:val="en-US"/>
        </w:rPr>
        <w:t>-</w:t>
      </w:r>
      <w:r w:rsidRPr="00FC6C2C">
        <w:rPr>
          <w:rFonts w:eastAsia="Malgun Gothic"/>
          <w:szCs w:val="24"/>
          <w:lang w:val="en-US"/>
        </w:rPr>
        <w:t>-----</w:t>
      </w:r>
    </w:p>
    <w:p w:rsidR="00845394" w:rsidRPr="00FC6C2C" w:rsidRDefault="00845394" w:rsidP="00FC6C2C">
      <w:pPr>
        <w:tabs>
          <w:tab w:val="left" w:pos="1440"/>
        </w:tabs>
        <w:spacing w:after="120" w:line="240" w:lineRule="atLeast"/>
        <w:ind w:left="284" w:right="516"/>
        <w:rPr>
          <w:rFonts w:eastAsia="Malgun Gothic"/>
          <w:szCs w:val="24"/>
          <w:lang w:val="en-US"/>
        </w:rPr>
      </w:pPr>
      <w:r w:rsidRPr="00FC6C2C">
        <w:rPr>
          <w:rFonts w:eastAsia="Malgun Gothic"/>
          <w:szCs w:val="24"/>
        </w:rPr>
        <w:t>Credit card to guarantee this reservation:   AX/VISA/DINERS/EC  (</w:t>
      </w:r>
      <w:r w:rsidRPr="00FC6C2C">
        <w:rPr>
          <w:rFonts w:eastAsia="Malgun Gothic"/>
          <w:iCs/>
          <w:szCs w:val="24"/>
        </w:rPr>
        <w:t>or</w:t>
      </w:r>
      <w:r w:rsidRPr="00FC6C2C">
        <w:rPr>
          <w:rFonts w:eastAsia="Malgun Gothic"/>
          <w:szCs w:val="24"/>
        </w:rPr>
        <w:t xml:space="preserve"> </w:t>
      </w:r>
      <w:r w:rsidRPr="00FC6C2C">
        <w:rPr>
          <w:rFonts w:eastAsia="Malgun Gothic"/>
          <w:szCs w:val="24"/>
          <w:lang w:val="en-US"/>
        </w:rPr>
        <w:t>other) ----------------------</w:t>
      </w:r>
    </w:p>
    <w:p w:rsidR="00845394" w:rsidRPr="00FC6C2C" w:rsidRDefault="00845394" w:rsidP="00D97119">
      <w:pPr>
        <w:tabs>
          <w:tab w:val="left" w:pos="1440"/>
        </w:tabs>
        <w:spacing w:before="100" w:line="240" w:lineRule="atLeast"/>
        <w:ind w:left="284" w:right="515"/>
        <w:rPr>
          <w:rFonts w:eastAsia="Malgun Gothic"/>
          <w:szCs w:val="24"/>
          <w:lang w:val="en-US"/>
        </w:rPr>
      </w:pPr>
    </w:p>
    <w:p w:rsidR="00845394" w:rsidRPr="00FC6C2C" w:rsidRDefault="00845394" w:rsidP="00D97119">
      <w:pPr>
        <w:tabs>
          <w:tab w:val="left" w:pos="1440"/>
        </w:tabs>
        <w:spacing w:before="100" w:line="240" w:lineRule="atLeast"/>
        <w:ind w:left="284" w:right="515"/>
        <w:rPr>
          <w:rFonts w:eastAsia="Malgun Gothic"/>
          <w:szCs w:val="24"/>
          <w:lang w:val="en-US"/>
        </w:rPr>
      </w:pPr>
      <w:r w:rsidRPr="00FC6C2C">
        <w:rPr>
          <w:rFonts w:eastAsia="Malgun Gothic"/>
          <w:iCs/>
          <w:szCs w:val="24"/>
          <w:lang w:val="en-US"/>
        </w:rPr>
        <w:t xml:space="preserve">No. </w:t>
      </w:r>
      <w:r w:rsidRPr="00FC6C2C">
        <w:rPr>
          <w:rFonts w:eastAsia="Malgun Gothic"/>
          <w:szCs w:val="24"/>
          <w:lang w:val="en-US"/>
        </w:rPr>
        <w:t>--------------------------------------------------------  valid until  --------------------------------</w:t>
      </w:r>
      <w:r w:rsidR="00540000">
        <w:rPr>
          <w:rFonts w:eastAsia="Malgun Gothic"/>
          <w:szCs w:val="24"/>
          <w:lang w:val="en-US"/>
        </w:rPr>
        <w:t>-</w:t>
      </w:r>
      <w:r w:rsidRPr="00FC6C2C">
        <w:rPr>
          <w:rFonts w:eastAsia="Malgun Gothic"/>
          <w:szCs w:val="24"/>
          <w:lang w:val="en-US"/>
        </w:rPr>
        <w:t>----------</w:t>
      </w:r>
    </w:p>
    <w:p w:rsidR="00845394" w:rsidRPr="00FC6C2C" w:rsidRDefault="00845394" w:rsidP="00D97119">
      <w:pPr>
        <w:tabs>
          <w:tab w:val="left" w:pos="1440"/>
        </w:tabs>
        <w:spacing w:before="100" w:line="240" w:lineRule="atLeast"/>
        <w:ind w:left="284" w:right="515"/>
        <w:rPr>
          <w:rFonts w:eastAsia="Malgun Gothic"/>
          <w:szCs w:val="24"/>
          <w:lang w:val="en-US"/>
        </w:rPr>
      </w:pPr>
    </w:p>
    <w:p w:rsidR="00AF5634" w:rsidRPr="00FC6C2C" w:rsidRDefault="00845394" w:rsidP="00D97119">
      <w:pPr>
        <w:tabs>
          <w:tab w:val="left" w:pos="1440"/>
        </w:tabs>
        <w:spacing w:before="100" w:line="240" w:lineRule="atLeast"/>
        <w:ind w:left="284" w:right="515"/>
        <w:rPr>
          <w:rFonts w:eastAsia="Malgun Gothic"/>
          <w:szCs w:val="24"/>
        </w:rPr>
      </w:pPr>
      <w:r w:rsidRPr="00FC6C2C">
        <w:rPr>
          <w:rFonts w:eastAsia="Malgun Gothic"/>
          <w:szCs w:val="24"/>
        </w:rPr>
        <w:t>Date ------------------------------------------------------  Signature  ------------------------------</w:t>
      </w:r>
      <w:r w:rsidR="00540000">
        <w:rPr>
          <w:rFonts w:eastAsia="Malgun Gothic"/>
          <w:szCs w:val="24"/>
        </w:rPr>
        <w:t>-</w:t>
      </w:r>
      <w:r w:rsidRPr="00FC6C2C">
        <w:rPr>
          <w:rFonts w:eastAsia="Malgun Gothic"/>
          <w:szCs w:val="24"/>
        </w:rPr>
        <w:t>-------------</w:t>
      </w:r>
    </w:p>
    <w:p w:rsidR="00AF5634" w:rsidRDefault="00AF5634">
      <w:pPr>
        <w:tabs>
          <w:tab w:val="clear" w:pos="794"/>
          <w:tab w:val="clear" w:pos="1191"/>
          <w:tab w:val="clear" w:pos="1588"/>
          <w:tab w:val="clear" w:pos="1985"/>
        </w:tabs>
        <w:overflowPunct/>
        <w:autoSpaceDE/>
        <w:autoSpaceDN/>
        <w:adjustRightInd/>
        <w:spacing w:before="0"/>
        <w:textAlignment w:val="auto"/>
        <w:rPr>
          <w:rFonts w:eastAsia="Malgun Gothic"/>
          <w:sz w:val="20"/>
        </w:rPr>
      </w:pPr>
    </w:p>
    <w:p w:rsidR="00540000" w:rsidRDefault="00540000" w:rsidP="00FC6C2C">
      <w:pPr>
        <w:tabs>
          <w:tab w:val="clear" w:pos="794"/>
          <w:tab w:val="clear" w:pos="1191"/>
          <w:tab w:val="clear" w:pos="1588"/>
          <w:tab w:val="clear" w:pos="1985"/>
        </w:tabs>
        <w:overflowPunct/>
        <w:autoSpaceDE/>
        <w:autoSpaceDN/>
        <w:adjustRightInd/>
        <w:spacing w:before="0"/>
        <w:jc w:val="center"/>
        <w:textAlignment w:val="auto"/>
        <w:rPr>
          <w:rFonts w:eastAsia="Malgun Gothic"/>
          <w:sz w:val="20"/>
        </w:rPr>
      </w:pPr>
      <w:r w:rsidRPr="00FC6C2C">
        <w:rPr>
          <w:rFonts w:eastAsia="Malgun Gothic"/>
          <w:sz w:val="20"/>
        </w:rPr>
        <w:t>___________________________</w:t>
      </w:r>
    </w:p>
    <w:sectPr w:rsidR="00540000" w:rsidSect="002F6530">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A90" w:rsidRDefault="00733A90">
      <w:r>
        <w:separator/>
      </w:r>
    </w:p>
  </w:endnote>
  <w:endnote w:type="continuationSeparator" w:id="0">
    <w:p w:rsidR="00733A90" w:rsidRDefault="0073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A55EDC" w:rsidP="00D97119">
    <w:pPr>
      <w:pStyle w:val="Footer"/>
      <w:tabs>
        <w:tab w:val="clear" w:pos="794"/>
        <w:tab w:val="clear" w:pos="1191"/>
        <w:tab w:val="clear" w:pos="1588"/>
        <w:tab w:val="clear" w:pos="1985"/>
      </w:tabs>
      <w:rPr>
        <w:lang w:val="fr-CH"/>
      </w:rPr>
    </w:pPr>
    <w:r>
      <w:rPr>
        <w:lang w:val="fr-CH"/>
      </w:rPr>
      <w:t>ITU-T\BUREAU\CIRC</w:t>
    </w:r>
    <w:r w:rsidR="00D97119">
      <w:rPr>
        <w:lang w:val="fr-CH"/>
      </w:rPr>
      <w:t>114</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A90" w:rsidRDefault="00733A90">
      <w:r>
        <w:t>____________________</w:t>
      </w:r>
    </w:p>
  </w:footnote>
  <w:footnote w:type="continuationSeparator" w:id="0">
    <w:p w:rsidR="00733A90" w:rsidRDefault="00733A90">
      <w:r>
        <w:continuationSeparator/>
      </w:r>
    </w:p>
  </w:footnote>
  <w:footnote w:id="1">
    <w:p w:rsidR="00845394" w:rsidRDefault="00845394" w:rsidP="00845394">
      <w:pPr>
        <w:pStyle w:val="FootnoteText"/>
        <w:rPr>
          <w:sz w:val="20"/>
          <w:szCs w:val="16"/>
          <w:lang w:val="en-US"/>
        </w:rPr>
      </w:pPr>
      <w:r>
        <w:rPr>
          <w:rStyle w:val="FootnoteReference"/>
          <w:sz w:val="12"/>
          <w:szCs w:val="16"/>
        </w:rPr>
        <w:footnoteRef/>
      </w:r>
      <w:r>
        <w:rPr>
          <w:sz w:val="20"/>
          <w:szCs w:val="16"/>
        </w:rPr>
        <w:tab/>
        <w:t xml:space="preserve">A model for such a request is found at </w:t>
      </w:r>
      <w:hyperlink r:id="rId1" w:history="1">
        <w:r>
          <w:rPr>
            <w:rStyle w:val="Hyperlink"/>
            <w:sz w:val="20"/>
            <w:szCs w:val="16"/>
          </w:rPr>
          <w:t>http://itu.int/en/ITU-T/info/Documents/Visa-support-letter_MODEL.pdf</w:t>
        </w:r>
      </w:hyperlink>
      <w:r>
        <w:rPr>
          <w:sz w:val="20"/>
          <w:szCs w:val="16"/>
        </w:rPr>
        <w:t>.</w:t>
      </w:r>
    </w:p>
  </w:footnote>
  <w:footnote w:id="2">
    <w:p w:rsidR="00845394" w:rsidRPr="00615ACE" w:rsidRDefault="00845394" w:rsidP="00845394">
      <w:pPr>
        <w:pStyle w:val="FootnoteText"/>
        <w:rPr>
          <w:lang w:val="en-US"/>
        </w:rPr>
      </w:pPr>
      <w:r>
        <w:rPr>
          <w:rStyle w:val="FootnoteReference"/>
        </w:rPr>
        <w:footnoteRef/>
      </w:r>
      <w:r>
        <w:t xml:space="preserve"> </w:t>
      </w:r>
      <w:r w:rsidRPr="00615ACE">
        <w:rPr>
          <w:sz w:val="20"/>
          <w:szCs w:val="16"/>
          <w:lang w:val="en-US"/>
        </w:rPr>
        <w:t>Unstructured Supplementary Service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497D51">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5BD6113"/>
    <w:multiLevelType w:val="hybridMultilevel"/>
    <w:tmpl w:val="9DBA6008"/>
    <w:lvl w:ilvl="0" w:tplc="099CF77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663AC"/>
    <w:multiLevelType w:val="hybridMultilevel"/>
    <w:tmpl w:val="D4D6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5"/>
  </w:num>
  <w:num w:numId="14">
    <w:abstractNumId w:val="12"/>
  </w:num>
  <w:num w:numId="15">
    <w:abstractNumId w:val="1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94"/>
    <w:rsid w:val="000069D4"/>
    <w:rsid w:val="000174AD"/>
    <w:rsid w:val="000305E1"/>
    <w:rsid w:val="000310F0"/>
    <w:rsid w:val="00066FD0"/>
    <w:rsid w:val="000A7D55"/>
    <w:rsid w:val="000C2E8E"/>
    <w:rsid w:val="000D49FB"/>
    <w:rsid w:val="000E0E7C"/>
    <w:rsid w:val="000E6448"/>
    <w:rsid w:val="000F1B4B"/>
    <w:rsid w:val="0012744F"/>
    <w:rsid w:val="00156DFF"/>
    <w:rsid w:val="00156F66"/>
    <w:rsid w:val="00182528"/>
    <w:rsid w:val="0018500B"/>
    <w:rsid w:val="00196A19"/>
    <w:rsid w:val="00196AB1"/>
    <w:rsid w:val="00202DC1"/>
    <w:rsid w:val="002116EE"/>
    <w:rsid w:val="002309D8"/>
    <w:rsid w:val="0024447A"/>
    <w:rsid w:val="00287BF1"/>
    <w:rsid w:val="002A7FE2"/>
    <w:rsid w:val="002B711C"/>
    <w:rsid w:val="002E1B4F"/>
    <w:rsid w:val="002F2E67"/>
    <w:rsid w:val="002F6530"/>
    <w:rsid w:val="00301779"/>
    <w:rsid w:val="00315546"/>
    <w:rsid w:val="00330567"/>
    <w:rsid w:val="00347CCE"/>
    <w:rsid w:val="00351DA5"/>
    <w:rsid w:val="00383598"/>
    <w:rsid w:val="00386A9D"/>
    <w:rsid w:val="00391081"/>
    <w:rsid w:val="003B2789"/>
    <w:rsid w:val="003B7AFF"/>
    <w:rsid w:val="003C13CE"/>
    <w:rsid w:val="003E2518"/>
    <w:rsid w:val="00403DC3"/>
    <w:rsid w:val="004314A2"/>
    <w:rsid w:val="00497D51"/>
    <w:rsid w:val="004B1EF7"/>
    <w:rsid w:val="004B3FAD"/>
    <w:rsid w:val="004E3CF9"/>
    <w:rsid w:val="00501DCA"/>
    <w:rsid w:val="00513A47"/>
    <w:rsid w:val="00540000"/>
    <w:rsid w:val="005408DF"/>
    <w:rsid w:val="00545256"/>
    <w:rsid w:val="0055318D"/>
    <w:rsid w:val="005541C1"/>
    <w:rsid w:val="00573344"/>
    <w:rsid w:val="00576D15"/>
    <w:rsid w:val="00583F9B"/>
    <w:rsid w:val="005E1223"/>
    <w:rsid w:val="005E5C10"/>
    <w:rsid w:val="005F2C78"/>
    <w:rsid w:val="005F63F0"/>
    <w:rsid w:val="006144E4"/>
    <w:rsid w:val="00624555"/>
    <w:rsid w:val="00650299"/>
    <w:rsid w:val="00655FC5"/>
    <w:rsid w:val="006976BA"/>
    <w:rsid w:val="00705F9E"/>
    <w:rsid w:val="00733A90"/>
    <w:rsid w:val="007632B1"/>
    <w:rsid w:val="00765308"/>
    <w:rsid w:val="00797060"/>
    <w:rsid w:val="007D2F64"/>
    <w:rsid w:val="007F10E7"/>
    <w:rsid w:val="00801031"/>
    <w:rsid w:val="00802953"/>
    <w:rsid w:val="00807FF1"/>
    <w:rsid w:val="00822581"/>
    <w:rsid w:val="008309DD"/>
    <w:rsid w:val="0083227A"/>
    <w:rsid w:val="00845394"/>
    <w:rsid w:val="00857C67"/>
    <w:rsid w:val="00866900"/>
    <w:rsid w:val="00870336"/>
    <w:rsid w:val="0087300D"/>
    <w:rsid w:val="00881BA1"/>
    <w:rsid w:val="008862B6"/>
    <w:rsid w:val="00886374"/>
    <w:rsid w:val="008A0A55"/>
    <w:rsid w:val="008B4392"/>
    <w:rsid w:val="008C26B8"/>
    <w:rsid w:val="009273EC"/>
    <w:rsid w:val="00932E45"/>
    <w:rsid w:val="00951309"/>
    <w:rsid w:val="00964CF0"/>
    <w:rsid w:val="00982084"/>
    <w:rsid w:val="00991A72"/>
    <w:rsid w:val="00995963"/>
    <w:rsid w:val="009A54D9"/>
    <w:rsid w:val="009A611F"/>
    <w:rsid w:val="009B61EB"/>
    <w:rsid w:val="009B6449"/>
    <w:rsid w:val="009C2064"/>
    <w:rsid w:val="009D0B8F"/>
    <w:rsid w:val="009D1697"/>
    <w:rsid w:val="009E5F82"/>
    <w:rsid w:val="00A014F8"/>
    <w:rsid w:val="00A11DCA"/>
    <w:rsid w:val="00A5173C"/>
    <w:rsid w:val="00A55EDC"/>
    <w:rsid w:val="00A61AEF"/>
    <w:rsid w:val="00AA1543"/>
    <w:rsid w:val="00AB0FFD"/>
    <w:rsid w:val="00AD7192"/>
    <w:rsid w:val="00AF10F1"/>
    <w:rsid w:val="00AF173A"/>
    <w:rsid w:val="00AF5634"/>
    <w:rsid w:val="00B066A4"/>
    <w:rsid w:val="00B07A13"/>
    <w:rsid w:val="00B143E2"/>
    <w:rsid w:val="00B4279B"/>
    <w:rsid w:val="00B45FC9"/>
    <w:rsid w:val="00B61F60"/>
    <w:rsid w:val="00B83461"/>
    <w:rsid w:val="00BA63F4"/>
    <w:rsid w:val="00BC7CCF"/>
    <w:rsid w:val="00BD0E50"/>
    <w:rsid w:val="00BE470B"/>
    <w:rsid w:val="00C018E7"/>
    <w:rsid w:val="00C347FF"/>
    <w:rsid w:val="00C57A91"/>
    <w:rsid w:val="00C707C8"/>
    <w:rsid w:val="00C740E1"/>
    <w:rsid w:val="00CB43AF"/>
    <w:rsid w:val="00CC01C2"/>
    <w:rsid w:val="00CE3A3D"/>
    <w:rsid w:val="00CF21F2"/>
    <w:rsid w:val="00D02712"/>
    <w:rsid w:val="00D0795E"/>
    <w:rsid w:val="00D214D0"/>
    <w:rsid w:val="00D60432"/>
    <w:rsid w:val="00D6546B"/>
    <w:rsid w:val="00D65A6D"/>
    <w:rsid w:val="00D8774C"/>
    <w:rsid w:val="00D97119"/>
    <w:rsid w:val="00DB586F"/>
    <w:rsid w:val="00DD4BED"/>
    <w:rsid w:val="00DE39F0"/>
    <w:rsid w:val="00DF0AF3"/>
    <w:rsid w:val="00E17CCC"/>
    <w:rsid w:val="00E27D7E"/>
    <w:rsid w:val="00E34935"/>
    <w:rsid w:val="00E42E13"/>
    <w:rsid w:val="00E4452F"/>
    <w:rsid w:val="00E6257C"/>
    <w:rsid w:val="00E63C59"/>
    <w:rsid w:val="00E91C72"/>
    <w:rsid w:val="00EC4B23"/>
    <w:rsid w:val="00EC51E0"/>
    <w:rsid w:val="00F10549"/>
    <w:rsid w:val="00FA124A"/>
    <w:rsid w:val="00FC08DD"/>
    <w:rsid w:val="00FC2316"/>
    <w:rsid w:val="00FC2CFD"/>
    <w:rsid w:val="00FC6C2C"/>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1D1EB8D-6D69-48DE-987D-1CEE63B0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845394"/>
    <w:pPr>
      <w:ind w:left="720"/>
      <w:contextualSpacing/>
      <w:jc w:val="both"/>
      <w:textAlignment w:val="auto"/>
    </w:pPr>
    <w:rPr>
      <w:rFonts w:ascii="Times New Roman" w:hAnsi="Times New Roman"/>
    </w:rPr>
  </w:style>
  <w:style w:type="character" w:customStyle="1" w:styleId="hps">
    <w:name w:val="hps"/>
    <w:basedOn w:val="DefaultParagraphFont"/>
    <w:rsid w:val="00845394"/>
  </w:style>
  <w:style w:type="character" w:customStyle="1" w:styleId="A4">
    <w:name w:val="A4"/>
    <w:uiPriority w:val="99"/>
    <w:rsid w:val="00845394"/>
    <w:rPr>
      <w:rFonts w:cs="HelveticaNeueLT Std"/>
      <w:color w:val="000000"/>
    </w:rPr>
  </w:style>
  <w:style w:type="character" w:customStyle="1" w:styleId="FootnoteTextChar">
    <w:name w:val="Footnote Text Char"/>
    <w:basedOn w:val="DefaultParagraphFont"/>
    <w:link w:val="FootnoteText"/>
    <w:uiPriority w:val="99"/>
    <w:rsid w:val="00845394"/>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focusgroups/dfs/Pages/default.aspx" TargetMode="External"/><Relationship Id="rId18" Type="http://schemas.openxmlformats.org/officeDocument/2006/relationships/hyperlink" Target="http://www.itu.int/en/ITU-T/focusgroups/dfs/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focusgroups/dfs/Pages/default.aspx" TargetMode="External"/><Relationship Id="rId17" Type="http://schemas.openxmlformats.org/officeDocument/2006/relationships/hyperlink" Target="http://www.itu.int/trave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fds/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fa.itu.int/t/fg/dfs/docs/1412-gva/in/" TargetMode="External"/><Relationship Id="rId23" Type="http://schemas.openxmlformats.org/officeDocument/2006/relationships/footer" Target="footer2.xml"/><Relationship Id="rId10" Type="http://schemas.openxmlformats.org/officeDocument/2006/relationships/hyperlink" Target="http://www.itu.int/en/ITU-T/focusgroups/dfs/Pages/default.aspx" TargetMode="External"/><Relationship Id="rId19"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fgdfs@itu.int" TargetMode="External"/><Relationship Id="rId14" Type="http://schemas.openxmlformats.org/officeDocument/2006/relationships/hyperlink" Target="mailto:tsbfgdfs@itu.int"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F483-25BA-46FD-940C-3562FD72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9</Pages>
  <Words>2940</Words>
  <Characters>18417</Characters>
  <Application>Microsoft Office Word</Application>
  <DocSecurity>4</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Bettini, Nadine</dc:creator>
  <cp:lastModifiedBy>Bettini, Nadine</cp:lastModifiedBy>
  <cp:revision>2</cp:revision>
  <cp:lastPrinted>2014-08-25T13:04:00Z</cp:lastPrinted>
  <dcterms:created xsi:type="dcterms:W3CDTF">2014-08-25T13:11:00Z</dcterms:created>
  <dcterms:modified xsi:type="dcterms:W3CDTF">2014-08-25T13:11:00Z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