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D63425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162032" w:rsidRDefault="00951309" w:rsidP="002F6530">
            <w:pPr>
              <w:pStyle w:val="Tabletext"/>
              <w:rPr>
                <w:sz w:val="32"/>
                <w:szCs w:val="32"/>
              </w:rPr>
            </w:pPr>
            <w:r w:rsidRPr="00162032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162032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03255DA" wp14:editId="46143D20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D63425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162032" w:rsidP="00476BB7">
            <w:pPr>
              <w:pStyle w:val="Tabletext"/>
              <w:spacing w:before="480" w:after="120"/>
            </w:pPr>
            <w:r>
              <w:t xml:space="preserve">Geneva, </w:t>
            </w:r>
            <w:r w:rsidR="00476BB7">
              <w:t>18 July 2014</w:t>
            </w:r>
          </w:p>
        </w:tc>
      </w:tr>
      <w:tr w:rsidR="00951309" w:rsidTr="00D63425">
        <w:trPr>
          <w:cantSplit/>
          <w:trHeight w:val="80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:rsidR="00951309" w:rsidRPr="000305E1" w:rsidRDefault="00951309" w:rsidP="00883B88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883B88">
              <w:rPr>
                <w:b/>
                <w:bCs/>
              </w:rPr>
              <w:t>108</w:t>
            </w:r>
          </w:p>
          <w:p w:rsidR="00951309" w:rsidRPr="00F36AC4" w:rsidRDefault="00476BB7" w:rsidP="000305E1">
            <w:pPr>
              <w:pStyle w:val="Tabletext"/>
            </w:pPr>
            <w:r>
              <w:t>TSAG/RS</w:t>
            </w:r>
          </w:p>
        </w:tc>
        <w:tc>
          <w:tcPr>
            <w:tcW w:w="4394" w:type="dxa"/>
            <w:vMerge w:val="restart"/>
          </w:tcPr>
          <w:p w:rsidR="00951309" w:rsidRDefault="007E51DC" w:rsidP="002C0244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951309" w:rsidTr="00D63425">
        <w:trPr>
          <w:cantSplit/>
          <w:trHeight w:val="28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53" w:type="dxa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D63425">
        <w:trPr>
          <w:cantSplit/>
          <w:trHeight w:val="22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476BB7">
              <w:t>5860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D63425">
        <w:trPr>
          <w:cantSplit/>
          <w:trHeight w:val="28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D63425">
        <w:trPr>
          <w:cantSplit/>
          <w:trHeight w:val="165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:rsidR="00951309" w:rsidRPr="00F36AC4" w:rsidRDefault="009A10A9" w:rsidP="002F6530">
            <w:pPr>
              <w:pStyle w:val="Tabletext"/>
            </w:pPr>
            <w:hyperlink r:id="rId10" w:history="1">
              <w:r w:rsidR="00B16417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394" w:type="dxa"/>
          </w:tcPr>
          <w:p w:rsidR="002C0244" w:rsidRDefault="00951309" w:rsidP="002C0244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476BB7" w:rsidRDefault="002C0244" w:rsidP="00476BB7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</w:t>
            </w:r>
            <w:r>
              <w:tab/>
            </w:r>
            <w:r w:rsidR="00476BB7">
              <w:t>To ITU-T Sector Members;</w:t>
            </w:r>
          </w:p>
          <w:p w:rsidR="00476BB7" w:rsidRDefault="00476BB7" w:rsidP="00476BB7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 To ITU-T Associates;</w:t>
            </w:r>
          </w:p>
          <w:p w:rsidR="00476BB7" w:rsidRDefault="00476BB7" w:rsidP="00476B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To the Chairman and Vice-Chairmen of the Telecommunication Standardization Advisory Group (TSAG);</w:t>
            </w:r>
          </w:p>
          <w:p w:rsidR="00476BB7" w:rsidRDefault="00476BB7" w:rsidP="00476BB7">
            <w:pPr>
              <w:tabs>
                <w:tab w:val="left" w:pos="141"/>
              </w:tabs>
              <w:spacing w:before="0"/>
              <w:ind w:left="141" w:hanging="141"/>
            </w:pPr>
            <w:r>
              <w:t>-</w:t>
            </w:r>
            <w:r>
              <w:tab/>
              <w:t>To the Director of the Radiocommunication Bureau;</w:t>
            </w:r>
          </w:p>
          <w:p w:rsidR="00951309" w:rsidRDefault="00476BB7" w:rsidP="00476BB7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</w:t>
            </w:r>
          </w:p>
        </w:tc>
      </w:tr>
      <w:tr w:rsidR="00951309" w:rsidRPr="009B6449" w:rsidTr="00D63425">
        <w:trPr>
          <w:cantSplit/>
          <w:trHeight w:val="80"/>
        </w:trPr>
        <w:tc>
          <w:tcPr>
            <w:tcW w:w="1134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:rsidR="00951309" w:rsidRPr="009B6449" w:rsidRDefault="00476BB7" w:rsidP="00BE0BC0">
            <w:pPr>
              <w:pStyle w:val="Tabletext"/>
            </w:pPr>
            <w:r>
              <w:rPr>
                <w:b/>
              </w:rPr>
              <w:t>Approval of  revised Annex A to Recommendation  ITU-T A.23</w:t>
            </w:r>
          </w:p>
        </w:tc>
      </w:tr>
    </w:tbl>
    <w:p w:rsidR="000B46FB" w:rsidRDefault="000B46FB" w:rsidP="0053262A">
      <w:pPr>
        <w:spacing w:before="360"/>
      </w:pPr>
      <w:bookmarkStart w:id="2" w:name="StartTyping_E"/>
      <w:bookmarkEnd w:id="2"/>
      <w:r>
        <w:t>Dear Sir/Madam,</w:t>
      </w:r>
    </w:p>
    <w:p w:rsidR="001B5E26" w:rsidRDefault="002C0244" w:rsidP="00883B88">
      <w:r>
        <w:rPr>
          <w:bCs/>
        </w:rPr>
        <w:t>1</w:t>
      </w:r>
      <w:r>
        <w:tab/>
        <w:t xml:space="preserve">Further to TSB Circular </w:t>
      </w:r>
      <w:r w:rsidR="00476BB7">
        <w:t>85</w:t>
      </w:r>
      <w:r>
        <w:t xml:space="preserve"> of</w:t>
      </w:r>
      <w:r w:rsidR="00883B88">
        <w:t xml:space="preserve"> 5 March</w:t>
      </w:r>
      <w:r w:rsidR="00F24046">
        <w:t xml:space="preserve"> 2014</w:t>
      </w:r>
      <w:r w:rsidR="00307EF0">
        <w:t xml:space="preserve">, I hereby inform you that </w:t>
      </w:r>
      <w:r w:rsidR="001B5E26">
        <w:t>TSAG</w:t>
      </w:r>
      <w:r>
        <w:t xml:space="preserve"> </w:t>
      </w:r>
      <w:r>
        <w:rPr>
          <w:b/>
        </w:rPr>
        <w:t>approved</w:t>
      </w:r>
      <w:r>
        <w:t xml:space="preserve"> the text of </w:t>
      </w:r>
      <w:r w:rsidR="001B5E26">
        <w:t>the revised Annex A to</w:t>
      </w:r>
      <w:bookmarkStart w:id="3" w:name="_GoBack"/>
      <w:bookmarkEnd w:id="3"/>
      <w:r w:rsidR="001B5E26">
        <w:t xml:space="preserve"> Recommendation ITU-T A.23 during its </w:t>
      </w:r>
      <w:proofErr w:type="gramStart"/>
      <w:r w:rsidR="001B5E26">
        <w:t>Plenary</w:t>
      </w:r>
      <w:proofErr w:type="gramEnd"/>
      <w:r w:rsidR="001B5E26">
        <w:t xml:space="preserve"> session held on 20 June 2014.</w:t>
      </w:r>
    </w:p>
    <w:p w:rsidR="002C0244" w:rsidRDefault="002C0244" w:rsidP="001B5E26">
      <w:r>
        <w:rPr>
          <w:bCs/>
        </w:rPr>
        <w:t>2</w:t>
      </w:r>
      <w:r>
        <w:tab/>
        <w:t>The title of the revised ITU-T Recommendation which was approved is:</w:t>
      </w:r>
    </w:p>
    <w:p w:rsidR="00821366" w:rsidRPr="003A460D" w:rsidRDefault="00B150C5">
      <w:pPr>
        <w:rPr>
          <w:b/>
        </w:rPr>
      </w:pPr>
      <w:r w:rsidRPr="00B150C5">
        <w:rPr>
          <w:b/>
        </w:rPr>
        <w:t xml:space="preserve">Annex A to Recommendation ITU-T A.23 </w:t>
      </w:r>
      <w:r w:rsidR="00821366">
        <w:rPr>
          <w:b/>
        </w:rPr>
        <w:t xml:space="preserve">– </w:t>
      </w:r>
      <w:r w:rsidRPr="00B150C5">
        <w:rPr>
          <w:b/>
        </w:rPr>
        <w:t>Guide for ITU-T and ISO/IEC JTC 1 cooperation</w:t>
      </w:r>
    </w:p>
    <w:p w:rsidR="002C0244" w:rsidRDefault="002C0244" w:rsidP="002C0244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2C0244" w:rsidRDefault="002C0244" w:rsidP="00883B88">
      <w:r>
        <w:t>4</w:t>
      </w:r>
      <w:r>
        <w:tab/>
        <w:t>The text of the pre-published Recommendation will soon be available on the ITU</w:t>
      </w:r>
      <w:r>
        <w:noBreakHyphen/>
        <w:t>T Website.</w:t>
      </w:r>
    </w:p>
    <w:p w:rsidR="000B46FB" w:rsidRDefault="002C0244" w:rsidP="00883B88">
      <w:r>
        <w:rPr>
          <w:bCs/>
        </w:rPr>
        <w:t>5</w:t>
      </w:r>
      <w:r>
        <w:tab/>
        <w:t>The text of this Recommendation will be published by ITU as soon as possible.</w:t>
      </w:r>
    </w:p>
    <w:p w:rsidR="003A460D" w:rsidRDefault="000B46FB" w:rsidP="00B150C5">
      <w:pPr>
        <w:spacing w:before="480"/>
      </w:pPr>
      <w:r>
        <w:t>Yours faithfully,</w:t>
      </w:r>
      <w:r w:rsidR="00B150C5">
        <w:br/>
      </w:r>
      <w:r w:rsidR="00B150C5">
        <w:br/>
      </w:r>
    </w:p>
    <w:p w:rsidR="0087300D" w:rsidRPr="003F0DED" w:rsidRDefault="00B150C5" w:rsidP="00B150C5">
      <w:pPr>
        <w:spacing w:before="480"/>
      </w:pPr>
      <w:r>
        <w:br/>
      </w:r>
      <w:r>
        <w:br/>
      </w:r>
      <w:r>
        <w:br/>
      </w:r>
      <w:r w:rsidR="000B46FB" w:rsidRPr="00A47ABB">
        <w:rPr>
          <w:szCs w:val="24"/>
        </w:rPr>
        <w:t>Malcolm Johnson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RPr="003F0DED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01" w:rsidRDefault="00FC0E01">
      <w:r>
        <w:separator/>
      </w:r>
    </w:p>
  </w:endnote>
  <w:endnote w:type="continuationSeparator" w:id="0">
    <w:p w:rsidR="00FC0E01" w:rsidRDefault="00FC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96AB1" w:rsidRDefault="00196AB1" w:rsidP="00196AB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145">
      <w:t>21.05.14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01" w:rsidRDefault="00FC0E01">
      <w:r>
        <w:t>____________________</w:t>
      </w:r>
    </w:p>
  </w:footnote>
  <w:footnote w:type="continuationSeparator" w:id="0">
    <w:p w:rsidR="00FC0E01" w:rsidRDefault="00FC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1" w:rsidRDefault="009A10A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3A460D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5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356CA"/>
    <w:rsid w:val="00156DFF"/>
    <w:rsid w:val="00156F66"/>
    <w:rsid w:val="00162032"/>
    <w:rsid w:val="00182528"/>
    <w:rsid w:val="0018500B"/>
    <w:rsid w:val="00196A19"/>
    <w:rsid w:val="00196AB1"/>
    <w:rsid w:val="001B5E26"/>
    <w:rsid w:val="001C3CDB"/>
    <w:rsid w:val="00202DC1"/>
    <w:rsid w:val="002116EE"/>
    <w:rsid w:val="002309D8"/>
    <w:rsid w:val="0023525C"/>
    <w:rsid w:val="002522EF"/>
    <w:rsid w:val="00287BF1"/>
    <w:rsid w:val="002A7FE2"/>
    <w:rsid w:val="002B711C"/>
    <w:rsid w:val="002C0244"/>
    <w:rsid w:val="002E1B4F"/>
    <w:rsid w:val="002F2E67"/>
    <w:rsid w:val="002F6530"/>
    <w:rsid w:val="00307EF0"/>
    <w:rsid w:val="00315546"/>
    <w:rsid w:val="00330567"/>
    <w:rsid w:val="00351DA5"/>
    <w:rsid w:val="00383598"/>
    <w:rsid w:val="00386A9D"/>
    <w:rsid w:val="00391081"/>
    <w:rsid w:val="003A460D"/>
    <w:rsid w:val="003B2789"/>
    <w:rsid w:val="003C13CE"/>
    <w:rsid w:val="003E2518"/>
    <w:rsid w:val="003F0DED"/>
    <w:rsid w:val="004314A2"/>
    <w:rsid w:val="00476BB7"/>
    <w:rsid w:val="004B1EF7"/>
    <w:rsid w:val="004B3FAD"/>
    <w:rsid w:val="004E3CF9"/>
    <w:rsid w:val="00501DCA"/>
    <w:rsid w:val="00513A47"/>
    <w:rsid w:val="0053262A"/>
    <w:rsid w:val="005408DF"/>
    <w:rsid w:val="0055318D"/>
    <w:rsid w:val="00573344"/>
    <w:rsid w:val="00583F9B"/>
    <w:rsid w:val="00584AFA"/>
    <w:rsid w:val="005E1223"/>
    <w:rsid w:val="005E2ADF"/>
    <w:rsid w:val="005E5C10"/>
    <w:rsid w:val="005F2C78"/>
    <w:rsid w:val="006121CD"/>
    <w:rsid w:val="006144E4"/>
    <w:rsid w:val="00624555"/>
    <w:rsid w:val="00650299"/>
    <w:rsid w:val="00655FC5"/>
    <w:rsid w:val="00744F9C"/>
    <w:rsid w:val="007D2F64"/>
    <w:rsid w:val="007E51DC"/>
    <w:rsid w:val="00801031"/>
    <w:rsid w:val="00802953"/>
    <w:rsid w:val="0080652B"/>
    <w:rsid w:val="00807FF1"/>
    <w:rsid w:val="00810E9E"/>
    <w:rsid w:val="00821366"/>
    <w:rsid w:val="00822581"/>
    <w:rsid w:val="008309DD"/>
    <w:rsid w:val="0083227A"/>
    <w:rsid w:val="00857C67"/>
    <w:rsid w:val="00862CC9"/>
    <w:rsid w:val="00866900"/>
    <w:rsid w:val="00870336"/>
    <w:rsid w:val="0087300D"/>
    <w:rsid w:val="00881BA1"/>
    <w:rsid w:val="00883B88"/>
    <w:rsid w:val="008A0A55"/>
    <w:rsid w:val="008C26B8"/>
    <w:rsid w:val="008C501D"/>
    <w:rsid w:val="0092005A"/>
    <w:rsid w:val="009273EC"/>
    <w:rsid w:val="00932E45"/>
    <w:rsid w:val="00951309"/>
    <w:rsid w:val="00964CF0"/>
    <w:rsid w:val="00982084"/>
    <w:rsid w:val="00982EA6"/>
    <w:rsid w:val="00991A72"/>
    <w:rsid w:val="00995963"/>
    <w:rsid w:val="009A10A9"/>
    <w:rsid w:val="009A54D9"/>
    <w:rsid w:val="009B61EB"/>
    <w:rsid w:val="009B6449"/>
    <w:rsid w:val="009C2064"/>
    <w:rsid w:val="009D1697"/>
    <w:rsid w:val="00A014F8"/>
    <w:rsid w:val="00A11DCA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150C5"/>
    <w:rsid w:val="00B16417"/>
    <w:rsid w:val="00B4279B"/>
    <w:rsid w:val="00B45FC9"/>
    <w:rsid w:val="00B61A00"/>
    <w:rsid w:val="00B83461"/>
    <w:rsid w:val="00BC7CCF"/>
    <w:rsid w:val="00BE0BC0"/>
    <w:rsid w:val="00BE470B"/>
    <w:rsid w:val="00C018E7"/>
    <w:rsid w:val="00C35727"/>
    <w:rsid w:val="00C57A91"/>
    <w:rsid w:val="00C740E1"/>
    <w:rsid w:val="00CB43AF"/>
    <w:rsid w:val="00CC01C2"/>
    <w:rsid w:val="00CF21F2"/>
    <w:rsid w:val="00D02712"/>
    <w:rsid w:val="00D214D0"/>
    <w:rsid w:val="00D5657A"/>
    <w:rsid w:val="00D63425"/>
    <w:rsid w:val="00D6546B"/>
    <w:rsid w:val="00DB3805"/>
    <w:rsid w:val="00DC36AC"/>
    <w:rsid w:val="00DD4BED"/>
    <w:rsid w:val="00DE39F0"/>
    <w:rsid w:val="00DF0AF3"/>
    <w:rsid w:val="00E17CCC"/>
    <w:rsid w:val="00E27D7E"/>
    <w:rsid w:val="00E34935"/>
    <w:rsid w:val="00E42E13"/>
    <w:rsid w:val="00E61145"/>
    <w:rsid w:val="00E6257C"/>
    <w:rsid w:val="00E63C59"/>
    <w:rsid w:val="00F24046"/>
    <w:rsid w:val="00F76048"/>
    <w:rsid w:val="00FA124A"/>
    <w:rsid w:val="00FC08DD"/>
    <w:rsid w:val="00FC0E01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tsa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C78F-77E1-45DB-A5CB-B7653D07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Bettini, Nadine</cp:lastModifiedBy>
  <cp:revision>2</cp:revision>
  <cp:lastPrinted>2014-05-21T07:44:00Z</cp:lastPrinted>
  <dcterms:created xsi:type="dcterms:W3CDTF">2014-07-18T13:58:00Z</dcterms:created>
  <dcterms:modified xsi:type="dcterms:W3CDTF">2014-07-18T13:58:00Z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