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786" w:rsidRPr="00845053" w:rsidRDefault="00D27786" w:rsidP="00071210">
      <w:pPr>
        <w:spacing w:before="0"/>
      </w:pPr>
    </w:p>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3828"/>
        <w:gridCol w:w="2693"/>
        <w:gridCol w:w="3260"/>
      </w:tblGrid>
      <w:tr w:rsidR="00CC14AD" w:rsidRPr="00071210" w:rsidTr="009105A0">
        <w:trPr>
          <w:cantSplit/>
        </w:trPr>
        <w:tc>
          <w:tcPr>
            <w:tcW w:w="3828" w:type="dxa"/>
            <w:vAlign w:val="center"/>
          </w:tcPr>
          <w:p w:rsidR="00CC14AD" w:rsidRPr="00071210" w:rsidRDefault="00071210" w:rsidP="00071210">
            <w:pPr>
              <w:tabs>
                <w:tab w:val="right" w:pos="8732"/>
              </w:tabs>
              <w:spacing w:before="0"/>
              <w:ind w:left="426"/>
              <w:rPr>
                <w:rFonts w:asciiTheme="minorHAnsi" w:hAnsiTheme="minorHAnsi" w:cstheme="minorHAnsi"/>
                <w:b/>
                <w:bCs/>
                <w:iCs/>
                <w:color w:val="FFFFFF"/>
                <w:sz w:val="28"/>
                <w:szCs w:val="28"/>
              </w:rPr>
            </w:pPr>
            <w:r w:rsidRPr="00071210">
              <w:rPr>
                <w:rFonts w:asciiTheme="minorHAnsi" w:hAnsiTheme="minorHAnsi" w:cstheme="minorHAnsi"/>
                <w:b/>
                <w:bCs/>
                <w:iCs/>
                <w:sz w:val="28"/>
                <w:szCs w:val="28"/>
                <w:lang w:val="fr-CH"/>
              </w:rPr>
              <w:t>Bureau de la normalisation</w:t>
            </w:r>
            <w:r w:rsidRPr="00071210">
              <w:rPr>
                <w:rFonts w:asciiTheme="minorHAnsi" w:hAnsiTheme="minorHAnsi" w:cstheme="minorHAnsi"/>
                <w:b/>
                <w:bCs/>
                <w:iCs/>
                <w:sz w:val="28"/>
                <w:szCs w:val="28"/>
                <w:lang w:val="fr-CH"/>
              </w:rPr>
              <w:br/>
              <w:t>des télécommunications</w:t>
            </w:r>
            <w:r w:rsidRPr="00071210">
              <w:rPr>
                <w:rFonts w:asciiTheme="minorHAnsi" w:hAnsiTheme="minorHAnsi" w:cstheme="minorHAnsi"/>
                <w:b/>
                <w:bCs/>
                <w:sz w:val="28"/>
                <w:szCs w:val="28"/>
              </w:rPr>
              <w:t xml:space="preserve"> </w:t>
            </w:r>
            <w:r w:rsidR="009105A0" w:rsidRPr="00071210">
              <w:rPr>
                <w:rFonts w:asciiTheme="minorHAnsi" w:hAnsiTheme="minorHAnsi" w:cstheme="minorHAnsi"/>
                <w:b/>
                <w:bCs/>
                <w:sz w:val="28"/>
                <w:szCs w:val="28"/>
              </w:rPr>
              <w:t>(</w:t>
            </w:r>
            <w:r w:rsidR="004E0991" w:rsidRPr="00071210">
              <w:rPr>
                <w:rFonts w:asciiTheme="minorHAnsi" w:hAnsiTheme="minorHAnsi" w:cstheme="minorHAnsi"/>
                <w:b/>
                <w:bCs/>
                <w:sz w:val="28"/>
                <w:szCs w:val="28"/>
              </w:rPr>
              <w:t>TSB)</w:t>
            </w:r>
          </w:p>
        </w:tc>
        <w:tc>
          <w:tcPr>
            <w:tcW w:w="2693" w:type="dxa"/>
            <w:vAlign w:val="center"/>
          </w:tcPr>
          <w:p w:rsidR="00CC14AD" w:rsidRPr="00845053" w:rsidRDefault="004E0991" w:rsidP="00071210">
            <w:pPr>
              <w:tabs>
                <w:tab w:val="right" w:pos="8732"/>
              </w:tabs>
              <w:spacing w:before="0"/>
              <w:ind w:left="720"/>
              <w:rPr>
                <w:rFonts w:ascii="Verdana" w:hAnsi="Verdana"/>
                <w:b/>
                <w:bCs/>
                <w:iCs/>
                <w:color w:val="FFFFFF"/>
                <w:sz w:val="26"/>
                <w:szCs w:val="26"/>
              </w:rPr>
            </w:pPr>
            <w:r w:rsidRPr="00845053">
              <w:rPr>
                <w:b/>
                <w:bCs/>
                <w:noProof/>
                <w:lang w:val="en-US"/>
              </w:rPr>
              <w:drawing>
                <wp:anchor distT="0" distB="0" distL="114300" distR="114300" simplePos="0" relativeHeight="251658240" behindDoc="1" locked="0" layoutInCell="1" allowOverlap="1" wp14:anchorId="7F882DE2" wp14:editId="26553FEC">
                  <wp:simplePos x="0" y="0"/>
                  <wp:positionH relativeFrom="column">
                    <wp:posOffset>399415</wp:posOffset>
                  </wp:positionH>
                  <wp:positionV relativeFrom="paragraph">
                    <wp:posOffset>-2540</wp:posOffset>
                  </wp:positionV>
                  <wp:extent cx="638175" cy="7239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260" w:type="dxa"/>
            <w:vAlign w:val="center"/>
          </w:tcPr>
          <w:p w:rsidR="00CC14AD" w:rsidRPr="00845053" w:rsidRDefault="00071210" w:rsidP="00071210">
            <w:pPr>
              <w:spacing w:before="0"/>
              <w:rPr>
                <w:rFonts w:asciiTheme="minorHAnsi" w:hAnsiTheme="minorHAnsi"/>
                <w:sz w:val="28"/>
                <w:szCs w:val="28"/>
              </w:rPr>
            </w:pPr>
            <w:bookmarkStart w:id="0" w:name="ditulogo"/>
            <w:bookmarkEnd w:id="0"/>
            <w:r w:rsidRPr="00845053">
              <w:rPr>
                <w:rFonts w:asciiTheme="minorHAnsi" w:hAnsiTheme="minorHAnsi"/>
                <w:b/>
                <w:bCs/>
                <w:sz w:val="28"/>
                <w:szCs w:val="28"/>
              </w:rPr>
              <w:t xml:space="preserve">Bureau </w:t>
            </w:r>
            <w:r>
              <w:rPr>
                <w:rFonts w:asciiTheme="minorHAnsi" w:hAnsiTheme="minorHAnsi"/>
                <w:b/>
                <w:bCs/>
                <w:sz w:val="28"/>
                <w:szCs w:val="28"/>
              </w:rPr>
              <w:t>de</w:t>
            </w:r>
            <w:r w:rsidRPr="00845053">
              <w:rPr>
                <w:rFonts w:asciiTheme="minorHAnsi" w:hAnsiTheme="minorHAnsi"/>
                <w:b/>
                <w:bCs/>
                <w:sz w:val="28"/>
                <w:szCs w:val="28"/>
              </w:rPr>
              <w:t xml:space="preserve"> </w:t>
            </w:r>
            <w:r>
              <w:rPr>
                <w:rFonts w:asciiTheme="minorHAnsi" w:hAnsiTheme="minorHAnsi"/>
                <w:b/>
                <w:bCs/>
                <w:sz w:val="28"/>
                <w:szCs w:val="28"/>
              </w:rPr>
              <w:t>dé</w:t>
            </w:r>
            <w:r w:rsidRPr="00845053">
              <w:rPr>
                <w:rFonts w:asciiTheme="minorHAnsi" w:hAnsiTheme="minorHAnsi"/>
                <w:b/>
                <w:bCs/>
                <w:sz w:val="28"/>
                <w:szCs w:val="28"/>
              </w:rPr>
              <w:t>velop</w:t>
            </w:r>
            <w:r>
              <w:rPr>
                <w:rFonts w:asciiTheme="minorHAnsi" w:hAnsiTheme="minorHAnsi"/>
                <w:b/>
                <w:bCs/>
                <w:sz w:val="28"/>
                <w:szCs w:val="28"/>
              </w:rPr>
              <w:t>pe</w:t>
            </w:r>
            <w:r w:rsidRPr="00845053">
              <w:rPr>
                <w:rFonts w:asciiTheme="minorHAnsi" w:hAnsiTheme="minorHAnsi"/>
                <w:b/>
                <w:bCs/>
                <w:sz w:val="28"/>
                <w:szCs w:val="28"/>
              </w:rPr>
              <w:t xml:space="preserve">ment </w:t>
            </w:r>
            <w:r>
              <w:rPr>
                <w:rFonts w:asciiTheme="minorHAnsi" w:hAnsiTheme="minorHAnsi"/>
                <w:b/>
                <w:bCs/>
                <w:sz w:val="28"/>
                <w:szCs w:val="28"/>
              </w:rPr>
              <w:t>des télé</w:t>
            </w:r>
            <w:r w:rsidR="001A21EF" w:rsidRPr="00845053">
              <w:rPr>
                <w:rFonts w:asciiTheme="minorHAnsi" w:hAnsiTheme="minorHAnsi"/>
                <w:b/>
                <w:bCs/>
                <w:sz w:val="28"/>
                <w:szCs w:val="28"/>
              </w:rPr>
              <w:t>communication</w:t>
            </w:r>
            <w:r>
              <w:rPr>
                <w:rFonts w:asciiTheme="minorHAnsi" w:hAnsiTheme="minorHAnsi"/>
                <w:b/>
                <w:bCs/>
                <w:sz w:val="28"/>
                <w:szCs w:val="28"/>
              </w:rPr>
              <w:t xml:space="preserve">s </w:t>
            </w:r>
            <w:r w:rsidR="001A21EF" w:rsidRPr="00845053">
              <w:rPr>
                <w:rFonts w:asciiTheme="minorHAnsi" w:hAnsiTheme="minorHAnsi"/>
                <w:b/>
                <w:bCs/>
                <w:sz w:val="28"/>
                <w:szCs w:val="28"/>
              </w:rPr>
              <w:t>(BDT</w:t>
            </w:r>
            <w:r w:rsidR="004E0991" w:rsidRPr="00845053">
              <w:rPr>
                <w:rFonts w:asciiTheme="minorHAnsi" w:hAnsiTheme="minorHAnsi"/>
                <w:b/>
                <w:bCs/>
                <w:sz w:val="28"/>
                <w:szCs w:val="28"/>
              </w:rPr>
              <w:t>)</w:t>
            </w:r>
          </w:p>
        </w:tc>
      </w:tr>
      <w:tr w:rsidR="00D27786" w:rsidRPr="00071210" w:rsidTr="009105A0">
        <w:trPr>
          <w:cantSplit/>
          <w:trHeight w:val="112"/>
        </w:trPr>
        <w:tc>
          <w:tcPr>
            <w:tcW w:w="6521" w:type="dxa"/>
            <w:gridSpan w:val="2"/>
            <w:vAlign w:val="center"/>
          </w:tcPr>
          <w:p w:rsidR="00D27786" w:rsidRPr="00845053" w:rsidRDefault="00D27786" w:rsidP="00071210">
            <w:pPr>
              <w:spacing w:before="0"/>
            </w:pPr>
          </w:p>
        </w:tc>
        <w:tc>
          <w:tcPr>
            <w:tcW w:w="3260" w:type="dxa"/>
            <w:vAlign w:val="center"/>
          </w:tcPr>
          <w:p w:rsidR="00D27786" w:rsidRPr="00845053" w:rsidRDefault="00D27786" w:rsidP="00071210">
            <w:pPr>
              <w:spacing w:before="0"/>
            </w:pPr>
          </w:p>
        </w:tc>
      </w:tr>
    </w:tbl>
    <w:p w:rsidR="005E54DF" w:rsidRPr="00845053" w:rsidRDefault="005E54DF" w:rsidP="00071210">
      <w:pPr>
        <w:rPr>
          <w:vanish/>
        </w:rPr>
      </w:pPr>
      <w:bookmarkStart w:id="1" w:name="StartTyping_E"/>
      <w:bookmarkEnd w:id="1"/>
    </w:p>
    <w:tbl>
      <w:tblPr>
        <w:tblW w:w="5000" w:type="pct"/>
        <w:tblInd w:w="-8" w:type="dxa"/>
        <w:tblCellMar>
          <w:left w:w="0" w:type="dxa"/>
          <w:right w:w="0" w:type="dxa"/>
        </w:tblCellMar>
        <w:tblLook w:val="0000" w:firstRow="0" w:lastRow="0" w:firstColumn="0" w:lastColumn="0" w:noHBand="0" w:noVBand="0"/>
      </w:tblPr>
      <w:tblGrid>
        <w:gridCol w:w="8"/>
        <w:gridCol w:w="954"/>
        <w:gridCol w:w="123"/>
        <w:gridCol w:w="3399"/>
        <w:gridCol w:w="954"/>
        <w:gridCol w:w="4201"/>
      </w:tblGrid>
      <w:tr w:rsidR="009105A0" w:rsidRPr="00F8341E" w:rsidTr="00BF484A">
        <w:trPr>
          <w:gridBefore w:val="1"/>
          <w:wBefore w:w="4" w:type="pct"/>
          <w:cantSplit/>
          <w:trHeight w:val="3672"/>
        </w:trPr>
        <w:tc>
          <w:tcPr>
            <w:tcW w:w="495" w:type="pct"/>
          </w:tcPr>
          <w:p w:rsidR="00E142AC" w:rsidRDefault="00E142AC" w:rsidP="00071210">
            <w:pPr>
              <w:tabs>
                <w:tab w:val="left" w:pos="4111"/>
              </w:tabs>
              <w:spacing w:before="0"/>
              <w:rPr>
                <w:szCs w:val="24"/>
              </w:rPr>
            </w:pPr>
            <w:bookmarkStart w:id="2" w:name="Addressee_E"/>
            <w:bookmarkEnd w:id="2"/>
          </w:p>
          <w:p w:rsidR="00E142AC" w:rsidRDefault="00E142AC" w:rsidP="00071210">
            <w:pPr>
              <w:tabs>
                <w:tab w:val="left" w:pos="4111"/>
              </w:tabs>
              <w:spacing w:before="0"/>
              <w:rPr>
                <w:szCs w:val="24"/>
              </w:rPr>
            </w:pPr>
          </w:p>
          <w:p w:rsidR="00DE5E88" w:rsidRPr="00845053" w:rsidRDefault="00DE5E88" w:rsidP="00071210">
            <w:pPr>
              <w:tabs>
                <w:tab w:val="left" w:pos="4111"/>
              </w:tabs>
              <w:spacing w:before="0"/>
              <w:rPr>
                <w:szCs w:val="24"/>
              </w:rPr>
            </w:pPr>
            <w:r w:rsidRPr="00845053">
              <w:rPr>
                <w:szCs w:val="24"/>
              </w:rPr>
              <w:t>R</w:t>
            </w:r>
            <w:r w:rsidR="00F57816" w:rsidRPr="00845053">
              <w:rPr>
                <w:szCs w:val="24"/>
              </w:rPr>
              <w:t>é</w:t>
            </w:r>
            <w:r w:rsidRPr="00845053">
              <w:rPr>
                <w:szCs w:val="24"/>
              </w:rPr>
              <w:t>f</w:t>
            </w:r>
            <w:r w:rsidR="00071210">
              <w:rPr>
                <w:szCs w:val="24"/>
              </w:rPr>
              <w:t>.</w:t>
            </w:r>
            <w:r w:rsidRPr="00845053">
              <w:rPr>
                <w:szCs w:val="24"/>
              </w:rPr>
              <w:t>:</w:t>
            </w:r>
          </w:p>
          <w:p w:rsidR="009105A0" w:rsidRPr="00845053" w:rsidRDefault="009105A0" w:rsidP="00071210">
            <w:pPr>
              <w:tabs>
                <w:tab w:val="left" w:pos="4111"/>
              </w:tabs>
              <w:spacing w:before="0"/>
              <w:rPr>
                <w:szCs w:val="24"/>
              </w:rPr>
            </w:pPr>
            <w:r w:rsidRPr="00845053">
              <w:rPr>
                <w:szCs w:val="24"/>
              </w:rPr>
              <w:t>T</w:t>
            </w:r>
            <w:r w:rsidR="00F57816" w:rsidRPr="00845053">
              <w:rPr>
                <w:szCs w:val="24"/>
              </w:rPr>
              <w:t>é</w:t>
            </w:r>
            <w:r w:rsidRPr="00845053">
              <w:rPr>
                <w:szCs w:val="24"/>
              </w:rPr>
              <w:t>l</w:t>
            </w:r>
            <w:r w:rsidR="00071210">
              <w:rPr>
                <w:szCs w:val="24"/>
              </w:rPr>
              <w:t>.</w:t>
            </w:r>
            <w:r w:rsidRPr="00845053">
              <w:rPr>
                <w:szCs w:val="24"/>
              </w:rPr>
              <w:t>:</w:t>
            </w:r>
          </w:p>
          <w:p w:rsidR="009105A0" w:rsidRPr="00845053" w:rsidRDefault="009105A0" w:rsidP="00071210">
            <w:pPr>
              <w:tabs>
                <w:tab w:val="left" w:pos="4111"/>
              </w:tabs>
              <w:spacing w:before="0"/>
              <w:rPr>
                <w:szCs w:val="24"/>
              </w:rPr>
            </w:pPr>
            <w:r w:rsidRPr="00845053">
              <w:rPr>
                <w:szCs w:val="24"/>
              </w:rPr>
              <w:t>Fax:</w:t>
            </w:r>
          </w:p>
          <w:p w:rsidR="009105A0" w:rsidRPr="00845053" w:rsidRDefault="009105A0" w:rsidP="00071210">
            <w:pPr>
              <w:tabs>
                <w:tab w:val="left" w:pos="4111"/>
              </w:tabs>
              <w:spacing w:before="0"/>
              <w:rPr>
                <w:szCs w:val="24"/>
              </w:rPr>
            </w:pPr>
            <w:r w:rsidRPr="00845053">
              <w:rPr>
                <w:szCs w:val="24"/>
              </w:rPr>
              <w:t>E-mail:</w:t>
            </w:r>
          </w:p>
          <w:p w:rsidR="009105A0" w:rsidRPr="00845053" w:rsidRDefault="009105A0" w:rsidP="00071210">
            <w:pPr>
              <w:tabs>
                <w:tab w:val="left" w:pos="4111"/>
              </w:tabs>
              <w:spacing w:before="0"/>
              <w:rPr>
                <w:szCs w:val="24"/>
              </w:rPr>
            </w:pPr>
          </w:p>
          <w:p w:rsidR="009105A0" w:rsidRPr="00845053" w:rsidRDefault="009105A0" w:rsidP="00071210">
            <w:pPr>
              <w:tabs>
                <w:tab w:val="left" w:pos="4111"/>
              </w:tabs>
              <w:spacing w:before="0"/>
              <w:rPr>
                <w:szCs w:val="24"/>
              </w:rPr>
            </w:pPr>
          </w:p>
          <w:p w:rsidR="009105A0" w:rsidRPr="00845053" w:rsidRDefault="009105A0" w:rsidP="00071210">
            <w:pPr>
              <w:tabs>
                <w:tab w:val="left" w:pos="4111"/>
              </w:tabs>
              <w:spacing w:before="0"/>
              <w:rPr>
                <w:szCs w:val="24"/>
              </w:rPr>
            </w:pPr>
          </w:p>
          <w:p w:rsidR="009105A0" w:rsidRPr="00845053" w:rsidRDefault="00F57816" w:rsidP="00071210">
            <w:pPr>
              <w:tabs>
                <w:tab w:val="left" w:pos="4111"/>
              </w:tabs>
              <w:spacing w:before="0"/>
              <w:rPr>
                <w:szCs w:val="24"/>
              </w:rPr>
            </w:pPr>
            <w:r w:rsidRPr="00845053">
              <w:rPr>
                <w:szCs w:val="24"/>
              </w:rPr>
              <w:t>Ré</w:t>
            </w:r>
            <w:r w:rsidR="009105A0" w:rsidRPr="00845053">
              <w:rPr>
                <w:szCs w:val="24"/>
              </w:rPr>
              <w:t>f</w:t>
            </w:r>
            <w:r w:rsidR="00E142AC">
              <w:rPr>
                <w:szCs w:val="24"/>
              </w:rPr>
              <w:t>.</w:t>
            </w:r>
            <w:r w:rsidR="009105A0" w:rsidRPr="00845053">
              <w:rPr>
                <w:szCs w:val="24"/>
              </w:rPr>
              <w:t>:</w:t>
            </w:r>
          </w:p>
          <w:p w:rsidR="009105A0" w:rsidRPr="00845053" w:rsidRDefault="009105A0" w:rsidP="00071210">
            <w:pPr>
              <w:tabs>
                <w:tab w:val="left" w:pos="4111"/>
              </w:tabs>
              <w:spacing w:before="0"/>
              <w:rPr>
                <w:szCs w:val="24"/>
              </w:rPr>
            </w:pPr>
            <w:r w:rsidRPr="00845053">
              <w:rPr>
                <w:szCs w:val="24"/>
              </w:rPr>
              <w:t>T</w:t>
            </w:r>
            <w:r w:rsidR="00F57816" w:rsidRPr="00845053">
              <w:rPr>
                <w:szCs w:val="24"/>
              </w:rPr>
              <w:t>é</w:t>
            </w:r>
            <w:r w:rsidRPr="00845053">
              <w:rPr>
                <w:szCs w:val="24"/>
              </w:rPr>
              <w:t>l</w:t>
            </w:r>
            <w:r w:rsidR="00E142AC">
              <w:rPr>
                <w:szCs w:val="24"/>
              </w:rPr>
              <w:t>.</w:t>
            </w:r>
            <w:r w:rsidRPr="00845053">
              <w:rPr>
                <w:szCs w:val="24"/>
              </w:rPr>
              <w:t>:</w:t>
            </w:r>
          </w:p>
          <w:p w:rsidR="009105A0" w:rsidRPr="00845053" w:rsidRDefault="009105A0" w:rsidP="00071210">
            <w:pPr>
              <w:tabs>
                <w:tab w:val="left" w:pos="4111"/>
              </w:tabs>
              <w:spacing w:before="0"/>
              <w:rPr>
                <w:szCs w:val="24"/>
              </w:rPr>
            </w:pPr>
            <w:r w:rsidRPr="00845053">
              <w:rPr>
                <w:szCs w:val="24"/>
              </w:rPr>
              <w:t>Fax:</w:t>
            </w:r>
          </w:p>
          <w:p w:rsidR="009105A0" w:rsidRPr="00845053" w:rsidRDefault="009105A0" w:rsidP="00071210">
            <w:pPr>
              <w:tabs>
                <w:tab w:val="left" w:pos="4111"/>
              </w:tabs>
              <w:spacing w:before="0"/>
              <w:rPr>
                <w:szCs w:val="24"/>
              </w:rPr>
            </w:pPr>
            <w:r w:rsidRPr="00845053">
              <w:rPr>
                <w:szCs w:val="24"/>
              </w:rPr>
              <w:t xml:space="preserve">E-mail: </w:t>
            </w:r>
          </w:p>
        </w:tc>
        <w:tc>
          <w:tcPr>
            <w:tcW w:w="1827" w:type="pct"/>
            <w:gridSpan w:val="2"/>
          </w:tcPr>
          <w:p w:rsidR="00E142AC" w:rsidRDefault="00E142AC" w:rsidP="00071210">
            <w:pPr>
              <w:tabs>
                <w:tab w:val="left" w:pos="4111"/>
              </w:tabs>
              <w:spacing w:before="0"/>
              <w:rPr>
                <w:b/>
                <w:bCs/>
                <w:szCs w:val="24"/>
              </w:rPr>
            </w:pPr>
          </w:p>
          <w:p w:rsidR="00E142AC" w:rsidRDefault="00E142AC" w:rsidP="00071210">
            <w:pPr>
              <w:tabs>
                <w:tab w:val="left" w:pos="4111"/>
              </w:tabs>
              <w:spacing w:before="0"/>
              <w:rPr>
                <w:b/>
                <w:bCs/>
                <w:szCs w:val="24"/>
              </w:rPr>
            </w:pPr>
          </w:p>
          <w:p w:rsidR="00DE5E88" w:rsidRPr="00845053" w:rsidRDefault="00BF484A" w:rsidP="00071210">
            <w:pPr>
              <w:tabs>
                <w:tab w:val="left" w:pos="4111"/>
              </w:tabs>
              <w:spacing w:before="0"/>
              <w:rPr>
                <w:b/>
                <w:bCs/>
                <w:szCs w:val="24"/>
              </w:rPr>
            </w:pPr>
            <w:r w:rsidRPr="00845053">
              <w:rPr>
                <w:b/>
                <w:bCs/>
                <w:szCs w:val="24"/>
              </w:rPr>
              <w:t>Circula</w:t>
            </w:r>
            <w:r w:rsidR="00F57816" w:rsidRPr="00845053">
              <w:rPr>
                <w:b/>
                <w:bCs/>
                <w:szCs w:val="24"/>
              </w:rPr>
              <w:t>i</w:t>
            </w:r>
            <w:r w:rsidRPr="00845053">
              <w:rPr>
                <w:b/>
                <w:bCs/>
                <w:szCs w:val="24"/>
              </w:rPr>
              <w:t>r</w:t>
            </w:r>
            <w:r w:rsidR="00F57816" w:rsidRPr="00845053">
              <w:rPr>
                <w:b/>
                <w:bCs/>
                <w:szCs w:val="24"/>
              </w:rPr>
              <w:t>e TSB</w:t>
            </w:r>
            <w:r w:rsidRPr="00845053">
              <w:rPr>
                <w:b/>
                <w:bCs/>
                <w:szCs w:val="24"/>
              </w:rPr>
              <w:t xml:space="preserve"> </w:t>
            </w:r>
            <w:r w:rsidR="001A21EF" w:rsidRPr="00845053">
              <w:rPr>
                <w:b/>
                <w:bCs/>
                <w:szCs w:val="24"/>
              </w:rPr>
              <w:t>103</w:t>
            </w:r>
          </w:p>
          <w:p w:rsidR="009105A0" w:rsidRPr="00845053" w:rsidRDefault="001A21EF" w:rsidP="00071210">
            <w:pPr>
              <w:tabs>
                <w:tab w:val="left" w:pos="4111"/>
              </w:tabs>
              <w:spacing w:before="0"/>
              <w:rPr>
                <w:szCs w:val="24"/>
              </w:rPr>
            </w:pPr>
            <w:r w:rsidRPr="00845053">
              <w:rPr>
                <w:szCs w:val="24"/>
              </w:rPr>
              <w:t>+41 22 730 6206</w:t>
            </w:r>
            <w:r w:rsidR="009105A0" w:rsidRPr="00845053">
              <w:rPr>
                <w:szCs w:val="24"/>
              </w:rPr>
              <w:br/>
              <w:t>+41 22 730 5853</w:t>
            </w:r>
          </w:p>
          <w:p w:rsidR="009105A0" w:rsidRPr="00845053" w:rsidRDefault="001C32A3" w:rsidP="00071210">
            <w:pPr>
              <w:tabs>
                <w:tab w:val="left" w:pos="4111"/>
              </w:tabs>
              <w:spacing w:before="0"/>
              <w:rPr>
                <w:rStyle w:val="Hyperlink"/>
                <w:szCs w:val="24"/>
              </w:rPr>
            </w:pPr>
            <w:hyperlink r:id="rId9" w:history="1">
              <w:r w:rsidR="001A21EF" w:rsidRPr="00845053">
                <w:rPr>
                  <w:rStyle w:val="Hyperlink"/>
                  <w:szCs w:val="24"/>
                </w:rPr>
                <w:t>seminar-counterfeiting@itu.int</w:t>
              </w:r>
            </w:hyperlink>
          </w:p>
          <w:p w:rsidR="009105A0" w:rsidRPr="00845053" w:rsidRDefault="009105A0" w:rsidP="00071210">
            <w:pPr>
              <w:tabs>
                <w:tab w:val="left" w:pos="4111"/>
              </w:tabs>
              <w:spacing w:before="0"/>
              <w:rPr>
                <w:rStyle w:val="Hyperlink"/>
                <w:szCs w:val="24"/>
              </w:rPr>
            </w:pPr>
          </w:p>
          <w:p w:rsidR="009105A0" w:rsidRPr="00845053" w:rsidRDefault="009105A0" w:rsidP="00071210">
            <w:pPr>
              <w:tabs>
                <w:tab w:val="left" w:pos="4111"/>
              </w:tabs>
              <w:spacing w:before="0"/>
              <w:rPr>
                <w:rStyle w:val="Hyperlink"/>
                <w:b/>
                <w:bCs/>
                <w:color w:val="auto"/>
                <w:szCs w:val="24"/>
                <w:u w:val="none"/>
              </w:rPr>
            </w:pPr>
          </w:p>
          <w:p w:rsidR="009105A0" w:rsidRPr="00845053" w:rsidRDefault="009105A0" w:rsidP="00071210">
            <w:pPr>
              <w:tabs>
                <w:tab w:val="left" w:pos="4111"/>
              </w:tabs>
              <w:spacing w:before="0"/>
              <w:rPr>
                <w:rStyle w:val="Hyperlink"/>
                <w:b/>
                <w:bCs/>
                <w:color w:val="auto"/>
                <w:szCs w:val="24"/>
                <w:u w:val="none"/>
              </w:rPr>
            </w:pPr>
          </w:p>
          <w:p w:rsidR="009105A0" w:rsidRPr="002A1D58" w:rsidRDefault="001A21EF" w:rsidP="00071210">
            <w:pPr>
              <w:tabs>
                <w:tab w:val="left" w:pos="4111"/>
              </w:tabs>
              <w:spacing w:before="0"/>
              <w:rPr>
                <w:rStyle w:val="Hyperlink"/>
                <w:b/>
                <w:bCs/>
                <w:color w:val="auto"/>
                <w:szCs w:val="24"/>
                <w:u w:val="none"/>
                <w:lang w:val="en-US"/>
              </w:rPr>
            </w:pPr>
            <w:r w:rsidRPr="002A1D58">
              <w:rPr>
                <w:rStyle w:val="Hyperlink"/>
                <w:b/>
                <w:bCs/>
                <w:color w:val="auto"/>
                <w:szCs w:val="24"/>
                <w:u w:val="none"/>
                <w:lang w:val="en-US"/>
              </w:rPr>
              <w:t>BDT/IEE/RME/024</w:t>
            </w:r>
          </w:p>
          <w:p w:rsidR="009105A0" w:rsidRPr="002A1D58" w:rsidRDefault="001A21EF" w:rsidP="00071210">
            <w:pPr>
              <w:tabs>
                <w:tab w:val="left" w:pos="4111"/>
              </w:tabs>
              <w:spacing w:before="0"/>
              <w:rPr>
                <w:rStyle w:val="Hyperlink"/>
                <w:color w:val="auto"/>
                <w:szCs w:val="24"/>
                <w:u w:val="none"/>
                <w:lang w:val="en-US"/>
              </w:rPr>
            </w:pPr>
            <w:r w:rsidRPr="002A1D58">
              <w:rPr>
                <w:rStyle w:val="Hyperlink"/>
                <w:color w:val="auto"/>
                <w:szCs w:val="24"/>
                <w:u w:val="none"/>
                <w:lang w:val="en-US"/>
              </w:rPr>
              <w:t>+41 22 730 6256</w:t>
            </w:r>
          </w:p>
          <w:p w:rsidR="009105A0" w:rsidRPr="002A1D58" w:rsidRDefault="00015F84" w:rsidP="00071210">
            <w:pPr>
              <w:tabs>
                <w:tab w:val="left" w:pos="4111"/>
              </w:tabs>
              <w:spacing w:before="0"/>
              <w:rPr>
                <w:rStyle w:val="Hyperlink"/>
                <w:color w:val="auto"/>
                <w:szCs w:val="24"/>
                <w:u w:val="none"/>
                <w:lang w:val="en-US"/>
              </w:rPr>
            </w:pPr>
            <w:r w:rsidRPr="002A1D58">
              <w:rPr>
                <w:rStyle w:val="Hyperlink"/>
                <w:color w:val="auto"/>
                <w:szCs w:val="24"/>
                <w:u w:val="none"/>
                <w:lang w:val="en-US"/>
              </w:rPr>
              <w:t>+41 22 730 54</w:t>
            </w:r>
            <w:r w:rsidR="001A21EF" w:rsidRPr="002A1D58">
              <w:rPr>
                <w:rStyle w:val="Hyperlink"/>
                <w:color w:val="auto"/>
                <w:szCs w:val="24"/>
                <w:u w:val="none"/>
                <w:lang w:val="en-US"/>
              </w:rPr>
              <w:t>84</w:t>
            </w:r>
          </w:p>
          <w:p w:rsidR="009105A0" w:rsidRPr="002A1D58" w:rsidRDefault="00C26853" w:rsidP="00071210">
            <w:pPr>
              <w:tabs>
                <w:tab w:val="left" w:pos="4111"/>
              </w:tabs>
              <w:spacing w:before="0"/>
              <w:rPr>
                <w:rStyle w:val="Hyperlink"/>
                <w:b/>
                <w:bCs/>
                <w:color w:val="auto"/>
                <w:szCs w:val="24"/>
                <w:u w:val="none"/>
                <w:lang w:val="en-US"/>
              </w:rPr>
            </w:pPr>
            <w:hyperlink r:id="rId10" w:history="1">
              <w:r w:rsidR="001A21EF" w:rsidRPr="002A1D58">
                <w:rPr>
                  <w:rStyle w:val="Hyperlink"/>
                  <w:szCs w:val="24"/>
                  <w:lang w:val="en-US"/>
                </w:rPr>
                <w:t>seminar-counterfeiting@itu.int</w:t>
              </w:r>
            </w:hyperlink>
          </w:p>
          <w:p w:rsidR="009105A0" w:rsidRPr="002A1D58" w:rsidRDefault="009105A0" w:rsidP="00071210">
            <w:pPr>
              <w:tabs>
                <w:tab w:val="left" w:pos="4111"/>
              </w:tabs>
              <w:spacing w:before="0"/>
              <w:rPr>
                <w:rStyle w:val="Hyperlink"/>
                <w:szCs w:val="24"/>
                <w:lang w:val="en-US"/>
              </w:rPr>
            </w:pPr>
          </w:p>
          <w:p w:rsidR="009105A0" w:rsidRPr="002A1D58" w:rsidRDefault="009105A0" w:rsidP="00071210">
            <w:pPr>
              <w:tabs>
                <w:tab w:val="left" w:pos="4111"/>
              </w:tabs>
              <w:spacing w:before="0"/>
              <w:rPr>
                <w:b/>
                <w:bCs/>
                <w:szCs w:val="24"/>
                <w:lang w:val="en-US"/>
              </w:rPr>
            </w:pPr>
          </w:p>
        </w:tc>
        <w:tc>
          <w:tcPr>
            <w:tcW w:w="495" w:type="pct"/>
          </w:tcPr>
          <w:p w:rsidR="009105A0" w:rsidRPr="002A1D58" w:rsidRDefault="009105A0" w:rsidP="00071210">
            <w:pPr>
              <w:tabs>
                <w:tab w:val="clear" w:pos="794"/>
                <w:tab w:val="left" w:pos="141"/>
                <w:tab w:val="left" w:pos="4111"/>
              </w:tabs>
              <w:spacing w:before="0"/>
              <w:rPr>
                <w:lang w:val="en-US"/>
              </w:rPr>
            </w:pPr>
          </w:p>
        </w:tc>
        <w:tc>
          <w:tcPr>
            <w:tcW w:w="2179" w:type="pct"/>
          </w:tcPr>
          <w:p w:rsidR="00BF484A" w:rsidRPr="00845053" w:rsidRDefault="00845053" w:rsidP="002A1D58">
            <w:pPr>
              <w:pStyle w:val="Index1"/>
              <w:tabs>
                <w:tab w:val="clear" w:pos="794"/>
                <w:tab w:val="clear" w:pos="1191"/>
                <w:tab w:val="clear" w:pos="1588"/>
                <w:tab w:val="clear" w:pos="1985"/>
                <w:tab w:val="left" w:pos="5387"/>
              </w:tabs>
              <w:spacing w:before="0"/>
            </w:pPr>
            <w:r w:rsidRPr="00845053">
              <w:t>Genève, le 2 juillet</w:t>
            </w:r>
            <w:r w:rsidR="001A21EF" w:rsidRPr="00845053">
              <w:t xml:space="preserve"> 2014</w:t>
            </w:r>
          </w:p>
          <w:p w:rsidR="009105A0" w:rsidRPr="00845053" w:rsidRDefault="009105A0" w:rsidP="00071210">
            <w:pPr>
              <w:tabs>
                <w:tab w:val="clear" w:pos="794"/>
                <w:tab w:val="left" w:pos="141"/>
                <w:tab w:val="left" w:pos="4111"/>
              </w:tabs>
            </w:pPr>
          </w:p>
          <w:p w:rsidR="00845053" w:rsidRPr="00845053" w:rsidRDefault="00845053" w:rsidP="006D5E6D">
            <w:pPr>
              <w:numPr>
                <w:ilvl w:val="0"/>
                <w:numId w:val="2"/>
              </w:numPr>
              <w:tabs>
                <w:tab w:val="clear" w:pos="417"/>
                <w:tab w:val="clear" w:pos="794"/>
                <w:tab w:val="clear" w:pos="1191"/>
                <w:tab w:val="clear" w:pos="1588"/>
                <w:tab w:val="clear" w:pos="1985"/>
                <w:tab w:val="left" w:pos="382"/>
              </w:tabs>
              <w:spacing w:before="0"/>
              <w:ind w:left="382" w:hanging="283"/>
            </w:pPr>
            <w:r w:rsidRPr="00845053">
              <w:t>Aux Administrations des Etats Membres de l'Union;</w:t>
            </w:r>
          </w:p>
          <w:p w:rsidR="00845053" w:rsidRPr="00845053" w:rsidRDefault="00845053" w:rsidP="006D5E6D">
            <w:pPr>
              <w:numPr>
                <w:ilvl w:val="0"/>
                <w:numId w:val="2"/>
              </w:numPr>
              <w:tabs>
                <w:tab w:val="clear" w:pos="417"/>
                <w:tab w:val="clear" w:pos="794"/>
                <w:tab w:val="clear" w:pos="1191"/>
                <w:tab w:val="clear" w:pos="1588"/>
                <w:tab w:val="clear" w:pos="1985"/>
                <w:tab w:val="left" w:pos="382"/>
              </w:tabs>
              <w:spacing w:before="0"/>
              <w:ind w:left="382" w:hanging="283"/>
            </w:pPr>
            <w:r w:rsidRPr="00845053">
              <w:t>Aux Membres d</w:t>
            </w:r>
            <w:r>
              <w:t>es</w:t>
            </w:r>
            <w:r w:rsidRPr="00845053">
              <w:t xml:space="preserve"> Secteur</w:t>
            </w:r>
            <w:r>
              <w:t>s</w:t>
            </w:r>
            <w:r w:rsidRPr="00845053">
              <w:t xml:space="preserve"> UIT-T</w:t>
            </w:r>
            <w:r w:rsidR="00BD0138">
              <w:t xml:space="preserve"> et UIT-D</w:t>
            </w:r>
            <w:r w:rsidRPr="00845053">
              <w:t>;</w:t>
            </w:r>
          </w:p>
          <w:p w:rsidR="00845053" w:rsidRPr="00845053" w:rsidRDefault="00845053" w:rsidP="006D5E6D">
            <w:pPr>
              <w:numPr>
                <w:ilvl w:val="0"/>
                <w:numId w:val="2"/>
              </w:numPr>
              <w:tabs>
                <w:tab w:val="clear" w:pos="417"/>
                <w:tab w:val="clear" w:pos="794"/>
                <w:tab w:val="clear" w:pos="1191"/>
                <w:tab w:val="clear" w:pos="1588"/>
                <w:tab w:val="clear" w:pos="1985"/>
                <w:tab w:val="left" w:pos="382"/>
              </w:tabs>
              <w:spacing w:before="0"/>
              <w:ind w:left="99" w:firstLine="0"/>
            </w:pPr>
            <w:r w:rsidRPr="00845053">
              <w:t>Aux Associés de l'UIT-T</w:t>
            </w:r>
            <w:r>
              <w:t xml:space="preserve"> et de l'UIT-D</w:t>
            </w:r>
            <w:r w:rsidRPr="00845053">
              <w:t>;</w:t>
            </w:r>
          </w:p>
          <w:p w:rsidR="00845053" w:rsidRPr="00845053" w:rsidRDefault="00845053" w:rsidP="006D5E6D">
            <w:pPr>
              <w:numPr>
                <w:ilvl w:val="0"/>
                <w:numId w:val="2"/>
              </w:numPr>
              <w:tabs>
                <w:tab w:val="clear" w:pos="417"/>
                <w:tab w:val="clear" w:pos="794"/>
                <w:tab w:val="clear" w:pos="1191"/>
                <w:tab w:val="clear" w:pos="1588"/>
                <w:tab w:val="clear" w:pos="1985"/>
                <w:tab w:val="left" w:pos="382"/>
              </w:tabs>
              <w:spacing w:before="0"/>
              <w:ind w:left="382" w:hanging="283"/>
            </w:pPr>
            <w:r w:rsidRPr="00845053">
              <w:t>Aux établissements universitaires participant aux travaux de l'UIT-T</w:t>
            </w:r>
            <w:r>
              <w:t xml:space="preserve"> et de l'UIT-D</w:t>
            </w:r>
          </w:p>
          <w:p w:rsidR="00845053" w:rsidRPr="00845053" w:rsidRDefault="00845053" w:rsidP="00071210">
            <w:pPr>
              <w:spacing w:before="0"/>
            </w:pPr>
          </w:p>
          <w:p w:rsidR="009105A0" w:rsidRPr="00845053" w:rsidRDefault="009105A0" w:rsidP="00071210">
            <w:pPr>
              <w:tabs>
                <w:tab w:val="clear" w:pos="794"/>
                <w:tab w:val="clear" w:pos="1191"/>
                <w:tab w:val="clear" w:pos="1588"/>
                <w:tab w:val="clear" w:pos="1985"/>
                <w:tab w:val="left" w:pos="284"/>
              </w:tabs>
              <w:spacing w:before="0"/>
              <w:rPr>
                <w:b/>
                <w:bCs/>
              </w:rPr>
            </w:pPr>
            <w:r w:rsidRPr="00845053">
              <w:rPr>
                <w:b/>
                <w:bCs/>
              </w:rPr>
              <w:t>Cop</w:t>
            </w:r>
            <w:r w:rsidR="00845053">
              <w:rPr>
                <w:b/>
                <w:bCs/>
              </w:rPr>
              <w:t>ie</w:t>
            </w:r>
            <w:r w:rsidRPr="00845053">
              <w:rPr>
                <w:b/>
                <w:bCs/>
              </w:rPr>
              <w:t>:</w:t>
            </w:r>
          </w:p>
          <w:p w:rsidR="00845053" w:rsidRPr="00845053" w:rsidRDefault="009105A0" w:rsidP="00E142AC">
            <w:pPr>
              <w:tabs>
                <w:tab w:val="left" w:pos="382"/>
              </w:tabs>
              <w:spacing w:before="0"/>
              <w:ind w:left="382" w:hanging="283"/>
            </w:pPr>
            <w:r w:rsidRPr="00845053">
              <w:t>-</w:t>
            </w:r>
            <w:r w:rsidRPr="00845053">
              <w:tab/>
            </w:r>
            <w:r w:rsidR="00845053" w:rsidRPr="00845053">
              <w:t>Aux Présidents et Vice-Présidents des Commissions d'études de l'UIT-T</w:t>
            </w:r>
            <w:r w:rsidR="00845053">
              <w:t xml:space="preserve"> et de l'UIT-D</w:t>
            </w:r>
            <w:r w:rsidR="00845053" w:rsidRPr="00845053">
              <w:t>;</w:t>
            </w:r>
          </w:p>
          <w:p w:rsidR="00845053" w:rsidRPr="00845053" w:rsidRDefault="00845053" w:rsidP="00E142AC">
            <w:pPr>
              <w:tabs>
                <w:tab w:val="left" w:pos="382"/>
              </w:tabs>
              <w:spacing w:before="0"/>
              <w:ind w:left="382" w:hanging="283"/>
            </w:pPr>
            <w:r w:rsidRPr="00845053">
              <w:t>-</w:t>
            </w:r>
            <w:r w:rsidRPr="00845053">
              <w:tab/>
              <w:t>Aux Présidents et Vice-Présidents</w:t>
            </w:r>
            <w:r>
              <w:t xml:space="preserve"> du GCNT et du GCDT</w:t>
            </w:r>
            <w:r w:rsidRPr="00845053">
              <w:t>;</w:t>
            </w:r>
          </w:p>
          <w:p w:rsidR="009105A0" w:rsidRPr="00845053" w:rsidRDefault="00845053" w:rsidP="00E142AC">
            <w:pPr>
              <w:tabs>
                <w:tab w:val="left" w:pos="382"/>
              </w:tabs>
              <w:spacing w:before="0" w:after="120"/>
              <w:ind w:left="382" w:hanging="283"/>
            </w:pPr>
            <w:r w:rsidRPr="00845053">
              <w:t>-</w:t>
            </w:r>
            <w:r w:rsidRPr="00845053">
              <w:tab/>
              <w:t>Au Directeur du Bureau des radiocommunications</w:t>
            </w:r>
          </w:p>
        </w:tc>
      </w:tr>
      <w:tr w:rsidR="009105A0" w:rsidRPr="00F8341E" w:rsidTr="00BF484A">
        <w:trPr>
          <w:gridBefore w:val="1"/>
          <w:wBefore w:w="4" w:type="pct"/>
          <w:cantSplit/>
          <w:trHeight w:val="423"/>
        </w:trPr>
        <w:tc>
          <w:tcPr>
            <w:tcW w:w="2322" w:type="pct"/>
            <w:gridSpan w:val="3"/>
          </w:tcPr>
          <w:p w:rsidR="009105A0" w:rsidRPr="00845053" w:rsidRDefault="009105A0" w:rsidP="00071210">
            <w:pPr>
              <w:tabs>
                <w:tab w:val="clear" w:pos="794"/>
                <w:tab w:val="left" w:pos="141"/>
                <w:tab w:val="left" w:pos="4111"/>
              </w:tabs>
              <w:spacing w:before="0"/>
            </w:pPr>
          </w:p>
        </w:tc>
        <w:tc>
          <w:tcPr>
            <w:tcW w:w="2674" w:type="pct"/>
            <w:gridSpan w:val="2"/>
          </w:tcPr>
          <w:p w:rsidR="009105A0" w:rsidRPr="00845053" w:rsidRDefault="009105A0" w:rsidP="00071210">
            <w:pPr>
              <w:spacing w:before="0" w:after="120"/>
              <w:ind w:left="284" w:hanging="284"/>
            </w:pPr>
          </w:p>
        </w:tc>
      </w:tr>
      <w:tr w:rsidR="009105A0" w:rsidRPr="00F8341E" w:rsidTr="00BF484A">
        <w:tblPrEx>
          <w:tblCellMar>
            <w:left w:w="107" w:type="dxa"/>
            <w:right w:w="107" w:type="dxa"/>
          </w:tblCellMar>
        </w:tblPrEx>
        <w:trPr>
          <w:cantSplit/>
        </w:trPr>
        <w:tc>
          <w:tcPr>
            <w:tcW w:w="563" w:type="pct"/>
            <w:gridSpan w:val="3"/>
          </w:tcPr>
          <w:p w:rsidR="009105A0" w:rsidRPr="00845053" w:rsidRDefault="00F57816" w:rsidP="00071210">
            <w:pPr>
              <w:tabs>
                <w:tab w:val="left" w:pos="4111"/>
              </w:tabs>
            </w:pPr>
            <w:r w:rsidRPr="00845053">
              <w:t>Objet</w:t>
            </w:r>
            <w:r w:rsidR="009105A0" w:rsidRPr="00845053">
              <w:t>:</w:t>
            </w:r>
          </w:p>
        </w:tc>
        <w:tc>
          <w:tcPr>
            <w:tcW w:w="4437" w:type="pct"/>
            <w:gridSpan w:val="3"/>
          </w:tcPr>
          <w:p w:rsidR="009105A0" w:rsidRPr="00845053" w:rsidRDefault="00FA3ABE" w:rsidP="00E142AC">
            <w:pPr>
              <w:tabs>
                <w:tab w:val="clear" w:pos="794"/>
                <w:tab w:val="left" w:pos="4111"/>
              </w:tabs>
              <w:rPr>
                <w:b/>
                <w:bCs/>
              </w:rPr>
            </w:pPr>
            <w:r>
              <w:rPr>
                <w:b/>
                <w:bCs/>
              </w:rPr>
              <w:t xml:space="preserve">Séminaire sur la lutte contre la contrefaçon des </w:t>
            </w:r>
            <w:r w:rsidR="00E142AC">
              <w:rPr>
                <w:b/>
                <w:bCs/>
              </w:rPr>
              <w:t>dispositifs</w:t>
            </w:r>
            <w:r w:rsidR="002A1D58">
              <w:rPr>
                <w:b/>
                <w:bCs/>
              </w:rPr>
              <w:t xml:space="preserve"> TIC (Genève, Suisse, </w:t>
            </w:r>
            <w:r>
              <w:rPr>
                <w:b/>
                <w:bCs/>
              </w:rPr>
              <w:t>17-18 novembre 2014)</w:t>
            </w:r>
          </w:p>
        </w:tc>
      </w:tr>
    </w:tbl>
    <w:p w:rsidR="00697D21" w:rsidRPr="00845053" w:rsidRDefault="00314792" w:rsidP="002A1D58">
      <w:pPr>
        <w:spacing w:before="480"/>
      </w:pPr>
      <w:r w:rsidRPr="00F8341E">
        <w:rPr>
          <w:lang w:val="fr-CH"/>
        </w:rPr>
        <w:t>Madame, Monsieur</w:t>
      </w:r>
      <w:r w:rsidR="00697D21" w:rsidRPr="00845053">
        <w:t>,</w:t>
      </w:r>
    </w:p>
    <w:p w:rsidR="00FA3ABE" w:rsidRDefault="00697D21" w:rsidP="00E142AC">
      <w:pPr>
        <w:jc w:val="both"/>
      </w:pPr>
      <w:bookmarkStart w:id="3" w:name="suitetext"/>
      <w:bookmarkEnd w:id="3"/>
      <w:r w:rsidRPr="00845053">
        <w:t>1</w:t>
      </w:r>
      <w:r w:rsidRPr="00845053">
        <w:tab/>
      </w:r>
      <w:r w:rsidR="00FA3ABE">
        <w:t>J'ai l'honneur de vous informer que l'Union internationale des t</w:t>
      </w:r>
      <w:r w:rsidR="00BD0138">
        <w:t>élécommunications (UIT) organise</w:t>
      </w:r>
      <w:r w:rsidR="00FA3ABE">
        <w:t xml:space="preserve"> un séminaire sur la lutte contre la contrefaçon des </w:t>
      </w:r>
      <w:r w:rsidR="00E142AC" w:rsidRPr="00E142AC">
        <w:t>dispositifs</w:t>
      </w:r>
      <w:r w:rsidR="00E142AC">
        <w:rPr>
          <w:b/>
          <w:bCs/>
        </w:rPr>
        <w:t xml:space="preserve"> </w:t>
      </w:r>
      <w:r w:rsidR="00FA3ABE">
        <w:t xml:space="preserve">TIC. Ce séminaire aura lieu les 17 (après-midi) et 18 novembre 2014 au siège de l'UIT à Genève (Suisse). Le programme </w:t>
      </w:r>
      <w:r w:rsidR="00BD0138">
        <w:t>figure dans</w:t>
      </w:r>
      <w:r w:rsidR="00FA3ABE">
        <w:t xml:space="preserve"> </w:t>
      </w:r>
      <w:r w:rsidR="00FA3ABE" w:rsidRPr="00E832D9">
        <w:t>l'</w:t>
      </w:r>
      <w:r w:rsidR="00FA3ABE" w:rsidRPr="00E832D9">
        <w:rPr>
          <w:b/>
          <w:bCs/>
        </w:rPr>
        <w:t>Annexe 1</w:t>
      </w:r>
      <w:r w:rsidR="00FA3ABE">
        <w:t>.</w:t>
      </w:r>
    </w:p>
    <w:p w:rsidR="00DB069C" w:rsidRDefault="00697D21" w:rsidP="002A1D58">
      <w:r w:rsidRPr="00845053">
        <w:t>2</w:t>
      </w:r>
      <w:r w:rsidRPr="00845053">
        <w:tab/>
      </w:r>
      <w:r w:rsidR="00F96706">
        <w:t xml:space="preserve">Les produits </w:t>
      </w:r>
      <w:r w:rsidR="00BD0138">
        <w:t xml:space="preserve">TIC de contrefaçon et </w:t>
      </w:r>
      <w:r w:rsidR="00F96706">
        <w:t xml:space="preserve">de mauvaise qualité </w:t>
      </w:r>
      <w:r w:rsidR="00BD0138">
        <w:t xml:space="preserve">représentent </w:t>
      </w:r>
      <w:r w:rsidR="00F96706">
        <w:t xml:space="preserve">un problème </w:t>
      </w:r>
      <w:r w:rsidR="00BD0138">
        <w:t>grave,</w:t>
      </w:r>
      <w:r w:rsidR="00F96706">
        <w:t xml:space="preserve"> qui affecte les pays développés et les pays en développement, </w:t>
      </w:r>
      <w:r w:rsidR="00E142AC">
        <w:t>le secteur</w:t>
      </w:r>
      <w:r w:rsidR="00BD0138">
        <w:t xml:space="preserve"> des TIC et</w:t>
      </w:r>
      <w:r w:rsidR="00F96706">
        <w:t xml:space="preserve"> les consommateurs partout dans le monde. Les coûts </w:t>
      </w:r>
      <w:r w:rsidR="00E142AC">
        <w:t xml:space="preserve">de ces produits </w:t>
      </w:r>
      <w:r w:rsidR="00F96706">
        <w:t xml:space="preserve">et les répercussions négatives pour les parties prenantes sont très divers </w:t>
      </w:r>
      <w:r w:rsidR="00E142AC">
        <w:t>et</w:t>
      </w:r>
      <w:r w:rsidR="00E142AC" w:rsidRPr="00E142AC">
        <w:t xml:space="preserve"> </w:t>
      </w:r>
      <w:r w:rsidR="00E142AC">
        <w:t>nombreux</w:t>
      </w:r>
      <w:r w:rsidR="00F96706">
        <w:t>:</w:t>
      </w:r>
      <w:r w:rsidR="00B152C8">
        <w:t xml:space="preserve"> </w:t>
      </w:r>
      <w:r w:rsidR="00BD0138">
        <w:t xml:space="preserve">pertes </w:t>
      </w:r>
      <w:r w:rsidR="0097006E">
        <w:t xml:space="preserve">fiscales, </w:t>
      </w:r>
      <w:r w:rsidR="00BD0138">
        <w:t xml:space="preserve">pertes de droits d'auteur </w:t>
      </w:r>
      <w:r w:rsidR="0097006E">
        <w:t xml:space="preserve">et </w:t>
      </w:r>
      <w:r w:rsidR="00BD0138">
        <w:t>d'</w:t>
      </w:r>
      <w:r w:rsidR="0097006E">
        <w:t>autres recettes</w:t>
      </w:r>
      <w:r w:rsidR="00E142AC">
        <w:t>;</w:t>
      </w:r>
      <w:r w:rsidR="0097006E">
        <w:t xml:space="preserve"> baisse des ventes, des prix et de l'activité</w:t>
      </w:r>
      <w:r w:rsidR="00E142AC">
        <w:t>;</w:t>
      </w:r>
      <w:r w:rsidR="0097006E">
        <w:t xml:space="preserve"> érosion de la valeur, du capital de sympathie et </w:t>
      </w:r>
      <w:r w:rsidR="00BD0138">
        <w:t xml:space="preserve">de </w:t>
      </w:r>
      <w:r w:rsidR="0097006E">
        <w:t>la réputation de la marque</w:t>
      </w:r>
      <w:r w:rsidR="00E142AC">
        <w:t>;</w:t>
      </w:r>
      <w:r w:rsidR="0097006E">
        <w:t xml:space="preserve"> diminution des incitations à l'innovation et à l'investissement</w:t>
      </w:r>
      <w:r w:rsidR="00E142AC">
        <w:t>;</w:t>
      </w:r>
      <w:r w:rsidR="0097006E">
        <w:t xml:space="preserve"> recul de l'emploi et de la croissance économique</w:t>
      </w:r>
      <w:r w:rsidR="00E142AC">
        <w:t>;</w:t>
      </w:r>
      <w:r w:rsidR="0097006E">
        <w:t xml:space="preserve"> </w:t>
      </w:r>
      <w:r w:rsidR="004304C9">
        <w:t xml:space="preserve">dysfonctionnements </w:t>
      </w:r>
      <w:r w:rsidR="00E142AC">
        <w:t xml:space="preserve">du </w:t>
      </w:r>
      <w:r w:rsidR="0097006E">
        <w:t xml:space="preserve">réseau et problèmes d'interopérabilité </w:t>
      </w:r>
      <w:r w:rsidR="00872B14">
        <w:t xml:space="preserve">qui se traduisent par une </w:t>
      </w:r>
      <w:r w:rsidR="0097006E">
        <w:t xml:space="preserve">qualité </w:t>
      </w:r>
      <w:r w:rsidR="00872B14">
        <w:t xml:space="preserve">médiocre </w:t>
      </w:r>
      <w:r w:rsidR="0097006E">
        <w:t>de</w:t>
      </w:r>
      <w:r w:rsidR="00BD0138">
        <w:t xml:space="preserve"> la</w:t>
      </w:r>
      <w:r w:rsidR="0097006E">
        <w:t xml:space="preserve"> fourniture </w:t>
      </w:r>
      <w:r w:rsidR="00BD0138">
        <w:t xml:space="preserve">et </w:t>
      </w:r>
      <w:r w:rsidR="0097006E">
        <w:t xml:space="preserve">de </w:t>
      </w:r>
      <w:r w:rsidR="00BD0138">
        <w:t xml:space="preserve">la </w:t>
      </w:r>
      <w:r w:rsidR="002A1D58">
        <w:t>réception des </w:t>
      </w:r>
      <w:r w:rsidR="0097006E">
        <w:t>services</w:t>
      </w:r>
      <w:r w:rsidR="00E142AC">
        <w:t>;</w:t>
      </w:r>
      <w:r w:rsidR="0097006E">
        <w:t xml:space="preserve"> et risque</w:t>
      </w:r>
      <w:r w:rsidR="00BD0138">
        <w:t>s</w:t>
      </w:r>
      <w:r w:rsidR="0097006E">
        <w:t xml:space="preserve"> pour la santé, la sécurité et l'environnement.</w:t>
      </w:r>
      <w:r w:rsidR="002A1D58">
        <w:t xml:space="preserve"> Selon la Chambre de commerce </w:t>
      </w:r>
      <w:r w:rsidR="00301CBE">
        <w:t xml:space="preserve">internationale (CCI), la valeur des produits </w:t>
      </w:r>
      <w:r w:rsidR="00BD0138">
        <w:t>de contrefaçon</w:t>
      </w:r>
      <w:r w:rsidR="00301CBE">
        <w:t xml:space="preserve"> dans le monde devrait dépasser 1</w:t>
      </w:r>
      <w:r w:rsidR="00872B14">
        <w:t> </w:t>
      </w:r>
      <w:r w:rsidR="00301CBE">
        <w:t>700</w:t>
      </w:r>
      <w:r w:rsidR="00872B14">
        <w:t> </w:t>
      </w:r>
      <w:r w:rsidR="00301CBE">
        <w:t xml:space="preserve">milliards </w:t>
      </w:r>
      <w:r w:rsidR="002A1D58">
        <w:t>USD</w:t>
      </w:r>
      <w:r w:rsidR="00301CBE">
        <w:t xml:space="preserve"> d'ici à 2015.</w:t>
      </w:r>
    </w:p>
    <w:p w:rsidR="002A1D58" w:rsidRDefault="002A1D58" w:rsidP="00872B14">
      <w:pPr>
        <w:rPr>
          <w:color w:val="000000"/>
        </w:rPr>
      </w:pPr>
      <w:r>
        <w:rPr>
          <w:color w:val="000000"/>
        </w:rPr>
        <w:br w:type="page"/>
      </w:r>
    </w:p>
    <w:p w:rsidR="00A05835" w:rsidRDefault="004D7184" w:rsidP="00872B14">
      <w:pPr>
        <w:rPr>
          <w:color w:val="000000"/>
        </w:rPr>
      </w:pPr>
      <w:r w:rsidRPr="00845053">
        <w:rPr>
          <w:color w:val="000000"/>
        </w:rPr>
        <w:lastRenderedPageBreak/>
        <w:t>3</w:t>
      </w:r>
      <w:r w:rsidRPr="00845053">
        <w:rPr>
          <w:color w:val="000000"/>
        </w:rPr>
        <w:tab/>
      </w:r>
      <w:r w:rsidR="00872B14">
        <w:rPr>
          <w:color w:val="000000"/>
        </w:rPr>
        <w:t>L'objectif de c</w:t>
      </w:r>
      <w:r w:rsidR="00D9767F">
        <w:rPr>
          <w:color w:val="000000"/>
        </w:rPr>
        <w:t xml:space="preserve">e séminaire </w:t>
      </w:r>
      <w:r w:rsidR="00872B14">
        <w:rPr>
          <w:color w:val="000000"/>
        </w:rPr>
        <w:t>est triple</w:t>
      </w:r>
      <w:r w:rsidR="004A11F5">
        <w:rPr>
          <w:color w:val="000000"/>
        </w:rPr>
        <w:t>:</w:t>
      </w:r>
      <w:r w:rsidR="00D9767F">
        <w:rPr>
          <w:color w:val="000000"/>
        </w:rPr>
        <w:t xml:space="preserve"> 1) </w:t>
      </w:r>
      <w:r w:rsidR="00BD0138">
        <w:rPr>
          <w:color w:val="000000"/>
        </w:rPr>
        <w:t>examiner</w:t>
      </w:r>
      <w:r w:rsidR="00D9767F">
        <w:rPr>
          <w:color w:val="000000"/>
        </w:rPr>
        <w:t xml:space="preserve"> l'ampleur</w:t>
      </w:r>
      <w:r w:rsidR="00CE4B56">
        <w:rPr>
          <w:color w:val="000000"/>
        </w:rPr>
        <w:t xml:space="preserve"> </w:t>
      </w:r>
      <w:r w:rsidR="00D9767F">
        <w:rPr>
          <w:color w:val="000000"/>
        </w:rPr>
        <w:t xml:space="preserve">et </w:t>
      </w:r>
      <w:r w:rsidR="00BD0138">
        <w:rPr>
          <w:color w:val="000000"/>
        </w:rPr>
        <w:t>les incidences au niveau mondial du phénomène que représentent les produits TIC</w:t>
      </w:r>
      <w:r w:rsidR="00D9767F">
        <w:rPr>
          <w:color w:val="000000"/>
        </w:rPr>
        <w:t xml:space="preserve"> de contrefaçon</w:t>
      </w:r>
      <w:r w:rsidR="00CE4B56">
        <w:rPr>
          <w:color w:val="000000"/>
        </w:rPr>
        <w:t xml:space="preserve"> et de mauvaise qualité pour les différentes parties prenantes</w:t>
      </w:r>
      <w:r w:rsidR="00E142AC">
        <w:rPr>
          <w:color w:val="000000"/>
        </w:rPr>
        <w:t>;</w:t>
      </w:r>
      <w:r w:rsidR="00CE4B56">
        <w:rPr>
          <w:color w:val="000000"/>
        </w:rPr>
        <w:t xml:space="preserve"> 2) mettre en évidence les inquiétudes, les </w:t>
      </w:r>
      <w:r w:rsidR="00BD0138">
        <w:rPr>
          <w:color w:val="000000"/>
        </w:rPr>
        <w:t>difficultés</w:t>
      </w:r>
      <w:r w:rsidR="00CE4B56">
        <w:rPr>
          <w:color w:val="000000"/>
        </w:rPr>
        <w:t xml:space="preserve">, les initiatives, les pratiques et les </w:t>
      </w:r>
      <w:r w:rsidR="00BD0138">
        <w:rPr>
          <w:color w:val="000000"/>
        </w:rPr>
        <w:t>possibilités communes aux</w:t>
      </w:r>
      <w:r w:rsidR="00CE4B56">
        <w:rPr>
          <w:color w:val="000000"/>
        </w:rPr>
        <w:t xml:space="preserve"> différentes parties prenantes en </w:t>
      </w:r>
      <w:r w:rsidR="005C7AE3">
        <w:rPr>
          <w:color w:val="000000"/>
        </w:rPr>
        <w:t>matière de</w:t>
      </w:r>
      <w:r w:rsidR="00CE4B56">
        <w:rPr>
          <w:color w:val="000000"/>
        </w:rPr>
        <w:t xml:space="preserve"> lutte contre les produits TIC </w:t>
      </w:r>
      <w:r w:rsidR="005C7AE3">
        <w:t xml:space="preserve">de contrefaçon </w:t>
      </w:r>
      <w:r w:rsidR="00872B14">
        <w:rPr>
          <w:color w:val="000000"/>
        </w:rPr>
        <w:t>et</w:t>
      </w:r>
      <w:r w:rsidR="00CE4B56">
        <w:rPr>
          <w:color w:val="000000"/>
        </w:rPr>
        <w:t xml:space="preserve"> de mauvaise qualité</w:t>
      </w:r>
      <w:r w:rsidR="00E142AC">
        <w:rPr>
          <w:color w:val="000000"/>
        </w:rPr>
        <w:t>;</w:t>
      </w:r>
      <w:r w:rsidR="00CE4B56">
        <w:rPr>
          <w:color w:val="000000"/>
        </w:rPr>
        <w:t xml:space="preserve"> et 3) examiner le rôle </w:t>
      </w:r>
      <w:r w:rsidR="005C7AE3">
        <w:rPr>
          <w:color w:val="000000"/>
        </w:rPr>
        <w:t>que peuvent jouer les</w:t>
      </w:r>
      <w:r w:rsidR="00CE4B56">
        <w:rPr>
          <w:color w:val="000000"/>
        </w:rPr>
        <w:t xml:space="preserve"> organismes de normalisation des TIC, en particulier l'UIT, dans le cadre de la stratégie </w:t>
      </w:r>
      <w:r w:rsidR="00872B14">
        <w:rPr>
          <w:color w:val="000000"/>
        </w:rPr>
        <w:t xml:space="preserve">et de l'action </w:t>
      </w:r>
      <w:r w:rsidR="00CE4B56">
        <w:rPr>
          <w:color w:val="000000"/>
        </w:rPr>
        <w:t>globale</w:t>
      </w:r>
      <w:r w:rsidR="00872B14">
        <w:rPr>
          <w:color w:val="000000"/>
        </w:rPr>
        <w:t>s</w:t>
      </w:r>
      <w:r w:rsidR="00A05835">
        <w:rPr>
          <w:color w:val="000000"/>
        </w:rPr>
        <w:t xml:space="preserve"> </w:t>
      </w:r>
      <w:r w:rsidR="005C7AE3">
        <w:rPr>
          <w:color w:val="000000"/>
        </w:rPr>
        <w:t>visant à</w:t>
      </w:r>
      <w:r w:rsidR="00A05835">
        <w:rPr>
          <w:color w:val="000000"/>
        </w:rPr>
        <w:t xml:space="preserve"> réduire le nombre de produits TIC </w:t>
      </w:r>
      <w:r w:rsidR="002D5C4E">
        <w:t xml:space="preserve">de contrefaçon </w:t>
      </w:r>
      <w:r w:rsidR="00A05835">
        <w:rPr>
          <w:color w:val="000000"/>
        </w:rPr>
        <w:t>et de mauvaise qualité.</w:t>
      </w:r>
    </w:p>
    <w:p w:rsidR="00831232" w:rsidRDefault="00BF1071" w:rsidP="002A1D58">
      <w:r w:rsidRPr="00845053">
        <w:t>4</w:t>
      </w:r>
      <w:r w:rsidR="00697D21" w:rsidRPr="00845053">
        <w:tab/>
      </w:r>
      <w:r w:rsidR="00831232" w:rsidRPr="00895181">
        <w:rPr>
          <w:rFonts w:asciiTheme="majorBidi" w:hAnsiTheme="majorBidi" w:cstheme="majorBidi"/>
          <w:color w:val="000000"/>
          <w:szCs w:val="24"/>
        </w:rPr>
        <w:t>D'éminents spécialistes provenant d</w:t>
      </w:r>
      <w:r w:rsidR="00831232">
        <w:rPr>
          <w:rFonts w:asciiTheme="majorBidi" w:hAnsiTheme="majorBidi" w:cstheme="majorBidi"/>
          <w:color w:val="000000"/>
          <w:szCs w:val="24"/>
        </w:rPr>
        <w:t>'</w:t>
      </w:r>
      <w:r w:rsidR="00831232" w:rsidRPr="00895181">
        <w:rPr>
          <w:rFonts w:asciiTheme="majorBidi" w:hAnsiTheme="majorBidi" w:cstheme="majorBidi"/>
          <w:color w:val="000000"/>
          <w:szCs w:val="24"/>
        </w:rPr>
        <w:t>organisations internationales</w:t>
      </w:r>
      <w:r w:rsidR="002D5C4E">
        <w:rPr>
          <w:rFonts w:asciiTheme="majorBidi" w:hAnsiTheme="majorBidi" w:cstheme="majorBidi"/>
          <w:color w:val="000000"/>
          <w:szCs w:val="24"/>
        </w:rPr>
        <w:t xml:space="preserve"> et</w:t>
      </w:r>
      <w:r w:rsidR="00831232" w:rsidRPr="00895181">
        <w:rPr>
          <w:rFonts w:asciiTheme="majorBidi" w:hAnsiTheme="majorBidi" w:cstheme="majorBidi"/>
          <w:color w:val="000000"/>
          <w:szCs w:val="24"/>
        </w:rPr>
        <w:t xml:space="preserve"> </w:t>
      </w:r>
      <w:r w:rsidR="00872B14">
        <w:rPr>
          <w:rFonts w:asciiTheme="majorBidi" w:hAnsiTheme="majorBidi" w:cstheme="majorBidi"/>
          <w:color w:val="000000"/>
          <w:szCs w:val="24"/>
        </w:rPr>
        <w:t xml:space="preserve">du secteur </w:t>
      </w:r>
      <w:r w:rsidR="00831232">
        <w:rPr>
          <w:rFonts w:asciiTheme="majorBidi" w:hAnsiTheme="majorBidi" w:cstheme="majorBidi"/>
          <w:color w:val="000000"/>
          <w:szCs w:val="24"/>
        </w:rPr>
        <w:t xml:space="preserve">des TIC, </w:t>
      </w:r>
      <w:r w:rsidR="002A1D58">
        <w:rPr>
          <w:rFonts w:asciiTheme="majorBidi" w:hAnsiTheme="majorBidi" w:cstheme="majorBidi"/>
          <w:color w:val="000000"/>
          <w:szCs w:val="24"/>
        </w:rPr>
        <w:t>des </w:t>
      </w:r>
      <w:r w:rsidR="00831232" w:rsidRPr="00895181">
        <w:rPr>
          <w:rFonts w:asciiTheme="majorBidi" w:hAnsiTheme="majorBidi" w:cstheme="majorBidi"/>
          <w:color w:val="000000"/>
          <w:szCs w:val="24"/>
        </w:rPr>
        <w:t>régulateurs</w:t>
      </w:r>
      <w:r w:rsidR="00831232">
        <w:rPr>
          <w:rFonts w:asciiTheme="majorBidi" w:hAnsiTheme="majorBidi" w:cstheme="majorBidi"/>
          <w:color w:val="000000"/>
          <w:szCs w:val="24"/>
        </w:rPr>
        <w:t xml:space="preserve"> des télécommunications</w:t>
      </w:r>
      <w:r w:rsidR="00831232" w:rsidRPr="00895181">
        <w:rPr>
          <w:rFonts w:asciiTheme="majorBidi" w:hAnsiTheme="majorBidi" w:cstheme="majorBidi"/>
          <w:color w:val="000000"/>
          <w:szCs w:val="24"/>
        </w:rPr>
        <w:t xml:space="preserve">, des représentants gouvernementaux, des </w:t>
      </w:r>
      <w:r w:rsidR="002D5C4E">
        <w:rPr>
          <w:rFonts w:asciiTheme="majorBidi" w:hAnsiTheme="majorBidi" w:cstheme="majorBidi"/>
          <w:color w:val="000000"/>
          <w:szCs w:val="24"/>
        </w:rPr>
        <w:t>représentants d'organismes</w:t>
      </w:r>
      <w:r w:rsidR="00831232" w:rsidRPr="00895181">
        <w:rPr>
          <w:rFonts w:asciiTheme="majorBidi" w:hAnsiTheme="majorBidi" w:cstheme="majorBidi"/>
          <w:color w:val="000000"/>
          <w:szCs w:val="24"/>
        </w:rPr>
        <w:t xml:space="preserve"> de normalisation et</w:t>
      </w:r>
      <w:r w:rsidR="00831232">
        <w:rPr>
          <w:rFonts w:asciiTheme="majorBidi" w:hAnsiTheme="majorBidi" w:cstheme="majorBidi"/>
          <w:color w:val="000000"/>
          <w:szCs w:val="24"/>
        </w:rPr>
        <w:t xml:space="preserve"> des juristes</w:t>
      </w:r>
      <w:r w:rsidR="00831232" w:rsidRPr="00895181">
        <w:rPr>
          <w:rFonts w:asciiTheme="majorBidi" w:hAnsiTheme="majorBidi" w:cstheme="majorBidi"/>
          <w:color w:val="000000"/>
          <w:szCs w:val="24"/>
        </w:rPr>
        <w:t xml:space="preserve"> assisteront à </w:t>
      </w:r>
      <w:r w:rsidR="00831232">
        <w:rPr>
          <w:rFonts w:asciiTheme="majorBidi" w:hAnsiTheme="majorBidi" w:cstheme="majorBidi"/>
          <w:color w:val="000000"/>
          <w:szCs w:val="24"/>
        </w:rPr>
        <w:t>ce séminaire.</w:t>
      </w:r>
    </w:p>
    <w:p w:rsidR="001551FA" w:rsidRDefault="00BF1071" w:rsidP="002A1D58">
      <w:pPr>
        <w:tabs>
          <w:tab w:val="clear" w:pos="794"/>
          <w:tab w:val="clear" w:pos="1191"/>
          <w:tab w:val="clear" w:pos="1588"/>
          <w:tab w:val="clear" w:pos="1985"/>
        </w:tabs>
        <w:overflowPunct/>
        <w:textAlignment w:val="auto"/>
      </w:pPr>
      <w:r w:rsidRPr="00845053">
        <w:t>5</w:t>
      </w:r>
      <w:r w:rsidR="00697D21" w:rsidRPr="00845053">
        <w:tab/>
      </w:r>
      <w:r w:rsidR="001551FA">
        <w:t xml:space="preserve">Ce séminaire est organisé en application de la Résolution 177 (Guadalajara, 2010) de la Conférence de plénipotentiaires et de la nouvelle Résolution de la Conférence mondiale de développement des télécommunications (Dubaï, 2014) </w:t>
      </w:r>
      <w:r w:rsidR="002A1D58">
        <w:t>"</w:t>
      </w:r>
      <w:r w:rsidR="00A17455" w:rsidRPr="00A17455">
        <w:t>Rôle des télécommunications/</w:t>
      </w:r>
      <w:r w:rsidR="00061C22">
        <w:t>technologies de l'information et de la communication</w:t>
      </w:r>
      <w:r w:rsidR="00A17455" w:rsidRPr="00A17455">
        <w:t xml:space="preserve"> dans </w:t>
      </w:r>
      <w:r w:rsidR="002A1D58">
        <w:t xml:space="preserve">la lutte contre la contrefaçon </w:t>
      </w:r>
      <w:r w:rsidR="00A17455" w:rsidRPr="00A17455">
        <w:t>de dispositifs de télécommunication/</w:t>
      </w:r>
      <w:r w:rsidR="00061C22">
        <w:t>technologies de l'information et de la communication</w:t>
      </w:r>
      <w:r w:rsidR="00A17455" w:rsidRPr="00A17455">
        <w:t xml:space="preserve"> et le traitement de ce problème</w:t>
      </w:r>
      <w:r w:rsidR="002A1D58">
        <w:t>"</w:t>
      </w:r>
      <w:r w:rsidR="00A17455">
        <w:t>.</w:t>
      </w:r>
    </w:p>
    <w:p w:rsidR="007E1CB5" w:rsidRPr="00845053" w:rsidRDefault="00BF1071" w:rsidP="00754F9D">
      <w:pPr>
        <w:rPr>
          <w:color w:val="000000"/>
        </w:rPr>
      </w:pPr>
      <w:r w:rsidRPr="00845053">
        <w:t>6</w:t>
      </w:r>
      <w:r w:rsidR="00125634" w:rsidRPr="00845053">
        <w:tab/>
      </w:r>
      <w:r w:rsidR="00A17455">
        <w:t xml:space="preserve">Pour permettre à l'UIT de prendre les dispositions nécessaires </w:t>
      </w:r>
      <w:r w:rsidR="002A1D58">
        <w:t>pour l'organisation de ce </w:t>
      </w:r>
      <w:r w:rsidR="00A17455">
        <w:t>séminaire</w:t>
      </w:r>
      <w:r w:rsidR="009D0B20">
        <w:t>,</w:t>
      </w:r>
      <w:r w:rsidR="00A17455">
        <w:t xml:space="preserve"> et étant donné que le nombre de participants est li</w:t>
      </w:r>
      <w:r w:rsidR="002A1D58">
        <w:t>mité, nous vous invitons à vous </w:t>
      </w:r>
      <w:r w:rsidR="00A17455">
        <w:t>inscrire dès que possible</w:t>
      </w:r>
      <w:r w:rsidR="009D0B20">
        <w:t>,</w:t>
      </w:r>
      <w:r w:rsidR="00A17455">
        <w:t xml:space="preserve"> et </w:t>
      </w:r>
      <w:r w:rsidR="00A17455" w:rsidRPr="00A17455">
        <w:rPr>
          <w:b/>
          <w:bCs/>
        </w:rPr>
        <w:t>au plus tard le 3 novembre 2014</w:t>
      </w:r>
      <w:r w:rsidR="009D0B20" w:rsidRPr="002A1D58">
        <w:t>,</w:t>
      </w:r>
      <w:r w:rsidR="002A1D58" w:rsidRPr="002A1D58">
        <w:t xml:space="preserve"> </w:t>
      </w:r>
      <w:r w:rsidR="002A1D58">
        <w:t>en utilisant le formulaire en </w:t>
      </w:r>
      <w:r w:rsidR="00A17455">
        <w:t xml:space="preserve">ligne disponible sur le site </w:t>
      </w:r>
      <w:r w:rsidR="00872B14">
        <w:t>w</w:t>
      </w:r>
      <w:r w:rsidR="00A17455">
        <w:t xml:space="preserve">eb de la manifestation </w:t>
      </w:r>
      <w:r w:rsidR="007E1CB5" w:rsidRPr="00845053">
        <w:rPr>
          <w:color w:val="000000"/>
        </w:rPr>
        <w:t>(</w:t>
      </w:r>
      <w:hyperlink r:id="rId11" w:history="1">
        <w:r w:rsidR="00754F9D" w:rsidRPr="008E2563">
          <w:rPr>
            <w:rStyle w:val="Hyperlink"/>
          </w:rPr>
          <w:t>http://www.itu.int/en/ITU-T/C-I/Pages/WSHP_counterfeit.aspx</w:t>
        </w:r>
      </w:hyperlink>
      <w:r w:rsidR="00A17455">
        <w:rPr>
          <w:color w:val="000000"/>
        </w:rPr>
        <w:t>)</w:t>
      </w:r>
      <w:r w:rsidR="007E1CB5" w:rsidRPr="00845053">
        <w:rPr>
          <w:color w:val="000000"/>
        </w:rPr>
        <w:t>.</w:t>
      </w:r>
    </w:p>
    <w:p w:rsidR="007E1CB5" w:rsidRPr="00845053" w:rsidRDefault="007E1CB5" w:rsidP="00872B14">
      <w:r w:rsidRPr="00845053">
        <w:t>7</w:t>
      </w:r>
      <w:r w:rsidR="00697D21" w:rsidRPr="00845053">
        <w:tab/>
      </w:r>
      <w:r w:rsidR="00460CE1">
        <w:t xml:space="preserve">N'hésitez pas à vous adresser à </w:t>
      </w:r>
      <w:hyperlink r:id="rId12" w:history="1">
        <w:r w:rsidRPr="00845053">
          <w:rPr>
            <w:rStyle w:val="Hyperlink"/>
            <w:rFonts w:eastAsia="SimSun"/>
          </w:rPr>
          <w:t>seminar-counterfeiting@itu.int</w:t>
        </w:r>
      </w:hyperlink>
      <w:r w:rsidRPr="00845053">
        <w:t xml:space="preserve"> </w:t>
      </w:r>
      <w:r w:rsidR="00460CE1">
        <w:t>pour obtenir des informations complémentaires à propos de ce séminaire</w:t>
      </w:r>
      <w:r w:rsidRPr="00845053">
        <w:t>.</w:t>
      </w:r>
    </w:p>
    <w:p w:rsidR="008B0DBC" w:rsidRPr="00845053" w:rsidRDefault="00A86D3D" w:rsidP="002A1D58">
      <w:pPr>
        <w:rPr>
          <w:noProof/>
          <w:lang w:eastAsia="zh-CN"/>
        </w:rPr>
      </w:pPr>
      <w:r w:rsidRPr="00A86D3D">
        <w:t>Veuillez agréer, Madame, Monsieur, l'assurance de ma considération distinguée</w:t>
      </w:r>
      <w:r w:rsidR="002A1D58">
        <w:t>.</w:t>
      </w:r>
      <w:r w:rsidR="00ED6F5A" w:rsidRPr="00845053">
        <w:rPr>
          <w:noProof/>
          <w:lang w:eastAsia="zh-CN"/>
        </w:rPr>
        <w:t xml:space="preserve"> </w:t>
      </w:r>
    </w:p>
    <w:p w:rsidR="006C7BDF" w:rsidRDefault="002A1D58" w:rsidP="00343F50">
      <w:pPr>
        <w:tabs>
          <w:tab w:val="left" w:pos="6946"/>
        </w:tabs>
        <w:spacing w:before="720" w:after="480"/>
        <w:rPr>
          <w:noProof/>
          <w:lang w:eastAsia="zh-CN"/>
        </w:rPr>
      </w:pPr>
      <w:r>
        <w:rPr>
          <w:noProof/>
          <w:lang w:eastAsia="zh-CN"/>
        </w:rPr>
        <w:tab/>
      </w:r>
      <w:r>
        <w:rPr>
          <w:noProof/>
          <w:lang w:eastAsia="zh-CN"/>
        </w:rPr>
        <w:tab/>
      </w:r>
      <w:r>
        <w:rPr>
          <w:noProof/>
          <w:lang w:eastAsia="zh-CN"/>
        </w:rPr>
        <w:tab/>
      </w:r>
      <w:r>
        <w:rPr>
          <w:noProof/>
          <w:lang w:eastAsia="zh-CN"/>
        </w:rPr>
        <w:tab/>
      </w:r>
      <w:r w:rsidR="00796B51" w:rsidRPr="00845053">
        <w:rPr>
          <w:noProof/>
          <w:lang w:eastAsia="zh-CN"/>
        </w:rPr>
        <w:t xml:space="preserve">[ </w:t>
      </w:r>
      <w:r w:rsidR="00A86D3D">
        <w:rPr>
          <w:noProof/>
          <w:lang w:eastAsia="zh-CN"/>
        </w:rPr>
        <w:t>Signé</w:t>
      </w:r>
      <w:r w:rsidR="00796B51" w:rsidRPr="00845053">
        <w:rPr>
          <w:noProof/>
          <w:lang w:eastAsia="zh-CN"/>
        </w:rPr>
        <w:t xml:space="preserve"> ]</w:t>
      </w:r>
      <w:r w:rsidR="00796B51" w:rsidRPr="00845053">
        <w:rPr>
          <w:noProof/>
          <w:lang w:eastAsia="zh-CN"/>
        </w:rPr>
        <w:tab/>
        <w:t>[</w:t>
      </w:r>
      <w:r w:rsidR="00A86D3D">
        <w:rPr>
          <w:noProof/>
          <w:lang w:eastAsia="zh-CN"/>
        </w:rPr>
        <w:t xml:space="preserve"> Signé </w:t>
      </w:r>
      <w:r w:rsidR="00796B51" w:rsidRPr="00845053">
        <w:rPr>
          <w:noProof/>
          <w:lang w:eastAsia="zh-CN"/>
        </w:rPr>
        <w:t>]</w:t>
      </w:r>
    </w:p>
    <w:p w:rsidR="00754F9D" w:rsidRDefault="00754F9D" w:rsidP="00343F50">
      <w:pPr>
        <w:tabs>
          <w:tab w:val="left" w:pos="6946"/>
        </w:tabs>
        <w:spacing w:before="720" w:after="480"/>
        <w:rPr>
          <w:noProof/>
          <w:lang w:eastAsia="zh-CN"/>
        </w:rPr>
      </w:pPr>
    </w:p>
    <w:p w:rsidR="00754F9D" w:rsidRPr="00845053" w:rsidRDefault="00754F9D" w:rsidP="00343F50">
      <w:pPr>
        <w:tabs>
          <w:tab w:val="left" w:pos="6946"/>
        </w:tabs>
        <w:spacing w:before="720" w:after="480"/>
        <w:rPr>
          <w:noProof/>
          <w:lang w:eastAsia="zh-CN"/>
        </w:rPr>
      </w:pPr>
    </w:p>
    <w:tbl>
      <w:tblPr>
        <w:tblW w:w="9945" w:type="dxa"/>
        <w:tblLayout w:type="fixed"/>
        <w:tblLook w:val="0000" w:firstRow="0" w:lastRow="0" w:firstColumn="0" w:lastColumn="0" w:noHBand="0" w:noVBand="0"/>
      </w:tblPr>
      <w:tblGrid>
        <w:gridCol w:w="5070"/>
        <w:gridCol w:w="4875"/>
      </w:tblGrid>
      <w:tr w:rsidR="006D4AF6" w:rsidRPr="00F8341E" w:rsidTr="002A1D58">
        <w:tc>
          <w:tcPr>
            <w:tcW w:w="5070" w:type="dxa"/>
            <w:tcBorders>
              <w:top w:val="nil"/>
              <w:left w:val="nil"/>
              <w:bottom w:val="nil"/>
              <w:right w:val="nil"/>
            </w:tcBorders>
            <w:shd w:val="clear" w:color="auto" w:fill="FFFFFF"/>
          </w:tcPr>
          <w:p w:rsidR="006D4AF6" w:rsidRPr="00845053" w:rsidRDefault="006D4AF6" w:rsidP="002A1D58">
            <w:pPr>
              <w:jc w:val="center"/>
            </w:pPr>
            <w:r w:rsidRPr="00845053">
              <w:t>Malcolm Johnson</w:t>
            </w:r>
            <w:r w:rsidR="002A1D58">
              <w:br/>
            </w:r>
            <w:r w:rsidR="00A86D3D">
              <w:t>Directeur</w:t>
            </w:r>
            <w:r w:rsidR="00F15390" w:rsidRPr="00845053">
              <w:br/>
            </w:r>
            <w:r w:rsidR="00A86D3D">
              <w:t xml:space="preserve">Bureau de la </w:t>
            </w:r>
            <w:r w:rsidR="00343F50">
              <w:t>normalisation des </w:t>
            </w:r>
            <w:r w:rsidR="00A86D3D">
              <w:t>télécommunications</w:t>
            </w:r>
          </w:p>
        </w:tc>
        <w:tc>
          <w:tcPr>
            <w:tcW w:w="4875" w:type="dxa"/>
            <w:tcBorders>
              <w:top w:val="nil"/>
              <w:left w:val="nil"/>
              <w:bottom w:val="nil"/>
              <w:right w:val="nil"/>
            </w:tcBorders>
            <w:shd w:val="clear" w:color="auto" w:fill="FFFFFF"/>
          </w:tcPr>
          <w:p w:rsidR="006D4AF6" w:rsidRPr="00845053" w:rsidRDefault="007E1CB5" w:rsidP="002A1D58">
            <w:pPr>
              <w:jc w:val="center"/>
            </w:pPr>
            <w:r w:rsidRPr="00845053">
              <w:t>Brahima Sanou</w:t>
            </w:r>
            <w:r w:rsidR="002A1D58">
              <w:br/>
            </w:r>
            <w:r w:rsidR="00A86D3D">
              <w:t>Directeur</w:t>
            </w:r>
            <w:r w:rsidR="00F15390" w:rsidRPr="00845053">
              <w:br/>
            </w:r>
            <w:r w:rsidR="00343F50">
              <w:t>Bureau de développement des </w:t>
            </w:r>
            <w:r w:rsidR="00872B14">
              <w:t>télécommunications</w:t>
            </w:r>
          </w:p>
        </w:tc>
      </w:tr>
    </w:tbl>
    <w:p w:rsidR="00C67A0C" w:rsidRPr="00845053" w:rsidRDefault="00C67A0C" w:rsidP="002A1D58">
      <w:pPr>
        <w:spacing w:before="1200"/>
        <w:rPr>
          <w:b/>
          <w:bCs/>
        </w:rPr>
      </w:pPr>
      <w:r w:rsidRPr="00845053">
        <w:rPr>
          <w:b/>
          <w:bCs/>
        </w:rPr>
        <w:lastRenderedPageBreak/>
        <w:t>Annex</w:t>
      </w:r>
      <w:r w:rsidR="00015F84" w:rsidRPr="00845053">
        <w:rPr>
          <w:b/>
          <w:bCs/>
        </w:rPr>
        <w:t>es</w:t>
      </w:r>
      <w:r w:rsidR="00015F84" w:rsidRPr="002A1D58">
        <w:t>: 3</w:t>
      </w:r>
      <w:r w:rsidR="00015F84" w:rsidRPr="00845053">
        <w:rPr>
          <w:b/>
          <w:bCs/>
        </w:rPr>
        <w:t xml:space="preserve"> </w:t>
      </w:r>
    </w:p>
    <w:p w:rsidR="002A1D58" w:rsidRDefault="002A1D58" w:rsidP="00583DA3">
      <w:pPr>
        <w:pStyle w:val="Annex"/>
      </w:pPr>
      <w:r>
        <w:br w:type="page"/>
      </w:r>
    </w:p>
    <w:p w:rsidR="00583DA3" w:rsidRDefault="00C67A0C" w:rsidP="00583DA3">
      <w:pPr>
        <w:pStyle w:val="Annex"/>
      </w:pPr>
      <w:r w:rsidRPr="00845053">
        <w:lastRenderedPageBreak/>
        <w:t>ANNEX</w:t>
      </w:r>
      <w:r w:rsidR="00A86D3D">
        <w:t>E</w:t>
      </w:r>
      <w:r w:rsidRPr="00845053">
        <w:t xml:space="preserve"> 1</w:t>
      </w:r>
    </w:p>
    <w:p w:rsidR="00C67A0C" w:rsidRPr="00845053" w:rsidRDefault="00015F84" w:rsidP="00583DA3">
      <w:pPr>
        <w:pStyle w:val="Annex"/>
        <w:spacing w:before="0"/>
      </w:pPr>
      <w:r w:rsidRPr="00845053">
        <w:t>(</w:t>
      </w:r>
      <w:proofErr w:type="gramStart"/>
      <w:r w:rsidR="00583DA3">
        <w:rPr>
          <w:caps w:val="0"/>
        </w:rPr>
        <w:t>de</w:t>
      </w:r>
      <w:proofErr w:type="gramEnd"/>
      <w:r w:rsidR="00583DA3">
        <w:rPr>
          <w:caps w:val="0"/>
        </w:rPr>
        <w:t xml:space="preserve"> la </w:t>
      </w:r>
      <w:r w:rsidR="00A86D3D">
        <w:t>C</w:t>
      </w:r>
      <w:r w:rsidR="00583DA3">
        <w:rPr>
          <w:caps w:val="0"/>
        </w:rPr>
        <w:t>irculaire</w:t>
      </w:r>
      <w:r w:rsidR="00A86D3D">
        <w:t xml:space="preserve"> TSB </w:t>
      </w:r>
      <w:r w:rsidRPr="00845053">
        <w:t>103)</w:t>
      </w:r>
    </w:p>
    <w:p w:rsidR="00C67A0C" w:rsidRPr="00845053" w:rsidRDefault="00A86D3D" w:rsidP="00583DA3">
      <w:pPr>
        <w:pStyle w:val="AnnexNotitle"/>
      </w:pPr>
      <w:r>
        <w:t>Projet de programme</w:t>
      </w:r>
    </w:p>
    <w:p w:rsidR="00C67A0C" w:rsidRPr="00845053" w:rsidRDefault="00124030" w:rsidP="00B21545">
      <w:pPr>
        <w:pStyle w:val="Headingb"/>
        <w:spacing w:before="480"/>
      </w:pPr>
      <w:r w:rsidRPr="006D5E6D">
        <w:t>Rappel et objectifs</w:t>
      </w:r>
    </w:p>
    <w:p w:rsidR="00C67A0C" w:rsidRPr="00845053" w:rsidRDefault="009D0B20" w:rsidP="00B21545">
      <w:r>
        <w:t xml:space="preserve">Les produits TIC de contrefaçon et de mauvaise qualité représentent un problème grave, qui affecte les pays développés et les pays en développement, l'industrie des TIC et les consommateurs partout dans le monde. Les coûts </w:t>
      </w:r>
      <w:r w:rsidR="004304C9">
        <w:t xml:space="preserve">de ces produits </w:t>
      </w:r>
      <w:r>
        <w:t xml:space="preserve">et les répercussions négatives pour les parties prenantes sont </w:t>
      </w:r>
      <w:r w:rsidR="004304C9">
        <w:t xml:space="preserve">très divers </w:t>
      </w:r>
      <w:r>
        <w:t>et</w:t>
      </w:r>
      <w:r w:rsidR="004304C9" w:rsidRPr="004304C9">
        <w:t xml:space="preserve"> </w:t>
      </w:r>
      <w:r w:rsidR="004304C9">
        <w:t>nombreux</w:t>
      </w:r>
      <w:r w:rsidR="004A11F5">
        <w:t>:</w:t>
      </w:r>
      <w:r>
        <w:t xml:space="preserve"> pertes fiscales, pertes de droits d'auteur et d'autres recettes</w:t>
      </w:r>
      <w:r w:rsidR="00E142AC">
        <w:t>;</w:t>
      </w:r>
      <w:r>
        <w:t xml:space="preserve"> baisse des ventes, des prix et de l'activité</w:t>
      </w:r>
      <w:r w:rsidR="00E142AC">
        <w:t>;</w:t>
      </w:r>
      <w:r>
        <w:t xml:space="preserve"> érosion de la valeur, du capital de sympathie et de la réputation de la marque</w:t>
      </w:r>
      <w:r w:rsidR="00E142AC">
        <w:t>;</w:t>
      </w:r>
      <w:r>
        <w:t xml:space="preserve"> diminution des incitations à l'innovation et à l'investissement</w:t>
      </w:r>
      <w:r w:rsidR="00E142AC">
        <w:t>;</w:t>
      </w:r>
      <w:r>
        <w:t xml:space="preserve"> recul de l'emploi et de la croissance économique</w:t>
      </w:r>
      <w:r w:rsidR="00E142AC">
        <w:t>;</w:t>
      </w:r>
      <w:r>
        <w:t xml:space="preserve"> </w:t>
      </w:r>
      <w:r w:rsidR="004304C9">
        <w:t>dysfonctionnements du</w:t>
      </w:r>
      <w:r>
        <w:t xml:space="preserve"> réseau et problèmes d'interopérabilité </w:t>
      </w:r>
      <w:r w:rsidR="00365F99">
        <w:t xml:space="preserve">qui se traduisent par une </w:t>
      </w:r>
      <w:r>
        <w:t xml:space="preserve">qualité </w:t>
      </w:r>
      <w:r w:rsidR="00365F99">
        <w:t xml:space="preserve">médiocre </w:t>
      </w:r>
      <w:r>
        <w:t>de la fourniture et de la réception des services</w:t>
      </w:r>
      <w:r w:rsidR="00E142AC">
        <w:t>;</w:t>
      </w:r>
      <w:r>
        <w:t xml:space="preserve"> et risques pour la santé, la sécurité et l'environnement. Selon la Chambre de commerce internationale (CCI), la valeur des produits de contrefaçon dans le monde devrait dépasser 1</w:t>
      </w:r>
      <w:r w:rsidR="00365F99">
        <w:t> </w:t>
      </w:r>
      <w:r>
        <w:t xml:space="preserve">700 milliards </w:t>
      </w:r>
      <w:r w:rsidR="00B21545">
        <w:t>USD</w:t>
      </w:r>
      <w:r>
        <w:t xml:space="preserve"> d'ici à</w:t>
      </w:r>
      <w:r w:rsidR="00976CEB">
        <w:t> </w:t>
      </w:r>
      <w:r>
        <w:t>2015</w:t>
      </w:r>
      <w:r w:rsidR="00C67A0C" w:rsidRPr="00845053">
        <w:t>.</w:t>
      </w:r>
    </w:p>
    <w:p w:rsidR="002C29FC" w:rsidRDefault="002C29FC" w:rsidP="00B21545">
      <w:r>
        <w:t xml:space="preserve">La Conférence de plénipotentiaires de l'UIT </w:t>
      </w:r>
      <w:r w:rsidR="000D399A">
        <w:t xml:space="preserve">a pris acte de cet état de fait en </w:t>
      </w:r>
      <w:r>
        <w:t>2010</w:t>
      </w:r>
      <w:r w:rsidR="000D399A">
        <w:t>,</w:t>
      </w:r>
      <w:r>
        <w:t xml:space="preserve"> a</w:t>
      </w:r>
      <w:r w:rsidR="00041977">
        <w:t>vec l'adoption de </w:t>
      </w:r>
      <w:r>
        <w:t>sa Résolution 177 (Guadalajara, 2010), tout comme la Conférence mondiale de développement des télécommunications (Dubaï, 2014)</w:t>
      </w:r>
      <w:r w:rsidR="000D399A">
        <w:t>,</w:t>
      </w:r>
      <w:r>
        <w:t xml:space="preserve"> </w:t>
      </w:r>
      <w:r w:rsidR="000D399A">
        <w:t>qui elle aussi a adopté une</w:t>
      </w:r>
      <w:r>
        <w:t xml:space="preserve"> nouvelle Résolution </w:t>
      </w:r>
      <w:r w:rsidR="000D399A">
        <w:t>intitulée "</w:t>
      </w:r>
      <w:r w:rsidR="00A039C7" w:rsidRPr="00A17455">
        <w:t>Rôle des télécommunications/</w:t>
      </w:r>
      <w:r w:rsidR="00B9552A">
        <w:t>technologies de l'information et de la communication</w:t>
      </w:r>
      <w:r w:rsidR="00A039C7" w:rsidRPr="00A17455">
        <w:t xml:space="preserve"> dans </w:t>
      </w:r>
      <w:r w:rsidR="00041977">
        <w:t xml:space="preserve">la lutte contre la contrefaçon </w:t>
      </w:r>
      <w:r w:rsidR="00A039C7" w:rsidRPr="00A17455">
        <w:t>de dispositifs de télécommunication/</w:t>
      </w:r>
      <w:r w:rsidR="00B9552A" w:rsidRPr="00B9552A">
        <w:t xml:space="preserve"> </w:t>
      </w:r>
      <w:r w:rsidR="00B9552A">
        <w:t>technologies de l'information et de la communication</w:t>
      </w:r>
      <w:r w:rsidR="00B9552A" w:rsidRPr="00A17455">
        <w:t xml:space="preserve"> </w:t>
      </w:r>
      <w:r w:rsidR="00A039C7" w:rsidRPr="00A17455">
        <w:t>et le traitement de ce problème</w:t>
      </w:r>
      <w:r w:rsidR="000D399A">
        <w:t>"</w:t>
      </w:r>
      <w:r w:rsidR="00A039C7">
        <w:t>.</w:t>
      </w:r>
    </w:p>
    <w:p w:rsidR="00A039C7" w:rsidRDefault="000D399A" w:rsidP="00B21545">
      <w:r>
        <w:rPr>
          <w:color w:val="000000"/>
        </w:rPr>
        <w:t>L'objectif de c</w:t>
      </w:r>
      <w:r w:rsidR="00800214">
        <w:rPr>
          <w:color w:val="000000"/>
        </w:rPr>
        <w:t>e séminaire</w:t>
      </w:r>
      <w:r w:rsidR="00AC3C49">
        <w:rPr>
          <w:color w:val="000000"/>
        </w:rPr>
        <w:t xml:space="preserve"> organisé par l'UIT</w:t>
      </w:r>
      <w:r w:rsidR="00800214">
        <w:rPr>
          <w:color w:val="000000"/>
        </w:rPr>
        <w:t xml:space="preserve"> </w:t>
      </w:r>
      <w:r>
        <w:rPr>
          <w:color w:val="000000"/>
        </w:rPr>
        <w:t>est triple</w:t>
      </w:r>
      <w:r w:rsidR="004A11F5">
        <w:rPr>
          <w:color w:val="000000"/>
        </w:rPr>
        <w:t>:</w:t>
      </w:r>
      <w:r w:rsidR="00800214">
        <w:rPr>
          <w:color w:val="000000"/>
        </w:rPr>
        <w:t xml:space="preserve"> 1) examiner l'ampleur et les incidences au niveau mondial du phénomène que représentent les produits TIC de contrefaçon et de mauvaise qualité pour les différentes parties prenantes</w:t>
      </w:r>
      <w:r w:rsidR="00E142AC">
        <w:rPr>
          <w:color w:val="000000"/>
        </w:rPr>
        <w:t>;</w:t>
      </w:r>
      <w:r w:rsidR="00800214">
        <w:rPr>
          <w:color w:val="000000"/>
        </w:rPr>
        <w:t xml:space="preserve"> 2) mettre en évidence les inquiétudes, les difficultés, les initiatives, les pratiques et les possibilités communes aux différentes parties prenantes en matière de lutte contre les produits TIC </w:t>
      </w:r>
      <w:r w:rsidR="00800214">
        <w:t xml:space="preserve">de contrefaçon </w:t>
      </w:r>
      <w:r>
        <w:rPr>
          <w:color w:val="000000"/>
        </w:rPr>
        <w:t>et</w:t>
      </w:r>
      <w:r w:rsidR="00800214">
        <w:rPr>
          <w:color w:val="000000"/>
        </w:rPr>
        <w:t xml:space="preserve"> de mauvaise qualité</w:t>
      </w:r>
      <w:r w:rsidR="00E142AC">
        <w:rPr>
          <w:color w:val="000000"/>
        </w:rPr>
        <w:t>;</w:t>
      </w:r>
      <w:r w:rsidR="00800214">
        <w:rPr>
          <w:color w:val="000000"/>
        </w:rPr>
        <w:t xml:space="preserve"> et 3) examiner le rôle que peuvent jouer les organismes de normalisation des TIC, en particulier l'UIT, dans le cadre de la stratégie </w:t>
      </w:r>
      <w:r>
        <w:rPr>
          <w:color w:val="000000"/>
        </w:rPr>
        <w:t xml:space="preserve">et de l'action </w:t>
      </w:r>
      <w:r w:rsidR="00800214">
        <w:rPr>
          <w:color w:val="000000"/>
        </w:rPr>
        <w:t>globale</w:t>
      </w:r>
      <w:r>
        <w:rPr>
          <w:color w:val="000000"/>
        </w:rPr>
        <w:t>s</w:t>
      </w:r>
      <w:r w:rsidR="00800214">
        <w:rPr>
          <w:color w:val="000000"/>
        </w:rPr>
        <w:t xml:space="preserve"> visant à réduire le nombre de produits TIC </w:t>
      </w:r>
      <w:r w:rsidR="00800214">
        <w:t xml:space="preserve">de contrefaçon </w:t>
      </w:r>
      <w:r w:rsidR="00800214">
        <w:rPr>
          <w:color w:val="000000"/>
        </w:rPr>
        <w:t>et de mauvaise qualité</w:t>
      </w:r>
      <w:r w:rsidR="00AC3C49">
        <w:rPr>
          <w:color w:val="000000"/>
        </w:rPr>
        <w:t xml:space="preserve"> </w:t>
      </w:r>
      <w:r w:rsidR="00A039C7">
        <w:rPr>
          <w:color w:val="000000"/>
        </w:rPr>
        <w:t xml:space="preserve">et </w:t>
      </w:r>
      <w:r>
        <w:rPr>
          <w:color w:val="000000"/>
        </w:rPr>
        <w:t>à</w:t>
      </w:r>
      <w:r w:rsidR="00B21545">
        <w:rPr>
          <w:color w:val="000000"/>
        </w:rPr>
        <w:t xml:space="preserve"> aider les E</w:t>
      </w:r>
      <w:r w:rsidR="00A039C7">
        <w:rPr>
          <w:color w:val="000000"/>
        </w:rPr>
        <w:t>tats Membres à résoudre les problèmes qu'il</w:t>
      </w:r>
      <w:r>
        <w:rPr>
          <w:color w:val="000000"/>
        </w:rPr>
        <w:t>s</w:t>
      </w:r>
      <w:r w:rsidR="00A039C7">
        <w:rPr>
          <w:color w:val="000000"/>
        </w:rPr>
        <w:t xml:space="preserve"> rencontre</w:t>
      </w:r>
      <w:r>
        <w:rPr>
          <w:color w:val="000000"/>
        </w:rPr>
        <w:t>nt</w:t>
      </w:r>
      <w:r w:rsidR="00A039C7">
        <w:rPr>
          <w:color w:val="000000"/>
        </w:rPr>
        <w:t xml:space="preserve"> en raison de la contrefaçon d'appareils.</w:t>
      </w:r>
    </w:p>
    <w:p w:rsidR="00B21545" w:rsidRDefault="00B21545" w:rsidP="006D5E6D">
      <w:pPr>
        <w:pStyle w:val="Headingb"/>
      </w:pPr>
      <w:r>
        <w:br w:type="page"/>
      </w:r>
    </w:p>
    <w:p w:rsidR="00C67A0C" w:rsidRPr="006D5E6D" w:rsidRDefault="00B21545" w:rsidP="00754F9D">
      <w:pPr>
        <w:pStyle w:val="Headingb"/>
        <w:spacing w:after="240"/>
        <w:jc w:val="center"/>
      </w:pPr>
      <w:r>
        <w:lastRenderedPageBreak/>
        <w:t>Programme</w:t>
      </w:r>
    </w:p>
    <w:tbl>
      <w:tblPr>
        <w:tblW w:w="9855" w:type="dxa"/>
        <w:tblLook w:val="04A0" w:firstRow="1" w:lastRow="0" w:firstColumn="1" w:lastColumn="0" w:noHBand="0" w:noVBand="1"/>
      </w:tblPr>
      <w:tblGrid>
        <w:gridCol w:w="9855"/>
      </w:tblGrid>
      <w:tr w:rsidR="00C67A0C" w:rsidRPr="00B21545" w:rsidTr="00343F50">
        <w:tc>
          <w:tcPr>
            <w:tcW w:w="9855" w:type="dxa"/>
            <w:shd w:val="pct10" w:color="auto" w:fill="auto"/>
          </w:tcPr>
          <w:p w:rsidR="00C67A0C" w:rsidRPr="00B21545" w:rsidRDefault="00A039C7" w:rsidP="00B21545">
            <w:pPr>
              <w:spacing w:after="120"/>
              <w:jc w:val="center"/>
              <w:rPr>
                <w:b/>
                <w:bCs/>
                <w:sz w:val="28"/>
                <w:szCs w:val="28"/>
              </w:rPr>
            </w:pPr>
            <w:r w:rsidRPr="00B21545">
              <w:rPr>
                <w:b/>
                <w:bCs/>
                <w:sz w:val="28"/>
                <w:szCs w:val="28"/>
              </w:rPr>
              <w:t>JOUR</w:t>
            </w:r>
            <w:r w:rsidR="00C67A0C" w:rsidRPr="00B21545">
              <w:rPr>
                <w:b/>
                <w:bCs/>
                <w:sz w:val="28"/>
                <w:szCs w:val="28"/>
              </w:rPr>
              <w:t xml:space="preserve"> 1:</w:t>
            </w:r>
            <w:r w:rsidR="00744837" w:rsidRPr="00B21545">
              <w:rPr>
                <w:b/>
                <w:bCs/>
                <w:sz w:val="28"/>
                <w:szCs w:val="28"/>
              </w:rPr>
              <w:t xml:space="preserve"> </w:t>
            </w:r>
            <w:r w:rsidR="009F3102" w:rsidRPr="00B21545">
              <w:rPr>
                <w:b/>
                <w:bCs/>
                <w:sz w:val="28"/>
                <w:szCs w:val="28"/>
              </w:rPr>
              <w:t>Lundi</w:t>
            </w:r>
            <w:r w:rsidR="00C67A0C" w:rsidRPr="00B21545">
              <w:rPr>
                <w:b/>
                <w:bCs/>
                <w:sz w:val="28"/>
                <w:szCs w:val="28"/>
              </w:rPr>
              <w:t xml:space="preserve"> 17 </w:t>
            </w:r>
            <w:r w:rsidR="009F3102" w:rsidRPr="00B21545">
              <w:rPr>
                <w:b/>
                <w:bCs/>
                <w:sz w:val="28"/>
                <w:szCs w:val="28"/>
              </w:rPr>
              <w:t xml:space="preserve">novembre </w:t>
            </w:r>
            <w:r w:rsidR="00C67A0C" w:rsidRPr="00B21545">
              <w:rPr>
                <w:b/>
                <w:bCs/>
                <w:sz w:val="28"/>
                <w:szCs w:val="28"/>
              </w:rPr>
              <w:t>2014 (</w:t>
            </w:r>
            <w:r w:rsidR="009F3102" w:rsidRPr="00B21545">
              <w:rPr>
                <w:b/>
                <w:bCs/>
                <w:sz w:val="28"/>
                <w:szCs w:val="28"/>
              </w:rPr>
              <w:t>après-midi</w:t>
            </w:r>
            <w:r w:rsidR="00C67A0C" w:rsidRPr="00B21545">
              <w:rPr>
                <w:b/>
                <w:bCs/>
                <w:sz w:val="28"/>
                <w:szCs w:val="28"/>
              </w:rPr>
              <w:t>)</w:t>
            </w:r>
          </w:p>
        </w:tc>
      </w:tr>
    </w:tbl>
    <w:p w:rsidR="00343F50" w:rsidRDefault="00343F50"/>
    <w:tbl>
      <w:tblPr>
        <w:tblW w:w="9889" w:type="dxa"/>
        <w:tblLook w:val="04A0" w:firstRow="1" w:lastRow="0" w:firstColumn="1" w:lastColumn="0" w:noHBand="0" w:noVBand="1"/>
      </w:tblPr>
      <w:tblGrid>
        <w:gridCol w:w="2268"/>
        <w:gridCol w:w="7621"/>
      </w:tblGrid>
      <w:tr w:rsidR="000D399A" w:rsidRPr="00845053" w:rsidTr="00B21545">
        <w:tc>
          <w:tcPr>
            <w:tcW w:w="2268" w:type="dxa"/>
            <w:shd w:val="clear" w:color="auto" w:fill="auto"/>
          </w:tcPr>
          <w:p w:rsidR="000D399A" w:rsidRPr="00845053" w:rsidRDefault="000D399A" w:rsidP="00B21545">
            <w:pPr>
              <w:jc w:val="center"/>
            </w:pPr>
            <w:r w:rsidRPr="00845053">
              <w:t>8</w:t>
            </w:r>
            <w:r>
              <w:t> h </w:t>
            </w:r>
            <w:r w:rsidRPr="00845053">
              <w:t>30-12</w:t>
            </w:r>
            <w:r>
              <w:t> h</w:t>
            </w:r>
            <w:r w:rsidR="00B21545">
              <w:t xml:space="preserve"> 00</w:t>
            </w:r>
            <w:r w:rsidRPr="00845053">
              <w:br/>
            </w:r>
            <w:r>
              <w:t>et</w:t>
            </w:r>
            <w:r w:rsidRPr="00845053">
              <w:br/>
              <w:t>13</w:t>
            </w:r>
            <w:r>
              <w:t> h</w:t>
            </w:r>
            <w:r w:rsidR="00B21545">
              <w:t xml:space="preserve"> 00</w:t>
            </w:r>
            <w:r w:rsidRPr="00845053">
              <w:t>-17</w:t>
            </w:r>
            <w:r>
              <w:t> h</w:t>
            </w:r>
            <w:r w:rsidR="00B21545">
              <w:t xml:space="preserve"> 00</w:t>
            </w:r>
          </w:p>
        </w:tc>
        <w:tc>
          <w:tcPr>
            <w:tcW w:w="7621" w:type="dxa"/>
            <w:shd w:val="clear" w:color="auto" w:fill="auto"/>
          </w:tcPr>
          <w:p w:rsidR="000D399A" w:rsidRPr="00845053" w:rsidRDefault="000D399A" w:rsidP="00071210">
            <w:pPr>
              <w:rPr>
                <w:b/>
                <w:bCs/>
              </w:rPr>
            </w:pPr>
            <w:r>
              <w:rPr>
                <w:b/>
                <w:bCs/>
              </w:rPr>
              <w:t>Enregistrement</w:t>
            </w:r>
          </w:p>
        </w:tc>
      </w:tr>
      <w:tr w:rsidR="000D399A" w:rsidRPr="00845053" w:rsidTr="00B21545">
        <w:tc>
          <w:tcPr>
            <w:tcW w:w="2268" w:type="dxa"/>
            <w:shd w:val="clear" w:color="auto" w:fill="auto"/>
          </w:tcPr>
          <w:p w:rsidR="000D399A" w:rsidRPr="00845053" w:rsidRDefault="000D399A" w:rsidP="00B21545">
            <w:pPr>
              <w:jc w:val="center"/>
            </w:pPr>
            <w:r w:rsidRPr="00845053">
              <w:t>14</w:t>
            </w:r>
            <w:r>
              <w:t> h</w:t>
            </w:r>
            <w:r w:rsidR="00B21545">
              <w:t xml:space="preserve"> 00</w:t>
            </w:r>
            <w:r w:rsidRPr="00845053">
              <w:t>-14</w:t>
            </w:r>
            <w:r>
              <w:t> h </w:t>
            </w:r>
            <w:r w:rsidRPr="00845053">
              <w:t>15</w:t>
            </w:r>
          </w:p>
        </w:tc>
        <w:tc>
          <w:tcPr>
            <w:tcW w:w="7621" w:type="dxa"/>
            <w:shd w:val="clear" w:color="auto" w:fill="auto"/>
          </w:tcPr>
          <w:p w:rsidR="000D399A" w:rsidRPr="00845053" w:rsidRDefault="000D399A" w:rsidP="00071210">
            <w:pPr>
              <w:rPr>
                <w:b/>
                <w:bCs/>
              </w:rPr>
            </w:pPr>
            <w:r>
              <w:rPr>
                <w:b/>
                <w:bCs/>
              </w:rPr>
              <w:t>Allocutions d'ouverture</w:t>
            </w:r>
          </w:p>
        </w:tc>
      </w:tr>
      <w:tr w:rsidR="00C67A0C" w:rsidRPr="00F8341E" w:rsidTr="00B21545">
        <w:tc>
          <w:tcPr>
            <w:tcW w:w="2268" w:type="dxa"/>
            <w:shd w:val="clear" w:color="auto" w:fill="auto"/>
          </w:tcPr>
          <w:p w:rsidR="00C67A0C" w:rsidRPr="00845053" w:rsidRDefault="00C67A0C" w:rsidP="00B50547">
            <w:pPr>
              <w:spacing w:before="60" w:after="60"/>
            </w:pPr>
          </w:p>
        </w:tc>
        <w:tc>
          <w:tcPr>
            <w:tcW w:w="7621" w:type="dxa"/>
            <w:shd w:val="clear" w:color="auto" w:fill="auto"/>
          </w:tcPr>
          <w:p w:rsidR="00C67A0C" w:rsidRPr="00845053" w:rsidRDefault="000D399A" w:rsidP="00B50547">
            <w:pPr>
              <w:pStyle w:val="enumlev1"/>
              <w:tabs>
                <w:tab w:val="clear" w:pos="794"/>
                <w:tab w:val="left" w:pos="299"/>
              </w:tabs>
              <w:spacing w:before="60" w:after="60"/>
              <w:ind w:left="0" w:firstLine="0"/>
            </w:pPr>
            <w:r>
              <w:t>•</w:t>
            </w:r>
            <w:r>
              <w:tab/>
            </w:r>
            <w:r w:rsidR="00614A45">
              <w:t>Allocution de bienvenue du Président du séminaire</w:t>
            </w:r>
          </w:p>
          <w:p w:rsidR="00C67A0C" w:rsidRPr="00845053" w:rsidRDefault="000D399A" w:rsidP="00B50547">
            <w:pPr>
              <w:pStyle w:val="enumlev1"/>
              <w:tabs>
                <w:tab w:val="clear" w:pos="794"/>
                <w:tab w:val="left" w:pos="299"/>
              </w:tabs>
              <w:spacing w:before="60" w:after="60"/>
              <w:ind w:left="299" w:hanging="299"/>
            </w:pPr>
            <w:r>
              <w:t>•</w:t>
            </w:r>
            <w:r>
              <w:tab/>
            </w:r>
            <w:r w:rsidR="00614A45">
              <w:t xml:space="preserve">Allocution de bienvenue de </w:t>
            </w:r>
            <w:r w:rsidR="00C67A0C" w:rsidRPr="00845053">
              <w:t>Brahima Sanou,</w:t>
            </w:r>
            <w:r w:rsidR="00614A45">
              <w:t xml:space="preserve"> Directeur du Bureau de développement des télécommunications et/ou de </w:t>
            </w:r>
            <w:r w:rsidR="00C67A0C" w:rsidRPr="00845053">
              <w:t xml:space="preserve">Malcolm Johnson, </w:t>
            </w:r>
            <w:r w:rsidR="00614A45">
              <w:t>Directeur du Bureau de la normalisation des télécommunications, UIT</w:t>
            </w:r>
          </w:p>
        </w:tc>
      </w:tr>
      <w:tr w:rsidR="00C67A0C" w:rsidRPr="00F8341E" w:rsidTr="00B21545">
        <w:tc>
          <w:tcPr>
            <w:tcW w:w="2268" w:type="dxa"/>
            <w:shd w:val="pct10" w:color="auto" w:fill="auto"/>
          </w:tcPr>
          <w:p w:rsidR="00C67A0C" w:rsidRPr="00845053" w:rsidRDefault="00C67A0C" w:rsidP="00D93E7E">
            <w:pPr>
              <w:spacing w:after="120"/>
              <w:jc w:val="center"/>
              <w:rPr>
                <w:b/>
                <w:bCs/>
              </w:rPr>
            </w:pPr>
            <w:r w:rsidRPr="00845053">
              <w:rPr>
                <w:b/>
                <w:bCs/>
              </w:rPr>
              <w:t>SESSION 1:</w:t>
            </w:r>
          </w:p>
        </w:tc>
        <w:tc>
          <w:tcPr>
            <w:tcW w:w="7621" w:type="dxa"/>
            <w:shd w:val="pct10" w:color="auto" w:fill="auto"/>
          </w:tcPr>
          <w:p w:rsidR="00C67A0C" w:rsidRPr="00845053" w:rsidRDefault="00821C4B" w:rsidP="00C8078E">
            <w:pPr>
              <w:spacing w:after="120"/>
              <w:rPr>
                <w:b/>
                <w:bCs/>
              </w:rPr>
            </w:pPr>
            <w:r>
              <w:rPr>
                <w:b/>
                <w:bCs/>
              </w:rPr>
              <w:t xml:space="preserve">Coûts et répercussions socio-économiques des produits TIC </w:t>
            </w:r>
            <w:r w:rsidR="00C8078E">
              <w:rPr>
                <w:b/>
                <w:bCs/>
              </w:rPr>
              <w:t xml:space="preserve">de </w:t>
            </w:r>
            <w:r>
              <w:rPr>
                <w:b/>
                <w:bCs/>
              </w:rPr>
              <w:t>contrefa</w:t>
            </w:r>
            <w:r w:rsidR="00C8078E">
              <w:rPr>
                <w:b/>
                <w:bCs/>
              </w:rPr>
              <w:t xml:space="preserve">çon </w:t>
            </w:r>
            <w:r>
              <w:rPr>
                <w:b/>
                <w:bCs/>
              </w:rPr>
              <w:t>et de mauvaise qualité</w:t>
            </w:r>
          </w:p>
        </w:tc>
      </w:tr>
      <w:tr w:rsidR="00C67A0C" w:rsidRPr="00B50547" w:rsidTr="00B21545">
        <w:tc>
          <w:tcPr>
            <w:tcW w:w="2268" w:type="dxa"/>
            <w:shd w:val="clear" w:color="auto" w:fill="auto"/>
          </w:tcPr>
          <w:p w:rsidR="00C67A0C" w:rsidRPr="00845053" w:rsidRDefault="00C67A0C" w:rsidP="007001A5">
            <w:pPr>
              <w:spacing w:before="60" w:after="60"/>
              <w:jc w:val="center"/>
            </w:pPr>
            <w:r w:rsidRPr="00845053">
              <w:t>14</w:t>
            </w:r>
            <w:r w:rsidR="00A039C7">
              <w:t> h </w:t>
            </w:r>
            <w:r w:rsidRPr="00845053">
              <w:t>15-15</w:t>
            </w:r>
            <w:r w:rsidR="00A039C7">
              <w:t> h </w:t>
            </w:r>
            <w:r w:rsidRPr="00845053">
              <w:t>45</w:t>
            </w:r>
          </w:p>
        </w:tc>
        <w:tc>
          <w:tcPr>
            <w:tcW w:w="7621" w:type="dxa"/>
            <w:shd w:val="clear" w:color="auto" w:fill="auto"/>
          </w:tcPr>
          <w:p w:rsidR="00C67A0C" w:rsidRPr="00845053" w:rsidRDefault="009B742A" w:rsidP="00C8078E">
            <w:pPr>
              <w:spacing w:before="60" w:after="60"/>
            </w:pPr>
            <w:r>
              <w:t xml:space="preserve">Cette session permettra d'étudier l'ampleur et la gravité des problèmes que posent les produits </w:t>
            </w:r>
            <w:r w:rsidR="00C8078E" w:rsidRPr="00C8078E">
              <w:t>de contrefaçon</w:t>
            </w:r>
            <w:r w:rsidR="00C8078E">
              <w:t xml:space="preserve"> </w:t>
            </w:r>
            <w:r>
              <w:t xml:space="preserve">et de mauvaise qualité partout dans le monde, en particulier </w:t>
            </w:r>
            <w:r w:rsidR="00C8078E">
              <w:t xml:space="preserve">pour ce qui est du secteur </w:t>
            </w:r>
            <w:r>
              <w:t>des TIC.</w:t>
            </w:r>
            <w:r w:rsidR="00BB0A19">
              <w:t xml:space="preserve"> Les coûts </w:t>
            </w:r>
            <w:r w:rsidR="00C8078E">
              <w:t xml:space="preserve">de ces produits et leurs </w:t>
            </w:r>
            <w:r w:rsidR="00BB0A19">
              <w:t>répercussions économiques</w:t>
            </w:r>
            <w:r w:rsidR="00C8078E">
              <w:t>, très divers</w:t>
            </w:r>
            <w:r w:rsidR="00BB0A19">
              <w:t xml:space="preserve"> pour les pouvoirs publics, les fabricants, les opérateurs, les </w:t>
            </w:r>
            <w:r w:rsidR="00C8078E">
              <w:t xml:space="preserve">titulaires </w:t>
            </w:r>
            <w:r w:rsidR="00BB0A19">
              <w:t xml:space="preserve">de droits </w:t>
            </w:r>
            <w:r w:rsidR="00C8078E">
              <w:t xml:space="preserve">et </w:t>
            </w:r>
            <w:r w:rsidR="00BB0A19">
              <w:t>les consommateurs</w:t>
            </w:r>
            <w:r w:rsidR="00C8078E">
              <w:t>,</w:t>
            </w:r>
            <w:r w:rsidR="00BB0A19">
              <w:t xml:space="preserve"> seront également examinés.</w:t>
            </w:r>
            <w:r w:rsidR="00BB0A19" w:rsidRPr="00845053">
              <w:t xml:space="preserve"> </w:t>
            </w:r>
          </w:p>
        </w:tc>
      </w:tr>
      <w:tr w:rsidR="00C67A0C" w:rsidRPr="00845053" w:rsidTr="00B21545">
        <w:tc>
          <w:tcPr>
            <w:tcW w:w="2268" w:type="dxa"/>
            <w:shd w:val="clear" w:color="auto" w:fill="auto"/>
          </w:tcPr>
          <w:p w:rsidR="00C67A0C" w:rsidRPr="00845053" w:rsidRDefault="00C67A0C" w:rsidP="007001A5">
            <w:pPr>
              <w:jc w:val="center"/>
            </w:pPr>
            <w:r w:rsidRPr="00845053">
              <w:t>15</w:t>
            </w:r>
            <w:r w:rsidR="00A039C7">
              <w:t> h </w:t>
            </w:r>
            <w:r w:rsidRPr="00845053">
              <w:t>45-16</w:t>
            </w:r>
            <w:r w:rsidR="00A039C7">
              <w:t> h </w:t>
            </w:r>
            <w:r w:rsidRPr="00845053">
              <w:t>15</w:t>
            </w:r>
          </w:p>
        </w:tc>
        <w:tc>
          <w:tcPr>
            <w:tcW w:w="7621" w:type="dxa"/>
            <w:shd w:val="clear" w:color="auto" w:fill="auto"/>
          </w:tcPr>
          <w:p w:rsidR="00C67A0C" w:rsidRPr="00845053" w:rsidRDefault="009F3102" w:rsidP="00B21545">
            <w:pPr>
              <w:spacing w:after="120"/>
              <w:rPr>
                <w:b/>
                <w:bCs/>
              </w:rPr>
            </w:pPr>
            <w:r>
              <w:rPr>
                <w:b/>
                <w:bCs/>
              </w:rPr>
              <w:t>Pause-café</w:t>
            </w:r>
          </w:p>
        </w:tc>
      </w:tr>
      <w:tr w:rsidR="00C67A0C" w:rsidRPr="00F8341E" w:rsidTr="00B21545">
        <w:tc>
          <w:tcPr>
            <w:tcW w:w="2268" w:type="dxa"/>
            <w:shd w:val="pct10" w:color="auto" w:fill="auto"/>
          </w:tcPr>
          <w:p w:rsidR="00C67A0C" w:rsidRPr="00845053" w:rsidRDefault="00C67A0C" w:rsidP="00D93E7E">
            <w:pPr>
              <w:spacing w:after="120"/>
              <w:jc w:val="center"/>
              <w:rPr>
                <w:b/>
                <w:bCs/>
              </w:rPr>
            </w:pPr>
            <w:r w:rsidRPr="00845053">
              <w:rPr>
                <w:b/>
                <w:bCs/>
              </w:rPr>
              <w:t>SESSION 2:</w:t>
            </w:r>
          </w:p>
        </w:tc>
        <w:tc>
          <w:tcPr>
            <w:tcW w:w="7621" w:type="dxa"/>
            <w:shd w:val="pct10" w:color="auto" w:fill="auto"/>
          </w:tcPr>
          <w:p w:rsidR="00C67A0C" w:rsidRPr="00845053" w:rsidRDefault="00C8078E" w:rsidP="00C8078E">
            <w:pPr>
              <w:tabs>
                <w:tab w:val="left" w:pos="297"/>
              </w:tabs>
              <w:spacing w:after="120"/>
              <w:rPr>
                <w:b/>
                <w:bCs/>
              </w:rPr>
            </w:pPr>
            <w:r>
              <w:rPr>
                <w:b/>
                <w:bCs/>
              </w:rPr>
              <w:t>P</w:t>
            </w:r>
            <w:r w:rsidR="00BB0A19">
              <w:rPr>
                <w:b/>
                <w:bCs/>
              </w:rPr>
              <w:t xml:space="preserve">oint de vue des pouvoirs publics et initiatives intergouvernementales </w:t>
            </w:r>
            <w:r>
              <w:rPr>
                <w:b/>
                <w:bCs/>
              </w:rPr>
              <w:t xml:space="preserve">en matière de lutte </w:t>
            </w:r>
            <w:r w:rsidR="00BB0A19">
              <w:rPr>
                <w:b/>
                <w:bCs/>
              </w:rPr>
              <w:t>contre</w:t>
            </w:r>
            <w:r w:rsidR="00676EC3">
              <w:rPr>
                <w:b/>
                <w:bCs/>
              </w:rPr>
              <w:t xml:space="preserve"> les produits </w:t>
            </w:r>
            <w:r w:rsidRPr="00C8078E">
              <w:rPr>
                <w:b/>
                <w:bCs/>
              </w:rPr>
              <w:t>de contrefaçon</w:t>
            </w:r>
            <w:r>
              <w:t xml:space="preserve"> </w:t>
            </w:r>
            <w:r>
              <w:rPr>
                <w:b/>
                <w:bCs/>
              </w:rPr>
              <w:t xml:space="preserve">et </w:t>
            </w:r>
            <w:r w:rsidR="00676EC3">
              <w:rPr>
                <w:b/>
                <w:bCs/>
              </w:rPr>
              <w:t>de mauvaise qualité</w:t>
            </w:r>
          </w:p>
        </w:tc>
      </w:tr>
      <w:tr w:rsidR="00C67A0C" w:rsidRPr="00B50547" w:rsidTr="00B21545">
        <w:tc>
          <w:tcPr>
            <w:tcW w:w="2268" w:type="dxa"/>
            <w:shd w:val="clear" w:color="auto" w:fill="auto"/>
          </w:tcPr>
          <w:p w:rsidR="00C67A0C" w:rsidRPr="00845053" w:rsidRDefault="00C67A0C" w:rsidP="00B21545">
            <w:pPr>
              <w:spacing w:before="60" w:after="60"/>
              <w:jc w:val="center"/>
            </w:pPr>
            <w:r w:rsidRPr="00845053">
              <w:t>16</w:t>
            </w:r>
            <w:r w:rsidR="00A039C7">
              <w:t> h </w:t>
            </w:r>
            <w:r w:rsidRPr="00845053">
              <w:t>15-18</w:t>
            </w:r>
            <w:r w:rsidR="00A039C7">
              <w:t> h</w:t>
            </w:r>
            <w:r w:rsidR="00B21545">
              <w:t xml:space="preserve"> 00</w:t>
            </w:r>
          </w:p>
        </w:tc>
        <w:tc>
          <w:tcPr>
            <w:tcW w:w="7621" w:type="dxa"/>
            <w:shd w:val="clear" w:color="auto" w:fill="auto"/>
          </w:tcPr>
          <w:p w:rsidR="00C67A0C" w:rsidRPr="00845053" w:rsidRDefault="00676EC3" w:rsidP="00520737">
            <w:pPr>
              <w:spacing w:before="60" w:after="60"/>
            </w:pPr>
            <w:r>
              <w:t xml:space="preserve">Cette session sera consacrée au rôle des pouvoirs publics (c'est-à-dire, les législateurs, les régulateurs, les </w:t>
            </w:r>
            <w:r w:rsidR="00F63E19">
              <w:t xml:space="preserve">agents </w:t>
            </w:r>
            <w:r>
              <w:t>des douanes</w:t>
            </w:r>
            <w:r w:rsidR="00F63E19">
              <w:t xml:space="preserve">, les services de police et la justice) dans la lutte contre les produits </w:t>
            </w:r>
            <w:r w:rsidR="00C8078E" w:rsidRPr="00C8078E">
              <w:t>de contrefaçon</w:t>
            </w:r>
            <w:r w:rsidR="00C8078E">
              <w:t xml:space="preserve"> </w:t>
            </w:r>
            <w:r w:rsidR="00F63E19">
              <w:t>et de mauvaise qualité. En particulier, les pouvoirs publics</w:t>
            </w:r>
            <w:r w:rsidR="002D4B0C">
              <w:t xml:space="preserve"> mettront en avant </w:t>
            </w:r>
            <w:r w:rsidR="00C8078E">
              <w:t xml:space="preserve">leurs préoccupations communes, </w:t>
            </w:r>
            <w:r w:rsidR="002D4B0C">
              <w:t xml:space="preserve">les </w:t>
            </w:r>
            <w:r w:rsidR="00C8078E">
              <w:t xml:space="preserve">grands </w:t>
            </w:r>
            <w:r w:rsidR="002D4B0C">
              <w:t>problèmes qu</w:t>
            </w:r>
            <w:r w:rsidR="00C8078E">
              <w:t>'</w:t>
            </w:r>
            <w:r w:rsidR="002D4B0C">
              <w:t>i</w:t>
            </w:r>
            <w:r w:rsidR="00C8078E">
              <w:t xml:space="preserve">ls rencontrent, les activités </w:t>
            </w:r>
            <w:r w:rsidR="002D4B0C">
              <w:t>de sensibilisation</w:t>
            </w:r>
            <w:r w:rsidR="00C8078E">
              <w:t xml:space="preserve"> qu'ils mènent, ainsi que les </w:t>
            </w:r>
            <w:r w:rsidR="002D4B0C">
              <w:t xml:space="preserve">bonnes pratiques et l'expérience acquise en matière de lutte contre les produits TIC </w:t>
            </w:r>
            <w:r w:rsidR="00C8078E" w:rsidRPr="00C8078E">
              <w:t>de contrefaçon</w:t>
            </w:r>
            <w:r w:rsidR="00C8078E">
              <w:t xml:space="preserve"> </w:t>
            </w:r>
            <w:r w:rsidR="002D4B0C">
              <w:t>et de mauvaise qualité.</w:t>
            </w:r>
            <w:r w:rsidR="004E2DC8">
              <w:t xml:space="preserve"> </w:t>
            </w:r>
            <w:r w:rsidR="00C8078E">
              <w:t xml:space="preserve">Cette session </w:t>
            </w:r>
            <w:r w:rsidR="004E2DC8">
              <w:t>permettra en outre de recenser les principaux domaines d</w:t>
            </w:r>
            <w:r w:rsidR="00C8078E">
              <w:t xml:space="preserve">ans lesquels ils devront travailler en </w:t>
            </w:r>
            <w:r w:rsidR="004E2DC8">
              <w:t>coordination</w:t>
            </w:r>
            <w:r w:rsidR="00C8078E">
              <w:t xml:space="preserve"> et apporter des améliorations, ainsi que les possibilités</w:t>
            </w:r>
            <w:r w:rsidR="004E2DC8">
              <w:t xml:space="preserve"> de coopération et d'échange de compétences techniques. </w:t>
            </w:r>
            <w:r w:rsidR="00C8078E">
              <w:t xml:space="preserve">Par ailleurs, </w:t>
            </w:r>
            <w:r w:rsidR="004E2DC8">
              <w:t>les principaux cadres juridiques, programmes et autres initiatives mis en place pour protéger et faire appliquer les droits de propriété intellectuelle et lutter contre l</w:t>
            </w:r>
            <w:r w:rsidR="00C8078E">
              <w:t xml:space="preserve">es </w:t>
            </w:r>
            <w:r w:rsidR="004E2DC8">
              <w:t>produits TIC</w:t>
            </w:r>
            <w:r w:rsidR="00C8078E" w:rsidRPr="00C8078E">
              <w:t xml:space="preserve"> de contrefaçon</w:t>
            </w:r>
            <w:r w:rsidR="00C8078E">
              <w:t xml:space="preserve"> et de mauvaise qualité seront présentés</w:t>
            </w:r>
            <w:r w:rsidR="004E2DC8">
              <w:t>.</w:t>
            </w:r>
            <w:r w:rsidR="004E2DC8" w:rsidRPr="00845053">
              <w:t xml:space="preserve"> </w:t>
            </w:r>
          </w:p>
        </w:tc>
      </w:tr>
    </w:tbl>
    <w:p w:rsidR="00B21545" w:rsidRDefault="00B21545">
      <w:r>
        <w:br w:type="page"/>
      </w:r>
    </w:p>
    <w:tbl>
      <w:tblPr>
        <w:tblW w:w="9855" w:type="dxa"/>
        <w:tblLook w:val="04A0" w:firstRow="1" w:lastRow="0" w:firstColumn="1" w:lastColumn="0" w:noHBand="0" w:noVBand="1"/>
      </w:tblPr>
      <w:tblGrid>
        <w:gridCol w:w="9855"/>
      </w:tblGrid>
      <w:tr w:rsidR="00C67A0C" w:rsidRPr="00B21545" w:rsidTr="00343F50">
        <w:tc>
          <w:tcPr>
            <w:tcW w:w="9855" w:type="dxa"/>
            <w:shd w:val="pct10" w:color="auto" w:fill="auto"/>
          </w:tcPr>
          <w:p w:rsidR="00C67A0C" w:rsidRPr="00B21545" w:rsidRDefault="00A039C7" w:rsidP="00B21545">
            <w:pPr>
              <w:spacing w:after="120"/>
              <w:jc w:val="center"/>
              <w:rPr>
                <w:b/>
                <w:bCs/>
                <w:sz w:val="28"/>
                <w:szCs w:val="28"/>
              </w:rPr>
            </w:pPr>
            <w:r w:rsidRPr="00B21545">
              <w:rPr>
                <w:b/>
                <w:bCs/>
                <w:sz w:val="28"/>
                <w:szCs w:val="28"/>
              </w:rPr>
              <w:lastRenderedPageBreak/>
              <w:t xml:space="preserve">JOUR </w:t>
            </w:r>
            <w:r w:rsidR="00C67A0C" w:rsidRPr="00B21545">
              <w:rPr>
                <w:b/>
                <w:bCs/>
                <w:sz w:val="28"/>
                <w:szCs w:val="28"/>
              </w:rPr>
              <w:t xml:space="preserve">2: </w:t>
            </w:r>
            <w:r w:rsidR="009F3102" w:rsidRPr="00B21545">
              <w:rPr>
                <w:b/>
                <w:bCs/>
                <w:sz w:val="28"/>
                <w:szCs w:val="28"/>
              </w:rPr>
              <w:t>Mercredi</w:t>
            </w:r>
            <w:r w:rsidR="00A057FF" w:rsidRPr="00B21545">
              <w:rPr>
                <w:b/>
                <w:bCs/>
                <w:sz w:val="28"/>
                <w:szCs w:val="28"/>
              </w:rPr>
              <w:t xml:space="preserve"> </w:t>
            </w:r>
            <w:r w:rsidR="00C67A0C" w:rsidRPr="00B21545">
              <w:rPr>
                <w:b/>
                <w:bCs/>
                <w:sz w:val="28"/>
                <w:szCs w:val="28"/>
              </w:rPr>
              <w:t xml:space="preserve">18 </w:t>
            </w:r>
            <w:r w:rsidR="009F3102" w:rsidRPr="00B21545">
              <w:rPr>
                <w:b/>
                <w:bCs/>
                <w:sz w:val="28"/>
                <w:szCs w:val="28"/>
              </w:rPr>
              <w:t xml:space="preserve">novembre </w:t>
            </w:r>
            <w:r w:rsidR="00C67A0C" w:rsidRPr="00B21545">
              <w:rPr>
                <w:b/>
                <w:bCs/>
                <w:sz w:val="28"/>
                <w:szCs w:val="28"/>
              </w:rPr>
              <w:t>2014</w:t>
            </w:r>
          </w:p>
        </w:tc>
      </w:tr>
    </w:tbl>
    <w:p w:rsidR="00343F50" w:rsidRDefault="00343F50"/>
    <w:tbl>
      <w:tblPr>
        <w:tblW w:w="9889" w:type="dxa"/>
        <w:tblLook w:val="04A0" w:firstRow="1" w:lastRow="0" w:firstColumn="1" w:lastColumn="0" w:noHBand="0" w:noVBand="1"/>
      </w:tblPr>
      <w:tblGrid>
        <w:gridCol w:w="2268"/>
        <w:gridCol w:w="7621"/>
      </w:tblGrid>
      <w:tr w:rsidR="00C67A0C" w:rsidRPr="00F8341E" w:rsidTr="008C68EF">
        <w:tc>
          <w:tcPr>
            <w:tcW w:w="2268" w:type="dxa"/>
            <w:shd w:val="pct10" w:color="auto" w:fill="auto"/>
          </w:tcPr>
          <w:p w:rsidR="00C67A0C" w:rsidRPr="00845053" w:rsidRDefault="00C67A0C" w:rsidP="00D93E7E">
            <w:pPr>
              <w:spacing w:after="120"/>
              <w:jc w:val="center"/>
              <w:rPr>
                <w:b/>
                <w:bCs/>
              </w:rPr>
            </w:pPr>
            <w:r w:rsidRPr="00845053">
              <w:rPr>
                <w:b/>
                <w:bCs/>
              </w:rPr>
              <w:t>SESSION 3:</w:t>
            </w:r>
          </w:p>
        </w:tc>
        <w:tc>
          <w:tcPr>
            <w:tcW w:w="7621" w:type="dxa"/>
            <w:shd w:val="pct10" w:color="auto" w:fill="auto"/>
          </w:tcPr>
          <w:p w:rsidR="00C67A0C" w:rsidRPr="00845053" w:rsidRDefault="00911C61" w:rsidP="00C8078E">
            <w:pPr>
              <w:spacing w:after="120"/>
              <w:rPr>
                <w:b/>
                <w:bCs/>
              </w:rPr>
            </w:pPr>
            <w:r>
              <w:rPr>
                <w:b/>
                <w:bCs/>
              </w:rPr>
              <w:t>Le point de vue des titulaires de droits</w:t>
            </w:r>
            <w:r w:rsidR="004A11F5">
              <w:rPr>
                <w:b/>
                <w:bCs/>
              </w:rPr>
              <w:t>:</w:t>
            </w:r>
            <w:r>
              <w:rPr>
                <w:b/>
                <w:bCs/>
              </w:rPr>
              <w:t xml:space="preserve"> entités commerciales et associations </w:t>
            </w:r>
            <w:r w:rsidR="00C8078E">
              <w:rPr>
                <w:b/>
                <w:bCs/>
              </w:rPr>
              <w:t>professionnelles</w:t>
            </w:r>
            <w:r w:rsidR="00987654">
              <w:rPr>
                <w:b/>
                <w:bCs/>
              </w:rPr>
              <w:t xml:space="preserve"> </w:t>
            </w:r>
          </w:p>
        </w:tc>
      </w:tr>
      <w:tr w:rsidR="00C67A0C" w:rsidRPr="00F8341E" w:rsidTr="008C68EF">
        <w:tc>
          <w:tcPr>
            <w:tcW w:w="2268" w:type="dxa"/>
            <w:shd w:val="clear" w:color="auto" w:fill="auto"/>
          </w:tcPr>
          <w:p w:rsidR="00C67A0C" w:rsidRPr="00845053" w:rsidRDefault="00C67A0C" w:rsidP="007001A5">
            <w:pPr>
              <w:spacing w:after="120"/>
              <w:jc w:val="center"/>
            </w:pPr>
            <w:r w:rsidRPr="00845053">
              <w:t>9</w:t>
            </w:r>
            <w:r w:rsidR="00A039C7">
              <w:t> h </w:t>
            </w:r>
            <w:r w:rsidRPr="00845053">
              <w:t>30-10</w:t>
            </w:r>
            <w:r w:rsidR="00A039C7">
              <w:t> h </w:t>
            </w:r>
            <w:r w:rsidRPr="00845053">
              <w:t>45</w:t>
            </w:r>
          </w:p>
        </w:tc>
        <w:tc>
          <w:tcPr>
            <w:tcW w:w="7621" w:type="dxa"/>
            <w:shd w:val="clear" w:color="auto" w:fill="auto"/>
          </w:tcPr>
          <w:p w:rsidR="00C67A0C" w:rsidRPr="00845053" w:rsidRDefault="00987654" w:rsidP="00B21545">
            <w:pPr>
              <w:spacing w:after="120"/>
            </w:pPr>
            <w:r>
              <w:t xml:space="preserve">Cette session portera sur le rôle des titulaires de droits dans la lutte contre les produits TIC </w:t>
            </w:r>
            <w:r w:rsidR="00C8078E" w:rsidRPr="00C8078E">
              <w:t>de contrefaçon</w:t>
            </w:r>
            <w:r w:rsidR="00C8078E">
              <w:t xml:space="preserve"> </w:t>
            </w:r>
            <w:r>
              <w:t>et de mauvaise qualité. En particulier, les titulaires de droits</w:t>
            </w:r>
            <w:r w:rsidR="00304D0D">
              <w:t xml:space="preserve"> mettront en avant </w:t>
            </w:r>
            <w:r w:rsidR="00C8078E">
              <w:t xml:space="preserve">leurs préoccupations communes, </w:t>
            </w:r>
            <w:r w:rsidR="00304D0D">
              <w:t xml:space="preserve">les </w:t>
            </w:r>
            <w:r w:rsidR="00C8078E">
              <w:t xml:space="preserve">grands </w:t>
            </w:r>
            <w:r w:rsidR="00304D0D">
              <w:t>problèmes qu</w:t>
            </w:r>
            <w:r w:rsidR="00C8078E">
              <w:t>'</w:t>
            </w:r>
            <w:r w:rsidR="00304D0D">
              <w:t>i</w:t>
            </w:r>
            <w:r w:rsidR="00C8078E">
              <w:t>ls rencontrent, ainsi que les</w:t>
            </w:r>
            <w:r w:rsidR="00304D0D">
              <w:t xml:space="preserve"> bonnes pratiques et l'expérience acquise en matière de lutte contre les produits TIC </w:t>
            </w:r>
            <w:r w:rsidR="00C8078E" w:rsidRPr="00C8078E">
              <w:t>de contrefaçon</w:t>
            </w:r>
            <w:r w:rsidR="00C8078E">
              <w:t xml:space="preserve"> </w:t>
            </w:r>
            <w:r w:rsidR="00304D0D">
              <w:t xml:space="preserve">et de mauvaise qualité. </w:t>
            </w:r>
            <w:r w:rsidR="00C8078E">
              <w:t>Cette session</w:t>
            </w:r>
            <w:r w:rsidR="00304D0D">
              <w:t xml:space="preserve"> permettra en outre de recenser les principaux domaines </w:t>
            </w:r>
            <w:r w:rsidR="00C8078E">
              <w:t>dans lesquels ils devront travailler en coordination et apporter des améliorations</w:t>
            </w:r>
            <w:r w:rsidR="00304D0D">
              <w:t>.</w:t>
            </w:r>
          </w:p>
        </w:tc>
      </w:tr>
      <w:tr w:rsidR="009F3102" w:rsidRPr="00845053" w:rsidTr="008C68EF">
        <w:tc>
          <w:tcPr>
            <w:tcW w:w="2268" w:type="dxa"/>
            <w:shd w:val="clear" w:color="auto" w:fill="auto"/>
          </w:tcPr>
          <w:p w:rsidR="009F3102" w:rsidRPr="00845053" w:rsidRDefault="009F3102" w:rsidP="00B21545">
            <w:pPr>
              <w:spacing w:after="120"/>
              <w:jc w:val="center"/>
            </w:pPr>
            <w:r w:rsidRPr="00845053">
              <w:t>10</w:t>
            </w:r>
            <w:r>
              <w:t> h </w:t>
            </w:r>
            <w:r w:rsidRPr="00845053">
              <w:t>45-11</w:t>
            </w:r>
            <w:r>
              <w:t> h </w:t>
            </w:r>
            <w:r w:rsidRPr="00845053">
              <w:t>15</w:t>
            </w:r>
          </w:p>
        </w:tc>
        <w:tc>
          <w:tcPr>
            <w:tcW w:w="7621" w:type="dxa"/>
            <w:shd w:val="clear" w:color="auto" w:fill="auto"/>
          </w:tcPr>
          <w:p w:rsidR="009F3102" w:rsidRPr="00845053" w:rsidRDefault="009F3102" w:rsidP="00B50547">
            <w:pPr>
              <w:spacing w:after="120"/>
              <w:rPr>
                <w:b/>
                <w:bCs/>
              </w:rPr>
            </w:pPr>
            <w:r>
              <w:rPr>
                <w:b/>
                <w:bCs/>
              </w:rPr>
              <w:t>Pause-café</w:t>
            </w:r>
          </w:p>
        </w:tc>
      </w:tr>
      <w:tr w:rsidR="00C67A0C" w:rsidRPr="00F8341E" w:rsidTr="008C68EF">
        <w:tc>
          <w:tcPr>
            <w:tcW w:w="2268" w:type="dxa"/>
            <w:shd w:val="pct10" w:color="auto" w:fill="auto"/>
          </w:tcPr>
          <w:p w:rsidR="00C67A0C" w:rsidRPr="00845053" w:rsidRDefault="00C67A0C" w:rsidP="00D93E7E">
            <w:pPr>
              <w:keepNext/>
              <w:keepLines/>
              <w:spacing w:after="120"/>
              <w:jc w:val="center"/>
              <w:rPr>
                <w:b/>
                <w:bCs/>
              </w:rPr>
            </w:pPr>
            <w:r w:rsidRPr="00845053">
              <w:rPr>
                <w:b/>
                <w:bCs/>
              </w:rPr>
              <w:t>SESSION 4:</w:t>
            </w:r>
          </w:p>
        </w:tc>
        <w:tc>
          <w:tcPr>
            <w:tcW w:w="7621" w:type="dxa"/>
            <w:shd w:val="pct10" w:color="auto" w:fill="auto"/>
          </w:tcPr>
          <w:p w:rsidR="00C67A0C" w:rsidRPr="00845053" w:rsidRDefault="004129FE" w:rsidP="0021031E">
            <w:pPr>
              <w:keepNext/>
              <w:keepLines/>
              <w:spacing w:after="120"/>
              <w:rPr>
                <w:b/>
                <w:bCs/>
              </w:rPr>
            </w:pPr>
            <w:r>
              <w:rPr>
                <w:b/>
                <w:bCs/>
              </w:rPr>
              <w:t xml:space="preserve">Technologies et systèmes permettant de lutter contre </w:t>
            </w:r>
            <w:r w:rsidR="00C8078E">
              <w:rPr>
                <w:b/>
                <w:bCs/>
              </w:rPr>
              <w:t xml:space="preserve">les produits </w:t>
            </w:r>
            <w:r w:rsidR="0021031E">
              <w:rPr>
                <w:b/>
                <w:bCs/>
              </w:rPr>
              <w:t xml:space="preserve">de </w:t>
            </w:r>
            <w:r>
              <w:rPr>
                <w:b/>
                <w:bCs/>
              </w:rPr>
              <w:t>contrefaçon/</w:t>
            </w:r>
            <w:r w:rsidR="0021031E">
              <w:rPr>
                <w:b/>
                <w:bCs/>
              </w:rPr>
              <w:t xml:space="preserve">de </w:t>
            </w:r>
            <w:r>
              <w:rPr>
                <w:b/>
                <w:bCs/>
              </w:rPr>
              <w:t xml:space="preserve">mauvaise qualité </w:t>
            </w:r>
          </w:p>
        </w:tc>
      </w:tr>
      <w:tr w:rsidR="00C67A0C" w:rsidRPr="00F8341E" w:rsidTr="008C68EF">
        <w:tc>
          <w:tcPr>
            <w:tcW w:w="2268" w:type="dxa"/>
            <w:shd w:val="clear" w:color="auto" w:fill="auto"/>
          </w:tcPr>
          <w:p w:rsidR="00C67A0C" w:rsidRPr="00845053" w:rsidRDefault="00C67A0C" w:rsidP="007001A5">
            <w:pPr>
              <w:jc w:val="center"/>
            </w:pPr>
            <w:r w:rsidRPr="00845053">
              <w:t>11</w:t>
            </w:r>
            <w:r w:rsidR="00A039C7">
              <w:t> h </w:t>
            </w:r>
            <w:r w:rsidRPr="00845053">
              <w:t>15-12</w:t>
            </w:r>
            <w:r w:rsidR="00A039C7">
              <w:t> h </w:t>
            </w:r>
            <w:r w:rsidRPr="00845053">
              <w:t>45</w:t>
            </w:r>
          </w:p>
        </w:tc>
        <w:tc>
          <w:tcPr>
            <w:tcW w:w="7621" w:type="dxa"/>
            <w:shd w:val="clear" w:color="auto" w:fill="auto"/>
          </w:tcPr>
          <w:p w:rsidR="00C67A0C" w:rsidRPr="00845053" w:rsidRDefault="009C4091" w:rsidP="00B21545">
            <w:r>
              <w:t xml:space="preserve">Cette session sera l'occasion d'examiner les différents types de technologies et d'autres mesures techniques utilisées par les pouvoirs publics et les titulaires de droits pour lutter contre les produits TIC </w:t>
            </w:r>
            <w:r w:rsidR="0021031E">
              <w:t>de contrefaçon</w:t>
            </w:r>
            <w:r>
              <w:t xml:space="preserve"> et de mauvaise qualité. </w:t>
            </w:r>
            <w:r w:rsidR="0021031E">
              <w:t>Par exemple</w:t>
            </w:r>
            <w:r w:rsidR="00520737">
              <w:t>,</w:t>
            </w:r>
            <w:r>
              <w:t xml:space="preserve"> de</w:t>
            </w:r>
            <w:r w:rsidR="0021031E">
              <w:t>s</w:t>
            </w:r>
            <w:r>
              <w:t xml:space="preserve"> technologie</w:t>
            </w:r>
            <w:r w:rsidR="00741C21">
              <w:t>s</w:t>
            </w:r>
            <w:r>
              <w:t xml:space="preserve"> </w:t>
            </w:r>
            <w:r w:rsidR="0021031E">
              <w:t>pour l'</w:t>
            </w:r>
            <w:r>
              <w:t xml:space="preserve">identification et </w:t>
            </w:r>
            <w:r w:rsidR="0021031E">
              <w:t>l</w:t>
            </w:r>
            <w:r>
              <w:t>'authentification,</w:t>
            </w:r>
            <w:r w:rsidR="00741C21">
              <w:t xml:space="preserve"> </w:t>
            </w:r>
            <w:r w:rsidR="0021031E">
              <w:t xml:space="preserve">le </w:t>
            </w:r>
            <w:r w:rsidR="00741C21">
              <w:t xml:space="preserve">suivi et </w:t>
            </w:r>
            <w:r w:rsidR="0021031E">
              <w:t xml:space="preserve">la </w:t>
            </w:r>
            <w:r w:rsidR="00741C21">
              <w:t xml:space="preserve">traçabilité, </w:t>
            </w:r>
            <w:r w:rsidR="0021031E">
              <w:t xml:space="preserve">les </w:t>
            </w:r>
            <w:r w:rsidR="00741C21">
              <w:t xml:space="preserve">tests de conformité </w:t>
            </w:r>
            <w:r w:rsidR="0021031E">
              <w:t xml:space="preserve">et la </w:t>
            </w:r>
            <w:r w:rsidR="00741C21">
              <w:t>certification</w:t>
            </w:r>
            <w:r w:rsidR="0021031E">
              <w:t xml:space="preserve">, ou encore des </w:t>
            </w:r>
            <w:r w:rsidR="00741C21">
              <w:t xml:space="preserve">systèmes de collecte et d'échange d'informations seront présentés. </w:t>
            </w:r>
          </w:p>
        </w:tc>
      </w:tr>
      <w:tr w:rsidR="00C67A0C" w:rsidRPr="00845053" w:rsidTr="008C68EF">
        <w:tc>
          <w:tcPr>
            <w:tcW w:w="2268" w:type="dxa"/>
            <w:shd w:val="clear" w:color="auto" w:fill="auto"/>
          </w:tcPr>
          <w:p w:rsidR="00C67A0C" w:rsidRPr="00845053" w:rsidRDefault="00C67A0C" w:rsidP="00B21545">
            <w:pPr>
              <w:spacing w:after="120"/>
              <w:jc w:val="center"/>
            </w:pPr>
            <w:r w:rsidRPr="00845053">
              <w:t>12</w:t>
            </w:r>
            <w:r w:rsidR="00A039C7">
              <w:t> h </w:t>
            </w:r>
            <w:r w:rsidRPr="00845053">
              <w:t>45-14</w:t>
            </w:r>
            <w:r w:rsidR="00A039C7">
              <w:t> h</w:t>
            </w:r>
            <w:r w:rsidR="00B21545">
              <w:t xml:space="preserve"> 00</w:t>
            </w:r>
          </w:p>
        </w:tc>
        <w:tc>
          <w:tcPr>
            <w:tcW w:w="7621" w:type="dxa"/>
            <w:shd w:val="clear" w:color="auto" w:fill="auto"/>
          </w:tcPr>
          <w:p w:rsidR="00C67A0C" w:rsidRPr="00845053" w:rsidRDefault="009F3102" w:rsidP="00744837">
            <w:pPr>
              <w:spacing w:after="120"/>
              <w:jc w:val="both"/>
              <w:rPr>
                <w:b/>
                <w:bCs/>
              </w:rPr>
            </w:pPr>
            <w:r>
              <w:rPr>
                <w:b/>
                <w:bCs/>
              </w:rPr>
              <w:t>Déjeuner</w:t>
            </w:r>
          </w:p>
        </w:tc>
      </w:tr>
      <w:tr w:rsidR="00C67A0C" w:rsidRPr="00F8341E" w:rsidTr="008C68EF">
        <w:tc>
          <w:tcPr>
            <w:tcW w:w="2268" w:type="dxa"/>
            <w:shd w:val="pct10" w:color="auto" w:fill="auto"/>
          </w:tcPr>
          <w:p w:rsidR="00C67A0C" w:rsidRPr="00845053" w:rsidRDefault="00C67A0C" w:rsidP="00D93E7E">
            <w:pPr>
              <w:spacing w:after="120"/>
              <w:jc w:val="center"/>
              <w:rPr>
                <w:b/>
                <w:bCs/>
              </w:rPr>
            </w:pPr>
            <w:r w:rsidRPr="00845053">
              <w:rPr>
                <w:b/>
                <w:bCs/>
              </w:rPr>
              <w:t>SESSION 5:</w:t>
            </w:r>
          </w:p>
        </w:tc>
        <w:tc>
          <w:tcPr>
            <w:tcW w:w="7621" w:type="dxa"/>
            <w:shd w:val="pct10" w:color="auto" w:fill="auto"/>
          </w:tcPr>
          <w:p w:rsidR="00C67A0C" w:rsidRPr="00845053" w:rsidRDefault="00741C21" w:rsidP="00B13D70">
            <w:pPr>
              <w:spacing w:after="120"/>
              <w:jc w:val="both"/>
              <w:rPr>
                <w:b/>
                <w:bCs/>
              </w:rPr>
            </w:pPr>
            <w:r>
              <w:rPr>
                <w:b/>
                <w:bCs/>
              </w:rPr>
              <w:t>Le point de vue des consommateurs et des milieux universitaires</w:t>
            </w:r>
          </w:p>
        </w:tc>
      </w:tr>
      <w:tr w:rsidR="00C67A0C" w:rsidRPr="00F8341E" w:rsidTr="008C68EF">
        <w:tc>
          <w:tcPr>
            <w:tcW w:w="2268" w:type="dxa"/>
            <w:shd w:val="clear" w:color="auto" w:fill="auto"/>
          </w:tcPr>
          <w:p w:rsidR="00C67A0C" w:rsidRPr="00845053" w:rsidRDefault="00C67A0C" w:rsidP="00B21545">
            <w:pPr>
              <w:spacing w:after="120"/>
              <w:jc w:val="center"/>
            </w:pPr>
            <w:r w:rsidRPr="00845053">
              <w:t>14</w:t>
            </w:r>
            <w:r w:rsidR="00A039C7">
              <w:t> h</w:t>
            </w:r>
            <w:r w:rsidR="00B21545">
              <w:t xml:space="preserve"> 00-1</w:t>
            </w:r>
            <w:r w:rsidRPr="00845053">
              <w:t>5</w:t>
            </w:r>
            <w:r w:rsidR="00A039C7">
              <w:t> h </w:t>
            </w:r>
            <w:r w:rsidRPr="00845053">
              <w:t>30</w:t>
            </w:r>
          </w:p>
        </w:tc>
        <w:tc>
          <w:tcPr>
            <w:tcW w:w="7621" w:type="dxa"/>
            <w:shd w:val="clear" w:color="auto" w:fill="auto"/>
          </w:tcPr>
          <w:p w:rsidR="00C67A0C" w:rsidRPr="00845053" w:rsidRDefault="00603008" w:rsidP="0021031E">
            <w:pPr>
              <w:spacing w:after="120"/>
            </w:pPr>
            <w:r>
              <w:t xml:space="preserve">La session permettra de </w:t>
            </w:r>
            <w:r w:rsidR="0021031E">
              <w:t>connaître le point de vue</w:t>
            </w:r>
            <w:r>
              <w:t xml:space="preserve"> des associations de consommateurs et des milieux universitaires en ce qui concerne la lutte contre les produits TIC </w:t>
            </w:r>
            <w:r w:rsidR="0021031E">
              <w:t xml:space="preserve">de contrefaçon </w:t>
            </w:r>
            <w:r>
              <w:t xml:space="preserve">et de mauvaise qualité. En particulier, </w:t>
            </w:r>
            <w:r w:rsidR="0021031E">
              <w:t xml:space="preserve">elle sera l'occasion de présenter les </w:t>
            </w:r>
            <w:r>
              <w:t xml:space="preserve">inquiétudes et les difficultés communes </w:t>
            </w:r>
            <w:r w:rsidR="0021031E">
              <w:t xml:space="preserve">que rencontrent les </w:t>
            </w:r>
            <w:r>
              <w:t xml:space="preserve">consommateurs, les bonnes pratiques et l'expérience acquise par les associations </w:t>
            </w:r>
            <w:r w:rsidR="0021031E">
              <w:t>professionnelles, l</w:t>
            </w:r>
            <w:r>
              <w:t xml:space="preserve">es mesures de protection des consommateurs et </w:t>
            </w:r>
            <w:r w:rsidR="0021031E">
              <w:t>l</w:t>
            </w:r>
            <w:r>
              <w:t xml:space="preserve">es grands domaines </w:t>
            </w:r>
            <w:r w:rsidR="0021031E">
              <w:t>dans lesquels il faudra travailler en coordination et apporter des améliorations</w:t>
            </w:r>
            <w:r>
              <w:t>.</w:t>
            </w:r>
            <w:r w:rsidRPr="00845053">
              <w:t xml:space="preserve"> </w:t>
            </w:r>
          </w:p>
        </w:tc>
      </w:tr>
      <w:tr w:rsidR="009F3102" w:rsidRPr="00845053" w:rsidTr="008C68EF">
        <w:tc>
          <w:tcPr>
            <w:tcW w:w="2268" w:type="dxa"/>
            <w:shd w:val="clear" w:color="auto" w:fill="auto"/>
          </w:tcPr>
          <w:p w:rsidR="009F3102" w:rsidRPr="00845053" w:rsidRDefault="009F3102" w:rsidP="00B21545">
            <w:pPr>
              <w:spacing w:after="120"/>
              <w:jc w:val="center"/>
            </w:pPr>
            <w:r w:rsidRPr="00845053">
              <w:t>15</w:t>
            </w:r>
            <w:r>
              <w:t> h </w:t>
            </w:r>
            <w:r w:rsidRPr="00845053">
              <w:t>30-16</w:t>
            </w:r>
            <w:r>
              <w:t> h</w:t>
            </w:r>
            <w:r w:rsidR="00B21545">
              <w:t xml:space="preserve"> 00</w:t>
            </w:r>
          </w:p>
        </w:tc>
        <w:tc>
          <w:tcPr>
            <w:tcW w:w="7621" w:type="dxa"/>
            <w:shd w:val="clear" w:color="auto" w:fill="auto"/>
          </w:tcPr>
          <w:p w:rsidR="009F3102" w:rsidRPr="00845053" w:rsidRDefault="009F3102" w:rsidP="00B13D70">
            <w:pPr>
              <w:spacing w:after="120"/>
              <w:rPr>
                <w:b/>
                <w:bCs/>
              </w:rPr>
            </w:pPr>
            <w:r>
              <w:rPr>
                <w:b/>
                <w:bCs/>
              </w:rPr>
              <w:t>Pause-café</w:t>
            </w:r>
          </w:p>
        </w:tc>
      </w:tr>
    </w:tbl>
    <w:p w:rsidR="00B21545" w:rsidRDefault="00B21545">
      <w:r>
        <w:br w:type="page"/>
      </w:r>
    </w:p>
    <w:tbl>
      <w:tblPr>
        <w:tblW w:w="9889" w:type="dxa"/>
        <w:tblLook w:val="04A0" w:firstRow="1" w:lastRow="0" w:firstColumn="1" w:lastColumn="0" w:noHBand="0" w:noVBand="1"/>
      </w:tblPr>
      <w:tblGrid>
        <w:gridCol w:w="2268"/>
        <w:gridCol w:w="7621"/>
      </w:tblGrid>
      <w:tr w:rsidR="00C67A0C" w:rsidRPr="00F8341E" w:rsidTr="008C68EF">
        <w:tc>
          <w:tcPr>
            <w:tcW w:w="2268" w:type="dxa"/>
            <w:shd w:val="pct10" w:color="auto" w:fill="auto"/>
          </w:tcPr>
          <w:p w:rsidR="00C67A0C" w:rsidRPr="00845053" w:rsidRDefault="00C67A0C" w:rsidP="00D93E7E">
            <w:pPr>
              <w:spacing w:after="120"/>
              <w:jc w:val="center"/>
              <w:rPr>
                <w:b/>
                <w:bCs/>
              </w:rPr>
            </w:pPr>
            <w:r w:rsidRPr="00845053">
              <w:rPr>
                <w:b/>
                <w:bCs/>
              </w:rPr>
              <w:lastRenderedPageBreak/>
              <w:t>SESSION 6:</w:t>
            </w:r>
          </w:p>
        </w:tc>
        <w:tc>
          <w:tcPr>
            <w:tcW w:w="7621" w:type="dxa"/>
            <w:shd w:val="pct10" w:color="auto" w:fill="auto"/>
          </w:tcPr>
          <w:p w:rsidR="00C67A0C" w:rsidRPr="00845053" w:rsidRDefault="00971777" w:rsidP="00971777">
            <w:pPr>
              <w:spacing w:after="120"/>
              <w:rPr>
                <w:b/>
                <w:bCs/>
              </w:rPr>
            </w:pPr>
            <w:r>
              <w:rPr>
                <w:b/>
                <w:bCs/>
              </w:rPr>
              <w:t>N</w:t>
            </w:r>
            <w:r w:rsidR="00603008">
              <w:rPr>
                <w:b/>
                <w:bCs/>
              </w:rPr>
              <w:t>ormes internationales et organis</w:t>
            </w:r>
            <w:r>
              <w:rPr>
                <w:b/>
                <w:bCs/>
              </w:rPr>
              <w:t xml:space="preserve">ations </w:t>
            </w:r>
            <w:r w:rsidR="00603008">
              <w:rPr>
                <w:b/>
                <w:bCs/>
              </w:rPr>
              <w:t>de normalisation</w:t>
            </w:r>
            <w:r>
              <w:rPr>
                <w:b/>
                <w:bCs/>
              </w:rPr>
              <w:t xml:space="preserve"> dans le cadre </w:t>
            </w:r>
            <w:r w:rsidR="00603008">
              <w:rPr>
                <w:b/>
                <w:bCs/>
              </w:rPr>
              <w:t xml:space="preserve">de la stratégie globale de lutte contre les produits </w:t>
            </w:r>
            <w:r w:rsidRPr="00971777">
              <w:rPr>
                <w:b/>
                <w:bCs/>
              </w:rPr>
              <w:t>de contrefaçon</w:t>
            </w:r>
            <w:r w:rsidR="00603008">
              <w:rPr>
                <w:b/>
                <w:bCs/>
              </w:rPr>
              <w:t>/de mauvaise qualité</w:t>
            </w:r>
          </w:p>
        </w:tc>
      </w:tr>
      <w:tr w:rsidR="00C67A0C" w:rsidRPr="00F8341E" w:rsidTr="008C68EF">
        <w:tc>
          <w:tcPr>
            <w:tcW w:w="2268" w:type="dxa"/>
            <w:shd w:val="clear" w:color="auto" w:fill="auto"/>
          </w:tcPr>
          <w:p w:rsidR="00C67A0C" w:rsidRPr="00845053" w:rsidRDefault="00C67A0C" w:rsidP="00B21545">
            <w:pPr>
              <w:spacing w:after="120"/>
              <w:jc w:val="center"/>
            </w:pPr>
            <w:r w:rsidRPr="00845053">
              <w:t>16</w:t>
            </w:r>
            <w:r w:rsidR="00A039C7">
              <w:t> h</w:t>
            </w:r>
            <w:r w:rsidR="00B21545">
              <w:t xml:space="preserve"> 00</w:t>
            </w:r>
            <w:r w:rsidRPr="00845053">
              <w:t>-17</w:t>
            </w:r>
            <w:r w:rsidR="00A039C7">
              <w:t> h </w:t>
            </w:r>
            <w:r w:rsidRPr="00845053">
              <w:t>15</w:t>
            </w:r>
          </w:p>
        </w:tc>
        <w:tc>
          <w:tcPr>
            <w:tcW w:w="7621" w:type="dxa"/>
            <w:shd w:val="clear" w:color="auto" w:fill="auto"/>
          </w:tcPr>
          <w:p w:rsidR="00C67A0C" w:rsidRPr="00845053" w:rsidRDefault="00603008" w:rsidP="00E730B0">
            <w:pPr>
              <w:spacing w:after="120"/>
            </w:pPr>
            <w:r>
              <w:t xml:space="preserve">Cette session sera l'occasion de présenter le rôle que jouent les normes internationales et les organisations de normalisation dans le cadre de la stratégie globale de lutte contre les produits TIC </w:t>
            </w:r>
            <w:r w:rsidR="00E730B0">
              <w:t xml:space="preserve">de contrefaçon </w:t>
            </w:r>
            <w:r>
              <w:t xml:space="preserve">et de mauvaise qualité. En particulier, les initiatives, les normes, </w:t>
            </w:r>
            <w:r w:rsidR="00E730B0">
              <w:t>les guides</w:t>
            </w:r>
            <w:r>
              <w:t xml:space="preserve"> et les programmes </w:t>
            </w:r>
            <w:r w:rsidR="00E730B0">
              <w:t xml:space="preserve">internationaux </w:t>
            </w:r>
            <w:r>
              <w:t xml:space="preserve">pertinents des organisations de normalisation seront examinés. Cette session traitera en outre du rôle de l'UIT dans la lutte contre les produits TIC </w:t>
            </w:r>
            <w:r w:rsidR="00E730B0">
              <w:t xml:space="preserve">de contrefaçon </w:t>
            </w:r>
            <w:r>
              <w:t xml:space="preserve">et de mauvaise qualité partout dans le monde et dans le renforcement de la coopération entre toutes les parties prenantes. Dans ce contexte, cette session permettra de </w:t>
            </w:r>
            <w:r w:rsidR="00E730B0">
              <w:t>recenser</w:t>
            </w:r>
            <w:r>
              <w:t xml:space="preserve"> des mesures précises que les organisations de normalisation peuvent prendre</w:t>
            </w:r>
            <w:r w:rsidR="00E730B0">
              <w:t>, par exemple</w:t>
            </w:r>
            <w:r>
              <w:t xml:space="preserve"> pour</w:t>
            </w:r>
            <w:r w:rsidR="00E730B0">
              <w:t xml:space="preserve"> </w:t>
            </w:r>
            <w:r>
              <w:t>mettre au point des outils techniques, faciliter la collecte et l'échange de connaissances, d'information</w:t>
            </w:r>
            <w:r w:rsidR="00E730B0">
              <w:t>s</w:t>
            </w:r>
            <w:r>
              <w:t xml:space="preserve"> et de pratiques, mener des </w:t>
            </w:r>
            <w:r w:rsidR="00E730B0">
              <w:t xml:space="preserve">activités </w:t>
            </w:r>
            <w:r>
              <w:t>de sensibilisation et accroître la coordination et la collaboration entre les différentes parties prenantes.</w:t>
            </w:r>
          </w:p>
        </w:tc>
      </w:tr>
      <w:tr w:rsidR="00C67A0C" w:rsidRPr="00845053" w:rsidTr="008C68EF">
        <w:tc>
          <w:tcPr>
            <w:tcW w:w="2268" w:type="dxa"/>
            <w:shd w:val="clear" w:color="auto" w:fill="auto"/>
          </w:tcPr>
          <w:p w:rsidR="00C67A0C" w:rsidRPr="00845053" w:rsidRDefault="00C67A0C" w:rsidP="007001A5">
            <w:pPr>
              <w:keepNext/>
              <w:keepLines/>
              <w:spacing w:after="120"/>
              <w:jc w:val="center"/>
            </w:pPr>
            <w:r w:rsidRPr="00845053">
              <w:t>17</w:t>
            </w:r>
            <w:r w:rsidR="00A039C7">
              <w:t> h </w:t>
            </w:r>
            <w:r w:rsidRPr="00845053">
              <w:t>15-17</w:t>
            </w:r>
            <w:r w:rsidR="00A039C7">
              <w:t> h </w:t>
            </w:r>
            <w:r w:rsidRPr="00845053">
              <w:t>30</w:t>
            </w:r>
          </w:p>
        </w:tc>
        <w:tc>
          <w:tcPr>
            <w:tcW w:w="7621" w:type="dxa"/>
            <w:shd w:val="clear" w:color="auto" w:fill="auto"/>
          </w:tcPr>
          <w:p w:rsidR="00C67A0C" w:rsidRPr="00845053" w:rsidRDefault="00603008" w:rsidP="00B13D70">
            <w:pPr>
              <w:keepNext/>
              <w:keepLines/>
              <w:spacing w:after="120"/>
              <w:rPr>
                <w:b/>
                <w:bCs/>
              </w:rPr>
            </w:pPr>
            <w:r>
              <w:rPr>
                <w:b/>
                <w:bCs/>
              </w:rPr>
              <w:t>Allocutions de clôture</w:t>
            </w:r>
          </w:p>
        </w:tc>
      </w:tr>
      <w:tr w:rsidR="00C67A0C" w:rsidRPr="00F8341E" w:rsidTr="008C68EF">
        <w:tc>
          <w:tcPr>
            <w:tcW w:w="2268" w:type="dxa"/>
            <w:shd w:val="clear" w:color="auto" w:fill="auto"/>
          </w:tcPr>
          <w:p w:rsidR="00C67A0C" w:rsidRPr="00845053" w:rsidRDefault="00C67A0C" w:rsidP="00B13D70">
            <w:pPr>
              <w:keepNext/>
              <w:keepLines/>
              <w:spacing w:after="120"/>
            </w:pPr>
          </w:p>
        </w:tc>
        <w:tc>
          <w:tcPr>
            <w:tcW w:w="7621" w:type="dxa"/>
            <w:shd w:val="clear" w:color="auto" w:fill="auto"/>
          </w:tcPr>
          <w:p w:rsidR="00C67A0C" w:rsidRPr="00845053" w:rsidRDefault="00B13D70" w:rsidP="00B13D70">
            <w:pPr>
              <w:pStyle w:val="enumlev1"/>
              <w:keepNext/>
              <w:keepLines/>
              <w:tabs>
                <w:tab w:val="clear" w:pos="794"/>
                <w:tab w:val="left" w:pos="287"/>
              </w:tabs>
              <w:ind w:left="0" w:firstLine="0"/>
            </w:pPr>
            <w:r>
              <w:t>•</w:t>
            </w:r>
            <w:r>
              <w:tab/>
            </w:r>
            <w:r w:rsidR="00603008">
              <w:t>Allocution de clôture du Président du séminaire</w:t>
            </w:r>
          </w:p>
          <w:p w:rsidR="00C67A0C" w:rsidRPr="00845053" w:rsidRDefault="00B13D70" w:rsidP="008F0765">
            <w:pPr>
              <w:pStyle w:val="enumlev1"/>
              <w:keepNext/>
              <w:keepLines/>
              <w:tabs>
                <w:tab w:val="clear" w:pos="794"/>
                <w:tab w:val="left" w:pos="287"/>
              </w:tabs>
              <w:ind w:left="287" w:hanging="287"/>
            </w:pPr>
            <w:r>
              <w:t>•</w:t>
            </w:r>
            <w:r>
              <w:tab/>
            </w:r>
            <w:r w:rsidR="00603008">
              <w:t xml:space="preserve">Allocution de clôture de </w:t>
            </w:r>
            <w:r w:rsidR="00C67A0C" w:rsidRPr="00845053">
              <w:t xml:space="preserve">Brahima Sanou, </w:t>
            </w:r>
            <w:r w:rsidR="00603008">
              <w:t xml:space="preserve">Directeur du Bureau de développement des télécommunications et de </w:t>
            </w:r>
            <w:r w:rsidR="00C67A0C" w:rsidRPr="00845053">
              <w:t xml:space="preserve">Malcolm Johnson, </w:t>
            </w:r>
            <w:r w:rsidR="00603008">
              <w:t>Directeur du Bureau de la normalisation des télécommunications</w:t>
            </w:r>
            <w:r w:rsidR="00C67A0C" w:rsidRPr="00845053">
              <w:t xml:space="preserve">, </w:t>
            </w:r>
            <w:r w:rsidR="00603008">
              <w:t>UIT</w:t>
            </w:r>
          </w:p>
        </w:tc>
      </w:tr>
    </w:tbl>
    <w:p w:rsidR="00C67A0C" w:rsidRPr="00845053" w:rsidRDefault="00C67A0C" w:rsidP="008F0765">
      <w:pPr>
        <w:ind w:left="794" w:hanging="794"/>
      </w:pPr>
    </w:p>
    <w:p w:rsidR="00863786" w:rsidRPr="00845053" w:rsidRDefault="00863786" w:rsidP="00071210">
      <w:pPr>
        <w:tabs>
          <w:tab w:val="clear" w:pos="794"/>
          <w:tab w:val="clear" w:pos="1191"/>
          <w:tab w:val="clear" w:pos="1588"/>
          <w:tab w:val="clear" w:pos="1985"/>
        </w:tabs>
        <w:overflowPunct/>
        <w:autoSpaceDE/>
        <w:autoSpaceDN/>
        <w:adjustRightInd/>
        <w:spacing w:before="0"/>
        <w:textAlignment w:val="auto"/>
        <w:rPr>
          <w:b/>
          <w:sz w:val="28"/>
        </w:rPr>
      </w:pPr>
      <w:r w:rsidRPr="00845053">
        <w:br w:type="page"/>
      </w:r>
    </w:p>
    <w:p w:rsidR="008F0765" w:rsidRPr="002A1D58" w:rsidRDefault="00863786" w:rsidP="008F0765">
      <w:pPr>
        <w:pStyle w:val="Annex"/>
        <w:rPr>
          <w:lang w:val="en-US"/>
        </w:rPr>
      </w:pPr>
      <w:r w:rsidRPr="002A1D58">
        <w:rPr>
          <w:lang w:val="en-US"/>
        </w:rPr>
        <w:lastRenderedPageBreak/>
        <w:t>ANNEX 2</w:t>
      </w:r>
    </w:p>
    <w:p w:rsidR="00863786" w:rsidRPr="008F0765" w:rsidRDefault="00A057FF" w:rsidP="008F0765">
      <w:pPr>
        <w:pStyle w:val="Annex"/>
        <w:spacing w:before="0"/>
        <w:rPr>
          <w:lang w:val="en-US"/>
        </w:rPr>
      </w:pPr>
      <w:r w:rsidRPr="008F0765">
        <w:rPr>
          <w:lang w:val="en-US"/>
        </w:rPr>
        <w:t>(</w:t>
      </w:r>
      <w:proofErr w:type="gramStart"/>
      <w:r w:rsidR="008F0765" w:rsidRPr="008F0765">
        <w:rPr>
          <w:caps w:val="0"/>
          <w:lang w:val="en-US"/>
        </w:rPr>
        <w:t>to</w:t>
      </w:r>
      <w:proofErr w:type="gramEnd"/>
      <w:r w:rsidR="008F0765" w:rsidRPr="008F0765">
        <w:rPr>
          <w:caps w:val="0"/>
          <w:lang w:val="en-US"/>
        </w:rPr>
        <w:t xml:space="preserve"> </w:t>
      </w:r>
      <w:r w:rsidRPr="008F0765">
        <w:rPr>
          <w:lang w:val="en-US"/>
        </w:rPr>
        <w:t>TSB C</w:t>
      </w:r>
      <w:r w:rsidR="008F0765" w:rsidRPr="008F0765">
        <w:rPr>
          <w:caps w:val="0"/>
          <w:lang w:val="en-US"/>
        </w:rPr>
        <w:t>ircular</w:t>
      </w:r>
      <w:r w:rsidRPr="008F0765">
        <w:rPr>
          <w:lang w:val="en-US"/>
        </w:rPr>
        <w:t xml:space="preserve"> 103)</w:t>
      </w:r>
    </w:p>
    <w:p w:rsidR="00863786" w:rsidRPr="00F8341E" w:rsidRDefault="00863786" w:rsidP="008F0765">
      <w:pPr>
        <w:pStyle w:val="AnnexNotitle"/>
        <w:rPr>
          <w:lang w:val="en-US"/>
        </w:rPr>
      </w:pPr>
      <w:r w:rsidRPr="008F0765">
        <w:rPr>
          <w:lang w:val="en-US"/>
        </w:rPr>
        <w:t>Information an</w:t>
      </w:r>
      <w:r w:rsidRPr="00F8341E">
        <w:rPr>
          <w:lang w:val="en-US"/>
        </w:rPr>
        <w:t>d Logistics for the Seminar</w:t>
      </w:r>
    </w:p>
    <w:p w:rsidR="00863786" w:rsidRPr="00F8341E" w:rsidRDefault="00863786" w:rsidP="00071210">
      <w:pPr>
        <w:jc w:val="center"/>
        <w:rPr>
          <w:lang w:val="en-US"/>
        </w:rPr>
      </w:pPr>
    </w:p>
    <w:p w:rsidR="00863786" w:rsidRPr="00F8341E" w:rsidRDefault="00A057FF" w:rsidP="00071210">
      <w:pPr>
        <w:jc w:val="both"/>
        <w:rPr>
          <w:lang w:val="en-US"/>
        </w:rPr>
      </w:pPr>
      <w:r w:rsidRPr="00F8341E">
        <w:rPr>
          <w:lang w:val="en-US"/>
        </w:rPr>
        <w:t>1</w:t>
      </w:r>
      <w:r w:rsidR="00863786" w:rsidRPr="00F8341E">
        <w:rPr>
          <w:lang w:val="en-US"/>
        </w:rPr>
        <w:tab/>
        <w:t xml:space="preserve">The seminar will take place at ITU Headquarters, Geneva, Switzerland from 17 to 18 November 2014. The seminar will open at </w:t>
      </w:r>
      <w:r w:rsidR="00863786" w:rsidRPr="00F8341E">
        <w:rPr>
          <w:b/>
          <w:bCs/>
          <w:lang w:val="en-US"/>
        </w:rPr>
        <w:t>1400</w:t>
      </w:r>
      <w:r w:rsidR="00863786" w:rsidRPr="00F8341E">
        <w:rPr>
          <w:lang w:val="en-US"/>
        </w:rPr>
        <w:t xml:space="preserve"> hours on 17 November 2014. Distribution of badges for registered participants will begin at </w:t>
      </w:r>
      <w:r w:rsidRPr="00F8341E">
        <w:rPr>
          <w:lang w:val="en-US"/>
        </w:rPr>
        <w:t>1300</w:t>
      </w:r>
      <w:r w:rsidR="00863786" w:rsidRPr="00F8341E">
        <w:rPr>
          <w:lang w:val="en-US"/>
        </w:rPr>
        <w:t xml:space="preserve"> on 17 November 2014 at the </w:t>
      </w:r>
      <w:proofErr w:type="spellStart"/>
      <w:r w:rsidR="00863786" w:rsidRPr="00F8341E">
        <w:rPr>
          <w:lang w:val="en-US"/>
        </w:rPr>
        <w:t>Montbrillant</w:t>
      </w:r>
      <w:proofErr w:type="spellEnd"/>
      <w:r w:rsidR="00863786" w:rsidRPr="00F8341E">
        <w:rPr>
          <w:lang w:val="en-US"/>
        </w:rPr>
        <w:t xml:space="preserve"> entrance. Information concerning the meeting room will be displayed on screens at the </w:t>
      </w:r>
      <w:proofErr w:type="spellStart"/>
      <w:r w:rsidR="00863786" w:rsidRPr="00F8341E">
        <w:rPr>
          <w:lang w:val="en-US"/>
        </w:rPr>
        <w:t>Montbrillant</w:t>
      </w:r>
      <w:proofErr w:type="spellEnd"/>
      <w:r w:rsidR="00863786" w:rsidRPr="00F8341E">
        <w:rPr>
          <w:lang w:val="en-US"/>
        </w:rPr>
        <w:t xml:space="preserve"> entrance.</w:t>
      </w:r>
    </w:p>
    <w:p w:rsidR="00863786" w:rsidRPr="00F8341E" w:rsidRDefault="00863786" w:rsidP="00071210">
      <w:pPr>
        <w:jc w:val="both"/>
        <w:rPr>
          <w:lang w:val="en-US"/>
        </w:rPr>
      </w:pPr>
      <w:r w:rsidRPr="00F8341E">
        <w:rPr>
          <w:lang w:val="en-US"/>
        </w:rPr>
        <w:t>2</w:t>
      </w:r>
      <w:r w:rsidRPr="00F8341E">
        <w:rPr>
          <w:lang w:val="en-US"/>
        </w:rPr>
        <w:tab/>
        <w:t>Participation is open to ITU Member States, Sector Members, Associates and Academic Institutions, and to any individual or organization from a country which is a member of ITU. The seminar is free of charge.</w:t>
      </w:r>
    </w:p>
    <w:p w:rsidR="00863786" w:rsidRPr="00F8341E" w:rsidRDefault="00A057FF" w:rsidP="00071210">
      <w:pPr>
        <w:jc w:val="both"/>
        <w:rPr>
          <w:lang w:val="en-US"/>
        </w:rPr>
      </w:pPr>
      <w:r w:rsidRPr="00F8341E">
        <w:rPr>
          <w:lang w:val="en-US"/>
        </w:rPr>
        <w:t>3</w:t>
      </w:r>
      <w:r w:rsidR="00863786" w:rsidRPr="00F8341E">
        <w:rPr>
          <w:lang w:val="en-US"/>
        </w:rPr>
        <w:tab/>
        <w:t>ITU will not be providing fellowships for this event.</w:t>
      </w:r>
    </w:p>
    <w:p w:rsidR="00863786" w:rsidRPr="00F8341E" w:rsidRDefault="00A057FF" w:rsidP="00071210">
      <w:pPr>
        <w:jc w:val="both"/>
        <w:rPr>
          <w:color w:val="000000"/>
          <w:lang w:val="en-US"/>
        </w:rPr>
      </w:pPr>
      <w:r w:rsidRPr="00F8341E">
        <w:rPr>
          <w:color w:val="000000"/>
          <w:lang w:val="en-US"/>
        </w:rPr>
        <w:t>4</w:t>
      </w:r>
      <w:r w:rsidR="00863786" w:rsidRPr="00F8341E">
        <w:rPr>
          <w:color w:val="000000"/>
          <w:lang w:val="en-US"/>
        </w:rPr>
        <w:tab/>
        <w:t xml:space="preserve">Wireless LAN facilities are available for use by delegates. Detailed information is available at </w:t>
      </w:r>
      <w:hyperlink r:id="rId13" w:history="1">
        <w:r w:rsidR="00863786" w:rsidRPr="00F8341E">
          <w:rPr>
            <w:rStyle w:val="Hyperlink"/>
            <w:rFonts w:eastAsia="SimSun"/>
            <w:lang w:val="en-US"/>
          </w:rPr>
          <w:t>http://itu.int/ITU-T/edh/faqs-support.html</w:t>
        </w:r>
      </w:hyperlink>
      <w:r w:rsidR="00863786" w:rsidRPr="00F8341E">
        <w:rPr>
          <w:color w:val="000000"/>
          <w:lang w:val="en-US"/>
        </w:rPr>
        <w:t>.</w:t>
      </w:r>
    </w:p>
    <w:p w:rsidR="00863786" w:rsidRPr="00F8341E" w:rsidRDefault="00863786" w:rsidP="00071210">
      <w:pPr>
        <w:jc w:val="both"/>
        <w:rPr>
          <w:color w:val="000000"/>
          <w:lang w:val="en-US"/>
        </w:rPr>
      </w:pPr>
      <w:r w:rsidRPr="00F8341E">
        <w:rPr>
          <w:color w:val="000000"/>
          <w:lang w:val="en-US"/>
        </w:rPr>
        <w:t>5</w:t>
      </w:r>
      <w:r w:rsidRPr="00F8341E">
        <w:rPr>
          <w:color w:val="000000"/>
          <w:lang w:val="en-US"/>
        </w:rPr>
        <w:tab/>
        <w:t xml:space="preserve">For your convenience, a hotel confirmation form is enclosed as </w:t>
      </w:r>
      <w:r w:rsidRPr="00F8341E">
        <w:rPr>
          <w:b/>
          <w:bCs/>
          <w:color w:val="000000"/>
          <w:lang w:val="en-US"/>
        </w:rPr>
        <w:t>Annex 3</w:t>
      </w:r>
      <w:r w:rsidRPr="00F8341E">
        <w:rPr>
          <w:color w:val="000000"/>
          <w:lang w:val="en-US"/>
        </w:rPr>
        <w:t xml:space="preserve"> (see </w:t>
      </w:r>
      <w:hyperlink r:id="rId14" w:history="1">
        <w:r w:rsidRPr="00F8341E">
          <w:rPr>
            <w:rStyle w:val="Hyperlink"/>
            <w:rFonts w:eastAsia="SimSun"/>
            <w:lang w:val="en-US"/>
          </w:rPr>
          <w:t>http://www.itu.int/travel/</w:t>
        </w:r>
      </w:hyperlink>
      <w:r w:rsidRPr="00F8341E">
        <w:rPr>
          <w:color w:val="000000"/>
          <w:lang w:val="en-US"/>
        </w:rPr>
        <w:t xml:space="preserve"> for the list of hotels).</w:t>
      </w:r>
    </w:p>
    <w:p w:rsidR="00071210" w:rsidRDefault="00A057FF" w:rsidP="001C32A3">
      <w:pPr>
        <w:jc w:val="both"/>
        <w:rPr>
          <w:color w:val="000000"/>
          <w:lang w:val="en-US"/>
        </w:rPr>
        <w:sectPr w:rsidR="00071210" w:rsidSect="001C32A3">
          <w:headerReference w:type="default" r:id="rId15"/>
          <w:footerReference w:type="default" r:id="rId16"/>
          <w:footerReference w:type="first" r:id="rId17"/>
          <w:type w:val="oddPage"/>
          <w:pgSz w:w="11907" w:h="16840" w:code="9"/>
          <w:pgMar w:top="1134" w:right="1134" w:bottom="1134" w:left="1134" w:header="567" w:footer="567" w:gutter="0"/>
          <w:paperSrc w:first="7" w:other="7"/>
          <w:cols w:space="720"/>
          <w:titlePg/>
          <w:docGrid w:linePitch="326"/>
        </w:sectPr>
      </w:pPr>
      <w:r w:rsidRPr="00F8341E">
        <w:rPr>
          <w:color w:val="000000"/>
          <w:lang w:val="en-US"/>
        </w:rPr>
        <w:t>6</w:t>
      </w:r>
      <w:r w:rsidR="00863786" w:rsidRPr="00F8341E">
        <w:rPr>
          <w:color w:val="000000"/>
          <w:lang w:val="en-US"/>
        </w:rPr>
        <w:tab/>
        <w:t>Citizens of some countries are required to obtain a visa in order to enter Switzerland. The vis</w:t>
      </w:r>
      <w:r w:rsidRPr="00F8341E">
        <w:rPr>
          <w:color w:val="000000"/>
          <w:lang w:val="en-US"/>
        </w:rPr>
        <w:t>a must be requested at least four (4</w:t>
      </w:r>
      <w:r w:rsidR="00863786" w:rsidRPr="00F8341E">
        <w:rPr>
          <w:color w:val="000000"/>
          <w:lang w:val="en-US"/>
        </w:rPr>
        <w:t xml:space="preserve">) weeks before the seminar and obtained from the office (embassy or consulate) representing Switzerland in your country or, if there is no such office in your country, from the one that is closest to the country of departure. If problems are encountered by ITU Member States, Sector Members, Associates or Academic Institutions, ITU can approach the competent Swiss authorities to facilitate the delivery of the visa but only within the above-mentioned </w:t>
      </w:r>
      <w:r w:rsidRPr="00F8341E">
        <w:rPr>
          <w:color w:val="000000"/>
          <w:lang w:val="en-US"/>
        </w:rPr>
        <w:t>period of four</w:t>
      </w:r>
      <w:r w:rsidR="00863786" w:rsidRPr="00F8341E">
        <w:rPr>
          <w:color w:val="000000"/>
          <w:lang w:val="en-US"/>
        </w:rPr>
        <w:t xml:space="preserve"> weeks. Any such request should be made by official letter from the administration or entity you represent. This letter must specify the name and functions, date of birth, number, dates of issue and expiry of passport of the individual(s) for whom the visa(s) is/are requested and be accompanied by a copy of the notification of confirmation of registration approved for the ITU-T seminar in question, and must be sent to TSB by fax (+41 22 730 5853) or e-mail (</w:t>
      </w:r>
      <w:hyperlink r:id="rId18" w:history="1">
        <w:r w:rsidRPr="00F8341E">
          <w:rPr>
            <w:rStyle w:val="Hyperlink"/>
            <w:lang w:val="en-US"/>
          </w:rPr>
          <w:t>tsbreg@itu.int</w:t>
        </w:r>
      </w:hyperlink>
      <w:r w:rsidR="00863786" w:rsidRPr="00F8341E">
        <w:rPr>
          <w:color w:val="000000"/>
          <w:lang w:val="en-US"/>
        </w:rPr>
        <w:t xml:space="preserve">), bearing the words “visa request”. </w:t>
      </w:r>
      <w:r w:rsidR="00863786" w:rsidRPr="00F8341E">
        <w:rPr>
          <w:b/>
          <w:bCs/>
          <w:color w:val="000000"/>
          <w:u w:val="single"/>
          <w:lang w:val="en-US"/>
        </w:rPr>
        <w:t>Please also note that ITU can assist only representatives of ITU Member States, ITU Sector Members,</w:t>
      </w:r>
      <w:r w:rsidRPr="00F8341E">
        <w:rPr>
          <w:b/>
          <w:bCs/>
          <w:color w:val="000000"/>
          <w:u w:val="single"/>
          <w:lang w:val="en-US"/>
        </w:rPr>
        <w:t xml:space="preserve"> ITU Associates and ITU Academic Institutions</w:t>
      </w:r>
      <w:r w:rsidR="00863786" w:rsidRPr="00F8341E">
        <w:rPr>
          <w:b/>
          <w:bCs/>
          <w:color w:val="000000"/>
          <w:u w:val="single"/>
          <w:lang w:val="en-US"/>
        </w:rPr>
        <w:t>.</w:t>
      </w:r>
    </w:p>
    <w:p w:rsidR="00956394" w:rsidRPr="00845053" w:rsidRDefault="00956394" w:rsidP="00071210">
      <w:pPr>
        <w:tabs>
          <w:tab w:val="clear" w:pos="794"/>
          <w:tab w:val="clear" w:pos="1191"/>
          <w:tab w:val="clear" w:pos="1588"/>
          <w:tab w:val="clear" w:pos="1985"/>
        </w:tabs>
        <w:overflowPunct/>
        <w:autoSpaceDE/>
        <w:autoSpaceDN/>
        <w:adjustRightInd/>
        <w:spacing w:before="0"/>
        <w:jc w:val="center"/>
        <w:textAlignment w:val="auto"/>
      </w:pPr>
      <w:r w:rsidRPr="00845053">
        <w:t>ANNEX 3</w:t>
      </w:r>
      <w:bookmarkStart w:id="4" w:name="_GoBack"/>
      <w:bookmarkEnd w:id="4"/>
      <w:r w:rsidR="00A057FF" w:rsidRPr="00845053">
        <w:br/>
        <w:t xml:space="preserve">(to TSB </w:t>
      </w:r>
      <w:proofErr w:type="spellStart"/>
      <w:r w:rsidR="00A057FF" w:rsidRPr="00845053">
        <w:t>Circular</w:t>
      </w:r>
      <w:proofErr w:type="spellEnd"/>
      <w:r w:rsidR="00A057FF" w:rsidRPr="00845053">
        <w:t xml:space="preserve"> 103)</w:t>
      </w:r>
    </w:p>
    <w:p w:rsidR="00956394" w:rsidRPr="00845053" w:rsidRDefault="00956394" w:rsidP="00071210">
      <w:pPr>
        <w:spacing w:before="0"/>
        <w:ind w:firstLine="720"/>
        <w:jc w:val="center"/>
        <w:rPr>
          <w:sz w:val="16"/>
        </w:rPr>
      </w:pPr>
    </w:p>
    <w:p w:rsidR="00956394" w:rsidRPr="00845053" w:rsidRDefault="00956394" w:rsidP="00071210">
      <w:pPr>
        <w:spacing w:before="0"/>
        <w:ind w:firstLine="720"/>
        <w:jc w:val="center"/>
        <w:rPr>
          <w:sz w:val="16"/>
        </w:rPr>
      </w:pPr>
    </w:p>
    <w:tbl>
      <w:tblPr>
        <w:tblW w:w="0" w:type="auto"/>
        <w:jc w:val="center"/>
        <w:tblLayout w:type="fixed"/>
        <w:tblLook w:val="0000" w:firstRow="0" w:lastRow="0" w:firstColumn="0" w:lastColumn="0" w:noHBand="0" w:noVBand="0"/>
      </w:tblPr>
      <w:tblGrid>
        <w:gridCol w:w="9360"/>
      </w:tblGrid>
      <w:tr w:rsidR="00956394" w:rsidRPr="001C32A3" w:rsidTr="008C68EF">
        <w:trPr>
          <w:cantSplit/>
          <w:jc w:val="center"/>
        </w:trPr>
        <w:tc>
          <w:tcPr>
            <w:tcW w:w="9360" w:type="dxa"/>
            <w:tcBorders>
              <w:top w:val="single" w:sz="6" w:space="0" w:color="auto"/>
              <w:left w:val="single" w:sz="6" w:space="0" w:color="auto"/>
              <w:bottom w:val="single" w:sz="6" w:space="0" w:color="auto"/>
              <w:right w:val="single" w:sz="6" w:space="0" w:color="auto"/>
            </w:tcBorders>
          </w:tcPr>
          <w:p w:rsidR="00956394" w:rsidRPr="00F8341E" w:rsidRDefault="00956394" w:rsidP="00071210">
            <w:pPr>
              <w:tabs>
                <w:tab w:val="left" w:pos="1440"/>
                <w:tab w:val="left" w:pos="8647"/>
              </w:tabs>
              <w:spacing w:before="0"/>
              <w:ind w:right="133"/>
              <w:jc w:val="center"/>
              <w:rPr>
                <w:i/>
                <w:sz w:val="20"/>
                <w:lang w:val="en-US"/>
              </w:rPr>
            </w:pPr>
          </w:p>
          <w:p w:rsidR="00956394" w:rsidRPr="00F8341E" w:rsidRDefault="00956394" w:rsidP="00071210">
            <w:pPr>
              <w:tabs>
                <w:tab w:val="left" w:pos="1440"/>
                <w:tab w:val="left" w:pos="8647"/>
              </w:tabs>
              <w:spacing w:before="0"/>
              <w:ind w:right="133"/>
              <w:jc w:val="center"/>
              <w:rPr>
                <w:i/>
                <w:lang w:val="en-US"/>
              </w:rPr>
            </w:pPr>
            <w:r w:rsidRPr="00F8341E">
              <w:rPr>
                <w:i/>
                <w:lang w:val="en-US"/>
              </w:rPr>
              <w:t xml:space="preserve">This confirmation form </w:t>
            </w:r>
            <w:r w:rsidRPr="00F8341E">
              <w:rPr>
                <w:bCs/>
                <w:i/>
                <w:lang w:val="en-US"/>
              </w:rPr>
              <w:t xml:space="preserve">should </w:t>
            </w:r>
            <w:r w:rsidRPr="00F8341E">
              <w:rPr>
                <w:b/>
                <w:i/>
                <w:lang w:val="en-US"/>
              </w:rPr>
              <w:t xml:space="preserve">be sent direct to the hotel </w:t>
            </w:r>
            <w:r w:rsidRPr="00F8341E">
              <w:rPr>
                <w:i/>
                <w:lang w:val="en-US"/>
              </w:rPr>
              <w:t>of your choice</w:t>
            </w:r>
          </w:p>
          <w:p w:rsidR="00956394" w:rsidRPr="00F8341E" w:rsidRDefault="00956394" w:rsidP="00071210">
            <w:pPr>
              <w:spacing w:before="0" w:after="100"/>
              <w:ind w:right="130"/>
              <w:jc w:val="center"/>
              <w:rPr>
                <w:sz w:val="20"/>
                <w:lang w:val="en-US"/>
              </w:rPr>
            </w:pPr>
          </w:p>
        </w:tc>
      </w:tr>
    </w:tbl>
    <w:p w:rsidR="00956394" w:rsidRPr="00F8341E" w:rsidRDefault="00956394" w:rsidP="00071210">
      <w:pPr>
        <w:tabs>
          <w:tab w:val="center" w:pos="9639"/>
        </w:tabs>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956394" w:rsidRPr="00845053" w:rsidTr="008C68EF">
        <w:trPr>
          <w:cantSplit/>
          <w:jc w:val="center"/>
        </w:trPr>
        <w:tc>
          <w:tcPr>
            <w:tcW w:w="1291" w:type="dxa"/>
          </w:tcPr>
          <w:p w:rsidR="00956394" w:rsidRPr="00845053" w:rsidRDefault="00956394" w:rsidP="00071210">
            <w:pPr>
              <w:tabs>
                <w:tab w:val="center" w:pos="9639"/>
              </w:tabs>
              <w:spacing w:before="57"/>
              <w:ind w:right="-176"/>
              <w:jc w:val="center"/>
              <w:rPr>
                <w:sz w:val="28"/>
              </w:rPr>
            </w:pPr>
            <w:r w:rsidRPr="00845053">
              <w:rPr>
                <w:noProof/>
                <w:lang w:val="en-US"/>
              </w:rPr>
              <w:drawing>
                <wp:inline distT="0" distB="0" distL="0" distR="0" wp14:anchorId="27E3010F" wp14:editId="4AAC52EC">
                  <wp:extent cx="631190" cy="667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1190" cy="667385"/>
                          </a:xfrm>
                          <a:prstGeom prst="rect">
                            <a:avLst/>
                          </a:prstGeom>
                          <a:noFill/>
                          <a:ln>
                            <a:noFill/>
                          </a:ln>
                        </pic:spPr>
                      </pic:pic>
                    </a:graphicData>
                  </a:graphic>
                </wp:inline>
              </w:drawing>
            </w:r>
          </w:p>
        </w:tc>
        <w:tc>
          <w:tcPr>
            <w:tcW w:w="7264" w:type="dxa"/>
          </w:tcPr>
          <w:p w:rsidR="00956394" w:rsidRPr="00845053" w:rsidRDefault="00956394" w:rsidP="00071210">
            <w:pPr>
              <w:tabs>
                <w:tab w:val="center" w:pos="9639"/>
              </w:tabs>
              <w:ind w:right="-40"/>
              <w:jc w:val="center"/>
              <w:rPr>
                <w:b/>
                <w:bCs/>
                <w:sz w:val="28"/>
                <w:szCs w:val="28"/>
              </w:rPr>
            </w:pPr>
            <w:r w:rsidRPr="00845053">
              <w:rPr>
                <w:sz w:val="26"/>
              </w:rPr>
              <w:br/>
            </w:r>
            <w:r w:rsidRPr="00845053">
              <w:rPr>
                <w:b/>
                <w:bCs/>
                <w:sz w:val="28"/>
                <w:szCs w:val="28"/>
              </w:rPr>
              <w:t>INTERNATIONAL TELECOMMUNICATION UNION</w:t>
            </w:r>
            <w:r w:rsidRPr="00845053">
              <w:rPr>
                <w:b/>
                <w:bCs/>
                <w:sz w:val="28"/>
                <w:szCs w:val="28"/>
              </w:rPr>
              <w:br/>
            </w:r>
          </w:p>
        </w:tc>
        <w:tc>
          <w:tcPr>
            <w:tcW w:w="1400" w:type="dxa"/>
          </w:tcPr>
          <w:p w:rsidR="00956394" w:rsidRPr="00845053" w:rsidRDefault="00956394" w:rsidP="00071210">
            <w:pPr>
              <w:tabs>
                <w:tab w:val="center" w:pos="9639"/>
              </w:tabs>
              <w:spacing w:before="57"/>
              <w:ind w:left="-142" w:right="-74"/>
              <w:jc w:val="center"/>
              <w:rPr>
                <w:sz w:val="28"/>
              </w:rPr>
            </w:pPr>
            <w:r w:rsidRPr="00845053">
              <w:rPr>
                <w:noProof/>
                <w:lang w:val="en-US"/>
              </w:rPr>
              <w:drawing>
                <wp:inline distT="0" distB="0" distL="0" distR="0" wp14:anchorId="4FF60399" wp14:editId="2BF4D295">
                  <wp:extent cx="631190" cy="667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1190" cy="667385"/>
                          </a:xfrm>
                          <a:prstGeom prst="rect">
                            <a:avLst/>
                          </a:prstGeom>
                          <a:noFill/>
                          <a:ln>
                            <a:noFill/>
                          </a:ln>
                        </pic:spPr>
                      </pic:pic>
                    </a:graphicData>
                  </a:graphic>
                </wp:inline>
              </w:drawing>
            </w:r>
          </w:p>
        </w:tc>
      </w:tr>
    </w:tbl>
    <w:p w:rsidR="00956394" w:rsidRPr="00845053" w:rsidRDefault="00956394" w:rsidP="00071210">
      <w:pPr>
        <w:tabs>
          <w:tab w:val="left" w:pos="1440"/>
        </w:tabs>
        <w:spacing w:before="0"/>
        <w:ind w:left="284" w:right="-143"/>
        <w:jc w:val="center"/>
        <w:rPr>
          <w:b/>
        </w:rPr>
      </w:pPr>
    </w:p>
    <w:p w:rsidR="00956394" w:rsidRPr="00F8341E" w:rsidRDefault="00956394" w:rsidP="00071210">
      <w:pPr>
        <w:tabs>
          <w:tab w:val="center" w:pos="4678"/>
        </w:tabs>
        <w:spacing w:before="0"/>
        <w:ind w:left="284" w:right="-143"/>
        <w:jc w:val="center"/>
        <w:rPr>
          <w:b/>
          <w:bCs/>
          <w:lang w:val="en-US"/>
        </w:rPr>
      </w:pPr>
      <w:r w:rsidRPr="00F8341E">
        <w:rPr>
          <w:b/>
          <w:bCs/>
          <w:lang w:val="en-US"/>
        </w:rPr>
        <w:t>TELECOMMUNICATION STANDARDIZATION SECTOR</w:t>
      </w:r>
      <w:r w:rsidRPr="00F8341E">
        <w:rPr>
          <w:b/>
          <w:bCs/>
          <w:lang w:val="en-US"/>
        </w:rPr>
        <w:br/>
      </w:r>
    </w:p>
    <w:p w:rsidR="00956394" w:rsidRPr="00F8341E" w:rsidRDefault="00956394" w:rsidP="00071210">
      <w:pPr>
        <w:tabs>
          <w:tab w:val="left" w:pos="1440"/>
        </w:tabs>
        <w:spacing w:before="0"/>
        <w:ind w:left="284" w:right="-143"/>
        <w:rPr>
          <w:sz w:val="20"/>
          <w:lang w:val="en-US"/>
        </w:rPr>
      </w:pPr>
    </w:p>
    <w:p w:rsidR="00956394" w:rsidRPr="00F8341E" w:rsidRDefault="00956394" w:rsidP="00071210">
      <w:pPr>
        <w:spacing w:before="0"/>
        <w:jc w:val="center"/>
        <w:rPr>
          <w:rStyle w:val="Strong"/>
          <w:i/>
          <w:iCs/>
          <w:sz w:val="20"/>
          <w:lang w:val="en-US"/>
        </w:rPr>
      </w:pPr>
      <w:r w:rsidRPr="00F8341E">
        <w:rPr>
          <w:rStyle w:val="Strong"/>
          <w:i/>
          <w:iCs/>
          <w:sz w:val="20"/>
          <w:lang w:val="en-US"/>
        </w:rPr>
        <w:t>“Seminar on combating counterfeit ICT devices”,</w:t>
      </w:r>
    </w:p>
    <w:p w:rsidR="00956394" w:rsidRPr="00F8341E" w:rsidRDefault="00956394" w:rsidP="00071210">
      <w:pPr>
        <w:spacing w:before="0"/>
        <w:jc w:val="center"/>
        <w:rPr>
          <w:i/>
          <w:iCs/>
          <w:sz w:val="20"/>
          <w:lang w:val="en-US"/>
        </w:rPr>
      </w:pPr>
      <w:proofErr w:type="gramStart"/>
      <w:r w:rsidRPr="00F8341E">
        <w:rPr>
          <w:i/>
          <w:iCs/>
          <w:sz w:val="20"/>
          <w:lang w:val="en-US"/>
        </w:rPr>
        <w:t>in</w:t>
      </w:r>
      <w:proofErr w:type="gramEnd"/>
      <w:r w:rsidRPr="00F8341E">
        <w:rPr>
          <w:i/>
          <w:iCs/>
          <w:sz w:val="20"/>
          <w:lang w:val="en-US"/>
        </w:rPr>
        <w:t xml:space="preserve"> Geneva, on </w:t>
      </w:r>
      <w:r w:rsidRPr="00F8341E">
        <w:rPr>
          <w:b/>
          <w:bCs/>
          <w:i/>
          <w:iCs/>
          <w:sz w:val="20"/>
          <w:lang w:val="en-US"/>
        </w:rPr>
        <w:t>17-18</w:t>
      </w:r>
      <w:r w:rsidRPr="00F8341E">
        <w:rPr>
          <w:rStyle w:val="Strong"/>
          <w:i/>
          <w:iCs/>
          <w:sz w:val="20"/>
          <w:lang w:val="en-US"/>
        </w:rPr>
        <w:t xml:space="preserve"> November 2014</w:t>
      </w: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i/>
          <w:sz w:val="20"/>
          <w:lang w:val="en-US"/>
        </w:rPr>
      </w:pPr>
      <w:r w:rsidRPr="00F8341E">
        <w:rPr>
          <w:i/>
          <w:sz w:val="20"/>
          <w:lang w:val="en-US"/>
        </w:rPr>
        <w:t xml:space="preserve">Confirmation of the reservation made on (date) </w:t>
      </w:r>
      <w:proofErr w:type="gramStart"/>
      <w:r w:rsidRPr="00F8341E">
        <w:rPr>
          <w:i/>
          <w:sz w:val="20"/>
          <w:lang w:val="en-US"/>
        </w:rPr>
        <w:t>--------------------------  with</w:t>
      </w:r>
      <w:proofErr w:type="gramEnd"/>
      <w:r w:rsidRPr="00F8341E">
        <w:rPr>
          <w:i/>
          <w:sz w:val="20"/>
          <w:lang w:val="en-US"/>
        </w:rPr>
        <w:t xml:space="preserve"> (hotel)   -------------------------------</w:t>
      </w:r>
    </w:p>
    <w:p w:rsidR="00956394" w:rsidRPr="00F8341E" w:rsidRDefault="00956394" w:rsidP="00071210">
      <w:pPr>
        <w:tabs>
          <w:tab w:val="left" w:pos="1440"/>
        </w:tabs>
        <w:spacing w:before="0"/>
        <w:ind w:left="284" w:right="515"/>
        <w:rPr>
          <w:i/>
          <w:sz w:val="20"/>
          <w:lang w:val="en-US"/>
        </w:rPr>
      </w:pP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u w:val="single"/>
          <w:lang w:val="en-US"/>
        </w:rPr>
      </w:pPr>
      <w:proofErr w:type="gramStart"/>
      <w:r w:rsidRPr="00F8341E">
        <w:rPr>
          <w:b/>
          <w:i/>
          <w:u w:val="single"/>
          <w:lang w:val="en-US"/>
        </w:rPr>
        <w:t>at</w:t>
      </w:r>
      <w:proofErr w:type="gramEnd"/>
      <w:r w:rsidRPr="00F8341E">
        <w:rPr>
          <w:b/>
          <w:i/>
          <w:u w:val="single"/>
          <w:lang w:val="en-US"/>
        </w:rPr>
        <w:t xml:space="preserve"> the ITU preferential tariff </w:t>
      </w: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i/>
          <w:sz w:val="20"/>
          <w:lang w:val="en-US"/>
        </w:rPr>
      </w:pPr>
      <w:r w:rsidRPr="00F8341E">
        <w:rPr>
          <w:i/>
          <w:sz w:val="20"/>
          <w:lang w:val="en-US"/>
        </w:rPr>
        <w:t>------------ single/double room(s)</w:t>
      </w:r>
    </w:p>
    <w:p w:rsidR="00956394" w:rsidRPr="00F8341E" w:rsidRDefault="00956394" w:rsidP="00071210">
      <w:pPr>
        <w:tabs>
          <w:tab w:val="left" w:pos="1440"/>
        </w:tabs>
        <w:spacing w:before="0"/>
        <w:ind w:left="284" w:right="515"/>
        <w:rPr>
          <w:i/>
          <w:sz w:val="20"/>
          <w:lang w:val="en-US"/>
        </w:rPr>
      </w:pPr>
    </w:p>
    <w:p w:rsidR="00956394" w:rsidRPr="00F8341E" w:rsidRDefault="00956394" w:rsidP="00071210">
      <w:pPr>
        <w:tabs>
          <w:tab w:val="left" w:pos="1440"/>
        </w:tabs>
        <w:spacing w:before="0"/>
        <w:ind w:left="284" w:right="515"/>
        <w:rPr>
          <w:i/>
          <w:sz w:val="20"/>
          <w:lang w:val="en-US"/>
        </w:rPr>
      </w:pPr>
      <w:proofErr w:type="gramStart"/>
      <w:r w:rsidRPr="00F8341E">
        <w:rPr>
          <w:i/>
          <w:sz w:val="20"/>
          <w:lang w:val="en-US"/>
        </w:rPr>
        <w:t>arriving</w:t>
      </w:r>
      <w:proofErr w:type="gramEnd"/>
      <w:r w:rsidRPr="00F8341E">
        <w:rPr>
          <w:i/>
          <w:sz w:val="20"/>
          <w:lang w:val="en-US"/>
        </w:rPr>
        <w:t xml:space="preserve"> on (date)-----------------------------  at (time)  ------------- departing on (date)-------------------------------</w:t>
      </w: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F8341E">
        <w:rPr>
          <w:rFonts w:eastAsia="SimSun"/>
          <w:b/>
          <w:bCs/>
          <w:i/>
          <w:iCs/>
          <w:sz w:val="20"/>
          <w:lang w:val="en-US" w:eastAsia="zh-CN"/>
        </w:rPr>
        <w:t xml:space="preserve">GENEVA TRANSPORT CARD: </w:t>
      </w:r>
      <w:r w:rsidRPr="00F8341E">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F8341E">
        <w:rPr>
          <w:rFonts w:eastAsia="SimSun"/>
          <w:i/>
          <w:iCs/>
          <w:sz w:val="20"/>
          <w:lang w:val="en-US" w:eastAsia="zh-CN"/>
        </w:rPr>
        <w:t>Versoix</w:t>
      </w:r>
      <w:proofErr w:type="spellEnd"/>
      <w:r w:rsidRPr="00F8341E">
        <w:rPr>
          <w:rFonts w:eastAsia="SimSun"/>
          <w:i/>
          <w:iCs/>
          <w:sz w:val="20"/>
          <w:lang w:val="en-US" w:eastAsia="zh-CN"/>
        </w:rPr>
        <w:t xml:space="preserve"> and the airport. </w:t>
      </w:r>
    </w:p>
    <w:p w:rsidR="00956394" w:rsidRPr="00F8341E" w:rsidRDefault="00956394" w:rsidP="00071210">
      <w:pPr>
        <w:tabs>
          <w:tab w:val="left" w:pos="1440"/>
        </w:tabs>
        <w:spacing w:before="0"/>
        <w:ind w:left="284" w:right="515"/>
        <w:rPr>
          <w:sz w:val="20"/>
          <w:lang w:val="en-US"/>
        </w:rPr>
      </w:pPr>
      <w:r w:rsidRPr="00F8341E">
        <w:rPr>
          <w:i/>
          <w:sz w:val="20"/>
          <w:lang w:val="en-US"/>
        </w:rPr>
        <w:t>Family name</w:t>
      </w:r>
      <w:r w:rsidRPr="00F8341E">
        <w:rPr>
          <w:sz w:val="20"/>
          <w:lang w:val="en-US"/>
        </w:rPr>
        <w:t xml:space="preserve">    -----------------------------------------------------------------------------------------------------------------</w:t>
      </w: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sz w:val="20"/>
          <w:lang w:val="en-US"/>
        </w:rPr>
      </w:pPr>
      <w:r w:rsidRPr="00F8341E">
        <w:rPr>
          <w:i/>
          <w:sz w:val="20"/>
          <w:lang w:val="en-US"/>
        </w:rPr>
        <w:t xml:space="preserve">First name    </w:t>
      </w:r>
      <w:r w:rsidRPr="00F8341E">
        <w:rPr>
          <w:sz w:val="20"/>
          <w:lang w:val="en-US"/>
        </w:rPr>
        <w:t xml:space="preserve">    -----------------------------------------------------------------------------------------------------------------</w:t>
      </w: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i/>
          <w:iCs/>
          <w:sz w:val="20"/>
          <w:lang w:val="en-US"/>
        </w:rPr>
      </w:pPr>
      <w:r w:rsidRPr="00F8341E">
        <w:rPr>
          <w:i/>
          <w:sz w:val="20"/>
          <w:lang w:val="en-US"/>
        </w:rPr>
        <w:t xml:space="preserve">Address        </w:t>
      </w:r>
      <w:r w:rsidRPr="00F8341E">
        <w:rPr>
          <w:sz w:val="20"/>
          <w:lang w:val="en-US"/>
        </w:rPr>
        <w:t xml:space="preserve">    ------------------------------------------------------------------------        </w:t>
      </w:r>
      <w:r w:rsidRPr="00F8341E">
        <w:rPr>
          <w:i/>
          <w:iCs/>
          <w:sz w:val="20"/>
          <w:lang w:val="en-US"/>
        </w:rPr>
        <w:t>Tel: ------------------------------</w:t>
      </w:r>
    </w:p>
    <w:p w:rsidR="00956394" w:rsidRPr="00F8341E" w:rsidRDefault="00956394" w:rsidP="00071210">
      <w:pPr>
        <w:tabs>
          <w:tab w:val="left" w:pos="1440"/>
        </w:tabs>
        <w:spacing w:before="0"/>
        <w:ind w:left="284" w:right="515"/>
        <w:rPr>
          <w:i/>
          <w:iCs/>
          <w:sz w:val="20"/>
          <w:lang w:val="en-US"/>
        </w:rPr>
      </w:pPr>
    </w:p>
    <w:p w:rsidR="00956394" w:rsidRPr="00F8341E" w:rsidRDefault="00956394" w:rsidP="00071210">
      <w:pPr>
        <w:tabs>
          <w:tab w:val="left" w:pos="1440"/>
        </w:tabs>
        <w:spacing w:before="0"/>
        <w:ind w:left="284" w:right="515"/>
        <w:rPr>
          <w:i/>
          <w:iCs/>
          <w:sz w:val="20"/>
          <w:lang w:val="en-US"/>
        </w:rPr>
      </w:pPr>
      <w:r w:rsidRPr="00F8341E">
        <w:rPr>
          <w:i/>
          <w:iCs/>
          <w:sz w:val="20"/>
          <w:lang w:val="en-US"/>
        </w:rPr>
        <w:t>-----------------------------------------------------------------------------------------         Fax: ------------------------------</w:t>
      </w:r>
    </w:p>
    <w:p w:rsidR="00956394" w:rsidRPr="00F8341E" w:rsidRDefault="00956394" w:rsidP="00071210">
      <w:pPr>
        <w:tabs>
          <w:tab w:val="left" w:pos="1440"/>
        </w:tabs>
        <w:spacing w:before="0"/>
        <w:ind w:left="284" w:right="515"/>
        <w:rPr>
          <w:i/>
          <w:iCs/>
          <w:sz w:val="20"/>
          <w:lang w:val="en-US"/>
        </w:rPr>
      </w:pPr>
    </w:p>
    <w:p w:rsidR="00956394" w:rsidRPr="00F8341E" w:rsidRDefault="00956394" w:rsidP="00071210">
      <w:pPr>
        <w:tabs>
          <w:tab w:val="left" w:pos="1440"/>
        </w:tabs>
        <w:spacing w:before="0"/>
        <w:ind w:left="284" w:right="515"/>
        <w:rPr>
          <w:sz w:val="20"/>
          <w:lang w:val="en-US"/>
        </w:rPr>
      </w:pPr>
      <w:r w:rsidRPr="00F8341E">
        <w:rPr>
          <w:i/>
          <w:iCs/>
          <w:sz w:val="20"/>
          <w:lang w:val="en-US"/>
        </w:rPr>
        <w:t>-----------------------------------------------------------------------------------------      E-mail:</w:t>
      </w:r>
      <w:r w:rsidRPr="00F8341E">
        <w:rPr>
          <w:sz w:val="20"/>
          <w:lang w:val="en-US"/>
        </w:rPr>
        <w:t xml:space="preserve"> -----------------------------</w:t>
      </w: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sz w:val="20"/>
          <w:lang w:val="en-US"/>
        </w:rPr>
      </w:pPr>
      <w:r w:rsidRPr="00F8341E">
        <w:rPr>
          <w:i/>
          <w:sz w:val="20"/>
          <w:lang w:val="en-US"/>
        </w:rPr>
        <w:t>Credit card to guarantee this reservation</w:t>
      </w:r>
      <w:r w:rsidRPr="00F8341E">
        <w:rPr>
          <w:sz w:val="20"/>
          <w:lang w:val="en-US"/>
        </w:rPr>
        <w:t>:        AX/VISA/DINERS/</w:t>
      </w:r>
      <w:proofErr w:type="gramStart"/>
      <w:r w:rsidRPr="00F8341E">
        <w:rPr>
          <w:sz w:val="20"/>
          <w:lang w:val="en-US"/>
        </w:rPr>
        <w:t>EC  (</w:t>
      </w:r>
      <w:proofErr w:type="gramEnd"/>
      <w:r w:rsidRPr="00F8341E">
        <w:rPr>
          <w:i/>
          <w:iCs/>
          <w:sz w:val="20"/>
          <w:lang w:val="en-US"/>
        </w:rPr>
        <w:t>or</w:t>
      </w:r>
      <w:r w:rsidRPr="00F8341E">
        <w:rPr>
          <w:sz w:val="20"/>
          <w:lang w:val="en-US"/>
        </w:rPr>
        <w:t xml:space="preserve"> </w:t>
      </w:r>
      <w:r w:rsidRPr="00F8341E">
        <w:rPr>
          <w:i/>
          <w:sz w:val="20"/>
          <w:lang w:val="en-US"/>
        </w:rPr>
        <w:t>other) ---------------------------------</w:t>
      </w: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sz w:val="20"/>
          <w:lang w:val="en-US"/>
        </w:rPr>
      </w:pPr>
      <w:r w:rsidRPr="00F8341E">
        <w:rPr>
          <w:i/>
          <w:iCs/>
          <w:sz w:val="20"/>
          <w:lang w:val="en-US"/>
        </w:rPr>
        <w:t xml:space="preserve">No. </w:t>
      </w:r>
      <w:r w:rsidRPr="00F8341E">
        <w:rPr>
          <w:sz w:val="20"/>
          <w:lang w:val="en-US"/>
        </w:rPr>
        <w:t xml:space="preserve">--------------------------------------------------------         </w:t>
      </w:r>
      <w:proofErr w:type="gramStart"/>
      <w:r w:rsidRPr="00F8341E">
        <w:rPr>
          <w:i/>
          <w:sz w:val="20"/>
          <w:lang w:val="en-US"/>
        </w:rPr>
        <w:t>valid</w:t>
      </w:r>
      <w:proofErr w:type="gramEnd"/>
      <w:r w:rsidRPr="00F8341E">
        <w:rPr>
          <w:i/>
          <w:sz w:val="20"/>
          <w:lang w:val="en-US"/>
        </w:rPr>
        <w:t xml:space="preserve"> until</w:t>
      </w:r>
      <w:r w:rsidRPr="00F8341E">
        <w:rPr>
          <w:sz w:val="20"/>
          <w:lang w:val="en-US"/>
        </w:rPr>
        <w:t xml:space="preserve">        ----------------------------------------------</w:t>
      </w: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sz w:val="20"/>
          <w:lang w:val="en-US"/>
        </w:rPr>
      </w:pPr>
    </w:p>
    <w:p w:rsidR="00956394" w:rsidRPr="00F8341E" w:rsidRDefault="00956394" w:rsidP="00071210">
      <w:pPr>
        <w:tabs>
          <w:tab w:val="left" w:pos="1440"/>
        </w:tabs>
        <w:spacing w:before="0"/>
        <w:ind w:left="284" w:right="515"/>
        <w:rPr>
          <w:sz w:val="20"/>
          <w:lang w:val="en-US"/>
        </w:rPr>
      </w:pPr>
      <w:r w:rsidRPr="00F8341E">
        <w:rPr>
          <w:i/>
          <w:sz w:val="20"/>
          <w:lang w:val="en-US"/>
        </w:rPr>
        <w:t>Date</w:t>
      </w:r>
      <w:r w:rsidRPr="00F8341E">
        <w:rPr>
          <w:sz w:val="20"/>
          <w:lang w:val="en-US"/>
        </w:rPr>
        <w:t xml:space="preserve"> ------------------------------------------------------      </w:t>
      </w:r>
      <w:r w:rsidRPr="00F8341E">
        <w:rPr>
          <w:i/>
          <w:sz w:val="20"/>
          <w:lang w:val="en-US"/>
        </w:rPr>
        <w:t xml:space="preserve">Signature </w:t>
      </w:r>
      <w:r w:rsidRPr="00F8341E">
        <w:rPr>
          <w:sz w:val="20"/>
          <w:lang w:val="en-US"/>
        </w:rPr>
        <w:t xml:space="preserve">       -------------------------------------------------</w:t>
      </w:r>
    </w:p>
    <w:p w:rsidR="00EA07A9" w:rsidRDefault="00EA07A9" w:rsidP="0032202E">
      <w:pPr>
        <w:pStyle w:val="Reasons"/>
      </w:pPr>
    </w:p>
    <w:p w:rsidR="00EA07A9" w:rsidRDefault="00EA07A9">
      <w:pPr>
        <w:jc w:val="center"/>
      </w:pPr>
      <w:r>
        <w:t>______________</w:t>
      </w:r>
    </w:p>
    <w:sectPr w:rsidR="00EA07A9" w:rsidSect="00041977">
      <w:headerReference w:type="first" r:id="rId20"/>
      <w:pgSz w:w="11907" w:h="16840" w:code="9"/>
      <w:pgMar w:top="1134" w:right="1134" w:bottom="1134" w:left="1134"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87" w:rsidRDefault="00011B87">
      <w:r>
        <w:separator/>
      </w:r>
    </w:p>
  </w:endnote>
  <w:endnote w:type="continuationSeparator" w:id="0">
    <w:p w:rsidR="00011B87" w:rsidRDefault="0001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384" w:rsidRPr="00015F84" w:rsidRDefault="00920384" w:rsidP="00920384">
    <w:pPr>
      <w:pStyle w:val="Footer"/>
      <w:rPr>
        <w:lang w:val="fr-CH"/>
      </w:rPr>
    </w:pPr>
    <w:r w:rsidRPr="00015F84">
      <w:rPr>
        <w:lang w:val="fr-CH"/>
      </w:rPr>
      <w:t>I</w:t>
    </w:r>
    <w:r>
      <w:rPr>
        <w:lang w:val="fr-CH"/>
      </w:rPr>
      <w:t>TU-T\BUREAU\CIRC\103F</w:t>
    </w:r>
    <w:r w:rsidRPr="00015F84">
      <w:rPr>
        <w:lang w:val="fr-CH"/>
      </w:rPr>
      <w:t>.DOCX</w:t>
    </w:r>
  </w:p>
  <w:p w:rsidR="00071210" w:rsidRPr="00920384" w:rsidRDefault="00071210" w:rsidP="00920384">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81" w:rsidRPr="002A1D58" w:rsidRDefault="00364881" w:rsidP="00364881">
    <w:pPr>
      <w:pStyle w:val="FirstFooter"/>
      <w:ind w:left="-397" w:right="-397"/>
      <w:jc w:val="center"/>
      <w:rPr>
        <w:rFonts w:asciiTheme="minorHAnsi" w:hAnsiTheme="minorHAnsi"/>
        <w:szCs w:val="18"/>
        <w:lang w:val="fr-CH"/>
      </w:rPr>
    </w:pPr>
    <w:r w:rsidRPr="002A1D58">
      <w:rPr>
        <w:rFonts w:asciiTheme="minorHAnsi" w:hAnsiTheme="minorHAnsi"/>
        <w:szCs w:val="18"/>
        <w:lang w:val="fr-CH"/>
      </w:rPr>
      <w:t>Union internationale des télécommunications • Place des Nations • CH</w:t>
    </w:r>
    <w:r w:rsidRPr="002A1D58">
      <w:rPr>
        <w:rFonts w:asciiTheme="minorHAnsi" w:hAnsiTheme="minorHAnsi"/>
        <w:szCs w:val="18"/>
        <w:lang w:val="fr-CH"/>
      </w:rPr>
      <w:noBreakHyphen/>
      <w:t xml:space="preserve">1211 Genève 20 • Suisse </w:t>
    </w:r>
    <w:r w:rsidRPr="002A1D58">
      <w:rPr>
        <w:rFonts w:asciiTheme="minorHAnsi" w:hAnsiTheme="minorHAnsi"/>
        <w:szCs w:val="18"/>
        <w:lang w:val="fr-CH"/>
      </w:rPr>
      <w:br/>
      <w:t>Tél</w:t>
    </w:r>
    <w:r w:rsidR="00CA2B6B" w:rsidRPr="002A1D58">
      <w:rPr>
        <w:rFonts w:asciiTheme="minorHAnsi" w:hAnsiTheme="minorHAnsi"/>
        <w:szCs w:val="18"/>
        <w:lang w:val="fr-CH"/>
      </w:rPr>
      <w:t>.</w:t>
    </w:r>
    <w:r w:rsidRPr="002A1D58">
      <w:rPr>
        <w:rFonts w:asciiTheme="minorHAnsi" w:hAnsiTheme="minorHAnsi"/>
        <w:szCs w:val="18"/>
        <w:lang w:val="fr-CH"/>
      </w:rPr>
      <w:t xml:space="preserve">: +41 22 730 5111 • Fax: +41 22 733 7256 • Courriel: </w:t>
    </w:r>
    <w:hyperlink r:id="rId1" w:history="1">
      <w:r w:rsidRPr="002A1D58">
        <w:rPr>
          <w:rStyle w:val="Hyperlink"/>
          <w:rFonts w:asciiTheme="minorHAnsi" w:hAnsiTheme="minorHAnsi"/>
          <w:szCs w:val="18"/>
          <w:lang w:val="fr-CH"/>
        </w:rPr>
        <w:t>itumail@itu.int</w:t>
      </w:r>
    </w:hyperlink>
    <w:r w:rsidRPr="002A1D58">
      <w:rPr>
        <w:rFonts w:asciiTheme="minorHAnsi" w:hAnsiTheme="minorHAnsi"/>
        <w:szCs w:val="18"/>
        <w:lang w:val="fr-CH"/>
      </w:rPr>
      <w:t xml:space="preserve"> • </w:t>
    </w:r>
    <w:hyperlink r:id="rId2" w:history="1">
      <w:r w:rsidRPr="002A1D58">
        <w:rPr>
          <w:rStyle w:val="Hyperlink"/>
          <w:rFonts w:asciiTheme="minorHAnsi" w:hAnsiTheme="minorHAnsi"/>
          <w:szCs w:val="18"/>
          <w:lang w:val="fr-CH"/>
        </w:rPr>
        <w:t>www.itu.int</w:t>
      </w:r>
    </w:hyperlink>
    <w:r w:rsidRPr="002A1D58">
      <w:rPr>
        <w:rFonts w:asciiTheme="minorHAnsi" w:hAnsiTheme="minorHAnsi"/>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87" w:rsidRDefault="00011B87">
      <w:r>
        <w:t>____________________</w:t>
      </w:r>
    </w:p>
  </w:footnote>
  <w:footnote w:type="continuationSeparator" w:id="0">
    <w:p w:rsidR="00011B87" w:rsidRDefault="00011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642353480"/>
      <w:docPartObj>
        <w:docPartGallery w:val="Page Numbers (Top of Page)"/>
        <w:docPartUnique/>
      </w:docPartObj>
    </w:sdtPr>
    <w:sdtEndPr>
      <w:rPr>
        <w:rFonts w:asciiTheme="minorHAnsi" w:hAnsiTheme="minorHAnsi"/>
        <w:noProof/>
      </w:rPr>
    </w:sdtEndPr>
    <w:sdtContent>
      <w:p w:rsidR="002A1D58" w:rsidRPr="002A1D58" w:rsidRDefault="002A1D58">
        <w:pPr>
          <w:pStyle w:val="Header"/>
          <w:rPr>
            <w:rFonts w:asciiTheme="minorHAnsi" w:hAnsiTheme="minorHAnsi"/>
            <w:sz w:val="18"/>
            <w:szCs w:val="18"/>
          </w:rPr>
        </w:pPr>
        <w:r w:rsidRPr="002A1D58">
          <w:rPr>
            <w:rFonts w:asciiTheme="minorHAnsi" w:hAnsiTheme="minorHAnsi"/>
            <w:sz w:val="18"/>
            <w:szCs w:val="18"/>
          </w:rPr>
          <w:fldChar w:fldCharType="begin"/>
        </w:r>
        <w:r w:rsidRPr="002A1D58">
          <w:rPr>
            <w:rFonts w:asciiTheme="minorHAnsi" w:hAnsiTheme="minorHAnsi"/>
            <w:sz w:val="18"/>
            <w:szCs w:val="18"/>
          </w:rPr>
          <w:instrText xml:space="preserve"> PAGE   \* MERGEFORMAT </w:instrText>
        </w:r>
        <w:r w:rsidRPr="002A1D58">
          <w:rPr>
            <w:rFonts w:asciiTheme="minorHAnsi" w:hAnsiTheme="minorHAnsi"/>
            <w:sz w:val="18"/>
            <w:szCs w:val="18"/>
          </w:rPr>
          <w:fldChar w:fldCharType="separate"/>
        </w:r>
        <w:r w:rsidR="001C32A3">
          <w:rPr>
            <w:rFonts w:asciiTheme="minorHAnsi" w:hAnsiTheme="minorHAnsi"/>
            <w:noProof/>
            <w:sz w:val="18"/>
            <w:szCs w:val="18"/>
          </w:rPr>
          <w:t>7</w:t>
        </w:r>
        <w:r w:rsidRPr="002A1D58">
          <w:rPr>
            <w:rFonts w:asciiTheme="minorHAnsi" w:hAnsiTheme="minorHAnsi"/>
            <w:noProof/>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41963"/>
      <w:docPartObj>
        <w:docPartGallery w:val="Page Numbers (Top of Page)"/>
        <w:docPartUnique/>
      </w:docPartObj>
    </w:sdtPr>
    <w:sdtEndPr>
      <w:rPr>
        <w:noProof/>
        <w:sz w:val="18"/>
        <w:szCs w:val="18"/>
      </w:rPr>
    </w:sdtEndPr>
    <w:sdtContent>
      <w:p w:rsidR="00343F50" w:rsidRPr="00343F50" w:rsidRDefault="001C32A3" w:rsidP="001C32A3">
        <w:pPr>
          <w:pStyle w:val="Header"/>
          <w:rPr>
            <w:sz w:val="18"/>
            <w:szCs w:val="18"/>
          </w:rPr>
        </w:pPr>
        <w:r w:rsidRPr="001C32A3">
          <w:rPr>
            <w:sz w:val="18"/>
            <w:szCs w:val="16"/>
          </w:rPr>
          <w:t>9</w:t>
        </w:r>
      </w:p>
    </w:sdtContent>
  </w:sdt>
  <w:p w:rsidR="00343F50" w:rsidRPr="00041977" w:rsidRDefault="00343F50" w:rsidP="00343F50">
    <w:pPr>
      <w:pStyle w:val="Header"/>
      <w:rPr>
        <w:rFonts w:asciiTheme="minorHAnsi" w:hAnsiTheme="min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2">
    <w:nsid w:val="74F363E5"/>
    <w:multiLevelType w:val="hybridMultilevel"/>
    <w:tmpl w:val="1250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633A614-F878-4F29-93DA-2B1064373D53}"/>
    <w:docVar w:name="dgnword-eventsink" w:val="222999768"/>
  </w:docVars>
  <w:rsids>
    <w:rsidRoot w:val="008D10C6"/>
    <w:rsid w:val="00011144"/>
    <w:rsid w:val="00011B87"/>
    <w:rsid w:val="00013F72"/>
    <w:rsid w:val="00015F84"/>
    <w:rsid w:val="00017E65"/>
    <w:rsid w:val="00026E5A"/>
    <w:rsid w:val="00035C46"/>
    <w:rsid w:val="000376F6"/>
    <w:rsid w:val="00041977"/>
    <w:rsid w:val="000513BD"/>
    <w:rsid w:val="00051A63"/>
    <w:rsid w:val="00054630"/>
    <w:rsid w:val="00056AA9"/>
    <w:rsid w:val="00060952"/>
    <w:rsid w:val="00061C22"/>
    <w:rsid w:val="00063845"/>
    <w:rsid w:val="00066F44"/>
    <w:rsid w:val="00067ECA"/>
    <w:rsid w:val="00071210"/>
    <w:rsid w:val="00073963"/>
    <w:rsid w:val="0008198D"/>
    <w:rsid w:val="00085D03"/>
    <w:rsid w:val="0009124E"/>
    <w:rsid w:val="00093A03"/>
    <w:rsid w:val="0009611D"/>
    <w:rsid w:val="000A145F"/>
    <w:rsid w:val="000C209B"/>
    <w:rsid w:val="000D0987"/>
    <w:rsid w:val="000D399A"/>
    <w:rsid w:val="000D4673"/>
    <w:rsid w:val="000E54E9"/>
    <w:rsid w:val="000F1051"/>
    <w:rsid w:val="000F3D72"/>
    <w:rsid w:val="00114ACD"/>
    <w:rsid w:val="00124030"/>
    <w:rsid w:val="00125014"/>
    <w:rsid w:val="00125634"/>
    <w:rsid w:val="001259FD"/>
    <w:rsid w:val="00132E06"/>
    <w:rsid w:val="00133444"/>
    <w:rsid w:val="00133B7C"/>
    <w:rsid w:val="001368EB"/>
    <w:rsid w:val="00136A3A"/>
    <w:rsid w:val="001551FA"/>
    <w:rsid w:val="001569C6"/>
    <w:rsid w:val="001677A4"/>
    <w:rsid w:val="00167879"/>
    <w:rsid w:val="00170565"/>
    <w:rsid w:val="00174053"/>
    <w:rsid w:val="00175825"/>
    <w:rsid w:val="0019121A"/>
    <w:rsid w:val="001A153B"/>
    <w:rsid w:val="001A21EF"/>
    <w:rsid w:val="001A2BAA"/>
    <w:rsid w:val="001A508C"/>
    <w:rsid w:val="001C32A3"/>
    <w:rsid w:val="001D228A"/>
    <w:rsid w:val="001E04B4"/>
    <w:rsid w:val="001F4A2E"/>
    <w:rsid w:val="0020032D"/>
    <w:rsid w:val="002010FE"/>
    <w:rsid w:val="0021031E"/>
    <w:rsid w:val="002336A8"/>
    <w:rsid w:val="00235DB9"/>
    <w:rsid w:val="002378BD"/>
    <w:rsid w:val="00240C23"/>
    <w:rsid w:val="00242094"/>
    <w:rsid w:val="00252B18"/>
    <w:rsid w:val="002640A2"/>
    <w:rsid w:val="00273011"/>
    <w:rsid w:val="00284516"/>
    <w:rsid w:val="0029191D"/>
    <w:rsid w:val="0029740F"/>
    <w:rsid w:val="002A1D58"/>
    <w:rsid w:val="002A73F7"/>
    <w:rsid w:val="002A7870"/>
    <w:rsid w:val="002C29FC"/>
    <w:rsid w:val="002C2A8C"/>
    <w:rsid w:val="002C7B14"/>
    <w:rsid w:val="002D3853"/>
    <w:rsid w:val="002D4B0C"/>
    <w:rsid w:val="002D5C4E"/>
    <w:rsid w:val="002D646E"/>
    <w:rsid w:val="002E257E"/>
    <w:rsid w:val="002E63DC"/>
    <w:rsid w:val="002F22F6"/>
    <w:rsid w:val="002F2E6C"/>
    <w:rsid w:val="002F63A3"/>
    <w:rsid w:val="00300758"/>
    <w:rsid w:val="00301CBE"/>
    <w:rsid w:val="00304D0D"/>
    <w:rsid w:val="003102F0"/>
    <w:rsid w:val="00314792"/>
    <w:rsid w:val="0031744E"/>
    <w:rsid w:val="00325F3A"/>
    <w:rsid w:val="00334D0E"/>
    <w:rsid w:val="00343F50"/>
    <w:rsid w:val="003520AF"/>
    <w:rsid w:val="003526FB"/>
    <w:rsid w:val="00364881"/>
    <w:rsid w:val="00365F99"/>
    <w:rsid w:val="00377F50"/>
    <w:rsid w:val="00386E4E"/>
    <w:rsid w:val="0039552D"/>
    <w:rsid w:val="003B03D6"/>
    <w:rsid w:val="003B6294"/>
    <w:rsid w:val="003C1132"/>
    <w:rsid w:val="003C5F63"/>
    <w:rsid w:val="003D2E39"/>
    <w:rsid w:val="003D618E"/>
    <w:rsid w:val="003E620E"/>
    <w:rsid w:val="003F3552"/>
    <w:rsid w:val="0040485D"/>
    <w:rsid w:val="00405CD7"/>
    <w:rsid w:val="00406224"/>
    <w:rsid w:val="00411900"/>
    <w:rsid w:val="004129FE"/>
    <w:rsid w:val="00414CBB"/>
    <w:rsid w:val="004259C3"/>
    <w:rsid w:val="004304C9"/>
    <w:rsid w:val="00433366"/>
    <w:rsid w:val="004354F0"/>
    <w:rsid w:val="004556D7"/>
    <w:rsid w:val="00460CE1"/>
    <w:rsid w:val="00463772"/>
    <w:rsid w:val="00480A04"/>
    <w:rsid w:val="00480FAC"/>
    <w:rsid w:val="0048397C"/>
    <w:rsid w:val="00494839"/>
    <w:rsid w:val="004955B5"/>
    <w:rsid w:val="00497175"/>
    <w:rsid w:val="004A11F5"/>
    <w:rsid w:val="004A1A1D"/>
    <w:rsid w:val="004B3E2D"/>
    <w:rsid w:val="004D7184"/>
    <w:rsid w:val="004E0991"/>
    <w:rsid w:val="004E2DC8"/>
    <w:rsid w:val="00506865"/>
    <w:rsid w:val="00520737"/>
    <w:rsid w:val="005209C7"/>
    <w:rsid w:val="00523839"/>
    <w:rsid w:val="00583B87"/>
    <w:rsid w:val="00583DA3"/>
    <w:rsid w:val="0059537F"/>
    <w:rsid w:val="005A73A6"/>
    <w:rsid w:val="005B3270"/>
    <w:rsid w:val="005B53C7"/>
    <w:rsid w:val="005C7AE3"/>
    <w:rsid w:val="005C7BD2"/>
    <w:rsid w:val="005E175B"/>
    <w:rsid w:val="005E4C60"/>
    <w:rsid w:val="005E54DF"/>
    <w:rsid w:val="005F4AB7"/>
    <w:rsid w:val="005F5D50"/>
    <w:rsid w:val="005F6B35"/>
    <w:rsid w:val="00603008"/>
    <w:rsid w:val="00604878"/>
    <w:rsid w:val="00606047"/>
    <w:rsid w:val="00611736"/>
    <w:rsid w:val="00614A45"/>
    <w:rsid w:val="0063589E"/>
    <w:rsid w:val="0064149D"/>
    <w:rsid w:val="00646117"/>
    <w:rsid w:val="00647984"/>
    <w:rsid w:val="00650071"/>
    <w:rsid w:val="00651FD4"/>
    <w:rsid w:val="00676EC3"/>
    <w:rsid w:val="00690FA5"/>
    <w:rsid w:val="00697500"/>
    <w:rsid w:val="00697D21"/>
    <w:rsid w:val="006A10E7"/>
    <w:rsid w:val="006B3D29"/>
    <w:rsid w:val="006B7D20"/>
    <w:rsid w:val="006B7E42"/>
    <w:rsid w:val="006C0802"/>
    <w:rsid w:val="006C48F9"/>
    <w:rsid w:val="006C7BDF"/>
    <w:rsid w:val="006D279E"/>
    <w:rsid w:val="006D2FDF"/>
    <w:rsid w:val="006D4AF6"/>
    <w:rsid w:val="006D5E6D"/>
    <w:rsid w:val="006E14BC"/>
    <w:rsid w:val="006E2381"/>
    <w:rsid w:val="006E43F1"/>
    <w:rsid w:val="006E66FC"/>
    <w:rsid w:val="006E7C16"/>
    <w:rsid w:val="006F1ABE"/>
    <w:rsid w:val="007001A5"/>
    <w:rsid w:val="00703064"/>
    <w:rsid w:val="00703612"/>
    <w:rsid w:val="00703A32"/>
    <w:rsid w:val="00704936"/>
    <w:rsid w:val="007125F7"/>
    <w:rsid w:val="007212FB"/>
    <w:rsid w:val="007222C9"/>
    <w:rsid w:val="007328B1"/>
    <w:rsid w:val="0073603C"/>
    <w:rsid w:val="00741C21"/>
    <w:rsid w:val="00744837"/>
    <w:rsid w:val="00754F9D"/>
    <w:rsid w:val="00760405"/>
    <w:rsid w:val="0078244B"/>
    <w:rsid w:val="00783139"/>
    <w:rsid w:val="00785658"/>
    <w:rsid w:val="00787F7B"/>
    <w:rsid w:val="00796B51"/>
    <w:rsid w:val="007A0468"/>
    <w:rsid w:val="007A31B0"/>
    <w:rsid w:val="007A3FA7"/>
    <w:rsid w:val="007A7287"/>
    <w:rsid w:val="007A7444"/>
    <w:rsid w:val="007B3E92"/>
    <w:rsid w:val="007B5425"/>
    <w:rsid w:val="007C443D"/>
    <w:rsid w:val="007D3E49"/>
    <w:rsid w:val="007E1CB5"/>
    <w:rsid w:val="00800214"/>
    <w:rsid w:val="00801170"/>
    <w:rsid w:val="00821C4B"/>
    <w:rsid w:val="008304E8"/>
    <w:rsid w:val="00831232"/>
    <w:rsid w:val="00833B55"/>
    <w:rsid w:val="00837DF6"/>
    <w:rsid w:val="00845053"/>
    <w:rsid w:val="008634B7"/>
    <w:rsid w:val="00863786"/>
    <w:rsid w:val="0087225E"/>
    <w:rsid w:val="00872B14"/>
    <w:rsid w:val="008741D3"/>
    <w:rsid w:val="008762A1"/>
    <w:rsid w:val="00877EA3"/>
    <w:rsid w:val="008804F6"/>
    <w:rsid w:val="00887453"/>
    <w:rsid w:val="008900D5"/>
    <w:rsid w:val="0089011D"/>
    <w:rsid w:val="00891922"/>
    <w:rsid w:val="00891F71"/>
    <w:rsid w:val="008A53D6"/>
    <w:rsid w:val="008B0DBC"/>
    <w:rsid w:val="008B5F31"/>
    <w:rsid w:val="008B7140"/>
    <w:rsid w:val="008D10C6"/>
    <w:rsid w:val="008F0765"/>
    <w:rsid w:val="008F18FA"/>
    <w:rsid w:val="00903CF0"/>
    <w:rsid w:val="00910089"/>
    <w:rsid w:val="009100AB"/>
    <w:rsid w:val="009105A0"/>
    <w:rsid w:val="00910799"/>
    <w:rsid w:val="00911C61"/>
    <w:rsid w:val="00920384"/>
    <w:rsid w:val="009339A5"/>
    <w:rsid w:val="00946784"/>
    <w:rsid w:val="009560C7"/>
    <w:rsid w:val="00956394"/>
    <w:rsid w:val="00963579"/>
    <w:rsid w:val="00964337"/>
    <w:rsid w:val="0097006E"/>
    <w:rsid w:val="00971777"/>
    <w:rsid w:val="00976CEB"/>
    <w:rsid w:val="009822E1"/>
    <w:rsid w:val="00987654"/>
    <w:rsid w:val="00987C72"/>
    <w:rsid w:val="009A22F8"/>
    <w:rsid w:val="009B742A"/>
    <w:rsid w:val="009C4091"/>
    <w:rsid w:val="009D0B20"/>
    <w:rsid w:val="009D618F"/>
    <w:rsid w:val="009D792E"/>
    <w:rsid w:val="009E1168"/>
    <w:rsid w:val="009E41DE"/>
    <w:rsid w:val="009F3102"/>
    <w:rsid w:val="00A039C7"/>
    <w:rsid w:val="00A057FF"/>
    <w:rsid w:val="00A05835"/>
    <w:rsid w:val="00A11744"/>
    <w:rsid w:val="00A17455"/>
    <w:rsid w:val="00A27B2E"/>
    <w:rsid w:val="00A42838"/>
    <w:rsid w:val="00A468FE"/>
    <w:rsid w:val="00A5282C"/>
    <w:rsid w:val="00A55116"/>
    <w:rsid w:val="00A661B0"/>
    <w:rsid w:val="00A74919"/>
    <w:rsid w:val="00A82C84"/>
    <w:rsid w:val="00A847F3"/>
    <w:rsid w:val="00A86D3D"/>
    <w:rsid w:val="00A870FA"/>
    <w:rsid w:val="00AA4AEF"/>
    <w:rsid w:val="00AB391D"/>
    <w:rsid w:val="00AC3528"/>
    <w:rsid w:val="00AC3C49"/>
    <w:rsid w:val="00AD3CCC"/>
    <w:rsid w:val="00AE1F2D"/>
    <w:rsid w:val="00AE6D52"/>
    <w:rsid w:val="00AF037E"/>
    <w:rsid w:val="00AF2D52"/>
    <w:rsid w:val="00B05483"/>
    <w:rsid w:val="00B12825"/>
    <w:rsid w:val="00B13D70"/>
    <w:rsid w:val="00B152C8"/>
    <w:rsid w:val="00B21545"/>
    <w:rsid w:val="00B260F8"/>
    <w:rsid w:val="00B37274"/>
    <w:rsid w:val="00B404FD"/>
    <w:rsid w:val="00B43C45"/>
    <w:rsid w:val="00B50547"/>
    <w:rsid w:val="00B51197"/>
    <w:rsid w:val="00B529FF"/>
    <w:rsid w:val="00B6199C"/>
    <w:rsid w:val="00B65895"/>
    <w:rsid w:val="00B70CBC"/>
    <w:rsid w:val="00B865AE"/>
    <w:rsid w:val="00B877D7"/>
    <w:rsid w:val="00B91A6F"/>
    <w:rsid w:val="00B94E81"/>
    <w:rsid w:val="00B9552A"/>
    <w:rsid w:val="00B96400"/>
    <w:rsid w:val="00BB0A19"/>
    <w:rsid w:val="00BB173B"/>
    <w:rsid w:val="00BC2315"/>
    <w:rsid w:val="00BC5B49"/>
    <w:rsid w:val="00BD0138"/>
    <w:rsid w:val="00BF1071"/>
    <w:rsid w:val="00BF484A"/>
    <w:rsid w:val="00BF5794"/>
    <w:rsid w:val="00C00057"/>
    <w:rsid w:val="00C14C4F"/>
    <w:rsid w:val="00C20023"/>
    <w:rsid w:val="00C26853"/>
    <w:rsid w:val="00C30E04"/>
    <w:rsid w:val="00C32450"/>
    <w:rsid w:val="00C3256E"/>
    <w:rsid w:val="00C6049E"/>
    <w:rsid w:val="00C60E22"/>
    <w:rsid w:val="00C67A0C"/>
    <w:rsid w:val="00C7740C"/>
    <w:rsid w:val="00C8078E"/>
    <w:rsid w:val="00C90A08"/>
    <w:rsid w:val="00C91CD0"/>
    <w:rsid w:val="00CA2B6B"/>
    <w:rsid w:val="00CB45B6"/>
    <w:rsid w:val="00CB6C04"/>
    <w:rsid w:val="00CB72D2"/>
    <w:rsid w:val="00CC14AD"/>
    <w:rsid w:val="00CC1937"/>
    <w:rsid w:val="00CD595E"/>
    <w:rsid w:val="00CD79C5"/>
    <w:rsid w:val="00CE4B56"/>
    <w:rsid w:val="00CF1C60"/>
    <w:rsid w:val="00D0335E"/>
    <w:rsid w:val="00D061A1"/>
    <w:rsid w:val="00D14E0E"/>
    <w:rsid w:val="00D20EE6"/>
    <w:rsid w:val="00D25AFE"/>
    <w:rsid w:val="00D25F11"/>
    <w:rsid w:val="00D27786"/>
    <w:rsid w:val="00D46AE2"/>
    <w:rsid w:val="00D50E3C"/>
    <w:rsid w:val="00D550B8"/>
    <w:rsid w:val="00D5717A"/>
    <w:rsid w:val="00D64B8E"/>
    <w:rsid w:val="00D76491"/>
    <w:rsid w:val="00D8717A"/>
    <w:rsid w:val="00D93E7E"/>
    <w:rsid w:val="00D9767F"/>
    <w:rsid w:val="00DA11D1"/>
    <w:rsid w:val="00DB069C"/>
    <w:rsid w:val="00DB7146"/>
    <w:rsid w:val="00DC67C4"/>
    <w:rsid w:val="00DE5E88"/>
    <w:rsid w:val="00E142AC"/>
    <w:rsid w:val="00E15681"/>
    <w:rsid w:val="00E175F0"/>
    <w:rsid w:val="00E30B45"/>
    <w:rsid w:val="00E31150"/>
    <w:rsid w:val="00E37103"/>
    <w:rsid w:val="00E44878"/>
    <w:rsid w:val="00E4666B"/>
    <w:rsid w:val="00E479BE"/>
    <w:rsid w:val="00E53F86"/>
    <w:rsid w:val="00E56567"/>
    <w:rsid w:val="00E575E4"/>
    <w:rsid w:val="00E70A7F"/>
    <w:rsid w:val="00E730B0"/>
    <w:rsid w:val="00E7508A"/>
    <w:rsid w:val="00E832D9"/>
    <w:rsid w:val="00E83E20"/>
    <w:rsid w:val="00E97459"/>
    <w:rsid w:val="00EA07A9"/>
    <w:rsid w:val="00EB051A"/>
    <w:rsid w:val="00EB137D"/>
    <w:rsid w:val="00EB2C29"/>
    <w:rsid w:val="00EB56D8"/>
    <w:rsid w:val="00EC6A5F"/>
    <w:rsid w:val="00ED6CCA"/>
    <w:rsid w:val="00ED6F5A"/>
    <w:rsid w:val="00EE186F"/>
    <w:rsid w:val="00EE6D69"/>
    <w:rsid w:val="00EF0C1A"/>
    <w:rsid w:val="00F00ACF"/>
    <w:rsid w:val="00F02FEB"/>
    <w:rsid w:val="00F047DB"/>
    <w:rsid w:val="00F0530B"/>
    <w:rsid w:val="00F054D4"/>
    <w:rsid w:val="00F10C08"/>
    <w:rsid w:val="00F141EA"/>
    <w:rsid w:val="00F147C6"/>
    <w:rsid w:val="00F15390"/>
    <w:rsid w:val="00F2093B"/>
    <w:rsid w:val="00F3043C"/>
    <w:rsid w:val="00F52ECA"/>
    <w:rsid w:val="00F57816"/>
    <w:rsid w:val="00F603DF"/>
    <w:rsid w:val="00F63E19"/>
    <w:rsid w:val="00F64376"/>
    <w:rsid w:val="00F746EA"/>
    <w:rsid w:val="00F8341E"/>
    <w:rsid w:val="00F92A3C"/>
    <w:rsid w:val="00F95051"/>
    <w:rsid w:val="00F96706"/>
    <w:rsid w:val="00FA01B3"/>
    <w:rsid w:val="00FA3ABE"/>
    <w:rsid w:val="00FA3E9B"/>
    <w:rsid w:val="00FB2F6A"/>
    <w:rsid w:val="00FB48C8"/>
    <w:rsid w:val="00FB4C63"/>
    <w:rsid w:val="00FC6FF4"/>
    <w:rsid w:val="00FD0B61"/>
    <w:rsid w:val="00FD2CD0"/>
    <w:rsid w:val="00FF097C"/>
    <w:rsid w:val="00FF4646"/>
    <w:rsid w:val="00FF4D21"/>
    <w:rsid w:val="00FF4F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D1BB6BF6-D641-4DF9-8C77-41296E12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6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6D5E6D"/>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6D5E6D"/>
    <w:pPr>
      <w:spacing w:before="320"/>
      <w:outlineLvl w:val="1"/>
    </w:pPr>
  </w:style>
  <w:style w:type="paragraph" w:styleId="Heading3">
    <w:name w:val="heading 3"/>
    <w:basedOn w:val="Heading1"/>
    <w:next w:val="Normal"/>
    <w:qFormat/>
    <w:rsid w:val="006D5E6D"/>
    <w:pPr>
      <w:spacing w:before="200"/>
      <w:outlineLvl w:val="2"/>
    </w:pPr>
  </w:style>
  <w:style w:type="paragraph" w:styleId="Heading4">
    <w:name w:val="heading 4"/>
    <w:basedOn w:val="Heading3"/>
    <w:next w:val="Normal"/>
    <w:qFormat/>
    <w:rsid w:val="006D5E6D"/>
    <w:pPr>
      <w:tabs>
        <w:tab w:val="clear" w:pos="794"/>
        <w:tab w:val="left" w:pos="1191"/>
      </w:tabs>
      <w:ind w:left="993" w:hanging="993"/>
      <w:outlineLvl w:val="3"/>
    </w:pPr>
  </w:style>
  <w:style w:type="paragraph" w:styleId="Heading5">
    <w:name w:val="heading 5"/>
    <w:basedOn w:val="Heading3"/>
    <w:next w:val="Normal"/>
    <w:qFormat/>
    <w:rsid w:val="006D5E6D"/>
    <w:pPr>
      <w:tabs>
        <w:tab w:val="clear" w:pos="794"/>
        <w:tab w:val="left" w:pos="1191"/>
      </w:tabs>
      <w:outlineLvl w:val="4"/>
    </w:pPr>
  </w:style>
  <w:style w:type="paragraph" w:styleId="Heading6">
    <w:name w:val="heading 6"/>
    <w:basedOn w:val="Heading3"/>
    <w:next w:val="Normal"/>
    <w:qFormat/>
    <w:rsid w:val="006D5E6D"/>
    <w:pPr>
      <w:tabs>
        <w:tab w:val="clear" w:pos="794"/>
        <w:tab w:val="left" w:pos="1191"/>
      </w:tabs>
      <w:outlineLvl w:val="5"/>
    </w:pPr>
  </w:style>
  <w:style w:type="paragraph" w:styleId="Heading7">
    <w:name w:val="heading 7"/>
    <w:basedOn w:val="Heading3"/>
    <w:next w:val="Normal"/>
    <w:qFormat/>
    <w:rsid w:val="006D5E6D"/>
    <w:pPr>
      <w:tabs>
        <w:tab w:val="clear" w:pos="794"/>
        <w:tab w:val="left" w:pos="1191"/>
      </w:tabs>
      <w:outlineLvl w:val="6"/>
    </w:pPr>
  </w:style>
  <w:style w:type="paragraph" w:styleId="Heading8">
    <w:name w:val="heading 8"/>
    <w:basedOn w:val="Heading3"/>
    <w:next w:val="Normal"/>
    <w:qFormat/>
    <w:rsid w:val="006D5E6D"/>
    <w:pPr>
      <w:tabs>
        <w:tab w:val="clear" w:pos="794"/>
        <w:tab w:val="left" w:pos="1191"/>
      </w:tabs>
      <w:outlineLvl w:val="7"/>
    </w:pPr>
  </w:style>
  <w:style w:type="paragraph" w:styleId="Heading9">
    <w:name w:val="heading 9"/>
    <w:basedOn w:val="Heading3"/>
    <w:next w:val="Normal"/>
    <w:qFormat/>
    <w:rsid w:val="006D5E6D"/>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sid w:val="00D550B8"/>
    <w:rPr>
      <w:vertAlign w:val="superscript"/>
    </w:rPr>
  </w:style>
  <w:style w:type="paragraph" w:styleId="TOC8">
    <w:name w:val="toc 8"/>
    <w:basedOn w:val="TOC3"/>
    <w:semiHidden/>
    <w:rsid w:val="006D5E6D"/>
  </w:style>
  <w:style w:type="paragraph" w:styleId="TOC3">
    <w:name w:val="toc 3"/>
    <w:basedOn w:val="TOC2"/>
    <w:semiHidden/>
    <w:rsid w:val="006D5E6D"/>
    <w:pPr>
      <w:spacing w:before="80"/>
    </w:pPr>
  </w:style>
  <w:style w:type="paragraph" w:styleId="TOC2">
    <w:name w:val="toc 2"/>
    <w:basedOn w:val="TOC1"/>
    <w:semiHidden/>
    <w:rsid w:val="006D5E6D"/>
    <w:pPr>
      <w:spacing w:before="120"/>
    </w:pPr>
  </w:style>
  <w:style w:type="paragraph" w:styleId="TOC1">
    <w:name w:val="toc 1"/>
    <w:basedOn w:val="Normal"/>
    <w:semiHidden/>
    <w:rsid w:val="006D5E6D"/>
    <w:pPr>
      <w:tabs>
        <w:tab w:val="clear" w:pos="794"/>
        <w:tab w:val="clear" w:pos="1191"/>
        <w:tab w:val="clear" w:pos="1588"/>
        <w:tab w:val="clear" w:pos="1985"/>
        <w:tab w:val="left" w:leader="dot" w:pos="8789"/>
        <w:tab w:val="right" w:pos="9639"/>
      </w:tabs>
      <w:spacing w:before="200"/>
      <w:ind w:left="794" w:hanging="794"/>
    </w:pPr>
  </w:style>
  <w:style w:type="paragraph" w:styleId="TOC7">
    <w:name w:val="toc 7"/>
    <w:basedOn w:val="TOC3"/>
    <w:semiHidden/>
    <w:rsid w:val="006D5E6D"/>
  </w:style>
  <w:style w:type="paragraph" w:styleId="TOC6">
    <w:name w:val="toc 6"/>
    <w:basedOn w:val="TOC3"/>
    <w:semiHidden/>
    <w:rsid w:val="006D5E6D"/>
  </w:style>
  <w:style w:type="paragraph" w:styleId="TOC5">
    <w:name w:val="toc 5"/>
    <w:basedOn w:val="TOC3"/>
    <w:semiHidden/>
    <w:rsid w:val="006D5E6D"/>
  </w:style>
  <w:style w:type="paragraph" w:styleId="TOC4">
    <w:name w:val="toc 4"/>
    <w:basedOn w:val="TOC3"/>
    <w:semiHidden/>
    <w:rsid w:val="006D5E6D"/>
  </w:style>
  <w:style w:type="paragraph" w:styleId="Index7">
    <w:name w:val="index 7"/>
    <w:basedOn w:val="Normal"/>
    <w:next w:val="Normal"/>
    <w:semiHidden/>
    <w:rsid w:val="006D5E6D"/>
    <w:pPr>
      <w:ind w:left="1698"/>
    </w:pPr>
  </w:style>
  <w:style w:type="paragraph" w:styleId="Index6">
    <w:name w:val="index 6"/>
    <w:basedOn w:val="Normal"/>
    <w:next w:val="Normal"/>
    <w:semiHidden/>
    <w:rsid w:val="006D5E6D"/>
    <w:pPr>
      <w:ind w:left="1415"/>
    </w:pPr>
  </w:style>
  <w:style w:type="paragraph" w:styleId="Index5">
    <w:name w:val="index 5"/>
    <w:basedOn w:val="Normal"/>
    <w:next w:val="Normal"/>
    <w:semiHidden/>
    <w:rsid w:val="006D5E6D"/>
    <w:pPr>
      <w:ind w:left="1132"/>
    </w:pPr>
  </w:style>
  <w:style w:type="paragraph" w:styleId="Index4">
    <w:name w:val="index 4"/>
    <w:basedOn w:val="Normal"/>
    <w:next w:val="Normal"/>
    <w:semiHidden/>
    <w:rsid w:val="006D5E6D"/>
    <w:pPr>
      <w:ind w:left="849"/>
    </w:pPr>
  </w:style>
  <w:style w:type="paragraph" w:styleId="Index3">
    <w:name w:val="index 3"/>
    <w:basedOn w:val="Normal"/>
    <w:next w:val="Normal"/>
    <w:semiHidden/>
    <w:rsid w:val="006D5E6D"/>
    <w:pPr>
      <w:ind w:left="566"/>
    </w:pPr>
  </w:style>
  <w:style w:type="paragraph" w:styleId="Index2">
    <w:name w:val="index 2"/>
    <w:basedOn w:val="Normal"/>
    <w:next w:val="Normal"/>
    <w:semiHidden/>
    <w:rsid w:val="006D5E6D"/>
    <w:pPr>
      <w:ind w:left="283"/>
    </w:pPr>
  </w:style>
  <w:style w:type="paragraph" w:styleId="Index1">
    <w:name w:val="index 1"/>
    <w:basedOn w:val="Normal"/>
    <w:next w:val="Normal"/>
    <w:semiHidden/>
    <w:rsid w:val="006D5E6D"/>
  </w:style>
  <w:style w:type="character" w:styleId="LineNumber">
    <w:name w:val="line number"/>
    <w:basedOn w:val="DefaultParagraphFont"/>
    <w:rsid w:val="006D5E6D"/>
  </w:style>
  <w:style w:type="paragraph" w:styleId="IndexHeading">
    <w:name w:val="index heading"/>
    <w:basedOn w:val="Normal"/>
    <w:next w:val="Index1"/>
    <w:semiHidden/>
    <w:rsid w:val="006D5E6D"/>
  </w:style>
  <w:style w:type="paragraph" w:styleId="Footer">
    <w:name w:val="footer"/>
    <w:basedOn w:val="Normal"/>
    <w:link w:val="FooterChar"/>
    <w:rsid w:val="006D5E6D"/>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6D5E6D"/>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6D5E6D"/>
    <w:rPr>
      <w:position w:val="6"/>
      <w:sz w:val="16"/>
    </w:rPr>
  </w:style>
  <w:style w:type="paragraph" w:styleId="FootnoteText">
    <w:name w:val="footnote text"/>
    <w:basedOn w:val="Normal"/>
    <w:link w:val="FootnoteTextChar"/>
    <w:semiHidden/>
    <w:rsid w:val="006D5E6D"/>
    <w:pPr>
      <w:keepLines/>
      <w:tabs>
        <w:tab w:val="left" w:pos="256"/>
      </w:tabs>
      <w:ind w:left="256" w:hanging="256"/>
    </w:pPr>
  </w:style>
  <w:style w:type="paragraph" w:styleId="NormalIndent">
    <w:name w:val="Normal Indent"/>
    <w:basedOn w:val="Normal"/>
    <w:rsid w:val="006D5E6D"/>
    <w:pPr>
      <w:ind w:left="794"/>
    </w:pPr>
  </w:style>
  <w:style w:type="paragraph" w:customStyle="1" w:styleId="TableLegend">
    <w:name w:val="Table_Legend"/>
    <w:basedOn w:val="TableText"/>
    <w:rsid w:val="006D5E6D"/>
    <w:pPr>
      <w:spacing w:before="120"/>
    </w:pPr>
  </w:style>
  <w:style w:type="paragraph" w:customStyle="1" w:styleId="TableText">
    <w:name w:val="Table_Text"/>
    <w:basedOn w:val="Normal"/>
    <w:rsid w:val="006D5E6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6D5E6D"/>
    <w:pPr>
      <w:keepLines/>
      <w:spacing w:before="0"/>
    </w:pPr>
    <w:rPr>
      <w:b/>
      <w:caps w:val="0"/>
    </w:rPr>
  </w:style>
  <w:style w:type="paragraph" w:customStyle="1" w:styleId="Table">
    <w:name w:val="Table_#"/>
    <w:basedOn w:val="Normal"/>
    <w:next w:val="TableTitle"/>
    <w:rsid w:val="006D5E6D"/>
    <w:pPr>
      <w:keepNext/>
      <w:spacing w:before="560" w:after="120"/>
      <w:jc w:val="center"/>
    </w:pPr>
    <w:rPr>
      <w:caps/>
    </w:rPr>
  </w:style>
  <w:style w:type="paragraph" w:customStyle="1" w:styleId="enumlev1">
    <w:name w:val="enumlev1"/>
    <w:basedOn w:val="Normal"/>
    <w:link w:val="enumlev1Char"/>
    <w:rsid w:val="006D5E6D"/>
    <w:pPr>
      <w:spacing w:before="80"/>
      <w:ind w:left="794" w:hanging="794"/>
    </w:pPr>
  </w:style>
  <w:style w:type="character" w:customStyle="1" w:styleId="enumlev1Char">
    <w:name w:val="enumlev1 Char"/>
    <w:link w:val="enumlev1"/>
    <w:rsid w:val="00646117"/>
    <w:rPr>
      <w:rFonts w:ascii="Times New Roman" w:hAnsi="Times New Roman"/>
      <w:sz w:val="24"/>
      <w:lang w:val="fr-FR" w:eastAsia="en-US"/>
    </w:rPr>
  </w:style>
  <w:style w:type="paragraph" w:customStyle="1" w:styleId="enumlev2">
    <w:name w:val="enumlev2"/>
    <w:basedOn w:val="enumlev1"/>
    <w:rsid w:val="006D5E6D"/>
    <w:pPr>
      <w:ind w:left="1191" w:hanging="397"/>
    </w:pPr>
  </w:style>
  <w:style w:type="paragraph" w:customStyle="1" w:styleId="enumlev3">
    <w:name w:val="enumlev3"/>
    <w:basedOn w:val="enumlev2"/>
    <w:rsid w:val="006D5E6D"/>
    <w:pPr>
      <w:ind w:left="1588"/>
    </w:pPr>
  </w:style>
  <w:style w:type="paragraph" w:customStyle="1" w:styleId="TableHead">
    <w:name w:val="Table_Head"/>
    <w:basedOn w:val="TableText"/>
    <w:rsid w:val="006D5E6D"/>
    <w:pPr>
      <w:keepNext/>
      <w:spacing w:before="80" w:after="80"/>
      <w:jc w:val="center"/>
    </w:pPr>
    <w:rPr>
      <w:b/>
    </w:rPr>
  </w:style>
  <w:style w:type="paragraph" w:customStyle="1" w:styleId="FigureLegend">
    <w:name w:val="Figure_Legend"/>
    <w:basedOn w:val="Normal"/>
    <w:rsid w:val="006D5E6D"/>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6D5E6D"/>
    <w:pPr>
      <w:spacing w:before="480"/>
    </w:pPr>
  </w:style>
  <w:style w:type="paragraph" w:customStyle="1" w:styleId="FigureTitle">
    <w:name w:val="Figure_Title"/>
    <w:basedOn w:val="TableTitle"/>
    <w:next w:val="Normal"/>
    <w:rsid w:val="006D5E6D"/>
    <w:pPr>
      <w:keepNext w:val="0"/>
      <w:spacing w:after="480"/>
    </w:pPr>
  </w:style>
  <w:style w:type="paragraph" w:customStyle="1" w:styleId="Annex">
    <w:name w:val="Annex_#"/>
    <w:basedOn w:val="Normal"/>
    <w:next w:val="AnnexRef"/>
    <w:rsid w:val="006D5E6D"/>
    <w:pPr>
      <w:keepNext/>
      <w:keepLines/>
      <w:spacing w:before="480" w:after="80"/>
      <w:jc w:val="center"/>
    </w:pPr>
    <w:rPr>
      <w:caps/>
    </w:rPr>
  </w:style>
  <w:style w:type="paragraph" w:customStyle="1" w:styleId="AnnexRef">
    <w:name w:val="Annex_Ref"/>
    <w:basedOn w:val="Normal"/>
    <w:next w:val="AnnexTitle"/>
    <w:rsid w:val="006D5E6D"/>
    <w:pPr>
      <w:keepNext/>
      <w:keepLines/>
      <w:jc w:val="center"/>
    </w:pPr>
  </w:style>
  <w:style w:type="paragraph" w:customStyle="1" w:styleId="AnnexTitle">
    <w:name w:val="Annex_Title"/>
    <w:basedOn w:val="Normal"/>
    <w:next w:val="Normal"/>
    <w:rsid w:val="006D5E6D"/>
    <w:pPr>
      <w:keepNext/>
      <w:keepLines/>
      <w:spacing w:before="240" w:after="280"/>
      <w:jc w:val="center"/>
    </w:pPr>
    <w:rPr>
      <w:b/>
    </w:rPr>
  </w:style>
  <w:style w:type="paragraph" w:customStyle="1" w:styleId="Normalaftertitle">
    <w:name w:val="Normal after title"/>
    <w:basedOn w:val="Normal"/>
    <w:next w:val="Normal"/>
    <w:rsid w:val="006D5E6D"/>
    <w:pPr>
      <w:spacing w:before="320"/>
    </w:pPr>
  </w:style>
  <w:style w:type="paragraph" w:customStyle="1" w:styleId="Appendix">
    <w:name w:val="Appendix_#"/>
    <w:basedOn w:val="Annex"/>
    <w:next w:val="AppendixRef"/>
    <w:rsid w:val="006D5E6D"/>
  </w:style>
  <w:style w:type="paragraph" w:customStyle="1" w:styleId="AppendixRef">
    <w:name w:val="Appendix_Ref"/>
    <w:basedOn w:val="AnnexRef"/>
    <w:next w:val="AppendixTitle"/>
    <w:rsid w:val="006D5E6D"/>
  </w:style>
  <w:style w:type="paragraph" w:customStyle="1" w:styleId="AppendixTitle">
    <w:name w:val="Appendix_Title"/>
    <w:basedOn w:val="AnnexTitle"/>
    <w:next w:val="Normal"/>
    <w:rsid w:val="006D5E6D"/>
  </w:style>
  <w:style w:type="paragraph" w:customStyle="1" w:styleId="RefTitle">
    <w:name w:val="Ref_Title"/>
    <w:basedOn w:val="Normal"/>
    <w:next w:val="RefText"/>
    <w:rsid w:val="006D5E6D"/>
    <w:pPr>
      <w:spacing w:before="480"/>
      <w:jc w:val="center"/>
    </w:pPr>
    <w:rPr>
      <w:caps/>
    </w:rPr>
  </w:style>
  <w:style w:type="paragraph" w:customStyle="1" w:styleId="RefText">
    <w:name w:val="Ref_Text"/>
    <w:basedOn w:val="Normal"/>
    <w:rsid w:val="006D5E6D"/>
    <w:pPr>
      <w:ind w:left="794" w:hanging="794"/>
    </w:pPr>
  </w:style>
  <w:style w:type="paragraph" w:customStyle="1" w:styleId="Equation">
    <w:name w:val="Equation"/>
    <w:basedOn w:val="Normal"/>
    <w:rsid w:val="006D5E6D"/>
    <w:pPr>
      <w:tabs>
        <w:tab w:val="clear" w:pos="1191"/>
        <w:tab w:val="clear" w:pos="1588"/>
        <w:tab w:val="clear" w:pos="1985"/>
        <w:tab w:val="center" w:pos="4876"/>
        <w:tab w:val="right" w:pos="9752"/>
      </w:tabs>
    </w:pPr>
  </w:style>
  <w:style w:type="paragraph" w:customStyle="1" w:styleId="Head">
    <w:name w:val="Head"/>
    <w:basedOn w:val="Normal"/>
    <w:rsid w:val="006D5E6D"/>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6D5E6D"/>
    <w:pPr>
      <w:keepNext/>
      <w:keepLines/>
      <w:spacing w:before="240"/>
      <w:jc w:val="center"/>
    </w:pPr>
    <w:rPr>
      <w:b/>
      <w:caps/>
    </w:rPr>
  </w:style>
  <w:style w:type="paragraph" w:customStyle="1" w:styleId="call">
    <w:name w:val="call"/>
    <w:basedOn w:val="Normal"/>
    <w:next w:val="Normal"/>
    <w:rsid w:val="006D5E6D"/>
    <w:pPr>
      <w:keepNext/>
      <w:keepLines/>
      <w:spacing w:before="160"/>
      <w:ind w:left="794"/>
    </w:pPr>
    <w:rPr>
      <w:i/>
    </w:rPr>
  </w:style>
  <w:style w:type="paragraph" w:customStyle="1" w:styleId="Rec">
    <w:name w:val="Rec_#"/>
    <w:basedOn w:val="Normal"/>
    <w:next w:val="RecTitle"/>
    <w:rsid w:val="006D5E6D"/>
    <w:pPr>
      <w:keepNext/>
      <w:keepLines/>
      <w:spacing w:before="480"/>
      <w:jc w:val="center"/>
    </w:pPr>
    <w:rPr>
      <w:caps/>
    </w:rPr>
  </w:style>
  <w:style w:type="paragraph" w:customStyle="1" w:styleId="toc0">
    <w:name w:val="toc 0"/>
    <w:basedOn w:val="Normal"/>
    <w:next w:val="TOC1"/>
    <w:rsid w:val="006D5E6D"/>
    <w:pPr>
      <w:tabs>
        <w:tab w:val="clear" w:pos="794"/>
        <w:tab w:val="clear" w:pos="1191"/>
        <w:tab w:val="clear" w:pos="1588"/>
        <w:tab w:val="clear" w:pos="1985"/>
        <w:tab w:val="right" w:pos="9781"/>
      </w:tabs>
    </w:pPr>
    <w:rPr>
      <w:b/>
    </w:rPr>
  </w:style>
  <w:style w:type="paragraph" w:styleId="List">
    <w:name w:val="List"/>
    <w:basedOn w:val="Normal"/>
    <w:rsid w:val="006D5E6D"/>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6D5E6D"/>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6D5E6D"/>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6D5E6D"/>
    <w:pPr>
      <w:tabs>
        <w:tab w:val="clear" w:pos="794"/>
        <w:tab w:val="clear" w:pos="1191"/>
        <w:tab w:val="clear" w:pos="1588"/>
        <w:tab w:val="clear" w:pos="1985"/>
        <w:tab w:val="left" w:pos="4820"/>
        <w:tab w:val="left" w:pos="5529"/>
      </w:tabs>
      <w:ind w:left="794"/>
    </w:pPr>
  </w:style>
  <w:style w:type="paragraph" w:customStyle="1" w:styleId="Keywords">
    <w:name w:val="Keywords"/>
    <w:basedOn w:val="Normal"/>
    <w:rsid w:val="006D5E6D"/>
    <w:pPr>
      <w:tabs>
        <w:tab w:val="clear" w:pos="1191"/>
        <w:tab w:val="clear" w:pos="1588"/>
      </w:tabs>
      <w:ind w:left="794" w:hanging="794"/>
    </w:pPr>
  </w:style>
  <w:style w:type="paragraph" w:customStyle="1" w:styleId="ASN1">
    <w:name w:val="ASN.1"/>
    <w:basedOn w:val="Normal"/>
    <w:rsid w:val="006D5E6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6D5E6D"/>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550B8"/>
    <w:pPr>
      <w:tabs>
        <w:tab w:val="clear" w:pos="794"/>
        <w:tab w:val="clear" w:pos="1191"/>
        <w:tab w:val="clear" w:pos="1588"/>
        <w:tab w:val="clear" w:pos="1985"/>
      </w:tabs>
      <w:spacing w:before="480"/>
      <w:ind w:left="4961"/>
    </w:pPr>
  </w:style>
  <w:style w:type="paragraph" w:customStyle="1" w:styleId="meeting">
    <w:name w:val="meeting"/>
    <w:basedOn w:val="Head"/>
    <w:next w:val="Head"/>
    <w:rsid w:val="006D5E6D"/>
    <w:pPr>
      <w:tabs>
        <w:tab w:val="left" w:pos="7371"/>
      </w:tabs>
      <w:spacing w:after="560"/>
    </w:pPr>
  </w:style>
  <w:style w:type="paragraph" w:customStyle="1" w:styleId="BodyText">
    <w:name w:val="BodyText"/>
    <w:basedOn w:val="Normal"/>
    <w:rsid w:val="00D550B8"/>
    <w:pPr>
      <w:tabs>
        <w:tab w:val="clear" w:pos="794"/>
        <w:tab w:val="clear" w:pos="1191"/>
        <w:tab w:val="clear" w:pos="1588"/>
        <w:tab w:val="clear" w:pos="1985"/>
      </w:tabs>
      <w:spacing w:before="240"/>
    </w:pPr>
  </w:style>
  <w:style w:type="paragraph" w:customStyle="1" w:styleId="ITUintr">
    <w:name w:val="ITU_intr"/>
    <w:basedOn w:val="Normal"/>
    <w:next w:val="Normal"/>
    <w:rsid w:val="006D5E6D"/>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D550B8"/>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rsid w:val="00D550B8"/>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rsid w:val="00D550B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550B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550B8"/>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sid w:val="00D550B8"/>
    <w:rPr>
      <w:sz w:val="20"/>
    </w:rPr>
  </w:style>
  <w:style w:type="paragraph" w:customStyle="1" w:styleId="ITUbureau">
    <w:name w:val="ITU_bureau"/>
    <w:basedOn w:val="Normal"/>
    <w:rsid w:val="00D550B8"/>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rsid w:val="00D550B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rsid w:val="006D5E6D"/>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End">
    <w:name w:val="Letter_End"/>
    <w:basedOn w:val="Normal"/>
    <w:rsid w:val="00D550B8"/>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Normal"/>
    <w:rsid w:val="00D550B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rsid w:val="00D550B8"/>
    <w:pPr>
      <w:tabs>
        <w:tab w:val="left" w:pos="1418"/>
        <w:tab w:val="left" w:pos="1985"/>
        <w:tab w:val="left" w:pos="2268"/>
      </w:tabs>
      <w:ind w:firstLine="1304"/>
    </w:pPr>
  </w:style>
  <w:style w:type="paragraph" w:customStyle="1" w:styleId="NormFoot">
    <w:name w:val="Norm_Foo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6D5E6D"/>
    <w:pPr>
      <w:spacing w:before="160"/>
      <w:ind w:left="0" w:firstLine="0"/>
      <w:outlineLvl w:val="9"/>
    </w:pPr>
    <w:rPr>
      <w:b w:val="0"/>
      <w:i/>
    </w:rPr>
  </w:style>
  <w:style w:type="paragraph" w:customStyle="1" w:styleId="listitem">
    <w:name w:val="listitem"/>
    <w:basedOn w:val="Normal"/>
    <w:rsid w:val="00D550B8"/>
    <w:pPr>
      <w:keepLines/>
      <w:tabs>
        <w:tab w:val="left" w:pos="1361"/>
        <w:tab w:val="left" w:pos="1758"/>
        <w:tab w:val="left" w:pos="2155"/>
        <w:tab w:val="left" w:pos="2552"/>
      </w:tabs>
      <w:ind w:left="567"/>
    </w:pPr>
  </w:style>
  <w:style w:type="paragraph" w:customStyle="1" w:styleId="Qlist">
    <w:name w:val="Qlist"/>
    <w:basedOn w:val="Normal"/>
    <w:rsid w:val="006D5E6D"/>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6D5E6D"/>
    <w:pPr>
      <w:tabs>
        <w:tab w:val="left" w:pos="397"/>
      </w:tabs>
    </w:pPr>
  </w:style>
  <w:style w:type="paragraph" w:customStyle="1" w:styleId="FirstFooter">
    <w:name w:val="FirstFooter"/>
    <w:basedOn w:val="Footer"/>
    <w:rsid w:val="006D5E6D"/>
    <w:pPr>
      <w:tabs>
        <w:tab w:val="clear" w:pos="5954"/>
        <w:tab w:val="clear" w:pos="9639"/>
      </w:tabs>
    </w:pPr>
    <w:rPr>
      <w:caps w:val="0"/>
    </w:rPr>
  </w:style>
  <w:style w:type="paragraph" w:styleId="TOC9">
    <w:name w:val="toc 9"/>
    <w:basedOn w:val="TOC3"/>
    <w:semiHidden/>
    <w:rsid w:val="006D5E6D"/>
  </w:style>
  <w:style w:type="character" w:styleId="Hyperlink">
    <w:name w:val="Hyperlink"/>
    <w:aliases w:val="超级链接"/>
    <w:rsid w:val="006D5E6D"/>
    <w:rPr>
      <w:color w:val="0000FF"/>
      <w:u w:val="single"/>
    </w:rPr>
  </w:style>
  <w:style w:type="character" w:styleId="FollowedHyperlink">
    <w:name w:val="FollowedHyperlink"/>
    <w:rsid w:val="00D550B8"/>
    <w:rPr>
      <w:color w:val="800080"/>
      <w:u w:val="single"/>
    </w:rPr>
  </w:style>
  <w:style w:type="paragraph" w:styleId="BodyText3">
    <w:name w:val="Body Text 3"/>
    <w:basedOn w:val="Normal"/>
    <w:link w:val="BodyText3Char"/>
    <w:uiPriority w:val="99"/>
    <w:rsid w:val="00697D21"/>
    <w:pPr>
      <w:spacing w:after="120"/>
    </w:pPr>
    <w:rPr>
      <w:rFonts w:eastAsia="Malgun Gothic"/>
      <w:sz w:val="16"/>
      <w:szCs w:val="16"/>
    </w:rPr>
  </w:style>
  <w:style w:type="character" w:customStyle="1" w:styleId="BodyText3Char">
    <w:name w:val="Body Text 3 Char"/>
    <w:link w:val="BodyText3"/>
    <w:uiPriority w:val="99"/>
    <w:rsid w:val="00697D21"/>
    <w:rPr>
      <w:rFonts w:ascii="Times New Roman" w:eastAsia="Malgun Gothic" w:hAnsi="Times New Roman"/>
      <w:sz w:val="16"/>
      <w:szCs w:val="16"/>
      <w:lang w:val="en-GB" w:eastAsia="en-US"/>
    </w:rPr>
  </w:style>
  <w:style w:type="paragraph" w:styleId="BalloonText">
    <w:name w:val="Balloon Text"/>
    <w:basedOn w:val="Normal"/>
    <w:link w:val="BalloonTextChar"/>
    <w:rsid w:val="00CB45B6"/>
    <w:pPr>
      <w:spacing w:before="0"/>
    </w:pPr>
    <w:rPr>
      <w:rFonts w:ascii="Tahoma" w:hAnsi="Tahoma" w:cs="Tahoma"/>
      <w:sz w:val="16"/>
      <w:szCs w:val="16"/>
    </w:rPr>
  </w:style>
  <w:style w:type="character" w:customStyle="1" w:styleId="BalloonTextChar">
    <w:name w:val="Balloon Text Char"/>
    <w:link w:val="BalloonText"/>
    <w:rsid w:val="00CB45B6"/>
    <w:rPr>
      <w:rFonts w:ascii="Tahoma" w:hAnsi="Tahoma" w:cs="Tahoma"/>
      <w:sz w:val="16"/>
      <w:szCs w:val="16"/>
      <w:lang w:val="en-GB" w:eastAsia="en-US"/>
    </w:rPr>
  </w:style>
  <w:style w:type="table" w:styleId="TableGrid">
    <w:name w:val="Table Grid"/>
    <w:basedOn w:val="TableNormal"/>
    <w:rsid w:val="00B96400"/>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mref">
    <w:name w:val="fromref"/>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bodytext21">
    <w:name w:val="bodytext21"/>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ituref0">
    <w:name w:val="ituref"/>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character" w:customStyle="1" w:styleId="apple-converted-space">
    <w:name w:val="apple-converted-space"/>
    <w:basedOn w:val="DefaultParagraphFont"/>
    <w:rsid w:val="00F047DB"/>
  </w:style>
  <w:style w:type="character" w:styleId="Emphasis">
    <w:name w:val="Emphasis"/>
    <w:uiPriority w:val="20"/>
    <w:qFormat/>
    <w:rsid w:val="00690FA5"/>
    <w:rPr>
      <w:i/>
      <w:iCs/>
    </w:rPr>
  </w:style>
  <w:style w:type="paragraph" w:customStyle="1" w:styleId="AnnexNotitle">
    <w:name w:val="Annex_No &amp; title"/>
    <w:basedOn w:val="Normal"/>
    <w:next w:val="Normal"/>
    <w:rsid w:val="0040485D"/>
    <w:pPr>
      <w:keepNext/>
      <w:keepLines/>
      <w:spacing w:before="480"/>
      <w:jc w:val="center"/>
    </w:pPr>
    <w:rPr>
      <w:b/>
      <w:sz w:val="28"/>
    </w:rPr>
  </w:style>
  <w:style w:type="paragraph" w:customStyle="1" w:styleId="Headingb">
    <w:name w:val="Heading_b"/>
    <w:basedOn w:val="Normal"/>
    <w:next w:val="Normal"/>
    <w:rsid w:val="0040485D"/>
    <w:pPr>
      <w:keepNext/>
      <w:spacing w:before="160"/>
    </w:pPr>
    <w:rPr>
      <w:b/>
    </w:rPr>
  </w:style>
  <w:style w:type="paragraph" w:styleId="EndnoteText">
    <w:name w:val="endnote text"/>
    <w:basedOn w:val="Normal"/>
    <w:link w:val="EndnoteTextChar"/>
    <w:rsid w:val="0040485D"/>
    <w:pPr>
      <w:spacing w:before="0"/>
    </w:pPr>
    <w:rPr>
      <w:rFonts w:eastAsia="SimSun"/>
      <w:sz w:val="20"/>
    </w:rPr>
  </w:style>
  <w:style w:type="character" w:customStyle="1" w:styleId="EndnoteTextChar">
    <w:name w:val="Endnote Text Char"/>
    <w:link w:val="EndnoteText"/>
    <w:rsid w:val="0040485D"/>
    <w:rPr>
      <w:rFonts w:ascii="Times New Roman" w:eastAsia="SimSun" w:hAnsi="Times New Roman"/>
      <w:lang w:val="en-GB" w:eastAsia="en-US"/>
    </w:rPr>
  </w:style>
  <w:style w:type="paragraph" w:styleId="BodyText0">
    <w:name w:val="Body Text"/>
    <w:basedOn w:val="Normal"/>
    <w:link w:val="BodyTextChar"/>
    <w:rsid w:val="006D5E6D"/>
    <w:pPr>
      <w:spacing w:after="120"/>
    </w:pPr>
  </w:style>
  <w:style w:type="character" w:customStyle="1" w:styleId="BodyTextChar">
    <w:name w:val="Body Text Char"/>
    <w:link w:val="BodyText0"/>
    <w:rsid w:val="009D618F"/>
    <w:rPr>
      <w:rFonts w:ascii="Times New Roman" w:hAnsi="Times New Roman"/>
      <w:sz w:val="24"/>
      <w:lang w:val="fr-FR" w:eastAsia="en-US"/>
    </w:rPr>
  </w:style>
  <w:style w:type="paragraph" w:styleId="ListParagraph">
    <w:name w:val="List Paragraph"/>
    <w:basedOn w:val="Normal"/>
    <w:uiPriority w:val="34"/>
    <w:qFormat/>
    <w:rsid w:val="006B3D29"/>
    <w:pPr>
      <w:overflowPunct/>
      <w:autoSpaceDE/>
      <w:autoSpaceDN/>
      <w:adjustRightInd/>
      <w:ind w:left="720"/>
      <w:contextualSpacing/>
      <w:textAlignment w:val="auto"/>
    </w:pPr>
  </w:style>
  <w:style w:type="character" w:customStyle="1" w:styleId="FootnoteTextChar">
    <w:name w:val="Footnote Text Char"/>
    <w:link w:val="FootnoteText"/>
    <w:semiHidden/>
    <w:rsid w:val="0009611D"/>
    <w:rPr>
      <w:rFonts w:ascii="Times New Roman" w:hAnsi="Times New Roman"/>
      <w:sz w:val="24"/>
      <w:lang w:val="fr-FR" w:eastAsia="en-US"/>
    </w:rPr>
  </w:style>
  <w:style w:type="character" w:styleId="Strong">
    <w:name w:val="Strong"/>
    <w:uiPriority w:val="22"/>
    <w:qFormat/>
    <w:rsid w:val="00956394"/>
    <w:rPr>
      <w:b/>
      <w:bCs/>
    </w:rPr>
  </w:style>
  <w:style w:type="paragraph" w:customStyle="1" w:styleId="headingb0">
    <w:name w:val="heading_b"/>
    <w:basedOn w:val="Heading3"/>
    <w:next w:val="Normal"/>
    <w:rsid w:val="006D5E6D"/>
    <w:pPr>
      <w:spacing w:before="160"/>
      <w:ind w:left="0" w:firstLine="0"/>
      <w:outlineLvl w:val="9"/>
    </w:pPr>
  </w:style>
  <w:style w:type="character" w:styleId="PageNumber">
    <w:name w:val="page number"/>
    <w:basedOn w:val="DefaultParagraphFont"/>
    <w:rsid w:val="006D5E6D"/>
  </w:style>
  <w:style w:type="paragraph" w:customStyle="1" w:styleId="Style1">
    <w:name w:val="Style1"/>
    <w:basedOn w:val="Normal"/>
    <w:next w:val="Index1"/>
    <w:rsid w:val="006D5E6D"/>
    <w:pPr>
      <w:numPr>
        <w:numId w:val="3"/>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D5E6D"/>
    <w:rPr>
      <w:rFonts w:ascii="Times New Roman" w:hAnsi="Times New Roman"/>
      <w:sz w:val="22"/>
      <w:lang w:val="fr-FR" w:eastAsia="en-US"/>
    </w:rPr>
  </w:style>
  <w:style w:type="paragraph" w:customStyle="1" w:styleId="itu">
    <w:name w:val="itu"/>
    <w:basedOn w:val="Normal"/>
    <w:rsid w:val="006D5E6D"/>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6D5E6D"/>
    <w:rPr>
      <w:rFonts w:ascii="Times New Roman" w:hAnsi="Times New Roman"/>
      <w:caps/>
      <w:sz w:val="18"/>
      <w:lang w:val="fr-FR" w:eastAsia="en-US"/>
    </w:rPr>
  </w:style>
  <w:style w:type="paragraph" w:customStyle="1" w:styleId="Reasons">
    <w:name w:val="Reasons"/>
    <w:basedOn w:val="Normal"/>
    <w:qFormat/>
    <w:rsid w:val="00EA07A9"/>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59142">
      <w:bodyDiv w:val="1"/>
      <w:marLeft w:val="0"/>
      <w:marRight w:val="0"/>
      <w:marTop w:val="0"/>
      <w:marBottom w:val="0"/>
      <w:divBdr>
        <w:top w:val="none" w:sz="0" w:space="0" w:color="auto"/>
        <w:left w:val="none" w:sz="0" w:space="0" w:color="auto"/>
        <w:bottom w:val="none" w:sz="0" w:space="0" w:color="auto"/>
        <w:right w:val="none" w:sz="0" w:space="0" w:color="auto"/>
      </w:divBdr>
    </w:div>
    <w:div w:id="731971958">
      <w:bodyDiv w:val="1"/>
      <w:marLeft w:val="0"/>
      <w:marRight w:val="0"/>
      <w:marTop w:val="0"/>
      <w:marBottom w:val="0"/>
      <w:divBdr>
        <w:top w:val="none" w:sz="0" w:space="0" w:color="auto"/>
        <w:left w:val="none" w:sz="0" w:space="0" w:color="auto"/>
        <w:bottom w:val="none" w:sz="0" w:space="0" w:color="auto"/>
        <w:right w:val="none" w:sz="0" w:space="0" w:color="auto"/>
      </w:divBdr>
    </w:div>
    <w:div w:id="1448617287">
      <w:bodyDiv w:val="1"/>
      <w:marLeft w:val="0"/>
      <w:marRight w:val="0"/>
      <w:marTop w:val="0"/>
      <w:marBottom w:val="0"/>
      <w:divBdr>
        <w:top w:val="none" w:sz="0" w:space="0" w:color="auto"/>
        <w:left w:val="none" w:sz="0" w:space="0" w:color="auto"/>
        <w:bottom w:val="none" w:sz="0" w:space="0" w:color="auto"/>
        <w:right w:val="none" w:sz="0" w:space="0" w:color="auto"/>
      </w:divBdr>
    </w:div>
    <w:div w:id="17906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tu.int/ITU-T/edh/faqs-support.html" TargetMode="External"/><Relationship Id="rId18" Type="http://schemas.openxmlformats.org/officeDocument/2006/relationships/hyperlink" Target="mailto:tsbreg@itu.i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minar-counterfeiting@itu.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C-I/Pages/WSHP_counterfei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minar-counterfeiting@itu.int"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seminar-counterfeiting@itu.int" TargetMode="External"/><Relationship Id="rId14" Type="http://schemas.openxmlformats.org/officeDocument/2006/relationships/hyperlink" Target="http://www.itu.int/trave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TSBCIRC1-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NmericalSquare.XSL" StyleName="APA - Numerical with Square Brackets"/>
</file>

<file path=customXml/itemProps1.xml><?xml version="1.0" encoding="utf-8"?>
<ds:datastoreItem xmlns:ds="http://schemas.openxmlformats.org/officeDocument/2006/customXml" ds:itemID="{53C54871-CE2A-4276-9058-09E09907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PF_TSBCIRC1-F.dotx</Template>
  <TotalTime>0</TotalTime>
  <Pages>8</Pages>
  <Words>2571</Words>
  <Characters>14659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17196</CharactersWithSpaces>
  <SharedDoc>false</SharedDoc>
  <HLinks>
    <vt:vector size="48" baseType="variant">
      <vt:variant>
        <vt:i4>7143544</vt:i4>
      </vt:variant>
      <vt:variant>
        <vt:i4>21</vt:i4>
      </vt:variant>
      <vt:variant>
        <vt:i4>0</vt:i4>
      </vt:variant>
      <vt:variant>
        <vt:i4>5</vt:i4>
      </vt:variant>
      <vt:variant>
        <vt:lpwstr>http://itu.int/ITU-T/go/sg5</vt:lpwstr>
      </vt:variant>
      <vt:variant>
        <vt:lpwstr/>
      </vt:variant>
      <vt:variant>
        <vt:i4>7667714</vt:i4>
      </vt:variant>
      <vt:variant>
        <vt:i4>18</vt:i4>
      </vt:variant>
      <vt:variant>
        <vt:i4>0</vt:i4>
      </vt:variant>
      <vt:variant>
        <vt:i4>5</vt:i4>
      </vt:variant>
      <vt:variant>
        <vt:lpwstr>mailto:ccarrasco@mtc.gob.pe</vt:lpwstr>
      </vt:variant>
      <vt:variant>
        <vt:lpwstr/>
      </vt:variant>
      <vt:variant>
        <vt:i4>1048628</vt:i4>
      </vt:variant>
      <vt:variant>
        <vt:i4>15</vt:i4>
      </vt:variant>
      <vt:variant>
        <vt:i4>0</vt:i4>
      </vt:variant>
      <vt:variant>
        <vt:i4>5</vt:i4>
      </vt:variant>
      <vt:variant>
        <vt:lpwstr>mailto:tsbfgswm@itu.int</vt:lpwstr>
      </vt:variant>
      <vt:variant>
        <vt:lpwstr/>
      </vt:variant>
      <vt:variant>
        <vt:i4>2687097</vt:i4>
      </vt:variant>
      <vt:variant>
        <vt:i4>9</vt:i4>
      </vt:variant>
      <vt:variant>
        <vt:i4>0</vt:i4>
      </vt:variant>
      <vt:variant>
        <vt:i4>5</vt:i4>
      </vt:variant>
      <vt:variant>
        <vt:lpwstr>http://itu.int/en/ITU-T/climatechange/</vt:lpwstr>
      </vt:variant>
      <vt:variant>
        <vt:lpwstr/>
      </vt:variant>
      <vt:variant>
        <vt:i4>7143544</vt:i4>
      </vt:variant>
      <vt:variant>
        <vt:i4>6</vt:i4>
      </vt:variant>
      <vt:variant>
        <vt:i4>0</vt:i4>
      </vt:variant>
      <vt:variant>
        <vt:i4>5</vt:i4>
      </vt:variant>
      <vt:variant>
        <vt:lpwstr>http://itu.int/ITU-T/go/sg5</vt:lpwstr>
      </vt:variant>
      <vt:variant>
        <vt:lpwstr/>
      </vt:variant>
      <vt:variant>
        <vt:i4>2883685</vt:i4>
      </vt:variant>
      <vt:variant>
        <vt:i4>3</vt:i4>
      </vt:variant>
      <vt:variant>
        <vt:i4>0</vt:i4>
      </vt:variant>
      <vt:variant>
        <vt:i4>5</vt:i4>
      </vt:variant>
      <vt:variant>
        <vt:lpwstr>http://itu.int/en/ITU-T/focusgroups/swm</vt:lpwstr>
      </vt:variant>
      <vt:variant>
        <vt:lpwstr/>
      </vt:variant>
      <vt:variant>
        <vt:i4>1048628</vt:i4>
      </vt:variant>
      <vt:variant>
        <vt:i4>0</vt:i4>
      </vt:variant>
      <vt:variant>
        <vt:i4>0</vt:i4>
      </vt:variant>
      <vt:variant>
        <vt:i4>5</vt:i4>
      </vt:variant>
      <vt:variant>
        <vt:lpwstr>mailto:tsbfgswm@itu.int</vt:lpwstr>
      </vt:variant>
      <vt:variant>
        <vt:lpwstr/>
      </vt: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Aveline, Marion</cp:lastModifiedBy>
  <cp:revision>2</cp:revision>
  <cp:lastPrinted>2014-07-11T13:25:00Z</cp:lastPrinted>
  <dcterms:created xsi:type="dcterms:W3CDTF">2014-07-15T10:08:00Z</dcterms:created>
  <dcterms:modified xsi:type="dcterms:W3CDTF">2014-07-15T10:08:00Z</dcterms:modified>
</cp:coreProperties>
</file>