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B1E" w:rsidRPr="008B0105" w:rsidRDefault="00137B1E">
      <w:pPr>
        <w:tabs>
          <w:tab w:val="clear" w:pos="794"/>
          <w:tab w:val="clear" w:pos="1191"/>
          <w:tab w:val="clear" w:pos="1588"/>
          <w:tab w:val="clear" w:pos="1985"/>
        </w:tabs>
        <w:overflowPunct/>
        <w:autoSpaceDE/>
        <w:autoSpaceDN/>
        <w:adjustRightInd/>
        <w:spacing w:before="0"/>
        <w:textAlignment w:val="auto"/>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37B1E" w:rsidRPr="008B0105" w:rsidTr="00303D62">
        <w:trPr>
          <w:cantSplit/>
        </w:trPr>
        <w:tc>
          <w:tcPr>
            <w:tcW w:w="6426" w:type="dxa"/>
            <w:vAlign w:val="center"/>
          </w:tcPr>
          <w:p w:rsidR="00137B1E" w:rsidRPr="008B0105" w:rsidRDefault="00137B1E" w:rsidP="00840DCC">
            <w:pPr>
              <w:tabs>
                <w:tab w:val="right" w:pos="8732"/>
              </w:tabs>
              <w:spacing w:before="0"/>
              <w:rPr>
                <w:rFonts w:ascii="Verdana" w:hAnsi="Verdana"/>
                <w:b/>
                <w:bCs/>
                <w:color w:val="FFFFFF"/>
                <w:sz w:val="26"/>
                <w:szCs w:val="26"/>
              </w:rPr>
            </w:pPr>
            <w:r w:rsidRPr="008B0105">
              <w:rPr>
                <w:rFonts w:ascii="Verdana" w:hAnsi="Verdana"/>
                <w:b/>
                <w:bCs/>
                <w:sz w:val="26"/>
                <w:szCs w:val="26"/>
              </w:rPr>
              <w:t>Oficina de Normalización</w:t>
            </w:r>
            <w:r w:rsidRPr="008B0105">
              <w:rPr>
                <w:rFonts w:ascii="Verdana" w:hAnsi="Verdana"/>
                <w:b/>
                <w:bCs/>
                <w:sz w:val="26"/>
                <w:szCs w:val="26"/>
              </w:rPr>
              <w:br/>
              <w:t>de las Telecomunicaciones</w:t>
            </w:r>
          </w:p>
        </w:tc>
        <w:tc>
          <w:tcPr>
            <w:tcW w:w="3355" w:type="dxa"/>
            <w:vAlign w:val="center"/>
          </w:tcPr>
          <w:p w:rsidR="00137B1E" w:rsidRPr="008B0105" w:rsidRDefault="00137B1E" w:rsidP="00840DCC">
            <w:pPr>
              <w:spacing w:before="0"/>
              <w:jc w:val="right"/>
              <w:rPr>
                <w:rFonts w:ascii="Verdana" w:hAnsi="Verdana"/>
                <w:color w:val="FFFFFF"/>
                <w:sz w:val="26"/>
                <w:szCs w:val="26"/>
              </w:rPr>
            </w:pPr>
            <w:r w:rsidRPr="008B0105">
              <w:rPr>
                <w:rFonts w:ascii="Verdana" w:hAnsi="Verdana"/>
                <w:b/>
                <w:bCs/>
                <w:noProof/>
                <w:color w:val="FFFFFF"/>
                <w:sz w:val="26"/>
                <w:szCs w:val="24"/>
                <w:lang w:val="en-US"/>
              </w:rPr>
              <w:drawing>
                <wp:inline distT="0" distB="0" distL="0" distR="0" wp14:anchorId="744EAD53" wp14:editId="095C489C">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137B1E" w:rsidRPr="008B0105" w:rsidTr="00303D62">
        <w:trPr>
          <w:cantSplit/>
        </w:trPr>
        <w:tc>
          <w:tcPr>
            <w:tcW w:w="6426" w:type="dxa"/>
            <w:vAlign w:val="center"/>
          </w:tcPr>
          <w:p w:rsidR="00137B1E" w:rsidRPr="008B0105" w:rsidRDefault="00137B1E" w:rsidP="00840DCC">
            <w:pPr>
              <w:tabs>
                <w:tab w:val="right" w:pos="8732"/>
              </w:tabs>
              <w:spacing w:before="0"/>
              <w:rPr>
                <w:rFonts w:ascii="Verdana" w:hAnsi="Verdana"/>
                <w:b/>
                <w:bCs/>
                <w:iCs/>
                <w:sz w:val="18"/>
                <w:szCs w:val="18"/>
              </w:rPr>
            </w:pPr>
          </w:p>
        </w:tc>
        <w:tc>
          <w:tcPr>
            <w:tcW w:w="3355" w:type="dxa"/>
            <w:vAlign w:val="center"/>
          </w:tcPr>
          <w:p w:rsidR="00137B1E" w:rsidRPr="008B0105" w:rsidRDefault="00137B1E" w:rsidP="00840DCC">
            <w:pPr>
              <w:spacing w:before="0"/>
              <w:ind w:left="993" w:hanging="993"/>
              <w:jc w:val="right"/>
              <w:rPr>
                <w:rFonts w:ascii="Verdana" w:hAnsi="Verdana"/>
                <w:sz w:val="18"/>
                <w:szCs w:val="18"/>
              </w:rPr>
            </w:pPr>
          </w:p>
        </w:tc>
      </w:tr>
    </w:tbl>
    <w:p w:rsidR="00137B1E" w:rsidRPr="008B0105" w:rsidRDefault="00137B1E" w:rsidP="005576EB">
      <w:pPr>
        <w:tabs>
          <w:tab w:val="clear" w:pos="794"/>
          <w:tab w:val="clear" w:pos="1191"/>
          <w:tab w:val="clear" w:pos="1588"/>
          <w:tab w:val="clear" w:pos="1985"/>
          <w:tab w:val="left" w:pos="4962"/>
        </w:tabs>
        <w:spacing w:before="0"/>
      </w:pPr>
    </w:p>
    <w:p w:rsidR="00137B1E" w:rsidRPr="008B0105" w:rsidRDefault="00137B1E" w:rsidP="007750E6">
      <w:pPr>
        <w:tabs>
          <w:tab w:val="clear" w:pos="794"/>
          <w:tab w:val="clear" w:pos="1191"/>
          <w:tab w:val="clear" w:pos="1588"/>
          <w:tab w:val="clear" w:pos="1985"/>
          <w:tab w:val="left" w:pos="5245"/>
        </w:tabs>
        <w:spacing w:before="0"/>
      </w:pPr>
      <w:r w:rsidRPr="008B0105">
        <w:tab/>
        <w:t>Ginebra, 4 de abril de 2014</w:t>
      </w:r>
    </w:p>
    <w:p w:rsidR="00137B1E" w:rsidRPr="008B0105" w:rsidRDefault="00137B1E" w:rsidP="005576EB">
      <w:pPr>
        <w:spacing w:before="0"/>
      </w:pPr>
    </w:p>
    <w:tbl>
      <w:tblPr>
        <w:tblW w:w="9645" w:type="dxa"/>
        <w:tblInd w:w="8" w:type="dxa"/>
        <w:tblLayout w:type="fixed"/>
        <w:tblCellMar>
          <w:left w:w="0" w:type="dxa"/>
          <w:right w:w="0" w:type="dxa"/>
        </w:tblCellMar>
        <w:tblLook w:val="0000" w:firstRow="0" w:lastRow="0" w:firstColumn="0" w:lastColumn="0" w:noHBand="0" w:noVBand="0"/>
      </w:tblPr>
      <w:tblGrid>
        <w:gridCol w:w="1084"/>
        <w:gridCol w:w="4139"/>
        <w:gridCol w:w="4422"/>
      </w:tblGrid>
      <w:tr w:rsidR="00137B1E" w:rsidRPr="008B0105" w:rsidTr="003C3997">
        <w:trPr>
          <w:cantSplit/>
          <w:trHeight w:val="340"/>
        </w:trPr>
        <w:tc>
          <w:tcPr>
            <w:tcW w:w="1084" w:type="dxa"/>
          </w:tcPr>
          <w:p w:rsidR="00137B1E" w:rsidRPr="008B0105" w:rsidRDefault="00137B1E" w:rsidP="00840DCC">
            <w:pPr>
              <w:tabs>
                <w:tab w:val="left" w:pos="4111"/>
              </w:tabs>
              <w:spacing w:before="10"/>
              <w:ind w:left="57"/>
              <w:rPr>
                <w:sz w:val="22"/>
                <w:szCs w:val="22"/>
              </w:rPr>
            </w:pPr>
            <w:r w:rsidRPr="008B0105">
              <w:rPr>
                <w:sz w:val="22"/>
                <w:szCs w:val="22"/>
              </w:rPr>
              <w:t>Ref.:</w:t>
            </w:r>
          </w:p>
        </w:tc>
        <w:tc>
          <w:tcPr>
            <w:tcW w:w="4139" w:type="dxa"/>
          </w:tcPr>
          <w:p w:rsidR="00137B1E" w:rsidRPr="00F443CF" w:rsidRDefault="00137B1E" w:rsidP="007750E6">
            <w:pPr>
              <w:tabs>
                <w:tab w:val="left" w:pos="4111"/>
              </w:tabs>
              <w:spacing w:before="0"/>
              <w:ind w:left="57"/>
              <w:rPr>
                <w:u w:val="single"/>
                <w:lang w:val="en-US"/>
              </w:rPr>
            </w:pPr>
            <w:r w:rsidRPr="00F443CF">
              <w:rPr>
                <w:b/>
                <w:lang w:val="en-US"/>
              </w:rPr>
              <w:t>Circular TSB 92</w:t>
            </w:r>
          </w:p>
          <w:p w:rsidR="00137B1E" w:rsidRPr="00F443CF" w:rsidRDefault="0048098C" w:rsidP="0048098C">
            <w:pPr>
              <w:tabs>
                <w:tab w:val="left" w:pos="4111"/>
              </w:tabs>
              <w:spacing w:before="0"/>
              <w:ind w:left="57"/>
              <w:rPr>
                <w:lang w:val="en-US"/>
              </w:rPr>
            </w:pPr>
            <w:r>
              <w:rPr>
                <w:lang w:val="en-US"/>
              </w:rPr>
              <w:t>TSB Workshops/CB</w:t>
            </w:r>
            <w:r w:rsidR="00137B1E" w:rsidRPr="00F443CF">
              <w:rPr>
                <w:lang w:val="en-US"/>
              </w:rPr>
              <w:t>.</w:t>
            </w:r>
          </w:p>
          <w:p w:rsidR="004D43A6" w:rsidRPr="00F443CF" w:rsidRDefault="004D43A6" w:rsidP="00840DCC">
            <w:pPr>
              <w:tabs>
                <w:tab w:val="left" w:pos="4111"/>
              </w:tabs>
              <w:spacing w:before="0"/>
              <w:ind w:left="57"/>
              <w:rPr>
                <w:lang w:val="en-US"/>
              </w:rPr>
            </w:pPr>
          </w:p>
        </w:tc>
        <w:tc>
          <w:tcPr>
            <w:tcW w:w="4422" w:type="dxa"/>
            <w:vMerge w:val="restart"/>
          </w:tcPr>
          <w:p w:rsidR="00137B1E" w:rsidRPr="008B0105" w:rsidRDefault="00137B1E" w:rsidP="00124477">
            <w:pPr>
              <w:tabs>
                <w:tab w:val="clear" w:pos="794"/>
                <w:tab w:val="clear" w:pos="1191"/>
                <w:tab w:val="left" w:pos="502"/>
                <w:tab w:val="left" w:pos="4111"/>
              </w:tabs>
              <w:spacing w:before="0"/>
              <w:ind w:left="284" w:hanging="227"/>
            </w:pPr>
            <w:r w:rsidRPr="008B0105">
              <w:t>-</w:t>
            </w:r>
            <w:r w:rsidRPr="008B0105">
              <w:tab/>
              <w:t>A las Administraciones de los Estados Miembros de la Unión;</w:t>
            </w:r>
          </w:p>
          <w:p w:rsidR="00137B1E" w:rsidRPr="008B0105" w:rsidRDefault="00137B1E" w:rsidP="007750E6">
            <w:pPr>
              <w:tabs>
                <w:tab w:val="clear" w:pos="794"/>
                <w:tab w:val="clear" w:pos="1191"/>
                <w:tab w:val="left" w:pos="502"/>
                <w:tab w:val="left" w:pos="4111"/>
              </w:tabs>
              <w:spacing w:before="0"/>
              <w:ind w:left="284" w:hanging="227"/>
            </w:pPr>
            <w:r w:rsidRPr="008B0105">
              <w:t>-</w:t>
            </w:r>
            <w:r w:rsidRPr="008B0105">
              <w:tab/>
              <w:t>A los Miembros del Sector UIT-T;</w:t>
            </w:r>
          </w:p>
          <w:p w:rsidR="00137B1E" w:rsidRPr="008B0105" w:rsidRDefault="00137B1E" w:rsidP="007750E6">
            <w:pPr>
              <w:tabs>
                <w:tab w:val="clear" w:pos="794"/>
                <w:tab w:val="clear" w:pos="1191"/>
                <w:tab w:val="left" w:pos="502"/>
                <w:tab w:val="left" w:pos="4111"/>
              </w:tabs>
              <w:spacing w:before="0"/>
              <w:ind w:left="284" w:hanging="227"/>
            </w:pPr>
            <w:r w:rsidRPr="008B0105">
              <w:t>-</w:t>
            </w:r>
            <w:r w:rsidRPr="008B0105">
              <w:tab/>
              <w:t>A los Asociados del UIT-T;</w:t>
            </w:r>
          </w:p>
          <w:p w:rsidR="00137B1E" w:rsidRPr="008B0105" w:rsidRDefault="00137B1E" w:rsidP="007750E6">
            <w:pPr>
              <w:tabs>
                <w:tab w:val="left" w:pos="502"/>
                <w:tab w:val="left" w:pos="4111"/>
              </w:tabs>
              <w:spacing w:before="0"/>
              <w:ind w:left="284" w:hanging="227"/>
              <w:rPr>
                <w:b/>
              </w:rPr>
            </w:pPr>
            <w:r w:rsidRPr="008B0105">
              <w:t>-</w:t>
            </w:r>
            <w:r w:rsidRPr="008B0105">
              <w:tab/>
              <w:t>A las Instituciones Académicas del UIT-T;</w:t>
            </w:r>
          </w:p>
          <w:p w:rsidR="00137B1E" w:rsidRPr="008B0105" w:rsidRDefault="00137B1E" w:rsidP="000017E2">
            <w:pPr>
              <w:ind w:left="57"/>
              <w:rPr>
                <w:b/>
                <w:bCs/>
              </w:rPr>
            </w:pPr>
            <w:r w:rsidRPr="008B0105">
              <w:rPr>
                <w:b/>
                <w:bCs/>
              </w:rPr>
              <w:t>Copia:</w:t>
            </w:r>
          </w:p>
          <w:p w:rsidR="00137B1E" w:rsidRPr="008B0105" w:rsidRDefault="00137B1E" w:rsidP="007750E6">
            <w:pPr>
              <w:tabs>
                <w:tab w:val="clear" w:pos="794"/>
                <w:tab w:val="clear" w:pos="1191"/>
                <w:tab w:val="left" w:pos="502"/>
                <w:tab w:val="left" w:pos="4111"/>
              </w:tabs>
              <w:spacing w:before="0"/>
              <w:ind w:left="284" w:hanging="227"/>
            </w:pPr>
            <w:r w:rsidRPr="008B0105">
              <w:t>-</w:t>
            </w:r>
            <w:r w:rsidRPr="008B0105">
              <w:tab/>
              <w:t>A los Presidentes y Vicepresidentes de las Comisiones de Estudio del UIT-T;</w:t>
            </w:r>
          </w:p>
          <w:p w:rsidR="00137B1E" w:rsidRPr="008B0105" w:rsidRDefault="00137B1E" w:rsidP="00124477">
            <w:pPr>
              <w:tabs>
                <w:tab w:val="clear" w:pos="794"/>
                <w:tab w:val="clear" w:pos="1191"/>
                <w:tab w:val="left" w:pos="502"/>
                <w:tab w:val="left" w:pos="4111"/>
              </w:tabs>
              <w:spacing w:before="0"/>
              <w:ind w:left="284" w:hanging="227"/>
            </w:pPr>
            <w:r w:rsidRPr="008B0105">
              <w:t>-</w:t>
            </w:r>
            <w:r w:rsidRPr="008B0105">
              <w:tab/>
              <w:t>Al Director de la Oficina de Desarrollo de las Telecomunicaciones</w:t>
            </w:r>
          </w:p>
          <w:p w:rsidR="00137B1E" w:rsidRPr="008B0105" w:rsidRDefault="00137B1E" w:rsidP="007750E6">
            <w:pPr>
              <w:tabs>
                <w:tab w:val="clear" w:pos="794"/>
                <w:tab w:val="clear" w:pos="1191"/>
                <w:tab w:val="left" w:pos="502"/>
                <w:tab w:val="left" w:pos="4111"/>
              </w:tabs>
              <w:spacing w:before="0"/>
              <w:ind w:left="284" w:hanging="227"/>
            </w:pPr>
            <w:r w:rsidRPr="008B0105">
              <w:t>-</w:t>
            </w:r>
            <w:r w:rsidRPr="008B0105">
              <w:tab/>
              <w:t>Al Director de la Oficina de Radiocomunicaciones;</w:t>
            </w:r>
          </w:p>
          <w:p w:rsidR="00137B1E" w:rsidRPr="008B0105" w:rsidRDefault="00137B1E" w:rsidP="007750E6">
            <w:pPr>
              <w:tabs>
                <w:tab w:val="clear" w:pos="794"/>
                <w:tab w:val="clear" w:pos="1191"/>
                <w:tab w:val="left" w:pos="502"/>
                <w:tab w:val="left" w:pos="4111"/>
              </w:tabs>
              <w:spacing w:before="0"/>
              <w:ind w:left="284" w:hanging="227"/>
              <w:rPr>
                <w:b/>
              </w:rPr>
            </w:pPr>
            <w:r w:rsidRPr="008B0105">
              <w:t>-</w:t>
            </w:r>
            <w:r w:rsidRPr="008B0105">
              <w:tab/>
              <w:t>A la Misión Permanente de Italia en Suiza</w:t>
            </w:r>
          </w:p>
        </w:tc>
      </w:tr>
      <w:tr w:rsidR="004D43A6" w:rsidRPr="008B0105" w:rsidTr="003C3997">
        <w:trPr>
          <w:cantSplit/>
        </w:trPr>
        <w:tc>
          <w:tcPr>
            <w:tcW w:w="1084" w:type="dxa"/>
          </w:tcPr>
          <w:p w:rsidR="004D43A6" w:rsidRDefault="004D43A6" w:rsidP="00E12B5F">
            <w:pPr>
              <w:tabs>
                <w:tab w:val="left" w:pos="4111"/>
              </w:tabs>
              <w:spacing w:before="10"/>
              <w:ind w:left="57"/>
              <w:rPr>
                <w:sz w:val="22"/>
              </w:rPr>
            </w:pPr>
          </w:p>
          <w:p w:rsidR="004D43A6" w:rsidRDefault="004D43A6" w:rsidP="00E12B5F">
            <w:pPr>
              <w:tabs>
                <w:tab w:val="left" w:pos="4111"/>
              </w:tabs>
              <w:spacing w:before="10"/>
              <w:ind w:left="57"/>
            </w:pPr>
            <w:r>
              <w:t>Tel.:</w:t>
            </w:r>
            <w:r>
              <w:br/>
              <w:t>Fax:</w:t>
            </w:r>
            <w:r>
              <w:br/>
            </w:r>
          </w:p>
          <w:p w:rsidR="004D43A6" w:rsidRDefault="004D43A6" w:rsidP="00E12B5F">
            <w:pPr>
              <w:tabs>
                <w:tab w:val="left" w:pos="4111"/>
              </w:tabs>
              <w:spacing w:before="10"/>
              <w:ind w:left="57"/>
            </w:pPr>
          </w:p>
          <w:p w:rsidR="004D43A6" w:rsidRDefault="004D43A6" w:rsidP="00E12B5F">
            <w:pPr>
              <w:tabs>
                <w:tab w:val="left" w:pos="4111"/>
              </w:tabs>
              <w:spacing w:before="10"/>
              <w:ind w:left="57"/>
            </w:pPr>
            <w:r>
              <w:t>Correo-e:</w:t>
            </w:r>
          </w:p>
        </w:tc>
        <w:tc>
          <w:tcPr>
            <w:tcW w:w="4139" w:type="dxa"/>
          </w:tcPr>
          <w:p w:rsidR="004D43A6" w:rsidRDefault="004D43A6" w:rsidP="00E12B5F">
            <w:pPr>
              <w:tabs>
                <w:tab w:val="left" w:pos="4111"/>
              </w:tabs>
              <w:spacing w:before="0"/>
              <w:ind w:left="57"/>
            </w:pPr>
          </w:p>
          <w:p w:rsidR="004D43A6" w:rsidRDefault="004D43A6" w:rsidP="00E12B5F">
            <w:pPr>
              <w:tabs>
                <w:tab w:val="left" w:pos="4111"/>
              </w:tabs>
              <w:spacing w:before="0"/>
              <w:ind w:left="57"/>
            </w:pPr>
            <w:r>
              <w:t>+41 22 730 6301</w:t>
            </w:r>
            <w:r>
              <w:br/>
              <w:t>+41 22 730 5853</w:t>
            </w:r>
            <w:r>
              <w:br/>
            </w:r>
          </w:p>
          <w:p w:rsidR="004D43A6" w:rsidRDefault="004D43A6" w:rsidP="00E12B5F">
            <w:pPr>
              <w:tabs>
                <w:tab w:val="left" w:pos="4111"/>
              </w:tabs>
              <w:spacing w:before="0"/>
              <w:ind w:left="57"/>
            </w:pPr>
          </w:p>
          <w:p w:rsidR="004D43A6" w:rsidRDefault="007447F3" w:rsidP="00E12B5F">
            <w:pPr>
              <w:tabs>
                <w:tab w:val="left" w:pos="4111"/>
              </w:tabs>
              <w:spacing w:before="0"/>
              <w:ind w:left="57"/>
            </w:pPr>
            <w:hyperlink r:id="rId9" w:history="1">
              <w:r w:rsidR="00F443CF" w:rsidRPr="00443F86">
                <w:rPr>
                  <w:rStyle w:val="Hyperlink"/>
                </w:rPr>
                <w:t>cristina.bueti@itu.int</w:t>
              </w:r>
            </w:hyperlink>
          </w:p>
        </w:tc>
        <w:tc>
          <w:tcPr>
            <w:tcW w:w="4422" w:type="dxa"/>
            <w:vMerge/>
          </w:tcPr>
          <w:p w:rsidR="004D43A6" w:rsidRPr="008B0105" w:rsidRDefault="004D43A6" w:rsidP="00124477">
            <w:pPr>
              <w:tabs>
                <w:tab w:val="left" w:pos="502"/>
                <w:tab w:val="left" w:pos="4111"/>
              </w:tabs>
              <w:spacing w:before="0"/>
              <w:ind w:left="284" w:hanging="227"/>
            </w:pPr>
          </w:p>
        </w:tc>
      </w:tr>
      <w:tr w:rsidR="004D43A6" w:rsidRPr="008B0105" w:rsidTr="003C3997">
        <w:trPr>
          <w:cantSplit/>
          <w:trHeight w:val="1104"/>
        </w:trPr>
        <w:tc>
          <w:tcPr>
            <w:tcW w:w="1084" w:type="dxa"/>
            <w:tcBorders>
              <w:bottom w:val="nil"/>
            </w:tcBorders>
          </w:tcPr>
          <w:p w:rsidR="004D43A6" w:rsidRPr="008B0105" w:rsidRDefault="004D43A6" w:rsidP="00840DCC">
            <w:pPr>
              <w:tabs>
                <w:tab w:val="left" w:pos="4111"/>
              </w:tabs>
              <w:spacing w:before="10"/>
              <w:ind w:left="57"/>
              <w:rPr>
                <w:sz w:val="22"/>
                <w:szCs w:val="22"/>
              </w:rPr>
            </w:pPr>
          </w:p>
        </w:tc>
        <w:tc>
          <w:tcPr>
            <w:tcW w:w="4139" w:type="dxa"/>
            <w:tcBorders>
              <w:bottom w:val="nil"/>
            </w:tcBorders>
          </w:tcPr>
          <w:p w:rsidR="004D43A6" w:rsidRPr="008B0105" w:rsidRDefault="004D43A6" w:rsidP="00F40F39">
            <w:pPr>
              <w:tabs>
                <w:tab w:val="left" w:pos="4111"/>
              </w:tabs>
              <w:spacing w:before="0"/>
              <w:ind w:left="57"/>
            </w:pPr>
          </w:p>
        </w:tc>
        <w:tc>
          <w:tcPr>
            <w:tcW w:w="4422" w:type="dxa"/>
            <w:vMerge/>
            <w:tcBorders>
              <w:bottom w:val="nil"/>
            </w:tcBorders>
          </w:tcPr>
          <w:p w:rsidR="004D43A6" w:rsidRPr="008B0105" w:rsidRDefault="004D43A6" w:rsidP="00124477">
            <w:pPr>
              <w:tabs>
                <w:tab w:val="left" w:pos="502"/>
                <w:tab w:val="left" w:pos="4111"/>
              </w:tabs>
              <w:spacing w:before="0"/>
              <w:ind w:left="284" w:hanging="227"/>
              <w:rPr>
                <w:b/>
                <w:bCs/>
              </w:rPr>
            </w:pPr>
          </w:p>
        </w:tc>
      </w:tr>
    </w:tbl>
    <w:p w:rsidR="00137B1E" w:rsidRPr="008B0105" w:rsidRDefault="00137B1E" w:rsidP="005576EB">
      <w:pPr>
        <w:spacing w:before="0"/>
      </w:pPr>
    </w:p>
    <w:tbl>
      <w:tblPr>
        <w:tblW w:w="9631" w:type="dxa"/>
        <w:tblInd w:w="8" w:type="dxa"/>
        <w:tblLayout w:type="fixed"/>
        <w:tblCellMar>
          <w:left w:w="0" w:type="dxa"/>
          <w:right w:w="0" w:type="dxa"/>
        </w:tblCellMar>
        <w:tblLook w:val="0000" w:firstRow="0" w:lastRow="0" w:firstColumn="0" w:lastColumn="0" w:noHBand="0" w:noVBand="0"/>
      </w:tblPr>
      <w:tblGrid>
        <w:gridCol w:w="1070"/>
        <w:gridCol w:w="8561"/>
      </w:tblGrid>
      <w:tr w:rsidR="00137B1E" w:rsidRPr="008B0105" w:rsidTr="003C3997">
        <w:trPr>
          <w:cantSplit/>
          <w:trHeight w:val="680"/>
        </w:trPr>
        <w:tc>
          <w:tcPr>
            <w:tcW w:w="1070" w:type="dxa"/>
          </w:tcPr>
          <w:p w:rsidR="00137B1E" w:rsidRPr="008B0105" w:rsidRDefault="00137B1E" w:rsidP="00840DCC">
            <w:pPr>
              <w:tabs>
                <w:tab w:val="left" w:pos="4111"/>
              </w:tabs>
              <w:spacing w:before="10"/>
              <w:ind w:left="57"/>
              <w:rPr>
                <w:sz w:val="22"/>
              </w:rPr>
            </w:pPr>
            <w:r w:rsidRPr="008B0105">
              <w:rPr>
                <w:sz w:val="22"/>
              </w:rPr>
              <w:t>Asunto:</w:t>
            </w:r>
          </w:p>
        </w:tc>
        <w:tc>
          <w:tcPr>
            <w:tcW w:w="8561" w:type="dxa"/>
          </w:tcPr>
          <w:p w:rsidR="00137B1E" w:rsidRPr="008B0105" w:rsidRDefault="00137B1E" w:rsidP="007750E6">
            <w:pPr>
              <w:tabs>
                <w:tab w:val="left" w:pos="4111"/>
              </w:tabs>
              <w:spacing w:before="0"/>
              <w:rPr>
                <w:b/>
                <w:bCs/>
              </w:rPr>
            </w:pPr>
            <w:r w:rsidRPr="008B0105">
              <w:rPr>
                <w:b/>
                <w:bCs/>
              </w:rPr>
              <w:t>Eventos de la UIT sobre Ciudades sostenibles e inteligentes</w:t>
            </w:r>
          </w:p>
          <w:p w:rsidR="00137B1E" w:rsidRPr="008B0105" w:rsidRDefault="00137B1E" w:rsidP="007750E6">
            <w:pPr>
              <w:tabs>
                <w:tab w:val="left" w:pos="4111"/>
              </w:tabs>
              <w:spacing w:before="0"/>
              <w:rPr>
                <w:b/>
                <w:bCs/>
              </w:rPr>
            </w:pPr>
            <w:r w:rsidRPr="008B0105">
              <w:rPr>
                <w:b/>
                <w:bCs/>
              </w:rPr>
              <w:t>(Génova, Italia, 17-20 de junio de 2014)</w:t>
            </w:r>
          </w:p>
          <w:p w:rsidR="00137B1E" w:rsidRPr="008B0105" w:rsidRDefault="00137B1E" w:rsidP="007750E6">
            <w:pPr>
              <w:tabs>
                <w:tab w:val="left" w:pos="4111"/>
              </w:tabs>
              <w:spacing w:before="0"/>
              <w:rPr>
                <w:b/>
                <w:bCs/>
              </w:rPr>
            </w:pPr>
          </w:p>
        </w:tc>
      </w:tr>
    </w:tbl>
    <w:p w:rsidR="00137B1E" w:rsidRPr="008B0105" w:rsidRDefault="00137B1E" w:rsidP="00840DCC">
      <w:pPr>
        <w:pStyle w:val="ITUintr"/>
        <w:tabs>
          <w:tab w:val="clear" w:pos="737"/>
          <w:tab w:val="clear" w:pos="1134"/>
          <w:tab w:val="left" w:pos="794"/>
        </w:tabs>
        <w:spacing w:before="120"/>
        <w:ind w:right="92"/>
        <w:rPr>
          <w:sz w:val="24"/>
        </w:rPr>
      </w:pPr>
      <w:r w:rsidRPr="008B0105">
        <w:rPr>
          <w:rFonts w:ascii="Times New Roman" w:hAnsi="Times New Roman"/>
          <w:sz w:val="24"/>
        </w:rPr>
        <w:t>Muy Señora mía/Muy Señor mío</w:t>
      </w:r>
      <w:r w:rsidRPr="008B0105">
        <w:rPr>
          <w:sz w:val="24"/>
        </w:rPr>
        <w:t>:</w:t>
      </w:r>
    </w:p>
    <w:p w:rsidR="00137B1E" w:rsidRPr="008B0105" w:rsidRDefault="00137B1E" w:rsidP="007750E6">
      <w:r w:rsidRPr="008B0105">
        <w:t>1</w:t>
      </w:r>
      <w:r w:rsidRPr="008B0105">
        <w:tab/>
        <w:t xml:space="preserve">Por amable invitación del Ayuntamiento de Génova, la Unión Internacional de Telecomunicaciones (UIT) </w:t>
      </w:r>
      <w:r w:rsidR="00A64018">
        <w:t xml:space="preserve">se </w:t>
      </w:r>
      <w:r w:rsidRPr="008B0105">
        <w:t>complace informarle que la UIT está prestando su apoyo y organizando una serie de eventos sobre el tema "Ciudades sostenibles e inteligentes", que tendrá lugar en Génova (Italia) del 17 al 20 de junio de 2014.</w:t>
      </w:r>
    </w:p>
    <w:p w:rsidR="00137B1E" w:rsidRPr="008B0105" w:rsidRDefault="00137B1E" w:rsidP="007750E6">
      <w:r w:rsidRPr="008B0105">
        <w:t>El conjunto de eventos está organizado de la forma siguiente:</w:t>
      </w:r>
    </w:p>
    <w:p w:rsidR="00137B1E" w:rsidRPr="008B0105" w:rsidRDefault="00137B1E" w:rsidP="00C20437">
      <w:pPr>
        <w:pStyle w:val="enumlev1"/>
      </w:pPr>
      <w:r w:rsidRPr="008B0105">
        <w:t>–</w:t>
      </w:r>
      <w:r w:rsidRPr="008B0105">
        <w:tab/>
        <w:t>17-18 de junio de 2014 (mañana): Evento "TRANSFORM" – organizado por el Ayuntamiento de Génova;</w:t>
      </w:r>
    </w:p>
    <w:p w:rsidR="00137B1E" w:rsidRPr="008B0105" w:rsidRDefault="00137B1E" w:rsidP="00C20437">
      <w:pPr>
        <w:pStyle w:val="enumlev1"/>
      </w:pPr>
      <w:r w:rsidRPr="008B0105">
        <w:t>–</w:t>
      </w:r>
      <w:r w:rsidRPr="008B0105">
        <w:tab/>
        <w:t>18 de junio de 2014 (tarde): Foro sobre "La ciudad que queremos: inteligente y sostenible" – organizado conjuntamente por la UIT, la Comisión europea (CE) y el Ayuntamiento de Génova;</w:t>
      </w:r>
    </w:p>
    <w:p w:rsidR="00137B1E" w:rsidRPr="008B0105" w:rsidRDefault="00137B1E" w:rsidP="00C20437">
      <w:pPr>
        <w:pStyle w:val="enumlev1"/>
      </w:pPr>
      <w:r w:rsidRPr="008B0105">
        <w:t>–</w:t>
      </w:r>
      <w:r w:rsidRPr="008B0105">
        <w:tab/>
        <w:t xml:space="preserve">19-20 de junio de 2014: Quinta reunión del Grupo Temático sobre ciudades inteligentes y sostenibles (FG-SSC) </w:t>
      </w:r>
      <w:r w:rsidR="00A64018">
        <w:t>–</w:t>
      </w:r>
      <w:r w:rsidRPr="008B0105">
        <w:t xml:space="preserve"> organizado por la UIT.</w:t>
      </w:r>
    </w:p>
    <w:p w:rsidR="00137B1E" w:rsidRPr="008B0105" w:rsidRDefault="00137B1E" w:rsidP="00ED00A7">
      <w:pPr>
        <w:rPr>
          <w:bCs/>
        </w:rPr>
      </w:pPr>
      <w:r w:rsidRPr="008B0105">
        <w:rPr>
          <w:bCs/>
        </w:rPr>
        <w:t>2</w:t>
      </w:r>
      <w:r w:rsidRPr="008B0105">
        <w:rPr>
          <w:bCs/>
        </w:rPr>
        <w:tab/>
        <w:t>Las discusiones se celebrarán exclusivamente en inglés.</w:t>
      </w:r>
    </w:p>
    <w:p w:rsidR="00137B1E" w:rsidRPr="008B0105" w:rsidRDefault="00137B1E" w:rsidP="007750E6">
      <w:r w:rsidRPr="008B0105">
        <w:t>3</w:t>
      </w:r>
      <w:r w:rsidRPr="008B0105">
        <w:tab/>
        <w:t>La participación está abierta a los Estados Miembros, a los Miembros de Sector, a los Asociados y a las Instituciones Académicas de la UIT, y a cualquier persona que desee contribuir a los trabajos del taller. Esto incluye a personas que también sean miembros de organizaciones nacionales, regionales e internacionales. La participación en el taller es gratuita.</w:t>
      </w:r>
    </w:p>
    <w:p w:rsidR="00137B1E" w:rsidRPr="008B0105" w:rsidRDefault="00137B1E" w:rsidP="00F232E5">
      <w:r w:rsidRPr="008B0105">
        <w:t>4</w:t>
      </w:r>
      <w:r w:rsidRPr="008B0105">
        <w:tab/>
        <w:t>Estos eventos están destinados a reunir a especialistas destacados en esta materia, desde altos responsables políticos hasta ingenieros, diseñadores, planificadores, funcionarios gubernamentales, organismos reguladores, expertos en normas y otros para incrementar la sensibilización respecto del papel de las TIC para construir las ciudades que queremos.</w:t>
      </w:r>
    </w:p>
    <w:p w:rsidR="00137B1E" w:rsidRPr="008B0105" w:rsidRDefault="00137B1E" w:rsidP="00C20437">
      <w:pPr>
        <w:keepLines/>
      </w:pPr>
      <w:r w:rsidRPr="008B0105">
        <w:lastRenderedPageBreak/>
        <w:t>5</w:t>
      </w:r>
      <w:r w:rsidRPr="008B0105">
        <w:tab/>
        <w:t xml:space="preserve">Los proyectos de programas de los eventos estarán disponibles en el sitio web de los mismos en: </w:t>
      </w:r>
      <w:hyperlink r:id="rId10" w:history="1">
        <w:r w:rsidRPr="008B0105">
          <w:rPr>
            <w:rStyle w:val="Hyperlink"/>
          </w:rPr>
          <w:t>http://www.itu.int/en/ITU-T/Workshops-and-Seminars/Pages/2014/IT-2014.aspx</w:t>
        </w:r>
      </w:hyperlink>
      <w:r w:rsidRPr="008B0105">
        <w:t xml:space="preserve">. Si necesita cualquier información adicional acerca de los programas, no dude en dirigirse a Cristina </w:t>
      </w:r>
      <w:proofErr w:type="spellStart"/>
      <w:r w:rsidRPr="008B0105">
        <w:t>Bueti</w:t>
      </w:r>
      <w:proofErr w:type="spellEnd"/>
      <w:r w:rsidRPr="008B0105">
        <w:t xml:space="preserve"> (</w:t>
      </w:r>
      <w:hyperlink r:id="rId11" w:history="1">
        <w:r w:rsidRPr="008B0105">
          <w:rPr>
            <w:rStyle w:val="Hyperlink"/>
          </w:rPr>
          <w:t>cristina.bueti@itu.int</w:t>
        </w:r>
      </w:hyperlink>
      <w:r w:rsidRPr="008B0105">
        <w:t>).</w:t>
      </w:r>
    </w:p>
    <w:p w:rsidR="00137B1E" w:rsidRPr="008B0105" w:rsidRDefault="00137B1E" w:rsidP="00F232E5">
      <w:r w:rsidRPr="008B0105">
        <w:t>6</w:t>
      </w:r>
      <w:r w:rsidRPr="008B0105">
        <w:tab/>
      </w:r>
      <w:r w:rsidRPr="008B0105">
        <w:rPr>
          <w:b/>
          <w:bCs/>
        </w:rPr>
        <w:t>Alojamiento</w:t>
      </w:r>
      <w:r w:rsidRPr="008B0105">
        <w:t>: Puede encontrarse información acerca del alojamiento en hoteles, el transporte, los requisitos de visado y los requisitos sanitarios en el sitio web del evento. Este sitio web se mantendrá actualizado a medida que se obtenga información nueva o modificada.</w:t>
      </w:r>
    </w:p>
    <w:p w:rsidR="00137B1E" w:rsidRPr="008B0105" w:rsidRDefault="00137B1E" w:rsidP="00ED00A7">
      <w:r w:rsidRPr="008B0105">
        <w:t>7</w:t>
      </w:r>
      <w:r w:rsidRPr="008B0105">
        <w:tab/>
      </w:r>
      <w:r w:rsidRPr="008B0105">
        <w:rPr>
          <w:b/>
          <w:bCs/>
        </w:rPr>
        <w:t>Becas</w:t>
      </w:r>
      <w:r w:rsidRPr="008B0105">
        <w:t>: La UIT no podrá otorgar becas debido a restricciones presupuestarias.</w:t>
      </w:r>
    </w:p>
    <w:p w:rsidR="00137B1E" w:rsidRPr="008B0105" w:rsidRDefault="00137B1E" w:rsidP="00F232E5">
      <w:r w:rsidRPr="008B0105">
        <w:t>8</w:t>
      </w:r>
      <w:r w:rsidRPr="008B0105">
        <w:tab/>
      </w:r>
      <w:r w:rsidRPr="008B0105">
        <w:rPr>
          <w:b/>
          <w:bCs/>
        </w:rPr>
        <w:t>Inscripción</w:t>
      </w:r>
      <w:r w:rsidRPr="008B0105">
        <w:t xml:space="preserve">: Para que la TSB pueda tomar las disposiciones oportunas para la organización del taller, le agradecería que se inscribiese utilizando el formulario en línea disponible en el sitio web de los eventos </w:t>
      </w:r>
      <w:r w:rsidRPr="008B0105">
        <w:rPr>
          <w:szCs w:val="24"/>
        </w:rPr>
        <w:t xml:space="preserve">lo antes posible, </w:t>
      </w:r>
      <w:r w:rsidRPr="008B0105">
        <w:rPr>
          <w:b/>
          <w:bCs/>
          <w:szCs w:val="24"/>
        </w:rPr>
        <w:t xml:space="preserve">pero a más tardar el 13 de junio de 2014. Sírvase observar que la preinscripción de los participantes en el taller se lleva a cabo exclusivamente </w:t>
      </w:r>
      <w:r w:rsidRPr="008B0105">
        <w:rPr>
          <w:b/>
          <w:bCs/>
          <w:i/>
          <w:iCs/>
          <w:szCs w:val="24"/>
        </w:rPr>
        <w:t>en línea</w:t>
      </w:r>
      <w:r w:rsidRPr="008B0105">
        <w:rPr>
          <w:szCs w:val="24"/>
        </w:rPr>
        <w:t xml:space="preserve">. Los participantes podrán inscribirse en el propio lugar del evento después del 17 de junio de 2014. </w:t>
      </w:r>
    </w:p>
    <w:p w:rsidR="00137B1E" w:rsidRPr="008B0105" w:rsidRDefault="00137B1E" w:rsidP="00F232E5">
      <w:r w:rsidRPr="008B0105">
        <w:t>9</w:t>
      </w:r>
      <w:r w:rsidRPr="008B0105">
        <w:tab/>
        <w:t>Le recordamos que los ciudadanos procedentes de ciertos países necesitan visado para entrar y permanecer en Italia. Ese visado debe solicitarse en la Embajada de Italia en su país o, en su defecto, en la Embajada más próxima a su país de partida. Puede encontrar más información sobre los requisitos para la obtención de visado en la página web de los eventos.</w:t>
      </w:r>
    </w:p>
    <w:p w:rsidR="00137B1E" w:rsidRPr="008B0105" w:rsidRDefault="00137B1E" w:rsidP="00ED00A7">
      <w:r w:rsidRPr="008B0105">
        <w:t>Atentamente.</w:t>
      </w:r>
    </w:p>
    <w:p w:rsidR="00A25297" w:rsidRDefault="00C34772" w:rsidP="00303D62">
      <w:pPr>
        <w:spacing w:before="1701"/>
        <w:ind w:right="91"/>
      </w:pPr>
      <w:bookmarkStart w:id="0" w:name="_GoBack"/>
      <w:bookmarkEnd w:id="0"/>
      <w:r w:rsidRPr="008B0105">
        <w:t>Malcolm Johnson</w:t>
      </w:r>
      <w:r w:rsidRPr="008B0105">
        <w:br/>
        <w:t>Director de la Oficina de</w:t>
      </w:r>
      <w:r w:rsidRPr="008B0105">
        <w:br/>
        <w:t>Normalización de las Telecomunicaciones</w:t>
      </w:r>
    </w:p>
    <w:p w:rsidR="00A25297" w:rsidRPr="00A25297" w:rsidRDefault="00A25297" w:rsidP="00A25297"/>
    <w:p w:rsidR="00A25297" w:rsidRPr="00A25297" w:rsidRDefault="00A25297" w:rsidP="00A25297"/>
    <w:p w:rsidR="00A25297" w:rsidRPr="00A25297" w:rsidRDefault="00A25297" w:rsidP="00A25297"/>
    <w:p w:rsidR="00A25297" w:rsidRPr="00A25297" w:rsidRDefault="00A25297" w:rsidP="00A25297"/>
    <w:p w:rsidR="00A25297" w:rsidRPr="00A25297" w:rsidRDefault="00A25297" w:rsidP="00A25297"/>
    <w:p w:rsidR="00A25297" w:rsidRPr="00A25297" w:rsidRDefault="00A25297" w:rsidP="00A25297"/>
    <w:p w:rsidR="00A25297" w:rsidRPr="00A25297" w:rsidRDefault="00A25297" w:rsidP="00A25297"/>
    <w:p w:rsidR="00A25297" w:rsidRPr="00A25297" w:rsidRDefault="00A25297" w:rsidP="00A25297"/>
    <w:p w:rsidR="00A25297" w:rsidRPr="00A25297" w:rsidRDefault="00A25297" w:rsidP="00A25297"/>
    <w:p w:rsidR="00A25297" w:rsidRPr="00A25297" w:rsidRDefault="00A25297" w:rsidP="00A25297"/>
    <w:p w:rsidR="00A25297" w:rsidRPr="00A25297" w:rsidRDefault="00A25297" w:rsidP="00A25297"/>
    <w:p w:rsidR="00A25297" w:rsidRDefault="00A25297" w:rsidP="00A25297"/>
    <w:p w:rsidR="00A25297" w:rsidRDefault="00A25297" w:rsidP="00A25297"/>
    <w:p w:rsidR="00C34772" w:rsidRPr="00A25297" w:rsidRDefault="00A25297" w:rsidP="00A25297">
      <w:pPr>
        <w:tabs>
          <w:tab w:val="clear" w:pos="794"/>
          <w:tab w:val="clear" w:pos="1191"/>
          <w:tab w:val="clear" w:pos="1588"/>
          <w:tab w:val="clear" w:pos="1985"/>
          <w:tab w:val="left" w:pos="720"/>
          <w:tab w:val="left" w:pos="1440"/>
        </w:tabs>
      </w:pPr>
      <w:r>
        <w:tab/>
      </w:r>
      <w:r>
        <w:tab/>
      </w:r>
      <w:r>
        <w:tab/>
      </w:r>
    </w:p>
    <w:sectPr w:rsidR="00C34772" w:rsidRPr="00A25297" w:rsidSect="00B87E9E">
      <w:headerReference w:type="default" r:id="rId12"/>
      <w:footerReference w:type="default" r:id="rId13"/>
      <w:footerReference w:type="first" r:id="rId1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B1E" w:rsidRDefault="00137B1E">
      <w:r>
        <w:separator/>
      </w:r>
    </w:p>
  </w:endnote>
  <w:endnote w:type="continuationSeparator" w:id="0">
    <w:p w:rsidR="00137B1E" w:rsidRDefault="0013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105" w:rsidRPr="00A25297" w:rsidRDefault="00A25297" w:rsidP="00A25297">
    <w:pPr>
      <w:tabs>
        <w:tab w:val="center" w:pos="5670"/>
        <w:tab w:val="right" w:pos="9639"/>
      </w:tabs>
      <w:spacing w:line="260" w:lineRule="exact"/>
      <w:rPr>
        <w:lang w:val="fr-FR"/>
      </w:rPr>
    </w:pPr>
    <w:r w:rsidRPr="00E179DB">
      <w:rPr>
        <w:rFonts w:asciiTheme="majorBidi" w:hAnsiTheme="majorBidi" w:cstheme="majorBidi"/>
        <w:caps/>
        <w:sz w:val="16"/>
        <w:lang w:val="fr-CH" w:eastAsia="zh-CN"/>
      </w:rPr>
      <w:t>ITU-T\BUREAU\CIRC\92</w:t>
    </w:r>
    <w:r>
      <w:rPr>
        <w:rFonts w:asciiTheme="majorBidi" w:hAnsiTheme="majorBidi" w:cstheme="majorBidi"/>
        <w:caps/>
        <w:sz w:val="16"/>
        <w:lang w:val="fr-CH" w:eastAsia="zh-CN"/>
      </w:rPr>
      <w:t>S</w:t>
    </w:r>
    <w:r w:rsidRPr="00E179DB">
      <w:rPr>
        <w:rFonts w:asciiTheme="majorBidi" w:hAnsiTheme="majorBidi" w:cstheme="majorBidi"/>
        <w:caps/>
        <w:sz w:val="16"/>
        <w:lang w:val="fr-CH" w:eastAsia="zh-CN"/>
      </w:rPr>
      <w:t>.DOC</w:t>
    </w:r>
    <w:r w:rsidRPr="00E25A5C">
      <w:rPr>
        <w:rFonts w:asciiTheme="majorBidi" w:hAnsiTheme="majorBidi" w:cstheme="majorBidi"/>
        <w:caps/>
        <w:sz w:val="16"/>
        <w:lang w:val="fr-FR" w:eastAsia="zh-CN"/>
      </w:rPr>
      <w:tab/>
    </w:r>
    <w:r w:rsidRPr="00E25A5C">
      <w:rPr>
        <w:rFonts w:asciiTheme="majorBidi" w:hAnsiTheme="majorBidi" w:cstheme="majorBidi"/>
        <w:caps/>
        <w:sz w:val="16"/>
        <w:lang w:val="fr-FR"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6969B4" w:rsidRPr="003D673B">
      <w:tc>
        <w:tcPr>
          <w:tcW w:w="1985"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6969B4" w:rsidRDefault="006969B4" w:rsidP="00137B1E">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6969B4" w:rsidRDefault="006969B4"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r>
          <w:hyperlink r:id="rId1" w:history="1">
            <w:r w:rsidR="0048098C" w:rsidRPr="006A212B">
              <w:rPr>
                <w:rStyle w:val="Hyperlink"/>
                <w:rFonts w:ascii="Futura Lt BT" w:hAnsi="Futura Lt BT"/>
              </w:rPr>
              <w:t>itumail@itu.int</w:t>
            </w:r>
          </w:hyperlink>
          <w:r w:rsidR="0048098C">
            <w:rPr>
              <w:rFonts w:ascii="Futura Lt BT" w:hAnsi="Futura Lt BT"/>
            </w:rPr>
            <w:t xml:space="preserve"> </w:t>
          </w:r>
        </w:p>
      </w:tc>
    </w:tr>
    <w:tr w:rsidR="006969B4">
      <w:tc>
        <w:tcPr>
          <w:tcW w:w="1985" w:type="dxa"/>
        </w:tcPr>
        <w:p w:rsidR="006969B4" w:rsidRDefault="006969B4">
          <w:pPr>
            <w:pStyle w:val="FirstFooter"/>
            <w:rPr>
              <w:rFonts w:ascii="Futura Lt BT" w:hAnsi="Futura Lt BT"/>
            </w:rPr>
          </w:pPr>
          <w:r>
            <w:rPr>
              <w:rFonts w:ascii="Futura Lt BT" w:hAnsi="Futura Lt BT"/>
            </w:rPr>
            <w:t>CH-1211 Ginebra 20</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6969B4" w:rsidRDefault="006969B4">
          <w:pPr>
            <w:pStyle w:val="FirstFooter"/>
            <w:rPr>
              <w:rFonts w:ascii="Futura Lt BT" w:hAnsi="Futura Lt BT"/>
            </w:rPr>
          </w:pPr>
          <w:r>
            <w:rPr>
              <w:rFonts w:ascii="Futura Lt BT" w:hAnsi="Futura Lt BT"/>
            </w:rPr>
            <w:t>Telegrama ITU GENEVE</w:t>
          </w:r>
        </w:p>
      </w:tc>
      <w:tc>
        <w:tcPr>
          <w:tcW w:w="2304" w:type="dxa"/>
        </w:tcPr>
        <w:p w:rsidR="006969B4" w:rsidRDefault="006969B4" w:rsidP="008505BD">
          <w:pPr>
            <w:pStyle w:val="FirstFooter"/>
            <w:tabs>
              <w:tab w:val="right" w:pos="1956"/>
            </w:tabs>
            <w:ind w:right="70"/>
            <w:rPr>
              <w:rFonts w:ascii="Futura Lt BT" w:hAnsi="Futura Lt BT"/>
            </w:rPr>
          </w:pPr>
          <w:r>
            <w:rPr>
              <w:rFonts w:ascii="Futura Lt BT" w:hAnsi="Futura Lt BT"/>
            </w:rPr>
            <w:tab/>
          </w:r>
          <w:hyperlink r:id="rId2" w:history="1">
            <w:r w:rsidR="0048098C" w:rsidRPr="006A212B">
              <w:rPr>
                <w:rStyle w:val="Hyperlink"/>
                <w:rFonts w:ascii="Futura Lt BT" w:hAnsi="Futura Lt BT"/>
              </w:rPr>
              <w:t>www.itu.int</w:t>
            </w:r>
          </w:hyperlink>
          <w:r w:rsidR="0048098C">
            <w:rPr>
              <w:rFonts w:ascii="Futura Lt BT" w:hAnsi="Futura Lt BT"/>
            </w:rPr>
            <w:t xml:space="preserve"> </w:t>
          </w:r>
        </w:p>
      </w:tc>
    </w:tr>
    <w:tr w:rsidR="006969B4">
      <w:tc>
        <w:tcPr>
          <w:tcW w:w="1985" w:type="dxa"/>
        </w:tcPr>
        <w:p w:rsidR="006969B4" w:rsidRDefault="006969B4">
          <w:pPr>
            <w:pStyle w:val="FirstFooter"/>
            <w:rPr>
              <w:rFonts w:ascii="Futura Lt BT" w:hAnsi="Futura Lt BT"/>
            </w:rPr>
          </w:pPr>
          <w:r>
            <w:rPr>
              <w:rFonts w:ascii="Futura Lt BT" w:hAnsi="Futura Lt BT"/>
            </w:rPr>
            <w:t>Suiza</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6969B4" w:rsidRDefault="006969B4">
          <w:pPr>
            <w:pStyle w:val="FirstFooter"/>
            <w:rPr>
              <w:rFonts w:ascii="Futura Lt BT" w:hAnsi="Futura Lt BT"/>
            </w:rPr>
          </w:pPr>
        </w:p>
      </w:tc>
      <w:tc>
        <w:tcPr>
          <w:tcW w:w="2304" w:type="dxa"/>
        </w:tcPr>
        <w:p w:rsidR="006969B4" w:rsidRDefault="006969B4">
          <w:pPr>
            <w:pStyle w:val="FirstFooter"/>
            <w:rPr>
              <w:rFonts w:ascii="Futura Lt BT" w:hAnsi="Futura Lt BT"/>
            </w:rPr>
          </w:pPr>
        </w:p>
      </w:tc>
    </w:tr>
  </w:tbl>
  <w:p w:rsidR="006969B4" w:rsidRDefault="006969B4"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B1E" w:rsidRDefault="00137B1E">
      <w:r>
        <w:t>____________________</w:t>
      </w:r>
    </w:p>
  </w:footnote>
  <w:footnote w:type="continuationSeparator" w:id="0">
    <w:p w:rsidR="00137B1E" w:rsidRDefault="00137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707954"/>
      <w:docPartObj>
        <w:docPartGallery w:val="Page Numbers (Top of Page)"/>
        <w:docPartUnique/>
      </w:docPartObj>
    </w:sdtPr>
    <w:sdtEndPr>
      <w:rPr>
        <w:noProof/>
      </w:rPr>
    </w:sdtEndPr>
    <w:sdtContent>
      <w:p w:rsidR="00137B1E" w:rsidRDefault="00137B1E">
        <w:pPr>
          <w:pStyle w:val="Header"/>
        </w:pPr>
        <w:r>
          <w:fldChar w:fldCharType="begin"/>
        </w:r>
        <w:r>
          <w:instrText xml:space="preserve"> PAGE   \* MERGEFORMAT </w:instrText>
        </w:r>
        <w:r>
          <w:fldChar w:fldCharType="separate"/>
        </w:r>
        <w:r w:rsidR="007447F3">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EF6240"/>
    <w:multiLevelType w:val="hybridMultilevel"/>
    <w:tmpl w:val="0388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4F622BA7"/>
    <w:multiLevelType w:val="hybridMultilevel"/>
    <w:tmpl w:val="E070EDB6"/>
    <w:lvl w:ilvl="0" w:tplc="ADD66CF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1E"/>
    <w:rsid w:val="00002529"/>
    <w:rsid w:val="000C382F"/>
    <w:rsid w:val="001173CC"/>
    <w:rsid w:val="00137B1E"/>
    <w:rsid w:val="001A54CC"/>
    <w:rsid w:val="00257FB4"/>
    <w:rsid w:val="00303D62"/>
    <w:rsid w:val="00335367"/>
    <w:rsid w:val="00370C2D"/>
    <w:rsid w:val="003D1E8D"/>
    <w:rsid w:val="003D673B"/>
    <w:rsid w:val="003F2855"/>
    <w:rsid w:val="00401C20"/>
    <w:rsid w:val="0048098C"/>
    <w:rsid w:val="004C4144"/>
    <w:rsid w:val="004D43A6"/>
    <w:rsid w:val="00633AFD"/>
    <w:rsid w:val="006969B4"/>
    <w:rsid w:val="007447F3"/>
    <w:rsid w:val="00781E2A"/>
    <w:rsid w:val="007933A2"/>
    <w:rsid w:val="00814503"/>
    <w:rsid w:val="008258C2"/>
    <w:rsid w:val="008505BD"/>
    <w:rsid w:val="00850C78"/>
    <w:rsid w:val="008B0105"/>
    <w:rsid w:val="008C17AD"/>
    <w:rsid w:val="008D02CD"/>
    <w:rsid w:val="00950813"/>
    <w:rsid w:val="0095172A"/>
    <w:rsid w:val="009A0BA0"/>
    <w:rsid w:val="00A25297"/>
    <w:rsid w:val="00A54E47"/>
    <w:rsid w:val="00A64018"/>
    <w:rsid w:val="00AE7093"/>
    <w:rsid w:val="00B422BC"/>
    <w:rsid w:val="00B43F77"/>
    <w:rsid w:val="00B55A3E"/>
    <w:rsid w:val="00B87E9E"/>
    <w:rsid w:val="00B95F0A"/>
    <w:rsid w:val="00B96180"/>
    <w:rsid w:val="00C17AC0"/>
    <w:rsid w:val="00C34772"/>
    <w:rsid w:val="00C5465A"/>
    <w:rsid w:val="00D54642"/>
    <w:rsid w:val="00DD77C9"/>
    <w:rsid w:val="00DF3538"/>
    <w:rsid w:val="00E839B0"/>
    <w:rsid w:val="00E92C09"/>
    <w:rsid w:val="00F14380"/>
    <w:rsid w:val="00F443CF"/>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485179-0160-43B0-9B0B-BC73CC81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137B1E"/>
    <w:pPr>
      <w:ind w:left="720"/>
      <w:contextualSpacing/>
    </w:pPr>
  </w:style>
  <w:style w:type="character" w:customStyle="1" w:styleId="enumlev1Char">
    <w:name w:val="enumlev1 Char"/>
    <w:link w:val="enumlev1"/>
    <w:rsid w:val="00137B1E"/>
    <w:rPr>
      <w:rFonts w:ascii="Times New Roman" w:hAnsi="Times New Roman"/>
      <w:sz w:val="24"/>
      <w:lang w:val="es-ES_tradnl" w:eastAsia="en-US"/>
    </w:rPr>
  </w:style>
  <w:style w:type="paragraph" w:customStyle="1" w:styleId="Reasons">
    <w:name w:val="Reasons"/>
    <w:basedOn w:val="Normal"/>
    <w:qFormat/>
    <w:rsid w:val="00137B1E"/>
    <w:pPr>
      <w:tabs>
        <w:tab w:val="clear" w:pos="794"/>
        <w:tab w:val="clear" w:pos="1191"/>
        <w:tab w:val="clear" w:pos="1588"/>
        <w:tab w:val="clear" w:pos="1985"/>
      </w:tabs>
      <w:overflowPunct/>
      <w:autoSpaceDE/>
      <w:autoSpaceDN/>
      <w:adjustRightInd/>
      <w:spacing w:before="0"/>
      <w:textAlignment w:val="auto"/>
    </w:pPr>
    <w:rPr>
      <w:lang w:val="en-US"/>
    </w:rPr>
  </w:style>
  <w:style w:type="paragraph" w:styleId="NormalWeb">
    <w:name w:val="Normal (Web)"/>
    <w:basedOn w:val="Normal"/>
    <w:uiPriority w:val="99"/>
    <w:rsid w:val="00137B1E"/>
    <w:pPr>
      <w:tabs>
        <w:tab w:val="clear" w:pos="794"/>
        <w:tab w:val="clear" w:pos="1191"/>
        <w:tab w:val="clear" w:pos="1588"/>
        <w:tab w:val="clear" w:pos="1985"/>
      </w:tabs>
      <w:overflowPunct/>
      <w:autoSpaceDE/>
      <w:autoSpaceDN/>
      <w:adjustRightInd/>
      <w:spacing w:before="0"/>
      <w:textAlignment w:val="auto"/>
    </w:pPr>
    <w:rPr>
      <w:szCs w:val="24"/>
      <w:lang w:val="en-GB"/>
    </w:rPr>
  </w:style>
  <w:style w:type="character" w:styleId="Strong">
    <w:name w:val="Strong"/>
    <w:uiPriority w:val="22"/>
    <w:qFormat/>
    <w:rsid w:val="00137B1E"/>
    <w:rPr>
      <w:b/>
      <w:bCs/>
    </w:rPr>
  </w:style>
  <w:style w:type="paragraph" w:styleId="BalloonText">
    <w:name w:val="Balloon Text"/>
    <w:basedOn w:val="Normal"/>
    <w:link w:val="BalloonTextChar"/>
    <w:semiHidden/>
    <w:unhideWhenUsed/>
    <w:rsid w:val="00A2529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2529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bueti@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en/ITU-T/Workshops-and-Seminars/Pages/2014/IT-2014.aspx" TargetMode="External"/><Relationship Id="rId4" Type="http://schemas.openxmlformats.org/officeDocument/2006/relationships/settings" Target="settings.xml"/><Relationship Id="rId9" Type="http://schemas.openxmlformats.org/officeDocument/2006/relationships/hyperlink" Target="mailto:cristina.bueti@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E0D36-1045-4A22-8E19-68D5471D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7</TotalTime>
  <Pages>2</Pages>
  <Words>607</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4155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Aveline, Marion</cp:lastModifiedBy>
  <cp:revision>4</cp:revision>
  <cp:lastPrinted>2014-04-14T09:55:00Z</cp:lastPrinted>
  <dcterms:created xsi:type="dcterms:W3CDTF">2014-04-14T09:45:00Z</dcterms:created>
  <dcterms:modified xsi:type="dcterms:W3CDTF">2014-04-14T09:58:00Z</dcterms:modified>
</cp:coreProperties>
</file>