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167F92" w:rsidRPr="00BF47B9" w:rsidTr="00F34F98">
        <w:trPr>
          <w:cantSplit/>
        </w:trPr>
        <w:tc>
          <w:tcPr>
            <w:tcW w:w="6426" w:type="dxa"/>
            <w:vAlign w:val="center"/>
          </w:tcPr>
          <w:p w:rsidR="00167F92" w:rsidRPr="00BF47B9" w:rsidRDefault="00167F92" w:rsidP="00A764CD">
            <w:pPr>
              <w:tabs>
                <w:tab w:val="right" w:pos="8732"/>
              </w:tabs>
              <w:spacing w:before="0"/>
              <w:rPr>
                <w:rFonts w:ascii="Verdana" w:hAnsi="Verdana"/>
                <w:b/>
                <w:bCs/>
                <w:iCs/>
                <w:color w:val="FFFFFF"/>
                <w:sz w:val="26"/>
                <w:szCs w:val="26"/>
              </w:rPr>
            </w:pPr>
            <w:r w:rsidRPr="00BF47B9">
              <w:rPr>
                <w:rFonts w:ascii="Verdana" w:hAnsi="Verdana"/>
                <w:b/>
                <w:bCs/>
                <w:iCs/>
                <w:sz w:val="26"/>
                <w:szCs w:val="26"/>
              </w:rPr>
              <w:t>Bureau de la normalisation</w:t>
            </w:r>
            <w:r w:rsidRPr="00BF47B9">
              <w:rPr>
                <w:rFonts w:ascii="Verdana" w:hAnsi="Verdana"/>
                <w:b/>
                <w:bCs/>
                <w:iCs/>
                <w:sz w:val="26"/>
                <w:szCs w:val="26"/>
              </w:rPr>
              <w:br/>
              <w:t>des télécommunications</w:t>
            </w:r>
          </w:p>
        </w:tc>
        <w:tc>
          <w:tcPr>
            <w:tcW w:w="3355" w:type="dxa"/>
            <w:vAlign w:val="center"/>
          </w:tcPr>
          <w:p w:rsidR="00167F92" w:rsidRPr="00BF47B9" w:rsidRDefault="001026FD" w:rsidP="00A764CD">
            <w:pPr>
              <w:spacing w:before="0"/>
              <w:jc w:val="right"/>
              <w:rPr>
                <w:rFonts w:ascii="Verdana" w:hAnsi="Verdana"/>
                <w:color w:val="FFFFFF"/>
                <w:sz w:val="26"/>
                <w:szCs w:val="26"/>
              </w:rPr>
            </w:pPr>
            <w:r w:rsidRPr="00BF47B9">
              <w:rPr>
                <w:rFonts w:ascii="Verdana" w:hAnsi="Verdana"/>
                <w:b/>
                <w:bCs/>
                <w:noProof/>
                <w:color w:val="FFFFFF"/>
                <w:sz w:val="26"/>
                <w:szCs w:val="26"/>
                <w:lang w:val="en-US"/>
              </w:rPr>
              <w:drawing>
                <wp:inline distT="0" distB="0" distL="0" distR="0" wp14:anchorId="632181B8" wp14:editId="177A4E42">
                  <wp:extent cx="1781175" cy="695325"/>
                  <wp:effectExtent l="0" t="0" r="9525" b="9525"/>
                  <wp:docPr id="16" name="Picture 16"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167F92" w:rsidRPr="00BF47B9" w:rsidTr="00F34F98">
        <w:trPr>
          <w:cantSplit/>
        </w:trPr>
        <w:tc>
          <w:tcPr>
            <w:tcW w:w="6426" w:type="dxa"/>
            <w:vAlign w:val="center"/>
          </w:tcPr>
          <w:p w:rsidR="00167F92" w:rsidRPr="00BF47B9" w:rsidRDefault="00167F92" w:rsidP="00A764CD">
            <w:pPr>
              <w:tabs>
                <w:tab w:val="right" w:pos="8732"/>
              </w:tabs>
              <w:spacing w:before="0"/>
              <w:rPr>
                <w:rFonts w:ascii="Verdana" w:hAnsi="Verdana"/>
                <w:b/>
                <w:bCs/>
                <w:iCs/>
                <w:sz w:val="18"/>
                <w:szCs w:val="18"/>
              </w:rPr>
            </w:pPr>
          </w:p>
        </w:tc>
        <w:tc>
          <w:tcPr>
            <w:tcW w:w="3355" w:type="dxa"/>
            <w:vAlign w:val="center"/>
          </w:tcPr>
          <w:p w:rsidR="00167F92" w:rsidRPr="00BF47B9" w:rsidRDefault="00167F92" w:rsidP="00A764CD">
            <w:pPr>
              <w:spacing w:before="0"/>
              <w:ind w:left="993" w:hanging="993"/>
              <w:jc w:val="right"/>
              <w:rPr>
                <w:rFonts w:ascii="Verdana" w:hAnsi="Verdana"/>
                <w:sz w:val="18"/>
                <w:szCs w:val="18"/>
              </w:rPr>
            </w:pPr>
          </w:p>
        </w:tc>
      </w:tr>
    </w:tbl>
    <w:p w:rsidR="00167F92" w:rsidRPr="00BF47B9" w:rsidRDefault="00167F92" w:rsidP="00A764CD">
      <w:pPr>
        <w:tabs>
          <w:tab w:val="clear" w:pos="794"/>
          <w:tab w:val="clear" w:pos="1191"/>
          <w:tab w:val="clear" w:pos="1588"/>
          <w:tab w:val="clear" w:pos="1985"/>
          <w:tab w:val="left" w:pos="4962"/>
        </w:tabs>
      </w:pPr>
      <w:r w:rsidRPr="00BF47B9">
        <w:tab/>
        <w:t>Genève, le</w:t>
      </w:r>
      <w:r w:rsidR="009E6375" w:rsidRPr="00BF47B9">
        <w:t xml:space="preserve"> 4 </w:t>
      </w:r>
      <w:r w:rsidR="00A764CD" w:rsidRPr="00BF47B9">
        <w:t xml:space="preserve">avril </w:t>
      </w:r>
      <w:r w:rsidR="002760D8">
        <w:t>2014</w:t>
      </w:r>
    </w:p>
    <w:p w:rsidR="00167F92" w:rsidRPr="00BF47B9" w:rsidRDefault="00167F92" w:rsidP="00A764CD">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167F92" w:rsidRPr="00BF47B9" w:rsidTr="00F34F98">
        <w:trPr>
          <w:cantSplit/>
          <w:trHeight w:val="340"/>
        </w:trPr>
        <w:tc>
          <w:tcPr>
            <w:tcW w:w="822" w:type="dxa"/>
          </w:tcPr>
          <w:p w:rsidR="00167F92" w:rsidRPr="00BF47B9" w:rsidRDefault="00167F92" w:rsidP="00A764CD">
            <w:pPr>
              <w:tabs>
                <w:tab w:val="left" w:pos="4111"/>
              </w:tabs>
              <w:spacing w:before="10"/>
              <w:ind w:left="57"/>
            </w:pPr>
            <w:r w:rsidRPr="00BF47B9">
              <w:t>Réf.:</w:t>
            </w:r>
          </w:p>
          <w:p w:rsidR="00167F92" w:rsidRPr="00BF47B9" w:rsidRDefault="00167F92" w:rsidP="00A764CD">
            <w:pPr>
              <w:tabs>
                <w:tab w:val="left" w:pos="4111"/>
              </w:tabs>
              <w:spacing w:before="10"/>
              <w:ind w:left="57"/>
            </w:pPr>
          </w:p>
          <w:p w:rsidR="00167F92" w:rsidRPr="00BF47B9" w:rsidRDefault="00167F92" w:rsidP="00A764CD">
            <w:pPr>
              <w:tabs>
                <w:tab w:val="left" w:pos="4111"/>
              </w:tabs>
              <w:spacing w:before="10"/>
              <w:ind w:left="57"/>
            </w:pPr>
          </w:p>
          <w:p w:rsidR="00167F92" w:rsidRPr="00BF47B9" w:rsidRDefault="00167F92" w:rsidP="00A764CD">
            <w:pPr>
              <w:tabs>
                <w:tab w:val="left" w:pos="4111"/>
              </w:tabs>
              <w:spacing w:before="10"/>
              <w:ind w:left="57"/>
            </w:pPr>
            <w:r w:rsidRPr="00BF47B9">
              <w:t>Tél.:</w:t>
            </w:r>
            <w:r w:rsidRPr="00BF47B9">
              <w:br/>
              <w:t>Fax:</w:t>
            </w:r>
            <w:r w:rsidRPr="00BF47B9">
              <w:br/>
            </w:r>
          </w:p>
          <w:p w:rsidR="00167F92" w:rsidRPr="00BF47B9" w:rsidRDefault="00167F92" w:rsidP="00A764CD">
            <w:pPr>
              <w:tabs>
                <w:tab w:val="left" w:pos="4111"/>
              </w:tabs>
              <w:spacing w:before="10"/>
              <w:ind w:left="57"/>
            </w:pPr>
            <w:r w:rsidRPr="00BF47B9">
              <w:t>E-mail:</w:t>
            </w:r>
          </w:p>
        </w:tc>
        <w:tc>
          <w:tcPr>
            <w:tcW w:w="4055" w:type="dxa"/>
          </w:tcPr>
          <w:p w:rsidR="00167F92" w:rsidRPr="002760D8" w:rsidRDefault="00167F92" w:rsidP="002760D8">
            <w:pPr>
              <w:tabs>
                <w:tab w:val="left" w:pos="4111"/>
              </w:tabs>
              <w:spacing w:before="10"/>
              <w:ind w:left="57"/>
              <w:rPr>
                <w:b/>
                <w:lang w:val="en-US"/>
              </w:rPr>
            </w:pPr>
            <w:proofErr w:type="spellStart"/>
            <w:r w:rsidRPr="004A2EF1">
              <w:rPr>
                <w:b/>
                <w:lang w:val="en-US"/>
              </w:rPr>
              <w:t>Circulaire</w:t>
            </w:r>
            <w:proofErr w:type="spellEnd"/>
            <w:r w:rsidRPr="002760D8">
              <w:rPr>
                <w:b/>
                <w:lang w:val="en-US"/>
              </w:rPr>
              <w:t xml:space="preserve"> TSB </w:t>
            </w:r>
            <w:r w:rsidR="002760D8">
              <w:rPr>
                <w:b/>
                <w:lang w:val="en-US"/>
              </w:rPr>
              <w:t>92</w:t>
            </w:r>
          </w:p>
          <w:p w:rsidR="00167F92" w:rsidRPr="002760D8" w:rsidRDefault="00167F92" w:rsidP="002760D8">
            <w:pPr>
              <w:tabs>
                <w:tab w:val="left" w:pos="4111"/>
              </w:tabs>
              <w:spacing w:before="10"/>
              <w:ind w:left="57"/>
              <w:rPr>
                <w:b/>
                <w:lang w:val="en-US"/>
              </w:rPr>
            </w:pPr>
            <w:r w:rsidRPr="002760D8">
              <w:rPr>
                <w:lang w:val="en-US"/>
              </w:rPr>
              <w:t>TSB Workshops/</w:t>
            </w:r>
            <w:r w:rsidR="002760D8">
              <w:rPr>
                <w:lang w:val="en-US"/>
              </w:rPr>
              <w:t>CB</w:t>
            </w:r>
            <w:r w:rsidRPr="002760D8">
              <w:rPr>
                <w:lang w:val="en-US"/>
              </w:rPr>
              <w:t>.</w:t>
            </w:r>
          </w:p>
          <w:p w:rsidR="00167F92" w:rsidRPr="002760D8" w:rsidRDefault="00167F92" w:rsidP="00A764CD">
            <w:pPr>
              <w:tabs>
                <w:tab w:val="left" w:pos="4111"/>
              </w:tabs>
              <w:spacing w:before="10"/>
              <w:ind w:left="57"/>
              <w:rPr>
                <w:lang w:val="en-US"/>
              </w:rPr>
            </w:pPr>
          </w:p>
          <w:p w:rsidR="00167F92" w:rsidRPr="00BF47B9" w:rsidRDefault="00167F92" w:rsidP="00A764CD">
            <w:pPr>
              <w:tabs>
                <w:tab w:val="left" w:pos="4111"/>
              </w:tabs>
              <w:spacing w:before="10"/>
              <w:ind w:left="57"/>
            </w:pPr>
            <w:r w:rsidRPr="00BF47B9">
              <w:t>+41 22 730</w:t>
            </w:r>
            <w:r w:rsidR="00A764CD" w:rsidRPr="00BF47B9">
              <w:t xml:space="preserve"> 6301</w:t>
            </w:r>
            <w:r w:rsidRPr="00BF47B9">
              <w:br/>
              <w:t>+41 22 730 5853</w:t>
            </w:r>
            <w:r w:rsidRPr="00BF47B9">
              <w:br/>
            </w:r>
          </w:p>
          <w:p w:rsidR="00167F92" w:rsidRPr="00BF47B9" w:rsidRDefault="009D4F88" w:rsidP="00A764CD">
            <w:pPr>
              <w:tabs>
                <w:tab w:val="left" w:pos="4111"/>
              </w:tabs>
              <w:spacing w:before="10"/>
              <w:ind w:left="57"/>
            </w:pPr>
            <w:hyperlink r:id="rId9" w:history="1">
              <w:r w:rsidR="002760D8" w:rsidRPr="00BF47B9">
                <w:rPr>
                  <w:rStyle w:val="Hyperlink"/>
                  <w:szCs w:val="24"/>
                </w:rPr>
                <w:t>cristina.bueti@itu.int</w:t>
              </w:r>
            </w:hyperlink>
          </w:p>
        </w:tc>
        <w:tc>
          <w:tcPr>
            <w:tcW w:w="5046" w:type="dxa"/>
          </w:tcPr>
          <w:p w:rsidR="00167F92" w:rsidRPr="00BF47B9" w:rsidRDefault="00167F92" w:rsidP="00A764CD">
            <w:pPr>
              <w:numPr>
                <w:ilvl w:val="0"/>
                <w:numId w:val="4"/>
              </w:numPr>
              <w:tabs>
                <w:tab w:val="clear" w:pos="417"/>
                <w:tab w:val="clear" w:pos="794"/>
                <w:tab w:val="clear" w:pos="1191"/>
                <w:tab w:val="clear" w:pos="1588"/>
                <w:tab w:val="clear" w:pos="1985"/>
                <w:tab w:val="left" w:pos="239"/>
              </w:tabs>
              <w:spacing w:before="0"/>
              <w:ind w:left="239" w:hanging="239"/>
            </w:pPr>
            <w:r w:rsidRPr="00BF47B9">
              <w:t>Aux administrations des Etats Membres de l</w:t>
            </w:r>
            <w:r w:rsidR="00167472" w:rsidRPr="00BF47B9">
              <w:t>'</w:t>
            </w:r>
            <w:r w:rsidRPr="00BF47B9">
              <w:t>Union</w:t>
            </w:r>
          </w:p>
          <w:p w:rsidR="00AD752F" w:rsidRPr="00BF47B9" w:rsidRDefault="00AD752F" w:rsidP="00A764CD">
            <w:pPr>
              <w:numPr>
                <w:ilvl w:val="0"/>
                <w:numId w:val="4"/>
              </w:numPr>
              <w:tabs>
                <w:tab w:val="clear" w:pos="417"/>
                <w:tab w:val="clear" w:pos="794"/>
                <w:tab w:val="clear" w:pos="1191"/>
                <w:tab w:val="clear" w:pos="1588"/>
                <w:tab w:val="clear" w:pos="1985"/>
                <w:tab w:val="left" w:pos="239"/>
              </w:tabs>
              <w:spacing w:before="0"/>
              <w:ind w:left="239" w:hanging="239"/>
            </w:pPr>
            <w:r w:rsidRPr="00BF47B9">
              <w:t>Aux Membres du Secteur UIT-T</w:t>
            </w:r>
          </w:p>
          <w:p w:rsidR="00AD752F" w:rsidRPr="00BF47B9" w:rsidRDefault="00AD752F" w:rsidP="00A764CD">
            <w:pPr>
              <w:numPr>
                <w:ilvl w:val="0"/>
                <w:numId w:val="4"/>
              </w:numPr>
              <w:tabs>
                <w:tab w:val="clear" w:pos="417"/>
                <w:tab w:val="clear" w:pos="794"/>
                <w:tab w:val="clear" w:pos="1191"/>
                <w:tab w:val="clear" w:pos="1588"/>
                <w:tab w:val="clear" w:pos="1985"/>
                <w:tab w:val="left" w:pos="239"/>
              </w:tabs>
              <w:spacing w:before="0"/>
              <w:ind w:left="239" w:hanging="239"/>
            </w:pPr>
            <w:r w:rsidRPr="00BF47B9">
              <w:t>Aux Associés de l'UIT-T</w:t>
            </w:r>
          </w:p>
          <w:p w:rsidR="00AD752F" w:rsidRPr="00BF47B9" w:rsidRDefault="00AD752F" w:rsidP="00A764CD">
            <w:pPr>
              <w:numPr>
                <w:ilvl w:val="0"/>
                <w:numId w:val="4"/>
              </w:numPr>
              <w:tabs>
                <w:tab w:val="clear" w:pos="417"/>
                <w:tab w:val="clear" w:pos="794"/>
                <w:tab w:val="clear" w:pos="1191"/>
                <w:tab w:val="clear" w:pos="1588"/>
                <w:tab w:val="clear" w:pos="1985"/>
                <w:tab w:val="left" w:pos="239"/>
              </w:tabs>
              <w:spacing w:before="0"/>
              <w:ind w:left="239" w:hanging="239"/>
            </w:pPr>
            <w:r w:rsidRPr="00BF47B9">
              <w:t>Aux établissements universitaires participant aux travaux de l'UIT-T</w:t>
            </w:r>
          </w:p>
          <w:p w:rsidR="00E2408B" w:rsidRPr="00BF47B9" w:rsidRDefault="00E2408B" w:rsidP="00A764CD">
            <w:pPr>
              <w:tabs>
                <w:tab w:val="clear" w:pos="794"/>
                <w:tab w:val="clear" w:pos="1191"/>
                <w:tab w:val="clear" w:pos="1588"/>
                <w:tab w:val="clear" w:pos="1985"/>
                <w:tab w:val="left" w:pos="226"/>
              </w:tabs>
              <w:spacing w:before="0"/>
              <w:ind w:left="226"/>
            </w:pPr>
          </w:p>
        </w:tc>
      </w:tr>
      <w:tr w:rsidR="00167F92" w:rsidRPr="00BF47B9" w:rsidTr="00F34F98">
        <w:trPr>
          <w:cantSplit/>
        </w:trPr>
        <w:tc>
          <w:tcPr>
            <w:tcW w:w="822" w:type="dxa"/>
          </w:tcPr>
          <w:p w:rsidR="00167F92" w:rsidRPr="00BF47B9" w:rsidRDefault="00167F92" w:rsidP="00A764CD">
            <w:pPr>
              <w:tabs>
                <w:tab w:val="left" w:pos="4111"/>
              </w:tabs>
              <w:spacing w:before="10"/>
              <w:ind w:left="57"/>
              <w:rPr>
                <w:rFonts w:ascii="Futura Lt BT" w:hAnsi="Futura Lt BT"/>
                <w:sz w:val="20"/>
              </w:rPr>
            </w:pPr>
          </w:p>
        </w:tc>
        <w:tc>
          <w:tcPr>
            <w:tcW w:w="4055" w:type="dxa"/>
          </w:tcPr>
          <w:p w:rsidR="00167F92" w:rsidRPr="00BF47B9" w:rsidRDefault="00167F92" w:rsidP="00A764CD">
            <w:pPr>
              <w:tabs>
                <w:tab w:val="left" w:pos="4111"/>
              </w:tabs>
              <w:spacing w:before="0"/>
              <w:ind w:left="57"/>
            </w:pPr>
          </w:p>
        </w:tc>
        <w:tc>
          <w:tcPr>
            <w:tcW w:w="5046" w:type="dxa"/>
          </w:tcPr>
          <w:p w:rsidR="00167F92" w:rsidRPr="00BF47B9" w:rsidRDefault="00167F92" w:rsidP="00A764CD">
            <w:pPr>
              <w:tabs>
                <w:tab w:val="left" w:pos="4111"/>
              </w:tabs>
              <w:spacing w:before="0"/>
            </w:pPr>
            <w:r w:rsidRPr="00BF47B9">
              <w:rPr>
                <w:b/>
              </w:rPr>
              <w:t>Copie</w:t>
            </w:r>
            <w:r w:rsidRPr="00BF47B9">
              <w:rPr>
                <w:b/>
                <w:bCs/>
              </w:rPr>
              <w:t>:</w:t>
            </w:r>
          </w:p>
          <w:p w:rsidR="00A764CD" w:rsidRPr="00BF47B9" w:rsidRDefault="00A764CD" w:rsidP="00A764CD">
            <w:pPr>
              <w:tabs>
                <w:tab w:val="clear" w:pos="794"/>
                <w:tab w:val="left" w:pos="349"/>
                <w:tab w:val="left" w:pos="785"/>
                <w:tab w:val="left" w:pos="4111"/>
              </w:tabs>
              <w:spacing w:before="0"/>
              <w:ind w:left="349" w:hanging="349"/>
              <w:rPr>
                <w:szCs w:val="24"/>
              </w:rPr>
            </w:pPr>
            <w:r w:rsidRPr="00BF47B9">
              <w:t>-</w:t>
            </w:r>
            <w:r w:rsidRPr="00BF47B9">
              <w:rPr>
                <w:szCs w:val="24"/>
              </w:rPr>
              <w:tab/>
              <w:t>Aux Présidents et Vice-Présidents des Commissions d'études de l'UIT</w:t>
            </w:r>
            <w:r w:rsidRPr="00BF47B9">
              <w:rPr>
                <w:szCs w:val="24"/>
              </w:rPr>
              <w:noBreakHyphen/>
              <w:t>T;</w:t>
            </w:r>
          </w:p>
          <w:p w:rsidR="00A764CD" w:rsidRPr="00BF47B9" w:rsidRDefault="00A764CD" w:rsidP="00A764CD">
            <w:pPr>
              <w:tabs>
                <w:tab w:val="clear" w:pos="794"/>
                <w:tab w:val="left" w:pos="226"/>
                <w:tab w:val="left" w:pos="349"/>
                <w:tab w:val="left" w:pos="785"/>
                <w:tab w:val="left" w:pos="4111"/>
              </w:tabs>
              <w:spacing w:before="0"/>
              <w:ind w:left="349" w:hanging="349"/>
              <w:rPr>
                <w:szCs w:val="24"/>
              </w:rPr>
            </w:pPr>
            <w:r w:rsidRPr="00BF47B9">
              <w:rPr>
                <w:szCs w:val="24"/>
              </w:rPr>
              <w:t>-</w:t>
            </w:r>
            <w:r w:rsidRPr="00BF47B9">
              <w:rPr>
                <w:szCs w:val="24"/>
              </w:rPr>
              <w:tab/>
              <w:t>Au Directeur du Bureau de développement des télécommunications;</w:t>
            </w:r>
          </w:p>
          <w:p w:rsidR="00A764CD" w:rsidRPr="00BF47B9" w:rsidRDefault="00A764CD" w:rsidP="00A764CD">
            <w:pPr>
              <w:tabs>
                <w:tab w:val="clear" w:pos="794"/>
                <w:tab w:val="left" w:pos="226"/>
                <w:tab w:val="left" w:pos="349"/>
                <w:tab w:val="left" w:pos="785"/>
                <w:tab w:val="left" w:pos="4111"/>
              </w:tabs>
              <w:spacing w:before="0"/>
              <w:ind w:left="349" w:hanging="349"/>
              <w:rPr>
                <w:szCs w:val="24"/>
              </w:rPr>
            </w:pPr>
            <w:r w:rsidRPr="00BF47B9">
              <w:rPr>
                <w:szCs w:val="24"/>
              </w:rPr>
              <w:t>-</w:t>
            </w:r>
            <w:r w:rsidRPr="00BF47B9">
              <w:rPr>
                <w:szCs w:val="24"/>
              </w:rPr>
              <w:tab/>
              <w:t>Au Directeur du Bureau des radiocommunications;</w:t>
            </w:r>
          </w:p>
          <w:p w:rsidR="00167F92" w:rsidRPr="00BF47B9" w:rsidRDefault="00A764CD" w:rsidP="00A764CD">
            <w:pPr>
              <w:tabs>
                <w:tab w:val="clear" w:pos="794"/>
                <w:tab w:val="left" w:pos="226"/>
                <w:tab w:val="left" w:pos="4111"/>
              </w:tabs>
              <w:spacing w:before="0"/>
              <w:ind w:left="226" w:hanging="226"/>
            </w:pPr>
            <w:r w:rsidRPr="00BF47B9">
              <w:rPr>
                <w:szCs w:val="24"/>
              </w:rPr>
              <w:t>-</w:t>
            </w:r>
            <w:r w:rsidRPr="00BF47B9">
              <w:rPr>
                <w:szCs w:val="24"/>
              </w:rPr>
              <w:tab/>
              <w:t>A la Mission permanente de l'Italie en Suisse</w:t>
            </w:r>
          </w:p>
        </w:tc>
      </w:tr>
    </w:tbl>
    <w:p w:rsidR="00167F92" w:rsidRPr="00BF47B9" w:rsidRDefault="00167F92" w:rsidP="00A764CD">
      <w:pPr>
        <w:tabs>
          <w:tab w:val="left" w:pos="4111"/>
        </w:tabs>
        <w:spacing w:before="0"/>
        <w:ind w:left="57"/>
      </w:pPr>
    </w:p>
    <w:tbl>
      <w:tblPr>
        <w:tblW w:w="0" w:type="auto"/>
        <w:tblInd w:w="8" w:type="dxa"/>
        <w:tblLayout w:type="fixed"/>
        <w:tblCellMar>
          <w:left w:w="0" w:type="dxa"/>
          <w:right w:w="0" w:type="dxa"/>
        </w:tblCellMar>
        <w:tblLook w:val="0000" w:firstRow="0" w:lastRow="0" w:firstColumn="0" w:lastColumn="0" w:noHBand="0" w:noVBand="0"/>
      </w:tblPr>
      <w:tblGrid>
        <w:gridCol w:w="822"/>
        <w:gridCol w:w="6258"/>
      </w:tblGrid>
      <w:tr w:rsidR="00167F92" w:rsidRPr="00BF47B9" w:rsidTr="00A764CD">
        <w:trPr>
          <w:cantSplit/>
          <w:trHeight w:val="680"/>
        </w:trPr>
        <w:tc>
          <w:tcPr>
            <w:tcW w:w="822" w:type="dxa"/>
          </w:tcPr>
          <w:p w:rsidR="00167F92" w:rsidRPr="00BF47B9" w:rsidRDefault="00167F92" w:rsidP="00A764CD">
            <w:pPr>
              <w:tabs>
                <w:tab w:val="left" w:pos="4111"/>
              </w:tabs>
              <w:spacing w:before="10"/>
              <w:ind w:left="57"/>
              <w:rPr>
                <w:sz w:val="22"/>
              </w:rPr>
            </w:pPr>
            <w:r w:rsidRPr="00BF47B9">
              <w:rPr>
                <w:sz w:val="22"/>
              </w:rPr>
              <w:t>Objet:</w:t>
            </w:r>
          </w:p>
        </w:tc>
        <w:tc>
          <w:tcPr>
            <w:tcW w:w="6258" w:type="dxa"/>
          </w:tcPr>
          <w:p w:rsidR="00A764CD" w:rsidRPr="00BF47B9" w:rsidRDefault="00A764CD" w:rsidP="00A764CD">
            <w:pPr>
              <w:tabs>
                <w:tab w:val="left" w:pos="4111"/>
              </w:tabs>
              <w:spacing w:before="0"/>
              <w:ind w:left="57"/>
              <w:rPr>
                <w:b/>
                <w:bCs/>
                <w:szCs w:val="24"/>
              </w:rPr>
            </w:pPr>
            <w:r w:rsidRPr="00BF47B9">
              <w:rPr>
                <w:b/>
                <w:bCs/>
                <w:szCs w:val="24"/>
              </w:rPr>
              <w:t>Manifestations UIT sur les villes intelligentes et durables</w:t>
            </w:r>
          </w:p>
          <w:p w:rsidR="00167F92" w:rsidRPr="00BF47B9" w:rsidRDefault="00A764CD" w:rsidP="00A764CD">
            <w:pPr>
              <w:tabs>
                <w:tab w:val="left" w:pos="4111"/>
              </w:tabs>
              <w:spacing w:before="0"/>
              <w:ind w:left="57"/>
            </w:pPr>
            <w:r w:rsidRPr="00BF47B9">
              <w:rPr>
                <w:b/>
                <w:bCs/>
                <w:szCs w:val="24"/>
              </w:rPr>
              <w:t>(Gênes, Italie, du 17 au 20 juin 2014)</w:t>
            </w:r>
          </w:p>
        </w:tc>
      </w:tr>
    </w:tbl>
    <w:p w:rsidR="00167F92" w:rsidRPr="00BF47B9" w:rsidRDefault="00167F92" w:rsidP="00A764CD"/>
    <w:p w:rsidR="00167F92" w:rsidRPr="00BF47B9" w:rsidRDefault="00167F92" w:rsidP="00A764CD">
      <w:pPr>
        <w:pStyle w:val="ITUintr"/>
        <w:tabs>
          <w:tab w:val="clear" w:pos="737"/>
          <w:tab w:val="clear" w:pos="1134"/>
          <w:tab w:val="left" w:pos="794"/>
        </w:tabs>
        <w:spacing w:before="120"/>
        <w:ind w:right="92"/>
        <w:rPr>
          <w:sz w:val="24"/>
        </w:rPr>
      </w:pPr>
      <w:r w:rsidRPr="00BF47B9">
        <w:rPr>
          <w:sz w:val="24"/>
        </w:rPr>
        <w:t>Madame, Monsieur,</w:t>
      </w:r>
    </w:p>
    <w:p w:rsidR="00A764CD" w:rsidRPr="00BF47B9" w:rsidRDefault="00A764CD" w:rsidP="00A764CD">
      <w:r w:rsidRPr="00BF47B9">
        <w:t>1</w:t>
      </w:r>
      <w:r w:rsidRPr="00BF47B9">
        <w:tab/>
        <w:t xml:space="preserve">A l'aimable invitation de la municipalité de Gênes, l'Union internationale des télécommunications (UIT) soutient et organise une série de manifestations sur le thème: </w:t>
      </w:r>
      <w:r w:rsidRPr="00BF47B9">
        <w:rPr>
          <w:rFonts w:asciiTheme="majorBidi" w:hAnsiTheme="majorBidi" w:cstheme="majorBidi"/>
          <w:szCs w:val="24"/>
        </w:rPr>
        <w:t>"</w:t>
      </w:r>
      <w:r w:rsidRPr="00BF47B9">
        <w:t>Des villes intelligentes et durables</w:t>
      </w:r>
      <w:r w:rsidRPr="00BF47B9">
        <w:rPr>
          <w:rFonts w:asciiTheme="majorBidi" w:hAnsiTheme="majorBidi" w:cstheme="majorBidi"/>
          <w:szCs w:val="24"/>
        </w:rPr>
        <w:t>"</w:t>
      </w:r>
      <w:r w:rsidRPr="00BF47B9">
        <w:t>, du 17 au 20 juin 2014 à Gênes (Italie).</w:t>
      </w:r>
    </w:p>
    <w:p w:rsidR="00A764CD" w:rsidRPr="00BF47B9" w:rsidRDefault="00A764CD" w:rsidP="00A764CD">
      <w:pPr>
        <w:pStyle w:val="ListParagraph"/>
        <w:tabs>
          <w:tab w:val="clear" w:pos="794"/>
          <w:tab w:val="clear" w:pos="1191"/>
          <w:tab w:val="left" w:pos="0"/>
        </w:tabs>
        <w:ind w:left="0"/>
        <w:rPr>
          <w:szCs w:val="24"/>
        </w:rPr>
      </w:pPr>
      <w:r w:rsidRPr="00BF47B9">
        <w:rPr>
          <w:szCs w:val="24"/>
        </w:rPr>
        <w:t xml:space="preserve">Les temps forts de ces manifestations seront les suivants: </w:t>
      </w:r>
    </w:p>
    <w:p w:rsidR="00A764CD" w:rsidRPr="00BF47B9" w:rsidRDefault="00A764CD" w:rsidP="00A764CD">
      <w:pPr>
        <w:pStyle w:val="enumlev1"/>
      </w:pPr>
      <w:r w:rsidRPr="00BF47B9">
        <w:t>-</w:t>
      </w:r>
      <w:r w:rsidRPr="00BF47B9">
        <w:tab/>
        <w:t>17-18 juin 2014 (matin): Manifestation "TRANSFORM", organisée par la municipalité de Gênes;</w:t>
      </w:r>
    </w:p>
    <w:p w:rsidR="00A764CD" w:rsidRPr="00BF47B9" w:rsidRDefault="00A764CD" w:rsidP="00A764CD">
      <w:pPr>
        <w:pStyle w:val="enumlev1"/>
      </w:pPr>
      <w:r w:rsidRPr="00BF47B9">
        <w:t>-</w:t>
      </w:r>
      <w:r w:rsidRPr="00BF47B9">
        <w:tab/>
        <w:t xml:space="preserve">18 juin 2014 (après-midi): Forum sur le thème: "La ville telle que nous la voulons: intelligente et durable", organisé conjointement par </w:t>
      </w:r>
      <w:r w:rsidR="00D7515C" w:rsidRPr="00BF47B9">
        <w:t xml:space="preserve">l'UIT, </w:t>
      </w:r>
      <w:r w:rsidRPr="00BF47B9">
        <w:t>la Commission européenne et la municipalité de Gênes;</w:t>
      </w:r>
    </w:p>
    <w:p w:rsidR="00A764CD" w:rsidRPr="00BF47B9" w:rsidRDefault="00A764CD" w:rsidP="00A764CD">
      <w:pPr>
        <w:pStyle w:val="enumlev1"/>
      </w:pPr>
      <w:r w:rsidRPr="00BF47B9">
        <w:t>-</w:t>
      </w:r>
      <w:r w:rsidRPr="00BF47B9">
        <w:tab/>
        <w:t>19-20 juin 2014: Cinquième réunion du Groupe spécialisé sur les villes intelligentes et durables (FG</w:t>
      </w:r>
      <w:r w:rsidRPr="00BF47B9">
        <w:noBreakHyphen/>
        <w:t>SSC), organisée par l'UIT.</w:t>
      </w:r>
    </w:p>
    <w:p w:rsidR="00A764CD" w:rsidRPr="00BF47B9" w:rsidRDefault="00A764CD" w:rsidP="00A764CD">
      <w:r w:rsidRPr="00BF47B9">
        <w:rPr>
          <w:szCs w:val="24"/>
        </w:rPr>
        <w:t>2</w:t>
      </w:r>
      <w:r w:rsidRPr="00BF47B9">
        <w:rPr>
          <w:szCs w:val="24"/>
        </w:rPr>
        <w:tab/>
        <w:t>Les discussions auront lieu en anglais seulement.</w:t>
      </w:r>
      <w:r w:rsidRPr="00BF47B9">
        <w:t xml:space="preserve"> </w:t>
      </w:r>
    </w:p>
    <w:p w:rsidR="00A764CD" w:rsidRPr="00BF47B9" w:rsidRDefault="00A764CD" w:rsidP="00A764CD">
      <w:r w:rsidRPr="00BF47B9">
        <w:t>3</w:t>
      </w:r>
      <w:r w:rsidRPr="00BF47B9">
        <w:tab/>
        <w:t xml:space="preserve">La participation est ouverte aux Etats Membres, aux Membres de Secteur, aux Associés de l'UIT et aux établissements universitaires participant aux travaux de l'Union, ainsi qu'à toute personne souhaitant contribuer aux travaux. Il peut s'agir de personnes qui sont aussi membres d'organisations internationales, régionales ou nationales. La participation à ces manifestations est gratuite. </w:t>
      </w:r>
    </w:p>
    <w:p w:rsidR="000E1C60" w:rsidRDefault="00A764CD" w:rsidP="00D7515C">
      <w:pPr>
        <w:sectPr w:rsidR="000E1C60" w:rsidSect="00F34F98">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134" w:header="567" w:footer="567" w:gutter="0"/>
          <w:paperSrc w:first="15" w:other="15"/>
          <w:cols w:space="720"/>
          <w:titlePg/>
        </w:sectPr>
      </w:pPr>
      <w:r w:rsidRPr="00BF47B9">
        <w:rPr>
          <w:bCs/>
        </w:rPr>
        <w:t>4</w:t>
      </w:r>
      <w:r w:rsidRPr="00BF47B9">
        <w:rPr>
          <w:bCs/>
        </w:rPr>
        <w:tab/>
        <w:t>Ces manifestations visent à r</w:t>
      </w:r>
      <w:r w:rsidRPr="00BF47B9">
        <w:t xml:space="preserve">assembler d'éminents spécialistes du domaine – décideurs au plus haut niveau, ingénieurs, concepteurs, responsables de la planification, représentants gouvernementaux, régulateurs, universitaires, </w:t>
      </w:r>
      <w:r w:rsidR="00D7515C" w:rsidRPr="00BF47B9">
        <w:t>spécialistes</w:t>
      </w:r>
      <w:r w:rsidRPr="00BF47B9">
        <w:t xml:space="preserve"> de la normalisation, entre autres – afin de les sensibiliser au rôle que peuvent jouer les TIC dans la constructi</w:t>
      </w:r>
      <w:r w:rsidR="000E1C60">
        <w:t>on des villes que nous voulons.</w:t>
      </w:r>
    </w:p>
    <w:p w:rsidR="00A764CD" w:rsidRPr="00BF47B9" w:rsidRDefault="00A764CD" w:rsidP="002760D8">
      <w:pPr>
        <w:keepLines/>
        <w:rPr>
          <w:szCs w:val="24"/>
        </w:rPr>
      </w:pPr>
      <w:r w:rsidRPr="00BF47B9">
        <w:lastRenderedPageBreak/>
        <w:t>5</w:t>
      </w:r>
      <w:r w:rsidRPr="00BF47B9">
        <w:tab/>
        <w:t>Un projet de programme sera disponible sur le site web consacré à ces manifestations (</w:t>
      </w:r>
      <w:hyperlink r:id="rId16" w:history="1">
        <w:r w:rsidRPr="00BF47B9">
          <w:rPr>
            <w:rStyle w:val="Hyperlink"/>
            <w:rFonts w:asciiTheme="majorBidi" w:hAnsiTheme="majorBidi" w:cstheme="majorBidi"/>
            <w:szCs w:val="24"/>
          </w:rPr>
          <w:t>http://www.itu.int/en/ITU-T/Workshops-and-Seminars/Pages/2014/IT-2014.aspx</w:t>
        </w:r>
      </w:hyperlink>
      <w:r w:rsidRPr="00BF47B9">
        <w:rPr>
          <w:rFonts w:asciiTheme="majorBidi" w:hAnsiTheme="majorBidi" w:cstheme="majorBidi"/>
          <w:szCs w:val="24"/>
        </w:rPr>
        <w:t>.</w:t>
      </w:r>
      <w:r w:rsidRPr="00BF47B9">
        <w:rPr>
          <w:szCs w:val="24"/>
        </w:rPr>
        <w:t>). N'hésitez pas à vous mettre en rapport avec Cristina Bueti (</w:t>
      </w:r>
      <w:hyperlink r:id="rId17" w:history="1">
        <w:r w:rsidRPr="00BF47B9">
          <w:rPr>
            <w:rStyle w:val="Hyperlink"/>
            <w:szCs w:val="24"/>
          </w:rPr>
          <w:t>cristina.bueti@itu.int</w:t>
        </w:r>
      </w:hyperlink>
      <w:r w:rsidRPr="00BF47B9">
        <w:rPr>
          <w:szCs w:val="24"/>
        </w:rPr>
        <w:t>)</w:t>
      </w:r>
      <w:r w:rsidRPr="00BF47B9">
        <w:t xml:space="preserve"> </w:t>
      </w:r>
      <w:r w:rsidRPr="00BF47B9">
        <w:rPr>
          <w:szCs w:val="24"/>
        </w:rPr>
        <w:t>si vous avez besoin d'autres informations concernant le programme.</w:t>
      </w:r>
    </w:p>
    <w:p w:rsidR="00A764CD" w:rsidRPr="00BF47B9" w:rsidRDefault="00A764CD" w:rsidP="00D7515C">
      <w:r w:rsidRPr="00BF47B9">
        <w:rPr>
          <w:szCs w:val="24"/>
        </w:rPr>
        <w:t>6</w:t>
      </w:r>
      <w:r w:rsidRPr="00BF47B9">
        <w:rPr>
          <w:szCs w:val="24"/>
        </w:rPr>
        <w:tab/>
      </w:r>
      <w:r w:rsidRPr="00BF47B9">
        <w:rPr>
          <w:b/>
          <w:bCs/>
          <w:szCs w:val="24"/>
        </w:rPr>
        <w:t xml:space="preserve">Hébergement: </w:t>
      </w:r>
      <w:r w:rsidRPr="00BF47B9">
        <w:rPr>
          <w:szCs w:val="24"/>
        </w:rPr>
        <w:t>Vous trouverez des précisions sur les hôtels, les transports, les</w:t>
      </w:r>
      <w:r w:rsidR="00D7515C" w:rsidRPr="00BF47B9">
        <w:rPr>
          <w:szCs w:val="24"/>
        </w:rPr>
        <w:t xml:space="preserve"> formalités </w:t>
      </w:r>
      <w:r w:rsidRPr="00BF47B9">
        <w:rPr>
          <w:szCs w:val="24"/>
        </w:rPr>
        <w:t xml:space="preserve">de visa et les normes sanitaires sur le site web consacré à ces manifestations. Ce site sera mis à jour à mesure que </w:t>
      </w:r>
      <w:r w:rsidR="00D7515C" w:rsidRPr="00BF47B9">
        <w:rPr>
          <w:szCs w:val="24"/>
        </w:rPr>
        <w:t xml:space="preserve">parviendront </w:t>
      </w:r>
      <w:r w:rsidRPr="00BF47B9">
        <w:rPr>
          <w:szCs w:val="24"/>
        </w:rPr>
        <w:t xml:space="preserve">des </w:t>
      </w:r>
      <w:r w:rsidR="00D7515C" w:rsidRPr="00BF47B9">
        <w:rPr>
          <w:szCs w:val="24"/>
        </w:rPr>
        <w:t xml:space="preserve">informations </w:t>
      </w:r>
      <w:r w:rsidRPr="00BF47B9">
        <w:rPr>
          <w:szCs w:val="24"/>
        </w:rPr>
        <w:t xml:space="preserve">nouvelles </w:t>
      </w:r>
      <w:r w:rsidR="00D7515C" w:rsidRPr="00BF47B9">
        <w:rPr>
          <w:szCs w:val="24"/>
        </w:rPr>
        <w:t>ou modifiées</w:t>
      </w:r>
      <w:r w:rsidRPr="00BF47B9">
        <w:rPr>
          <w:szCs w:val="24"/>
        </w:rPr>
        <w:t>.</w:t>
      </w:r>
    </w:p>
    <w:p w:rsidR="00A764CD" w:rsidRPr="00BF47B9" w:rsidRDefault="00A764CD" w:rsidP="00A764CD">
      <w:r w:rsidRPr="00BF47B9">
        <w:t>7</w:t>
      </w:r>
      <w:r w:rsidRPr="00BF47B9">
        <w:tab/>
      </w:r>
      <w:r w:rsidRPr="00BF47B9">
        <w:rPr>
          <w:b/>
          <w:bCs/>
        </w:rPr>
        <w:t xml:space="preserve">Bourses: </w:t>
      </w:r>
      <w:r w:rsidRPr="00BF47B9">
        <w:t>L'UIT ne sera pas malheureusement pas en mesure d'accorder des bourses en raison de restrictions budgétaires.</w:t>
      </w:r>
    </w:p>
    <w:p w:rsidR="00A764CD" w:rsidRPr="00BF47B9" w:rsidRDefault="00A764CD" w:rsidP="00D7515C">
      <w:r w:rsidRPr="00BF47B9">
        <w:t>8</w:t>
      </w:r>
      <w:r w:rsidRPr="00BF47B9">
        <w:tab/>
      </w:r>
      <w:r w:rsidRPr="00BF47B9">
        <w:rPr>
          <w:b/>
          <w:bCs/>
        </w:rPr>
        <w:t xml:space="preserve">Inscriptions: </w:t>
      </w:r>
      <w:r w:rsidRPr="00BF47B9">
        <w:t>Afin de permettre au TSB de prendre les dispositions nécessaires </w:t>
      </w:r>
      <w:r w:rsidRPr="00BF47B9">
        <w:rPr>
          <w:szCs w:val="24"/>
        </w:rPr>
        <w:t>concernant</w:t>
      </w:r>
      <w:r w:rsidRPr="00BF47B9">
        <w:t xml:space="preserve"> l'organisation des ateliers, nous vous saurions gré de bien vouloir vous inscrire au moyen du formulaire en ligne sur le site web des manifestations </w:t>
      </w:r>
      <w:r w:rsidRPr="00B3062A">
        <w:t>dès que possible</w:t>
      </w:r>
      <w:r w:rsidRPr="00BF47B9">
        <w:t xml:space="preserve">, et </w:t>
      </w:r>
      <w:r w:rsidRPr="00BF47B9">
        <w:rPr>
          <w:b/>
          <w:bCs/>
        </w:rPr>
        <w:t>au plus tard le</w:t>
      </w:r>
      <w:r w:rsidRPr="00BF47B9">
        <w:t xml:space="preserve"> </w:t>
      </w:r>
      <w:r w:rsidRPr="00BF47B9">
        <w:rPr>
          <w:b/>
        </w:rPr>
        <w:t>13 juin 2014. Veuillez noter que l</w:t>
      </w:r>
      <w:r w:rsidR="00D7515C" w:rsidRPr="00BF47B9">
        <w:rPr>
          <w:b/>
        </w:rPr>
        <w:t>'</w:t>
      </w:r>
      <w:r w:rsidRPr="00BF47B9">
        <w:rPr>
          <w:b/>
        </w:rPr>
        <w:t xml:space="preserve">inscription </w:t>
      </w:r>
      <w:r w:rsidR="00D7515C" w:rsidRPr="00BF47B9">
        <w:rPr>
          <w:b/>
        </w:rPr>
        <w:t xml:space="preserve">préalable </w:t>
      </w:r>
      <w:r w:rsidRPr="00BF47B9">
        <w:rPr>
          <w:b/>
        </w:rPr>
        <w:t xml:space="preserve">des participants </w:t>
      </w:r>
      <w:r w:rsidR="00D7515C" w:rsidRPr="00BF47B9">
        <w:rPr>
          <w:b/>
        </w:rPr>
        <w:t xml:space="preserve">aux manifestations </w:t>
      </w:r>
      <w:r w:rsidRPr="00BF47B9">
        <w:rPr>
          <w:b/>
        </w:rPr>
        <w:t xml:space="preserve">se fera exclusivement </w:t>
      </w:r>
      <w:r w:rsidRPr="00BF47B9">
        <w:rPr>
          <w:b/>
          <w:i/>
          <w:iCs/>
        </w:rPr>
        <w:t>en ligne</w:t>
      </w:r>
      <w:r w:rsidRPr="00BF47B9">
        <w:t>. Les participants auront la possibilité de s'inscrire sur place après le 17 juin 2014.</w:t>
      </w:r>
    </w:p>
    <w:p w:rsidR="00A764CD" w:rsidRPr="00BF47B9" w:rsidRDefault="00A764CD" w:rsidP="00D7515C">
      <w:r w:rsidRPr="00BF47B9">
        <w:t>9</w:t>
      </w:r>
      <w:r w:rsidRPr="00BF47B9">
        <w:tab/>
        <w:t>Nous vous rappelons que, pour les ressortissants de certains pays, l'entrée et le séjour, quelle qu'en soit la durée, sur le territoire de l'Italie sont soumis à l'obtention d'un visa. Ce visa doit être</w:t>
      </w:r>
      <w:r w:rsidRPr="00BF47B9">
        <w:rPr>
          <w:b/>
          <w:bCs/>
        </w:rPr>
        <w:t xml:space="preserve"> </w:t>
      </w:r>
      <w:r w:rsidRPr="00BF47B9">
        <w:t>obtenu auprès de l</w:t>
      </w:r>
      <w:r w:rsidR="00D7515C" w:rsidRPr="00BF47B9">
        <w:t>'ambassade d</w:t>
      </w:r>
      <w:r w:rsidR="002760D8">
        <w:t>e l</w:t>
      </w:r>
      <w:r w:rsidR="00D7515C" w:rsidRPr="00BF47B9">
        <w:t xml:space="preserve">'Italie </w:t>
      </w:r>
      <w:r w:rsidRPr="00BF47B9">
        <w:t xml:space="preserve">dans votre pays ou, à défaut, dans le pays le plus proche de votre pays de départ. Des renseignements complémentaires concernant les </w:t>
      </w:r>
      <w:r w:rsidR="00D7515C" w:rsidRPr="00BF47B9">
        <w:t xml:space="preserve">formalités </w:t>
      </w:r>
      <w:r w:rsidRPr="00BF47B9">
        <w:t>de visa sont disponibles sur le site web consacré à ces manifestations.</w:t>
      </w:r>
    </w:p>
    <w:p w:rsidR="00A764CD" w:rsidRPr="00BF47B9" w:rsidRDefault="00A764CD" w:rsidP="00A764CD">
      <w:pPr>
        <w:spacing w:after="840"/>
      </w:pPr>
      <w:bookmarkStart w:id="0" w:name="_GoBack"/>
      <w:bookmarkEnd w:id="0"/>
      <w:r w:rsidRPr="00BF47B9">
        <w:t>Veuillez agréer, Madame, Monsieur, l'assurance de ma considération distinguée.</w:t>
      </w:r>
    </w:p>
    <w:p w:rsidR="00167F92" w:rsidRPr="00BF47B9" w:rsidRDefault="00167F92" w:rsidP="000E1C60">
      <w:pPr>
        <w:spacing w:before="1701"/>
        <w:ind w:right="91"/>
        <w:rPr>
          <w:b/>
        </w:rPr>
      </w:pPr>
      <w:r w:rsidRPr="00BF47B9">
        <w:t>Malcolm Johnson</w:t>
      </w:r>
      <w:r w:rsidRPr="00BF47B9">
        <w:br/>
        <w:t>Directeur du Bureau de la</w:t>
      </w:r>
      <w:r w:rsidRPr="00BF47B9">
        <w:br/>
        <w:t>normalisation des télécommunications</w:t>
      </w:r>
    </w:p>
    <w:sectPr w:rsidR="00167F92" w:rsidRPr="00BF47B9" w:rsidSect="000E1C60">
      <w:headerReference w:type="first" r:id="rId18"/>
      <w:footerReference w:type="first" r:id="rId19"/>
      <w:pgSz w:w="11907" w:h="16840" w:code="9"/>
      <w:pgMar w:top="1134" w:right="851"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375" w:rsidRDefault="009E6375">
      <w:r>
        <w:separator/>
      </w:r>
    </w:p>
  </w:endnote>
  <w:endnote w:type="continuationSeparator" w:id="0">
    <w:p w:rsidR="009E6375" w:rsidRDefault="009E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5A" w:rsidRDefault="008C465A">
    <w:pPr>
      <w:pStyle w:val="Footer"/>
      <w:rPr>
        <w:lang w:val="en-US"/>
      </w:rPr>
    </w:pPr>
    <w:r>
      <w:t>ITU-T\BUREAU\CIRC\….</w:t>
    </w:r>
    <w:r>
      <w:tab/>
    </w:r>
    <w:r>
      <w:tab/>
      <w:t>13.09.05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5A" w:rsidRPr="00BF47B9" w:rsidRDefault="009D4F88" w:rsidP="00BF47B9">
    <w:pPr>
      <w:pStyle w:val="Footer"/>
      <w:rPr>
        <w:sz w:val="16"/>
      </w:rPr>
    </w:pPr>
    <w:r>
      <w:fldChar w:fldCharType="begin"/>
    </w:r>
    <w:r>
      <w:instrText xml:space="preserve"> FILENAME \p  \* MERGEFORMAT </w:instrText>
    </w:r>
    <w:r>
      <w:fldChar w:fldCharType="separate"/>
    </w:r>
    <w:r w:rsidRPr="009D4F88">
      <w:rPr>
        <w:noProof/>
        <w:sz w:val="16"/>
      </w:rPr>
      <w:t>M:\TSBDOC\CIRC12-16</w:t>
    </w:r>
    <w:r>
      <w:rPr>
        <w:noProof/>
      </w:rPr>
      <w:t>\2014\092F.docx</w:t>
    </w:r>
    <w:r>
      <w:rPr>
        <w:noProof/>
      </w:rPr>
      <w:fldChar w:fldCharType="end"/>
    </w:r>
    <w:r w:rsidR="00BF47B9">
      <w:rPr>
        <w:noProof/>
        <w:sz w:val="16"/>
      </w:rPr>
      <w:t xml:space="preserve"> (361189)</w:t>
    </w:r>
    <w:r w:rsidR="00BF47B9">
      <w:rPr>
        <w:sz w:val="16"/>
      </w:rPr>
      <w:tab/>
    </w:r>
    <w:r w:rsidR="00BF47B9">
      <w:rPr>
        <w:sz w:val="16"/>
      </w:rPr>
      <w:fldChar w:fldCharType="begin"/>
    </w:r>
    <w:r w:rsidR="00BF47B9">
      <w:rPr>
        <w:sz w:val="16"/>
      </w:rPr>
      <w:instrText xml:space="preserve"> SAVEDATE \@ DD.MM.YY </w:instrText>
    </w:r>
    <w:r w:rsidR="00BF47B9">
      <w:rPr>
        <w:sz w:val="16"/>
      </w:rPr>
      <w:fldChar w:fldCharType="separate"/>
    </w:r>
    <w:r>
      <w:rPr>
        <w:noProof/>
        <w:sz w:val="16"/>
      </w:rPr>
      <w:t>14.04.14</w:t>
    </w:r>
    <w:r w:rsidR="00BF47B9">
      <w:rPr>
        <w:sz w:val="16"/>
      </w:rPr>
      <w:fldChar w:fldCharType="end"/>
    </w:r>
    <w:r w:rsidR="00BF47B9">
      <w:rPr>
        <w:sz w:val="16"/>
      </w:rPr>
      <w:tab/>
    </w:r>
    <w:r w:rsidR="00BF47B9">
      <w:rPr>
        <w:sz w:val="16"/>
      </w:rPr>
      <w:fldChar w:fldCharType="begin"/>
    </w:r>
    <w:r w:rsidR="00BF47B9">
      <w:rPr>
        <w:sz w:val="16"/>
      </w:rPr>
      <w:instrText xml:space="preserve"> PRINTDATE \@ DD.MM.YY </w:instrText>
    </w:r>
    <w:r w:rsidR="00BF47B9">
      <w:rPr>
        <w:sz w:val="16"/>
      </w:rPr>
      <w:fldChar w:fldCharType="separate"/>
    </w:r>
    <w:r>
      <w:rPr>
        <w:noProof/>
        <w:sz w:val="16"/>
      </w:rPr>
      <w:t>14.04.14</w:t>
    </w:r>
    <w:r w:rsidR="00BF47B9">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107" w:type="dxa"/>
        <w:right w:w="107" w:type="dxa"/>
      </w:tblCellMar>
      <w:tblLook w:val="0000" w:firstRow="0" w:lastRow="0" w:firstColumn="0" w:lastColumn="0" w:noHBand="0" w:noVBand="0"/>
    </w:tblPr>
    <w:tblGrid>
      <w:gridCol w:w="2108"/>
      <w:gridCol w:w="3143"/>
      <w:gridCol w:w="2427"/>
      <w:gridCol w:w="2244"/>
    </w:tblGrid>
    <w:tr w:rsidR="004D57E1" w:rsidRPr="004A2EF1">
      <w:trPr>
        <w:cantSplit/>
      </w:trPr>
      <w:tc>
        <w:tcPr>
          <w:tcW w:w="1062" w:type="pct"/>
          <w:tcBorders>
            <w:top w:val="single" w:sz="6" w:space="0" w:color="auto"/>
          </w:tcBorders>
          <w:tcMar>
            <w:top w:w="57" w:type="dxa"/>
          </w:tcMar>
        </w:tcPr>
        <w:p w:rsidR="004D57E1" w:rsidRDefault="004D57E1">
          <w:pPr>
            <w:pStyle w:val="itu"/>
          </w:pPr>
          <w:r>
            <w:t>Place des Nations</w:t>
          </w:r>
        </w:p>
      </w:tc>
      <w:tc>
        <w:tcPr>
          <w:tcW w:w="1584" w:type="pct"/>
          <w:tcBorders>
            <w:top w:val="single" w:sz="6" w:space="0" w:color="auto"/>
          </w:tcBorders>
          <w:tcMar>
            <w:top w:w="57" w:type="dxa"/>
          </w:tcMar>
        </w:tcPr>
        <w:p w:rsidR="004D57E1" w:rsidRDefault="004D57E1">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4D57E1" w:rsidRDefault="004D57E1">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4D57E1" w:rsidRDefault="004D57E1">
          <w:pPr>
            <w:pStyle w:val="itu"/>
          </w:pPr>
          <w:r>
            <w:t>E-mail:</w:t>
          </w:r>
          <w:r>
            <w:tab/>
          </w:r>
          <w:hyperlink r:id="rId1" w:history="1">
            <w:r w:rsidR="0087127B" w:rsidRPr="006A212B">
              <w:rPr>
                <w:rStyle w:val="Hyperlink"/>
              </w:rPr>
              <w:t>itumail@itu.int</w:t>
            </w:r>
          </w:hyperlink>
          <w:r w:rsidR="0087127B">
            <w:t xml:space="preserve"> </w:t>
          </w:r>
        </w:p>
      </w:tc>
    </w:tr>
    <w:tr w:rsidR="004D57E1">
      <w:trPr>
        <w:cantSplit/>
      </w:trPr>
      <w:tc>
        <w:tcPr>
          <w:tcW w:w="1062" w:type="pct"/>
        </w:tcPr>
        <w:p w:rsidR="004D57E1" w:rsidRDefault="004D57E1">
          <w:pPr>
            <w:pStyle w:val="itu"/>
          </w:pPr>
          <w:r>
            <w:t>CH-1211 Genève 20</w:t>
          </w:r>
        </w:p>
      </w:tc>
      <w:tc>
        <w:tcPr>
          <w:tcW w:w="1584" w:type="pct"/>
        </w:tcPr>
        <w:p w:rsidR="004D57E1" w:rsidRDefault="004D57E1">
          <w:pPr>
            <w:pStyle w:val="itu"/>
          </w:pPr>
          <w:proofErr w:type="spellStart"/>
          <w:r>
            <w:t>Téléfax</w:t>
          </w:r>
          <w:proofErr w:type="spellEnd"/>
          <w:r>
            <w:tab/>
            <w:t>Gr3:</w:t>
          </w:r>
          <w:r>
            <w:tab/>
            <w:t>+41 22 733 72 56</w:t>
          </w:r>
        </w:p>
      </w:tc>
      <w:tc>
        <w:tcPr>
          <w:tcW w:w="1223" w:type="pct"/>
        </w:tcPr>
        <w:p w:rsidR="004D57E1" w:rsidRDefault="004D57E1">
          <w:pPr>
            <w:pStyle w:val="itu"/>
          </w:pPr>
          <w:proofErr w:type="spellStart"/>
          <w:r>
            <w:t>Télégramme</w:t>
          </w:r>
          <w:proofErr w:type="spellEnd"/>
          <w:r>
            <w:t xml:space="preserve"> ITU GENEVE</w:t>
          </w:r>
        </w:p>
      </w:tc>
      <w:tc>
        <w:tcPr>
          <w:tcW w:w="1131" w:type="pct"/>
        </w:tcPr>
        <w:p w:rsidR="004D57E1" w:rsidRDefault="004D57E1">
          <w:pPr>
            <w:pStyle w:val="itu"/>
          </w:pPr>
          <w:r>
            <w:tab/>
          </w:r>
          <w:hyperlink r:id="rId2" w:history="1">
            <w:r w:rsidR="0087127B" w:rsidRPr="006A212B">
              <w:rPr>
                <w:rStyle w:val="Hyperlink"/>
              </w:rPr>
              <w:t>www.itu.int</w:t>
            </w:r>
          </w:hyperlink>
          <w:r w:rsidR="0087127B">
            <w:t xml:space="preserve"> </w:t>
          </w:r>
        </w:p>
      </w:tc>
    </w:tr>
    <w:tr w:rsidR="004D57E1">
      <w:trPr>
        <w:cantSplit/>
      </w:trPr>
      <w:tc>
        <w:tcPr>
          <w:tcW w:w="1062" w:type="pct"/>
        </w:tcPr>
        <w:p w:rsidR="004D57E1" w:rsidRDefault="004D57E1">
          <w:pPr>
            <w:pStyle w:val="itu"/>
          </w:pPr>
          <w:r>
            <w:t>Suisse</w:t>
          </w:r>
        </w:p>
      </w:tc>
      <w:tc>
        <w:tcPr>
          <w:tcW w:w="1584" w:type="pct"/>
        </w:tcPr>
        <w:p w:rsidR="004D57E1" w:rsidRDefault="004D57E1">
          <w:pPr>
            <w:pStyle w:val="itu"/>
          </w:pPr>
          <w:r>
            <w:tab/>
            <w:t>Gr4:</w:t>
          </w:r>
          <w:r>
            <w:tab/>
            <w:t>+41 22 730 65 00</w:t>
          </w:r>
        </w:p>
      </w:tc>
      <w:tc>
        <w:tcPr>
          <w:tcW w:w="1223" w:type="pct"/>
        </w:tcPr>
        <w:p w:rsidR="004D57E1" w:rsidRDefault="004D57E1">
          <w:pPr>
            <w:pStyle w:val="itu"/>
          </w:pPr>
        </w:p>
      </w:tc>
      <w:tc>
        <w:tcPr>
          <w:tcW w:w="1131" w:type="pct"/>
        </w:tcPr>
        <w:p w:rsidR="004D57E1" w:rsidRDefault="004D57E1">
          <w:pPr>
            <w:pStyle w:val="itu"/>
          </w:pPr>
        </w:p>
      </w:tc>
    </w:tr>
  </w:tbl>
  <w:p w:rsidR="004D57E1" w:rsidRDefault="004D57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9AE" w:rsidRPr="004A2EF1" w:rsidRDefault="004A2EF1" w:rsidP="004A2EF1">
    <w:pPr>
      <w:tabs>
        <w:tab w:val="center" w:pos="5670"/>
        <w:tab w:val="right" w:pos="9639"/>
      </w:tabs>
      <w:spacing w:line="260" w:lineRule="exact"/>
    </w:pPr>
    <w:r w:rsidRPr="00E179DB">
      <w:rPr>
        <w:rFonts w:asciiTheme="majorBidi" w:hAnsiTheme="majorBidi" w:cstheme="majorBidi"/>
        <w:caps/>
        <w:sz w:val="16"/>
        <w:lang w:val="fr-CH" w:eastAsia="zh-CN"/>
      </w:rPr>
      <w:t>ITU-T\BUREAU\CIRC\92</w:t>
    </w:r>
    <w:r>
      <w:rPr>
        <w:rFonts w:asciiTheme="majorBidi" w:hAnsiTheme="majorBidi" w:cstheme="majorBidi"/>
        <w:caps/>
        <w:sz w:val="16"/>
        <w:lang w:val="fr-CH" w:eastAsia="zh-CN"/>
      </w:rPr>
      <w:t>F</w:t>
    </w:r>
    <w:r w:rsidRPr="00E179DB">
      <w:rPr>
        <w:rFonts w:asciiTheme="majorBidi" w:hAnsiTheme="majorBidi" w:cstheme="majorBidi"/>
        <w:caps/>
        <w:sz w:val="16"/>
        <w:lang w:val="fr-CH" w:eastAsia="zh-CN"/>
      </w:rPr>
      <w:t>.DOC</w:t>
    </w:r>
    <w:r w:rsidRPr="00E25A5C">
      <w:rPr>
        <w:rFonts w:asciiTheme="majorBidi" w:hAnsiTheme="majorBidi" w:cstheme="majorBidi"/>
        <w:caps/>
        <w:sz w:val="16"/>
        <w:lang w:eastAsia="zh-CN"/>
      </w:rPr>
      <w:tab/>
    </w:r>
    <w:r w:rsidRPr="00E25A5C">
      <w:rPr>
        <w:rFonts w:asciiTheme="majorBidi" w:hAnsiTheme="majorBidi" w:cstheme="majorBidi"/>
        <w:caps/>
        <w:sz w:val="16"/>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375" w:rsidRDefault="009E6375">
      <w:r>
        <w:t>____________________</w:t>
      </w:r>
    </w:p>
  </w:footnote>
  <w:footnote w:type="continuationSeparator" w:id="0">
    <w:p w:rsidR="009E6375" w:rsidRDefault="009E6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5A" w:rsidRDefault="008C465A">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45B65">
      <w:rPr>
        <w:rStyle w:val="PageNumber"/>
        <w:noProof/>
      </w:rPr>
      <w:t>3</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5A" w:rsidRPr="009F1E23" w:rsidRDefault="008C465A">
    <w:pPr>
      <w:pStyle w:val="Header"/>
      <w:rPr>
        <w:sz w:val="18"/>
        <w:szCs w:val="18"/>
        <w:lang w:val="fr-CH"/>
      </w:rPr>
    </w:pPr>
    <w:r w:rsidRPr="009F1E23">
      <w:rPr>
        <w:rStyle w:val="PageNumber"/>
        <w:sz w:val="18"/>
        <w:szCs w:val="18"/>
      </w:rPr>
      <w:fldChar w:fldCharType="begin"/>
    </w:r>
    <w:r w:rsidRPr="009F1E23">
      <w:rPr>
        <w:rStyle w:val="PageNumber"/>
        <w:sz w:val="18"/>
        <w:szCs w:val="18"/>
      </w:rPr>
      <w:instrText xml:space="preserve"> PAGE </w:instrText>
    </w:r>
    <w:r w:rsidRPr="009F1E23">
      <w:rPr>
        <w:rStyle w:val="PageNumber"/>
        <w:sz w:val="18"/>
        <w:szCs w:val="18"/>
      </w:rPr>
      <w:fldChar w:fldCharType="separate"/>
    </w:r>
    <w:r w:rsidR="000E1C60">
      <w:rPr>
        <w:rStyle w:val="PageNumber"/>
        <w:noProof/>
        <w:sz w:val="18"/>
        <w:szCs w:val="18"/>
      </w:rPr>
      <w:t>2</w:t>
    </w:r>
    <w:r w:rsidRPr="009F1E23">
      <w:rPr>
        <w:rStyle w:val="PageNumber"/>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C60" w:rsidRDefault="000E1C60" w:rsidP="000E1C60">
    <w:pPr>
      <w:pStyle w:val="Header"/>
    </w:pPr>
  </w:p>
  <w:p w:rsidR="000E1C60" w:rsidRDefault="000E1C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466372"/>
      <w:docPartObj>
        <w:docPartGallery w:val="Page Numbers (Top of Page)"/>
        <w:docPartUnique/>
      </w:docPartObj>
    </w:sdtPr>
    <w:sdtEndPr>
      <w:rPr>
        <w:noProof/>
        <w:sz w:val="18"/>
        <w:szCs w:val="18"/>
      </w:rPr>
    </w:sdtEndPr>
    <w:sdtContent>
      <w:p w:rsidR="004D57E1" w:rsidRPr="004D57E1" w:rsidRDefault="004D57E1">
        <w:pPr>
          <w:pStyle w:val="Header"/>
          <w:rPr>
            <w:sz w:val="18"/>
            <w:szCs w:val="18"/>
          </w:rPr>
        </w:pPr>
        <w:r w:rsidRPr="004D57E1">
          <w:rPr>
            <w:sz w:val="18"/>
            <w:szCs w:val="18"/>
          </w:rPr>
          <w:fldChar w:fldCharType="begin"/>
        </w:r>
        <w:r w:rsidRPr="004D57E1">
          <w:rPr>
            <w:sz w:val="18"/>
            <w:szCs w:val="18"/>
          </w:rPr>
          <w:instrText xml:space="preserve"> PAGE   \* MERGEFORMAT </w:instrText>
        </w:r>
        <w:r w:rsidRPr="004D57E1">
          <w:rPr>
            <w:sz w:val="18"/>
            <w:szCs w:val="18"/>
          </w:rPr>
          <w:fldChar w:fldCharType="separate"/>
        </w:r>
        <w:r w:rsidR="009D4F88">
          <w:rPr>
            <w:noProof/>
            <w:sz w:val="18"/>
            <w:szCs w:val="18"/>
          </w:rPr>
          <w:t>2</w:t>
        </w:r>
        <w:r w:rsidRPr="004D57E1">
          <w:rPr>
            <w:noProof/>
            <w:sz w:val="18"/>
            <w:szCs w:val="18"/>
          </w:rPr>
          <w:fldChar w:fldCharType="end"/>
        </w:r>
      </w:p>
    </w:sdtContent>
  </w:sdt>
  <w:p w:rsidR="004D57E1" w:rsidRDefault="004D5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75"/>
    <w:rsid w:val="000039EE"/>
    <w:rsid w:val="00005622"/>
    <w:rsid w:val="0002519E"/>
    <w:rsid w:val="00035B43"/>
    <w:rsid w:val="00040CE2"/>
    <w:rsid w:val="000758B3"/>
    <w:rsid w:val="000B0D96"/>
    <w:rsid w:val="000B59D8"/>
    <w:rsid w:val="000C55FD"/>
    <w:rsid w:val="000C56BE"/>
    <w:rsid w:val="000E1C60"/>
    <w:rsid w:val="001026FD"/>
    <w:rsid w:val="00115DD7"/>
    <w:rsid w:val="00167472"/>
    <w:rsid w:val="00167F92"/>
    <w:rsid w:val="00173738"/>
    <w:rsid w:val="001A62C3"/>
    <w:rsid w:val="001B79A3"/>
    <w:rsid w:val="001D7F37"/>
    <w:rsid w:val="002152A3"/>
    <w:rsid w:val="002760D8"/>
    <w:rsid w:val="00333A80"/>
    <w:rsid w:val="00364E95"/>
    <w:rsid w:val="00372875"/>
    <w:rsid w:val="003B1E80"/>
    <w:rsid w:val="003B66E8"/>
    <w:rsid w:val="004033F1"/>
    <w:rsid w:val="00414B0C"/>
    <w:rsid w:val="004257AC"/>
    <w:rsid w:val="0043711B"/>
    <w:rsid w:val="004A2EF1"/>
    <w:rsid w:val="004B732E"/>
    <w:rsid w:val="004D51F4"/>
    <w:rsid w:val="004D57E1"/>
    <w:rsid w:val="004D64E0"/>
    <w:rsid w:val="0051210D"/>
    <w:rsid w:val="005136D2"/>
    <w:rsid w:val="00517A03"/>
    <w:rsid w:val="005A1072"/>
    <w:rsid w:val="005A3DD9"/>
    <w:rsid w:val="005B1DFC"/>
    <w:rsid w:val="00601682"/>
    <w:rsid w:val="006333F7"/>
    <w:rsid w:val="00644741"/>
    <w:rsid w:val="006525BA"/>
    <w:rsid w:val="006A6FFE"/>
    <w:rsid w:val="006C5A91"/>
    <w:rsid w:val="00716BBC"/>
    <w:rsid w:val="007321BC"/>
    <w:rsid w:val="00760063"/>
    <w:rsid w:val="00775E4B"/>
    <w:rsid w:val="0079553B"/>
    <w:rsid w:val="007A40FE"/>
    <w:rsid w:val="00810105"/>
    <w:rsid w:val="008157E0"/>
    <w:rsid w:val="00854E1D"/>
    <w:rsid w:val="0087127B"/>
    <w:rsid w:val="00876226"/>
    <w:rsid w:val="00887FA6"/>
    <w:rsid w:val="008C4397"/>
    <w:rsid w:val="008C465A"/>
    <w:rsid w:val="008F2C9B"/>
    <w:rsid w:val="00923CD6"/>
    <w:rsid w:val="00935AA8"/>
    <w:rsid w:val="00971C9A"/>
    <w:rsid w:val="009D4F88"/>
    <w:rsid w:val="009D51FA"/>
    <w:rsid w:val="009E6375"/>
    <w:rsid w:val="009F1E23"/>
    <w:rsid w:val="00A0607A"/>
    <w:rsid w:val="00A51537"/>
    <w:rsid w:val="00A5280F"/>
    <w:rsid w:val="00A60FC1"/>
    <w:rsid w:val="00A764CD"/>
    <w:rsid w:val="00A97C37"/>
    <w:rsid w:val="00AB79AE"/>
    <w:rsid w:val="00AC37B5"/>
    <w:rsid w:val="00AD752F"/>
    <w:rsid w:val="00B27B41"/>
    <w:rsid w:val="00B3062A"/>
    <w:rsid w:val="00B8573E"/>
    <w:rsid w:val="00BB24C0"/>
    <w:rsid w:val="00BF47B9"/>
    <w:rsid w:val="00C26F2E"/>
    <w:rsid w:val="00C45376"/>
    <w:rsid w:val="00C5513C"/>
    <w:rsid w:val="00C9028F"/>
    <w:rsid w:val="00CA0416"/>
    <w:rsid w:val="00CB1125"/>
    <w:rsid w:val="00CD042E"/>
    <w:rsid w:val="00CF2560"/>
    <w:rsid w:val="00CF5B46"/>
    <w:rsid w:val="00D13E84"/>
    <w:rsid w:val="00D46B68"/>
    <w:rsid w:val="00D542A5"/>
    <w:rsid w:val="00D7515C"/>
    <w:rsid w:val="00DC3D47"/>
    <w:rsid w:val="00DD77DA"/>
    <w:rsid w:val="00E06C61"/>
    <w:rsid w:val="00E13DB3"/>
    <w:rsid w:val="00E2408B"/>
    <w:rsid w:val="00E45B65"/>
    <w:rsid w:val="00E72AE1"/>
    <w:rsid w:val="00E86B25"/>
    <w:rsid w:val="00ED6A7A"/>
    <w:rsid w:val="00F346CE"/>
    <w:rsid w:val="00F34F98"/>
    <w:rsid w:val="00F40540"/>
    <w:rsid w:val="00F50844"/>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BE069DF-649E-4282-983E-79A0191B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paragraph" w:styleId="ListParagraph">
    <w:name w:val="List Paragraph"/>
    <w:basedOn w:val="Normal"/>
    <w:uiPriority w:val="34"/>
    <w:qFormat/>
    <w:rsid w:val="00A764CD"/>
    <w:pPr>
      <w:ind w:left="720"/>
      <w:contextualSpacing/>
    </w:pPr>
  </w:style>
  <w:style w:type="character" w:styleId="FollowedHyperlink">
    <w:name w:val="FollowedHyperlink"/>
    <w:basedOn w:val="DefaultParagraphFont"/>
    <w:semiHidden/>
    <w:unhideWhenUsed/>
    <w:rsid w:val="0087127B"/>
    <w:rPr>
      <w:color w:val="800080" w:themeColor="followedHyperlink"/>
      <w:u w:val="single"/>
    </w:rPr>
  </w:style>
  <w:style w:type="paragraph" w:styleId="BalloonText">
    <w:name w:val="Balloon Text"/>
    <w:basedOn w:val="Normal"/>
    <w:link w:val="BalloonTextChar"/>
    <w:semiHidden/>
    <w:unhideWhenUsed/>
    <w:rsid w:val="004A2EF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A2EF1"/>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ristina.bueti@itu.int" TargetMode="External"/><Relationship Id="rId2" Type="http://schemas.openxmlformats.org/officeDocument/2006/relationships/numbering" Target="numbering.xml"/><Relationship Id="rId16" Type="http://schemas.openxmlformats.org/officeDocument/2006/relationships/hyperlink" Target="http://www.itu.int/en/ITU-T/Workshops-and-Seminars/Pages/2014/IT-2014.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ristina.bueti@itu.in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TSBWORKSH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61C3C-123E-451F-AF6F-4C24D473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PF_TSBWORKSHOP.dotm</Template>
  <TotalTime>1</TotalTime>
  <Pages>2</Pages>
  <Words>601</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4300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Alidra, Patricia</dc:creator>
  <cp:lastModifiedBy>Aveline, Marion</cp:lastModifiedBy>
  <cp:revision>5</cp:revision>
  <cp:lastPrinted>2014-04-14T09:54:00Z</cp:lastPrinted>
  <dcterms:created xsi:type="dcterms:W3CDTF">2014-04-14T09:42:00Z</dcterms:created>
  <dcterms:modified xsi:type="dcterms:W3CDTF">2014-04-14T09:58:00Z</dcterms:modified>
</cp:coreProperties>
</file>