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72" w:rsidRPr="007C102D" w:rsidRDefault="00C34772" w:rsidP="007C102D"/>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7C102D" w:rsidRPr="00A729B6">
        <w:trPr>
          <w:cantSplit/>
        </w:trPr>
        <w:tc>
          <w:tcPr>
            <w:tcW w:w="6426" w:type="dxa"/>
            <w:vAlign w:val="center"/>
          </w:tcPr>
          <w:p w:rsidR="007C102D" w:rsidRPr="00A729B6" w:rsidRDefault="007C102D" w:rsidP="004C4144">
            <w:pPr>
              <w:tabs>
                <w:tab w:val="right" w:pos="8732"/>
              </w:tabs>
              <w:spacing w:before="0"/>
              <w:rPr>
                <w:rFonts w:ascii="Verdana" w:hAnsi="Verdana"/>
                <w:b/>
                <w:bCs/>
                <w:color w:val="FFFFFF"/>
                <w:sz w:val="26"/>
                <w:szCs w:val="26"/>
              </w:rPr>
            </w:pPr>
            <w:r w:rsidRPr="00A729B6">
              <w:rPr>
                <w:rFonts w:ascii="Verdana" w:hAnsi="Verdana"/>
                <w:b/>
                <w:bCs/>
                <w:sz w:val="26"/>
                <w:szCs w:val="26"/>
              </w:rPr>
              <w:t>Oficina de Normalización</w:t>
            </w:r>
            <w:r w:rsidRPr="00A729B6">
              <w:rPr>
                <w:rFonts w:ascii="Verdana" w:hAnsi="Verdana"/>
                <w:b/>
                <w:bCs/>
                <w:sz w:val="26"/>
                <w:szCs w:val="26"/>
              </w:rPr>
              <w:br/>
              <w:t>de las Telecomunicaciones</w:t>
            </w:r>
          </w:p>
        </w:tc>
        <w:tc>
          <w:tcPr>
            <w:tcW w:w="3355" w:type="dxa"/>
            <w:vAlign w:val="center"/>
          </w:tcPr>
          <w:p w:rsidR="007C102D" w:rsidRPr="00A729B6" w:rsidRDefault="007C102D" w:rsidP="004C4144">
            <w:pPr>
              <w:spacing w:before="0"/>
              <w:jc w:val="right"/>
              <w:rPr>
                <w:rFonts w:ascii="Verdana" w:hAnsi="Verdana"/>
                <w:color w:val="FFFFFF"/>
                <w:sz w:val="26"/>
                <w:szCs w:val="26"/>
              </w:rPr>
            </w:pPr>
            <w:bookmarkStart w:id="0" w:name="ditulogo"/>
            <w:bookmarkEnd w:id="0"/>
            <w:r w:rsidRPr="00A729B6">
              <w:rPr>
                <w:rFonts w:ascii="Verdana" w:hAnsi="Verdana"/>
                <w:b/>
                <w:bCs/>
                <w:noProof/>
                <w:color w:val="FFFFFF"/>
                <w:sz w:val="26"/>
                <w:szCs w:val="24"/>
                <w:lang w:val="en-US"/>
              </w:rPr>
              <w:drawing>
                <wp:inline distT="0" distB="0" distL="0" distR="0" wp14:anchorId="51E8248E" wp14:editId="51CF4B74">
                  <wp:extent cx="1771650" cy="698500"/>
                  <wp:effectExtent l="0" t="0" r="0" b="635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8500"/>
                          </a:xfrm>
                          <a:prstGeom prst="rect">
                            <a:avLst/>
                          </a:prstGeom>
                          <a:noFill/>
                          <a:ln>
                            <a:noFill/>
                          </a:ln>
                        </pic:spPr>
                      </pic:pic>
                    </a:graphicData>
                  </a:graphic>
                </wp:inline>
              </w:drawing>
            </w:r>
          </w:p>
        </w:tc>
      </w:tr>
      <w:tr w:rsidR="007C102D" w:rsidRPr="00A729B6">
        <w:trPr>
          <w:cantSplit/>
        </w:trPr>
        <w:tc>
          <w:tcPr>
            <w:tcW w:w="6426" w:type="dxa"/>
            <w:vAlign w:val="center"/>
          </w:tcPr>
          <w:p w:rsidR="007C102D" w:rsidRPr="00A729B6" w:rsidRDefault="007C102D" w:rsidP="004C4144">
            <w:pPr>
              <w:tabs>
                <w:tab w:val="right" w:pos="8732"/>
              </w:tabs>
              <w:spacing w:before="0"/>
              <w:rPr>
                <w:rFonts w:ascii="Verdana" w:hAnsi="Verdana"/>
                <w:b/>
                <w:bCs/>
                <w:iCs/>
                <w:sz w:val="18"/>
                <w:szCs w:val="18"/>
              </w:rPr>
            </w:pPr>
          </w:p>
        </w:tc>
        <w:tc>
          <w:tcPr>
            <w:tcW w:w="3355" w:type="dxa"/>
            <w:vAlign w:val="center"/>
          </w:tcPr>
          <w:p w:rsidR="007C102D" w:rsidRPr="00A729B6" w:rsidRDefault="007C102D" w:rsidP="004C4144">
            <w:pPr>
              <w:spacing w:before="0"/>
              <w:ind w:left="993" w:hanging="993"/>
              <w:jc w:val="right"/>
              <w:rPr>
                <w:rFonts w:ascii="Verdana" w:hAnsi="Verdana"/>
                <w:sz w:val="18"/>
                <w:szCs w:val="18"/>
              </w:rPr>
            </w:pPr>
          </w:p>
        </w:tc>
      </w:tr>
    </w:tbl>
    <w:p w:rsidR="007C102D" w:rsidRPr="00A729B6" w:rsidRDefault="007C102D" w:rsidP="002F61C2">
      <w:pPr>
        <w:tabs>
          <w:tab w:val="clear" w:pos="794"/>
          <w:tab w:val="clear" w:pos="1191"/>
          <w:tab w:val="clear" w:pos="1588"/>
          <w:tab w:val="clear" w:pos="1985"/>
          <w:tab w:val="left" w:pos="4962"/>
        </w:tabs>
        <w:spacing w:before="240" w:after="240"/>
      </w:pPr>
      <w:r w:rsidRPr="00A729B6">
        <w:tab/>
        <w:t xml:space="preserve">Ginebra, </w:t>
      </w:r>
      <w:r>
        <w:t>24</w:t>
      </w:r>
      <w:r w:rsidRPr="00A729B6">
        <w:t xml:space="preserve"> de marzo de 2014</w:t>
      </w:r>
    </w:p>
    <w:tbl>
      <w:tblPr>
        <w:tblW w:w="9774" w:type="dxa"/>
        <w:tblInd w:w="8" w:type="dxa"/>
        <w:tblLayout w:type="fixed"/>
        <w:tblCellMar>
          <w:left w:w="0" w:type="dxa"/>
          <w:right w:w="0" w:type="dxa"/>
        </w:tblCellMar>
        <w:tblLook w:val="0000" w:firstRow="0" w:lastRow="0" w:firstColumn="0" w:lastColumn="0" w:noHBand="0" w:noVBand="0"/>
      </w:tblPr>
      <w:tblGrid>
        <w:gridCol w:w="993"/>
        <w:gridCol w:w="3883"/>
        <w:gridCol w:w="4898"/>
      </w:tblGrid>
      <w:tr w:rsidR="007C102D" w:rsidRPr="00A729B6" w:rsidTr="00DD370E">
        <w:trPr>
          <w:cantSplit/>
          <w:trHeight w:val="340"/>
        </w:trPr>
        <w:tc>
          <w:tcPr>
            <w:tcW w:w="993" w:type="dxa"/>
          </w:tcPr>
          <w:p w:rsidR="007C102D" w:rsidRPr="00132DED" w:rsidRDefault="007C102D">
            <w:pPr>
              <w:tabs>
                <w:tab w:val="left" w:pos="4111"/>
              </w:tabs>
              <w:spacing w:before="10"/>
              <w:ind w:left="57"/>
              <w:rPr>
                <w:szCs w:val="24"/>
              </w:rPr>
            </w:pPr>
            <w:r w:rsidRPr="00132DED">
              <w:rPr>
                <w:szCs w:val="24"/>
              </w:rPr>
              <w:t>Ref.:</w:t>
            </w:r>
          </w:p>
          <w:p w:rsidR="007C102D" w:rsidRPr="00132DED" w:rsidRDefault="007C102D">
            <w:pPr>
              <w:tabs>
                <w:tab w:val="left" w:pos="4111"/>
              </w:tabs>
              <w:spacing w:before="10"/>
              <w:ind w:left="57"/>
              <w:rPr>
                <w:szCs w:val="24"/>
              </w:rPr>
            </w:pPr>
          </w:p>
          <w:p w:rsidR="007C102D" w:rsidRPr="00132DED" w:rsidRDefault="007C102D">
            <w:pPr>
              <w:tabs>
                <w:tab w:val="left" w:pos="4111"/>
              </w:tabs>
              <w:spacing w:before="10"/>
              <w:ind w:left="57"/>
              <w:rPr>
                <w:szCs w:val="24"/>
              </w:rPr>
            </w:pPr>
            <w:r w:rsidRPr="00132DED">
              <w:rPr>
                <w:szCs w:val="24"/>
              </w:rPr>
              <w:t>Tel.:</w:t>
            </w:r>
            <w:r w:rsidRPr="00132DED">
              <w:rPr>
                <w:szCs w:val="24"/>
              </w:rPr>
              <w:br/>
              <w:t>Fax:</w:t>
            </w:r>
          </w:p>
        </w:tc>
        <w:tc>
          <w:tcPr>
            <w:tcW w:w="3883" w:type="dxa"/>
          </w:tcPr>
          <w:p w:rsidR="007C102D" w:rsidRPr="00A729B6" w:rsidRDefault="007C102D" w:rsidP="002F61C2">
            <w:pPr>
              <w:tabs>
                <w:tab w:val="left" w:pos="4111"/>
              </w:tabs>
              <w:spacing w:before="10"/>
              <w:ind w:left="57"/>
              <w:rPr>
                <w:b/>
              </w:rPr>
            </w:pPr>
            <w:r w:rsidRPr="00A729B6">
              <w:rPr>
                <w:b/>
              </w:rPr>
              <w:t>Circular TSB 8</w:t>
            </w:r>
            <w:r>
              <w:rPr>
                <w:b/>
              </w:rPr>
              <w:t>6</w:t>
            </w:r>
          </w:p>
          <w:p w:rsidR="007C102D" w:rsidRPr="00A729B6" w:rsidRDefault="007C102D" w:rsidP="00132DED">
            <w:pPr>
              <w:tabs>
                <w:tab w:val="left" w:pos="4111"/>
              </w:tabs>
              <w:spacing w:before="10"/>
              <w:ind w:left="57"/>
            </w:pPr>
          </w:p>
          <w:p w:rsidR="007C102D" w:rsidRPr="00A729B6" w:rsidRDefault="007C102D" w:rsidP="002F61C2">
            <w:pPr>
              <w:tabs>
                <w:tab w:val="left" w:pos="4111"/>
              </w:tabs>
              <w:spacing w:before="10"/>
              <w:ind w:left="57"/>
            </w:pPr>
            <w:r w:rsidRPr="00A729B6">
              <w:t>+41 22 730 5</w:t>
            </w:r>
            <w:r>
              <w:t>591</w:t>
            </w:r>
            <w:r w:rsidRPr="00A729B6">
              <w:br/>
              <w:t>+41 22 730 5853</w:t>
            </w:r>
          </w:p>
        </w:tc>
        <w:tc>
          <w:tcPr>
            <w:tcW w:w="4898" w:type="dxa"/>
          </w:tcPr>
          <w:p w:rsidR="007C102D" w:rsidRDefault="007C102D" w:rsidP="002F61C2">
            <w:pPr>
              <w:tabs>
                <w:tab w:val="clear" w:pos="794"/>
                <w:tab w:val="left" w:pos="226"/>
                <w:tab w:val="left" w:pos="4111"/>
              </w:tabs>
              <w:spacing w:before="0"/>
              <w:ind w:left="57"/>
            </w:pPr>
            <w:bookmarkStart w:id="1" w:name="Addressee_S"/>
            <w:bookmarkEnd w:id="1"/>
            <w:r w:rsidRPr="00A729B6">
              <w:t>-</w:t>
            </w:r>
            <w:r w:rsidRPr="00A729B6">
              <w:tab/>
              <w:t xml:space="preserve">A las Administraciones de los Estados </w:t>
            </w:r>
            <w:r>
              <w:tab/>
            </w:r>
            <w:r w:rsidRPr="00A729B6">
              <w:t>Miembros de la Unión</w:t>
            </w:r>
          </w:p>
          <w:p w:rsidR="007C102D" w:rsidRPr="00A729B6" w:rsidRDefault="007C102D" w:rsidP="002F61C2">
            <w:pPr>
              <w:tabs>
                <w:tab w:val="clear" w:pos="794"/>
                <w:tab w:val="left" w:pos="226"/>
                <w:tab w:val="left" w:pos="4111"/>
              </w:tabs>
              <w:spacing w:before="0"/>
              <w:ind w:left="57"/>
            </w:pPr>
            <w:r w:rsidRPr="00A729B6">
              <w:t>-</w:t>
            </w:r>
            <w:r w:rsidRPr="00A729B6">
              <w:tab/>
              <w:t>A los Miembros del Sector UIT</w:t>
            </w:r>
            <w:r w:rsidRPr="00A729B6">
              <w:noBreakHyphen/>
              <w:t>T;</w:t>
            </w:r>
          </w:p>
          <w:p w:rsidR="007C102D" w:rsidRDefault="007C102D" w:rsidP="002F61C2">
            <w:pPr>
              <w:tabs>
                <w:tab w:val="clear" w:pos="794"/>
                <w:tab w:val="left" w:pos="226"/>
                <w:tab w:val="left" w:pos="4111"/>
              </w:tabs>
              <w:spacing w:before="0"/>
              <w:ind w:left="57"/>
            </w:pPr>
            <w:r w:rsidRPr="00A729B6">
              <w:t>-</w:t>
            </w:r>
            <w:r w:rsidRPr="00A729B6">
              <w:tab/>
              <w:t>A los Asociados del UIT</w:t>
            </w:r>
            <w:r w:rsidRPr="00A729B6">
              <w:noBreakHyphen/>
              <w:t>T;</w:t>
            </w:r>
          </w:p>
          <w:p w:rsidR="007C102D" w:rsidRPr="00A729B6" w:rsidRDefault="007C102D" w:rsidP="002F61C2">
            <w:pPr>
              <w:tabs>
                <w:tab w:val="clear" w:pos="794"/>
                <w:tab w:val="left" w:pos="226"/>
                <w:tab w:val="left" w:pos="4111"/>
              </w:tabs>
              <w:spacing w:before="0"/>
              <w:ind w:left="57"/>
            </w:pPr>
            <w:r>
              <w:t>- A las Instituciones Académicas del UIT-T</w:t>
            </w:r>
          </w:p>
          <w:p w:rsidR="007C102D" w:rsidRPr="00A729B6" w:rsidRDefault="007C102D" w:rsidP="00DD370E">
            <w:pPr>
              <w:tabs>
                <w:tab w:val="clear" w:pos="794"/>
                <w:tab w:val="clear" w:pos="1191"/>
                <w:tab w:val="clear" w:pos="1588"/>
                <w:tab w:val="clear" w:pos="1985"/>
                <w:tab w:val="left" w:pos="284"/>
              </w:tabs>
              <w:spacing w:before="0"/>
              <w:ind w:left="284" w:hanging="227"/>
            </w:pPr>
          </w:p>
        </w:tc>
      </w:tr>
      <w:tr w:rsidR="007C102D" w:rsidRPr="00A729B6" w:rsidTr="00DD370E">
        <w:trPr>
          <w:cantSplit/>
        </w:trPr>
        <w:tc>
          <w:tcPr>
            <w:tcW w:w="993" w:type="dxa"/>
          </w:tcPr>
          <w:p w:rsidR="007C102D" w:rsidRPr="00132DED" w:rsidRDefault="007C102D">
            <w:pPr>
              <w:tabs>
                <w:tab w:val="left" w:pos="4111"/>
              </w:tabs>
              <w:spacing w:before="10"/>
              <w:ind w:left="57"/>
              <w:rPr>
                <w:szCs w:val="24"/>
              </w:rPr>
            </w:pPr>
            <w:r w:rsidRPr="00132DED">
              <w:rPr>
                <w:szCs w:val="24"/>
              </w:rPr>
              <w:t>Correo-e:</w:t>
            </w:r>
          </w:p>
        </w:tc>
        <w:tc>
          <w:tcPr>
            <w:tcW w:w="3883" w:type="dxa"/>
          </w:tcPr>
          <w:p w:rsidR="007C102D" w:rsidRPr="00A729B6" w:rsidRDefault="00BE4FA8" w:rsidP="002F61C2">
            <w:pPr>
              <w:tabs>
                <w:tab w:val="left" w:pos="4111"/>
              </w:tabs>
              <w:spacing w:before="0"/>
              <w:ind w:left="57"/>
            </w:pPr>
            <w:hyperlink r:id="rId9" w:history="1">
              <w:r w:rsidR="007C102D" w:rsidRPr="00EF645D">
                <w:rPr>
                  <w:rStyle w:val="Hyperlink"/>
                </w:rPr>
                <w:t>bsg@itu.int</w:t>
              </w:r>
            </w:hyperlink>
          </w:p>
        </w:tc>
        <w:tc>
          <w:tcPr>
            <w:tcW w:w="4898" w:type="dxa"/>
          </w:tcPr>
          <w:p w:rsidR="007C102D" w:rsidRPr="00A729B6" w:rsidRDefault="007C102D">
            <w:pPr>
              <w:tabs>
                <w:tab w:val="left" w:pos="4111"/>
              </w:tabs>
              <w:spacing w:before="0"/>
            </w:pPr>
            <w:r w:rsidRPr="00A729B6">
              <w:rPr>
                <w:b/>
              </w:rPr>
              <w:t>Copia</w:t>
            </w:r>
            <w:r w:rsidRPr="00A729B6">
              <w:t>:</w:t>
            </w:r>
          </w:p>
          <w:p w:rsidR="007C102D" w:rsidRPr="00A729B6" w:rsidRDefault="007C102D" w:rsidP="002F61C2">
            <w:pPr>
              <w:tabs>
                <w:tab w:val="left" w:pos="226"/>
                <w:tab w:val="left" w:pos="4111"/>
              </w:tabs>
              <w:spacing w:before="0"/>
              <w:ind w:left="283" w:hanging="226"/>
            </w:pPr>
            <w:r w:rsidRPr="00A729B6">
              <w:t>-</w:t>
            </w:r>
            <w:r w:rsidRPr="00A729B6">
              <w:tab/>
              <w:t>A</w:t>
            </w:r>
            <w:r>
              <w:t xml:space="preserve"> </w:t>
            </w:r>
            <w:r w:rsidRPr="00A729B6">
              <w:t>l</w:t>
            </w:r>
            <w:r>
              <w:t>os</w:t>
            </w:r>
            <w:r w:rsidRPr="00A729B6">
              <w:t xml:space="preserve"> Presidente y Vicepresidentes </w:t>
            </w:r>
            <w:r>
              <w:t xml:space="preserve">de las Comisiones de Estudio del UIT-T y del </w:t>
            </w:r>
            <w:r w:rsidRPr="00A729B6">
              <w:t>GANT;</w:t>
            </w:r>
          </w:p>
          <w:p w:rsidR="007C102D" w:rsidRDefault="007C102D" w:rsidP="00DD370E">
            <w:pPr>
              <w:tabs>
                <w:tab w:val="clear" w:pos="794"/>
                <w:tab w:val="clear" w:pos="1191"/>
                <w:tab w:val="clear" w:pos="1588"/>
                <w:tab w:val="clear" w:pos="1985"/>
                <w:tab w:val="left" w:pos="226"/>
                <w:tab w:val="left" w:pos="510"/>
              </w:tabs>
              <w:spacing w:before="0"/>
              <w:ind w:left="226" w:hanging="169"/>
            </w:pPr>
            <w:r w:rsidRPr="00A729B6">
              <w:t>-</w:t>
            </w:r>
            <w:r w:rsidRPr="00A729B6">
              <w:tab/>
              <w:t xml:space="preserve">Al Director de la Oficina de Radiocomunicaciones </w:t>
            </w:r>
          </w:p>
          <w:p w:rsidR="007C102D" w:rsidRDefault="007C102D" w:rsidP="00DD370E">
            <w:pPr>
              <w:tabs>
                <w:tab w:val="clear" w:pos="794"/>
                <w:tab w:val="clear" w:pos="1191"/>
                <w:tab w:val="clear" w:pos="1588"/>
                <w:tab w:val="clear" w:pos="1985"/>
                <w:tab w:val="left" w:pos="226"/>
                <w:tab w:val="left" w:pos="510"/>
              </w:tabs>
              <w:spacing w:before="0"/>
              <w:ind w:left="226" w:hanging="169"/>
            </w:pPr>
            <w:r w:rsidRPr="00A729B6">
              <w:t>-</w:t>
            </w:r>
            <w:r w:rsidRPr="00A729B6">
              <w:tab/>
              <w:t>Al Director de la Oficina de Desarrollo de las Telecomunicaciones;</w:t>
            </w:r>
          </w:p>
          <w:p w:rsidR="007C102D" w:rsidRPr="00A729B6" w:rsidRDefault="007C102D" w:rsidP="00DD370E">
            <w:pPr>
              <w:tabs>
                <w:tab w:val="clear" w:pos="794"/>
                <w:tab w:val="clear" w:pos="1191"/>
                <w:tab w:val="clear" w:pos="1588"/>
                <w:tab w:val="clear" w:pos="1985"/>
                <w:tab w:val="left" w:pos="226"/>
                <w:tab w:val="left" w:pos="510"/>
              </w:tabs>
              <w:spacing w:before="0"/>
              <w:ind w:left="226" w:hanging="169"/>
            </w:pPr>
            <w:r>
              <w:t>- A los Directores de las Oficinas Regionales de la UIT</w:t>
            </w:r>
          </w:p>
          <w:p w:rsidR="007C102D" w:rsidRPr="00A729B6" w:rsidRDefault="007C102D" w:rsidP="00DD370E">
            <w:pPr>
              <w:tabs>
                <w:tab w:val="clear" w:pos="794"/>
                <w:tab w:val="clear" w:pos="1191"/>
                <w:tab w:val="clear" w:pos="1588"/>
                <w:tab w:val="clear" w:pos="1985"/>
                <w:tab w:val="left" w:pos="226"/>
                <w:tab w:val="left" w:pos="510"/>
              </w:tabs>
              <w:spacing w:before="0"/>
              <w:ind w:left="226" w:hanging="169"/>
            </w:pPr>
          </w:p>
        </w:tc>
      </w:tr>
    </w:tbl>
    <w:p w:rsidR="007C102D" w:rsidRPr="00A729B6" w:rsidRDefault="007C102D"/>
    <w:tbl>
      <w:tblPr>
        <w:tblW w:w="9546" w:type="dxa"/>
        <w:tblInd w:w="8" w:type="dxa"/>
        <w:tblLayout w:type="fixed"/>
        <w:tblCellMar>
          <w:left w:w="0" w:type="dxa"/>
          <w:right w:w="0" w:type="dxa"/>
        </w:tblCellMar>
        <w:tblLook w:val="0000" w:firstRow="0" w:lastRow="0" w:firstColumn="0" w:lastColumn="0" w:noHBand="0" w:noVBand="0"/>
      </w:tblPr>
      <w:tblGrid>
        <w:gridCol w:w="985"/>
        <w:gridCol w:w="8561"/>
      </w:tblGrid>
      <w:tr w:rsidR="007C102D" w:rsidRPr="00A729B6" w:rsidTr="00DD370E">
        <w:trPr>
          <w:cantSplit/>
        </w:trPr>
        <w:tc>
          <w:tcPr>
            <w:tcW w:w="985" w:type="dxa"/>
          </w:tcPr>
          <w:p w:rsidR="007C102D" w:rsidRPr="00132DED" w:rsidRDefault="007C102D">
            <w:pPr>
              <w:tabs>
                <w:tab w:val="left" w:pos="4111"/>
              </w:tabs>
              <w:spacing w:before="10"/>
              <w:ind w:left="57"/>
              <w:rPr>
                <w:szCs w:val="24"/>
              </w:rPr>
            </w:pPr>
            <w:r w:rsidRPr="00132DED">
              <w:rPr>
                <w:szCs w:val="24"/>
              </w:rPr>
              <w:t>Asunto:</w:t>
            </w:r>
          </w:p>
        </w:tc>
        <w:tc>
          <w:tcPr>
            <w:tcW w:w="8561" w:type="dxa"/>
          </w:tcPr>
          <w:p w:rsidR="007C102D" w:rsidRPr="00A729B6" w:rsidRDefault="007C102D" w:rsidP="002F61C2">
            <w:pPr>
              <w:tabs>
                <w:tab w:val="left" w:pos="4111"/>
              </w:tabs>
              <w:spacing w:before="0"/>
              <w:rPr>
                <w:b/>
              </w:rPr>
            </w:pPr>
            <w:r w:rsidRPr="002F61C2">
              <w:rPr>
                <w:b/>
              </w:rPr>
              <w:t>Reducción de la disparidad en materia de normalización</w:t>
            </w:r>
            <w:r>
              <w:rPr>
                <w:b/>
              </w:rPr>
              <w:t>: Directrices sobre la creación de una Secretaría Nacional de Normalización (SNN) para el UIT-T</w:t>
            </w:r>
          </w:p>
        </w:tc>
      </w:tr>
    </w:tbl>
    <w:p w:rsidR="007C102D" w:rsidRPr="00A729B6" w:rsidRDefault="007C102D" w:rsidP="00132DED">
      <w:pPr>
        <w:pStyle w:val="Normalaftertitle"/>
      </w:pPr>
      <w:bookmarkStart w:id="2" w:name="StartTyping_S"/>
      <w:bookmarkStart w:id="3" w:name="suitetext"/>
      <w:bookmarkStart w:id="4" w:name="text"/>
      <w:bookmarkEnd w:id="2"/>
      <w:bookmarkEnd w:id="3"/>
      <w:bookmarkEnd w:id="4"/>
      <w:r w:rsidRPr="00A729B6">
        <w:t>Muy Señora mía/Muy Señor mío:</w:t>
      </w:r>
    </w:p>
    <w:p w:rsidR="007C102D" w:rsidRPr="00A729B6" w:rsidRDefault="007C102D" w:rsidP="00B3267A">
      <w:r w:rsidRPr="00A729B6">
        <w:rPr>
          <w:bCs/>
        </w:rPr>
        <w:t>1</w:t>
      </w:r>
      <w:r w:rsidRPr="00A729B6">
        <w:tab/>
      </w:r>
      <w:r>
        <w:t>En la Resolución 44 de la AMNT-12, Reducción de la disparidad entre los países en desarrollo y desarrollados en materia de normalización</w:t>
      </w:r>
      <w:r>
        <w:rPr>
          <w:rStyle w:val="FootnoteReference"/>
        </w:rPr>
        <w:footnoteReference w:id="1"/>
      </w:r>
      <w:r w:rsidRPr="00A729B6">
        <w:t xml:space="preserve"> </w:t>
      </w:r>
      <w:r>
        <w:t>(BSG), se invita al Director de la Oficina de Normalización de las Telecomunicaciones (TSB) a aplicar medidas para reducir la disparidad en materia de normalización. En este contexto, una de las nuevas medidas adoptadas en virtud de la Resolución 44 es la formulación de directrices destinadas a los países en desarrollo para la creación de una secretaría nacional de normalización, con el objetivo de mejorar la coordinación de las actividades de normalización en el plano nacional y la participación en las C</w:t>
      </w:r>
      <w:r w:rsidR="0050720C">
        <w:t>omisiones de Estudio del UIT-T.</w:t>
      </w:r>
    </w:p>
    <w:p w:rsidR="007C102D" w:rsidRPr="00A729B6" w:rsidRDefault="007C102D" w:rsidP="0050720C">
      <w:r w:rsidRPr="00A729B6">
        <w:rPr>
          <w:bCs/>
        </w:rPr>
        <w:t>2</w:t>
      </w:r>
      <w:r w:rsidRPr="00A729B6">
        <w:tab/>
        <w:t>El</w:t>
      </w:r>
      <w:r>
        <w:t xml:space="preserve"> principal objetivo del programa BSG es </w:t>
      </w:r>
      <w:r w:rsidRPr="00F60072">
        <w:t xml:space="preserve">aumentar la participación de los países en desarrollo en la </w:t>
      </w:r>
      <w:r>
        <w:t xml:space="preserve">labor de </w:t>
      </w:r>
      <w:r w:rsidRPr="00F60072">
        <w:t>normalización, garantizar que los países en desarrollo obtienen los beneficios económicos del desarrollo tecnológico asociado</w:t>
      </w:r>
      <w:r>
        <w:t>,</w:t>
      </w:r>
      <w:r w:rsidRPr="00F60072">
        <w:t xml:space="preserve"> y que se tengan más en cuenta las necesidades e intereses de los países en desarrollo en el proceso de normalización</w:t>
      </w:r>
      <w:r w:rsidRPr="00A729B6">
        <w:t>.</w:t>
      </w:r>
      <w:r>
        <w:t xml:space="preserve"> Una de las conclusiones del estudio del UIT-T sobre las </w:t>
      </w:r>
      <w:r w:rsidR="0050720C">
        <w:t>"</w:t>
      </w:r>
      <w:r w:rsidRPr="009A6D26">
        <w:rPr>
          <w:i/>
          <w:iCs/>
        </w:rPr>
        <w:t>Capacidades de Normalización de las TIC en los países en desarrollo</w:t>
      </w:r>
      <w:r w:rsidR="0050720C">
        <w:t>"</w:t>
      </w:r>
      <w:r>
        <w:t>, llevado a cabo en 2011, era que los países en desarrollo se enfrentan a desafíos a la hora de coordinar las actividades de no</w:t>
      </w:r>
      <w:r w:rsidR="0050720C">
        <w:t xml:space="preserve">rmalización a escala nacional. </w:t>
      </w:r>
      <w:r>
        <w:t xml:space="preserve">Las </w:t>
      </w:r>
      <w:r w:rsidR="0050720C">
        <w:t>"</w:t>
      </w:r>
      <w:r w:rsidRPr="009A6D26">
        <w:rPr>
          <w:i/>
          <w:iCs/>
        </w:rPr>
        <w:t xml:space="preserve">Directrices sobre la creación de una Secretaría Nacional de Normalización (SNN) </w:t>
      </w:r>
      <w:r w:rsidRPr="009A6D26">
        <w:rPr>
          <w:i/>
          <w:iCs/>
        </w:rPr>
        <w:lastRenderedPageBreak/>
        <w:t>para el UIT-T</w:t>
      </w:r>
      <w:r w:rsidR="0050720C">
        <w:t>"</w:t>
      </w:r>
      <w:r>
        <w:t xml:space="preserve"> toman en consideración los distintos niveles de capacidad en términos de normalización en los países en desarrollo, mostrando de qué manera puede crearse una SNN a un nivel básico con mínimos requisitos de costes o recursos. Los principales destinatarios son los países en desarrollo que acaban de introducir medidas para coordinar las actividades de normalización en el plano na</w:t>
      </w:r>
      <w:r w:rsidR="0050720C">
        <w:t>cional, o que querrían hacerlo.</w:t>
      </w:r>
    </w:p>
    <w:p w:rsidR="007C102D" w:rsidRPr="00A729B6" w:rsidRDefault="007C102D" w:rsidP="0050720C">
      <w:r w:rsidRPr="00A729B6">
        <w:rPr>
          <w:bCs/>
        </w:rPr>
        <w:t>3</w:t>
      </w:r>
      <w:r w:rsidRPr="00A729B6">
        <w:tab/>
      </w:r>
      <w:r>
        <w:t xml:space="preserve">Es posible descargar una copia en inglés de las </w:t>
      </w:r>
      <w:r w:rsidR="0050720C">
        <w:t>"</w:t>
      </w:r>
      <w:r w:rsidRPr="009A6D26">
        <w:rPr>
          <w:i/>
          <w:iCs/>
        </w:rPr>
        <w:t>Directrices sobre la creación de una Secretaría Nacional de Normalización (SNN) para el UIT-T</w:t>
      </w:r>
      <w:r w:rsidR="0050720C">
        <w:t>"</w:t>
      </w:r>
      <w:r>
        <w:t xml:space="preserve"> en el sitio web del programa BSG en la dirección </w:t>
      </w:r>
      <w:hyperlink r:id="rId10" w:history="1">
        <w:r w:rsidRPr="007C102D">
          <w:rPr>
            <w:rFonts w:eastAsia="SimSun" w:cs="Arial"/>
            <w:color w:val="0000FF"/>
            <w:u w:val="single"/>
            <w:lang w:eastAsia="zh-CN"/>
          </w:rPr>
          <w:t>http://www.</w:t>
        </w:r>
        <w:r w:rsidRPr="007C102D">
          <w:rPr>
            <w:rFonts w:eastAsia="SimSun" w:cs="Arial"/>
            <w:color w:val="0000FF"/>
            <w:u w:val="single"/>
            <w:lang w:eastAsia="zh-CN"/>
          </w:rPr>
          <w:t>i</w:t>
        </w:r>
        <w:r w:rsidRPr="007C102D">
          <w:rPr>
            <w:rFonts w:eastAsia="SimSun" w:cs="Arial"/>
            <w:color w:val="0000FF"/>
            <w:u w:val="single"/>
            <w:lang w:eastAsia="zh-CN"/>
          </w:rPr>
          <w:t>tu.int/ITU-T/gap/</w:t>
        </w:r>
      </w:hyperlink>
      <w:r w:rsidRPr="007C102D">
        <w:rPr>
          <w:rFonts w:eastAsia="SimSun"/>
          <w:lang w:eastAsia="zh-CN"/>
        </w:rPr>
        <w:t>.</w:t>
      </w:r>
      <w:r>
        <w:t xml:space="preserve"> También se dispone en el sitio web del BSG de un Anexo a las Directrices, que incluye información práctica adicional y procedimientos prácticos para la Secretaría Nacional de Normalización. Las </w:t>
      </w:r>
      <w:r w:rsidR="0050720C">
        <w:t>"</w:t>
      </w:r>
      <w:r w:rsidRPr="009A6D26">
        <w:rPr>
          <w:i/>
          <w:iCs/>
        </w:rPr>
        <w:t>Directrices sobre la creación de una Secretaría Nacional de Normalización (SNN) para el UIT-T</w:t>
      </w:r>
      <w:r w:rsidR="0050720C">
        <w:t>"</w:t>
      </w:r>
      <w:r>
        <w:t xml:space="preserve"> y el Anexo están en fase de traducción en los</w:t>
      </w:r>
      <w:r w:rsidR="0050720C">
        <w:t xml:space="preserve"> otros cinco idiomas oficiales.</w:t>
      </w:r>
    </w:p>
    <w:p w:rsidR="007C102D" w:rsidRDefault="007C102D" w:rsidP="00B3267A">
      <w:r w:rsidRPr="00A729B6">
        <w:t>4</w:t>
      </w:r>
      <w:r w:rsidRPr="00A729B6">
        <w:tab/>
      </w:r>
      <w:r>
        <w:t xml:space="preserve">Quisiera aprovechar esta oportunidad para invitar a los países candidatos para el establecimiento de una secretaría nacional de normalización, pero que requieren de una asistencia para hacerlo, a comunicarse con la TSB (correo-e </w:t>
      </w:r>
      <w:hyperlink r:id="rId11" w:history="1">
        <w:r w:rsidRPr="00EF645D">
          <w:rPr>
            <w:rStyle w:val="Hyperlink"/>
          </w:rPr>
          <w:t>bsg@it</w:t>
        </w:r>
        <w:r w:rsidRPr="00EF645D">
          <w:rPr>
            <w:rStyle w:val="Hyperlink"/>
          </w:rPr>
          <w:t>u</w:t>
        </w:r>
        <w:r w:rsidRPr="00EF645D">
          <w:rPr>
            <w:rStyle w:val="Hyperlink"/>
          </w:rPr>
          <w:t>.int</w:t>
        </w:r>
      </w:hyperlink>
      <w:r>
        <w:t>) para obtener más información.</w:t>
      </w:r>
    </w:p>
    <w:p w:rsidR="007C102D" w:rsidRPr="00A729B6" w:rsidRDefault="007C102D" w:rsidP="00F132FA">
      <w:r>
        <w:t>Espero que participe activamente en este ejercicio</w:t>
      </w:r>
      <w:r w:rsidRPr="00A729B6">
        <w:t>.</w:t>
      </w:r>
    </w:p>
    <w:p w:rsidR="007C102D" w:rsidRPr="00A729B6" w:rsidRDefault="007C102D" w:rsidP="00F132FA">
      <w:pPr>
        <w:ind w:right="92"/>
      </w:pPr>
      <w:r>
        <w:t>Le saluda muy atentamente.</w:t>
      </w:r>
    </w:p>
    <w:p w:rsidR="007C102D" w:rsidRPr="00A729B6" w:rsidRDefault="007C102D" w:rsidP="00F132FA">
      <w:pPr>
        <w:spacing w:before="1701"/>
        <w:ind w:right="91"/>
      </w:pPr>
      <w:r w:rsidRPr="00A729B6">
        <w:t>Malcolm Johnson</w:t>
      </w:r>
      <w:r w:rsidRPr="00A729B6">
        <w:br/>
        <w:t>Director de la Oficina de</w:t>
      </w:r>
      <w:r w:rsidRPr="00A729B6">
        <w:br/>
        <w:t>Normalización de las Telecomunicaciones</w:t>
      </w:r>
    </w:p>
    <w:p w:rsidR="00401C20" w:rsidRPr="007C102D" w:rsidRDefault="00401C20" w:rsidP="00C34772"/>
    <w:sectPr w:rsidR="00401C20" w:rsidRPr="007C102D">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2D" w:rsidRDefault="007C102D">
      <w:r>
        <w:separator/>
      </w:r>
    </w:p>
  </w:endnote>
  <w:endnote w:type="continuationSeparator" w:id="0">
    <w:p w:rsidR="007C102D" w:rsidRDefault="007C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A8" w:rsidRDefault="00BE4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A8" w:rsidRDefault="00BE4FA8" w:rsidP="00BE4FA8">
    <w:pPr>
      <w:pStyle w:val="Footer"/>
      <w:tabs>
        <w:tab w:val="left" w:pos="5670"/>
        <w:tab w:val="right" w:pos="9729"/>
      </w:tabs>
      <w:spacing w:line="280" w:lineRule="exact"/>
      <w:rPr>
        <w:szCs w:val="18"/>
        <w:lang w:val="pt-PT"/>
      </w:rPr>
    </w:pPr>
    <w:r>
      <w:rPr>
        <w:szCs w:val="18"/>
        <w:lang w:val="pt-PT"/>
      </w:rPr>
      <w:t>ITU-T\BUREAU\CIRC\086</w:t>
    </w:r>
    <w:r>
      <w:rPr>
        <w:szCs w:val="18"/>
        <w:lang w:val="pt-PT"/>
      </w:rPr>
      <w:t>S</w:t>
    </w:r>
    <w:bookmarkStart w:id="5" w:name="_GoBack"/>
    <w:bookmarkEnd w:id="5"/>
    <w:r>
      <w:rPr>
        <w:szCs w:val="18"/>
        <w:lang w:val="pt-PT"/>
      </w:rPr>
      <w:t>.DOCX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7" w:type="dxa"/>
        <w:right w:w="107" w:type="dxa"/>
      </w:tblCellMar>
      <w:tblLook w:val="0000" w:firstRow="0" w:lastRow="0" w:firstColumn="0" w:lastColumn="0" w:noHBand="0" w:noVBand="0"/>
    </w:tblPr>
    <w:tblGrid>
      <w:gridCol w:w="1985"/>
      <w:gridCol w:w="3119"/>
      <w:gridCol w:w="2374"/>
      <w:gridCol w:w="2304"/>
    </w:tblGrid>
    <w:tr w:rsidR="006969B4" w:rsidRPr="003D673B">
      <w:tc>
        <w:tcPr>
          <w:tcW w:w="1985" w:type="dxa"/>
          <w:tcBorders>
            <w:top w:val="single" w:sz="6" w:space="0" w:color="auto"/>
            <w:left w:val="nil"/>
            <w:bottom w:val="nil"/>
            <w:right w:val="nil"/>
          </w:tcBorders>
        </w:tcPr>
        <w:p w:rsidR="006969B4" w:rsidRDefault="006969B4">
          <w:pPr>
            <w:pStyle w:val="FirstFooter"/>
            <w:spacing w:before="40"/>
            <w:rPr>
              <w:rFonts w:ascii="Futura Lt BT" w:hAnsi="Futura Lt BT"/>
            </w:rPr>
          </w:pPr>
          <w:r>
            <w:rPr>
              <w:rFonts w:ascii="Futura Lt BT" w:hAnsi="Futura Lt BT"/>
            </w:rPr>
            <w:t xml:space="preserve">Place des </w:t>
          </w:r>
          <w:proofErr w:type="spellStart"/>
          <w:r>
            <w:rPr>
              <w:rFonts w:ascii="Futura Lt BT" w:hAnsi="Futura Lt BT"/>
            </w:rPr>
            <w:t>Nations</w:t>
          </w:r>
          <w:proofErr w:type="spellEnd"/>
        </w:p>
      </w:tc>
      <w:tc>
        <w:tcPr>
          <w:tcW w:w="3119" w:type="dxa"/>
          <w:tcBorders>
            <w:top w:val="single" w:sz="6" w:space="0" w:color="auto"/>
            <w:left w:val="nil"/>
            <w:bottom w:val="nil"/>
            <w:right w:val="nil"/>
          </w:tcBorders>
        </w:tcPr>
        <w:p w:rsidR="006969B4" w:rsidRDefault="00591C34">
          <w:pPr>
            <w:pStyle w:val="FirstFooter"/>
            <w:tabs>
              <w:tab w:val="left" w:pos="709"/>
              <w:tab w:val="left" w:pos="1134"/>
            </w:tabs>
            <w:spacing w:before="40"/>
            <w:rPr>
              <w:rFonts w:ascii="Futura Lt BT" w:hAnsi="Futura Lt BT"/>
            </w:rPr>
          </w:pPr>
          <w:r>
            <w:rPr>
              <w:rFonts w:ascii="Futura Lt BT" w:hAnsi="Futura Lt BT"/>
            </w:rPr>
            <w:t xml:space="preserve">Teléfono </w:t>
          </w:r>
          <w:r>
            <w:rPr>
              <w:rFonts w:ascii="Futura Lt BT" w:hAnsi="Futura Lt BT"/>
            </w:rPr>
            <w:tab/>
          </w:r>
          <w:r w:rsidR="006969B4">
            <w:rPr>
              <w:rFonts w:ascii="Futura Lt BT" w:hAnsi="Futura Lt BT"/>
            </w:rPr>
            <w:t>+41 22 730 51 11</w:t>
          </w:r>
        </w:p>
      </w:tc>
      <w:tc>
        <w:tcPr>
          <w:tcW w:w="2374" w:type="dxa"/>
          <w:tcBorders>
            <w:top w:val="single" w:sz="6" w:space="0" w:color="auto"/>
            <w:left w:val="nil"/>
            <w:bottom w:val="nil"/>
            <w:right w:val="nil"/>
          </w:tcBorders>
        </w:tcPr>
        <w:p w:rsidR="006969B4" w:rsidRDefault="006969B4">
          <w:pPr>
            <w:pStyle w:val="FirstFooter"/>
            <w:spacing w:before="40"/>
            <w:rPr>
              <w:rFonts w:ascii="Futura Lt BT" w:hAnsi="Futura Lt BT"/>
            </w:rPr>
          </w:pPr>
          <w:r>
            <w:rPr>
              <w:rFonts w:ascii="Futura Lt BT" w:hAnsi="Futura Lt BT"/>
            </w:rPr>
            <w:t xml:space="preserve">Télex 421 000 </w:t>
          </w:r>
          <w:proofErr w:type="spellStart"/>
          <w:r>
            <w:rPr>
              <w:rFonts w:ascii="Futura Lt BT" w:hAnsi="Futura Lt BT"/>
            </w:rPr>
            <w:t>uit</w:t>
          </w:r>
          <w:proofErr w:type="spellEnd"/>
          <w:r>
            <w:rPr>
              <w:rFonts w:ascii="Futura Lt BT" w:hAnsi="Futura Lt BT"/>
            </w:rPr>
            <w:t xml:space="preserve"> ch</w:t>
          </w:r>
        </w:p>
      </w:tc>
      <w:tc>
        <w:tcPr>
          <w:tcW w:w="2304" w:type="dxa"/>
          <w:tcBorders>
            <w:top w:val="single" w:sz="6" w:space="0" w:color="auto"/>
            <w:left w:val="nil"/>
            <w:bottom w:val="nil"/>
            <w:right w:val="nil"/>
          </w:tcBorders>
        </w:tcPr>
        <w:p w:rsidR="006969B4" w:rsidRDefault="006969B4" w:rsidP="008505BD">
          <w:pPr>
            <w:pStyle w:val="FirstFooter"/>
            <w:tabs>
              <w:tab w:val="left" w:pos="886"/>
            </w:tabs>
            <w:spacing w:before="40"/>
            <w:rPr>
              <w:rFonts w:ascii="Futura Lt BT" w:hAnsi="Futura Lt BT"/>
            </w:rPr>
          </w:pPr>
          <w:r>
            <w:rPr>
              <w:rFonts w:ascii="Futura Lt BT" w:hAnsi="Futura Lt BT"/>
            </w:rPr>
            <w:t>Correo-e:</w:t>
          </w:r>
          <w:r>
            <w:rPr>
              <w:rFonts w:ascii="Futura Lt BT" w:hAnsi="Futura Lt BT"/>
            </w:rPr>
            <w:tab/>
          </w:r>
          <w:hyperlink r:id="rId1" w:history="1">
            <w:r w:rsidR="00BE4FA8" w:rsidRPr="00B67E13">
              <w:rPr>
                <w:rStyle w:val="Hyperlink"/>
                <w:rFonts w:ascii="Futura Lt BT" w:hAnsi="Futura Lt BT"/>
              </w:rPr>
              <w:t>itumail@</w:t>
            </w:r>
            <w:r w:rsidR="00BE4FA8" w:rsidRPr="00B67E13">
              <w:rPr>
                <w:rStyle w:val="Hyperlink"/>
                <w:rFonts w:ascii="Futura Lt BT" w:hAnsi="Futura Lt BT"/>
              </w:rPr>
              <w:t>i</w:t>
            </w:r>
            <w:r w:rsidR="00BE4FA8" w:rsidRPr="00B67E13">
              <w:rPr>
                <w:rStyle w:val="Hyperlink"/>
                <w:rFonts w:ascii="Futura Lt BT" w:hAnsi="Futura Lt BT"/>
              </w:rPr>
              <w:t>tu.int</w:t>
            </w:r>
          </w:hyperlink>
          <w:r w:rsidR="00BE4FA8">
            <w:rPr>
              <w:rFonts w:ascii="Futura Lt BT" w:hAnsi="Futura Lt BT"/>
            </w:rPr>
            <w:t xml:space="preserve"> </w:t>
          </w:r>
        </w:p>
      </w:tc>
    </w:tr>
    <w:tr w:rsidR="006969B4">
      <w:tc>
        <w:tcPr>
          <w:tcW w:w="1985" w:type="dxa"/>
        </w:tcPr>
        <w:p w:rsidR="006969B4" w:rsidRDefault="006969B4">
          <w:pPr>
            <w:pStyle w:val="FirstFooter"/>
            <w:rPr>
              <w:rFonts w:ascii="Futura Lt BT" w:hAnsi="Futura Lt BT"/>
            </w:rPr>
          </w:pPr>
          <w:r>
            <w:rPr>
              <w:rFonts w:ascii="Futura Lt BT" w:hAnsi="Futura Lt BT"/>
            </w:rPr>
            <w:t>CH-1211 Ginebra 20</w:t>
          </w:r>
        </w:p>
      </w:tc>
      <w:tc>
        <w:tcPr>
          <w:tcW w:w="3119" w:type="dxa"/>
        </w:tcPr>
        <w:p w:rsidR="006969B4" w:rsidRDefault="006969B4">
          <w:pPr>
            <w:pStyle w:val="FirstFooter"/>
            <w:tabs>
              <w:tab w:val="left" w:pos="709"/>
              <w:tab w:val="left" w:pos="1134"/>
            </w:tabs>
            <w:rPr>
              <w:rFonts w:ascii="Futura Lt BT" w:hAnsi="Futura Lt BT"/>
            </w:rPr>
          </w:pPr>
          <w:r>
            <w:rPr>
              <w:rFonts w:ascii="Futura Lt BT" w:hAnsi="Futura Lt BT"/>
            </w:rPr>
            <w:t>Telefax</w:t>
          </w:r>
          <w:r>
            <w:rPr>
              <w:rFonts w:ascii="Futura Lt BT" w:hAnsi="Futura Lt BT"/>
            </w:rPr>
            <w:tab/>
            <w:t>Gr3:</w:t>
          </w:r>
          <w:r>
            <w:rPr>
              <w:rFonts w:ascii="Futura Lt BT" w:hAnsi="Futura Lt BT"/>
            </w:rPr>
            <w:tab/>
            <w:t>+41 22 733 72 56</w:t>
          </w:r>
        </w:p>
      </w:tc>
      <w:tc>
        <w:tcPr>
          <w:tcW w:w="2374" w:type="dxa"/>
        </w:tcPr>
        <w:p w:rsidR="006969B4" w:rsidRDefault="006969B4">
          <w:pPr>
            <w:pStyle w:val="FirstFooter"/>
            <w:rPr>
              <w:rFonts w:ascii="Futura Lt BT" w:hAnsi="Futura Lt BT"/>
            </w:rPr>
          </w:pPr>
          <w:r>
            <w:rPr>
              <w:rFonts w:ascii="Futura Lt BT" w:hAnsi="Futura Lt BT"/>
            </w:rPr>
            <w:t>Telegrama ITU GENEVE</w:t>
          </w:r>
        </w:p>
      </w:tc>
      <w:tc>
        <w:tcPr>
          <w:tcW w:w="2304" w:type="dxa"/>
        </w:tcPr>
        <w:p w:rsidR="006969B4" w:rsidRDefault="006969B4" w:rsidP="008505BD">
          <w:pPr>
            <w:pStyle w:val="FirstFooter"/>
            <w:tabs>
              <w:tab w:val="right" w:pos="1956"/>
            </w:tabs>
            <w:ind w:right="70"/>
            <w:rPr>
              <w:rFonts w:ascii="Futura Lt BT" w:hAnsi="Futura Lt BT"/>
            </w:rPr>
          </w:pPr>
          <w:r>
            <w:rPr>
              <w:rFonts w:ascii="Futura Lt BT" w:hAnsi="Futura Lt BT"/>
            </w:rPr>
            <w:tab/>
          </w:r>
          <w:hyperlink r:id="rId2" w:history="1">
            <w:r w:rsidR="00BE4FA8" w:rsidRPr="00B67E13">
              <w:rPr>
                <w:rStyle w:val="Hyperlink"/>
                <w:rFonts w:ascii="Futura Lt BT" w:hAnsi="Futura Lt BT"/>
              </w:rPr>
              <w:t>www.it</w:t>
            </w:r>
            <w:r w:rsidR="00BE4FA8" w:rsidRPr="00B67E13">
              <w:rPr>
                <w:rStyle w:val="Hyperlink"/>
                <w:rFonts w:ascii="Futura Lt BT" w:hAnsi="Futura Lt BT"/>
              </w:rPr>
              <w:t>u</w:t>
            </w:r>
            <w:r w:rsidR="00BE4FA8" w:rsidRPr="00B67E13">
              <w:rPr>
                <w:rStyle w:val="Hyperlink"/>
                <w:rFonts w:ascii="Futura Lt BT" w:hAnsi="Futura Lt BT"/>
              </w:rPr>
              <w:t>.int</w:t>
            </w:r>
          </w:hyperlink>
          <w:r w:rsidR="00BE4FA8">
            <w:rPr>
              <w:rFonts w:ascii="Futura Lt BT" w:hAnsi="Futura Lt BT"/>
            </w:rPr>
            <w:t xml:space="preserve"> </w:t>
          </w:r>
        </w:p>
      </w:tc>
    </w:tr>
    <w:tr w:rsidR="006969B4">
      <w:tc>
        <w:tcPr>
          <w:tcW w:w="1985" w:type="dxa"/>
        </w:tcPr>
        <w:p w:rsidR="006969B4" w:rsidRDefault="006969B4">
          <w:pPr>
            <w:pStyle w:val="FirstFooter"/>
            <w:rPr>
              <w:rFonts w:ascii="Futura Lt BT" w:hAnsi="Futura Lt BT"/>
            </w:rPr>
          </w:pPr>
          <w:r>
            <w:rPr>
              <w:rFonts w:ascii="Futura Lt BT" w:hAnsi="Futura Lt BT"/>
            </w:rPr>
            <w:t>Suiza</w:t>
          </w:r>
        </w:p>
      </w:tc>
      <w:tc>
        <w:tcPr>
          <w:tcW w:w="3119" w:type="dxa"/>
        </w:tcPr>
        <w:p w:rsidR="006969B4" w:rsidRDefault="006969B4">
          <w:pPr>
            <w:pStyle w:val="FirstFooter"/>
            <w:tabs>
              <w:tab w:val="left" w:pos="709"/>
              <w:tab w:val="left" w:pos="1134"/>
            </w:tabs>
            <w:rPr>
              <w:rFonts w:ascii="Futura Lt BT" w:hAnsi="Futura Lt BT"/>
            </w:rPr>
          </w:pPr>
          <w:r>
            <w:rPr>
              <w:rFonts w:ascii="Futura Lt BT" w:hAnsi="Futura Lt BT"/>
            </w:rPr>
            <w:tab/>
            <w:t>Gr4:</w:t>
          </w:r>
          <w:r>
            <w:rPr>
              <w:rFonts w:ascii="Futura Lt BT" w:hAnsi="Futura Lt BT"/>
            </w:rPr>
            <w:tab/>
            <w:t>+41 22 730 65 00</w:t>
          </w:r>
        </w:p>
      </w:tc>
      <w:tc>
        <w:tcPr>
          <w:tcW w:w="2374" w:type="dxa"/>
        </w:tcPr>
        <w:p w:rsidR="006969B4" w:rsidRDefault="006969B4">
          <w:pPr>
            <w:pStyle w:val="FirstFooter"/>
            <w:rPr>
              <w:rFonts w:ascii="Futura Lt BT" w:hAnsi="Futura Lt BT"/>
            </w:rPr>
          </w:pPr>
        </w:p>
      </w:tc>
      <w:tc>
        <w:tcPr>
          <w:tcW w:w="2304" w:type="dxa"/>
        </w:tcPr>
        <w:p w:rsidR="006969B4" w:rsidRDefault="006969B4">
          <w:pPr>
            <w:pStyle w:val="FirstFooter"/>
            <w:rPr>
              <w:rFonts w:ascii="Futura Lt BT" w:hAnsi="Futura Lt BT"/>
            </w:rPr>
          </w:pPr>
        </w:p>
      </w:tc>
    </w:tr>
  </w:tbl>
  <w:p w:rsidR="006969B4" w:rsidRDefault="006969B4" w:rsidP="008505B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2D" w:rsidRDefault="007C102D">
      <w:r>
        <w:t>____________________</w:t>
      </w:r>
    </w:p>
  </w:footnote>
  <w:footnote w:type="continuationSeparator" w:id="0">
    <w:p w:rsidR="007C102D" w:rsidRDefault="007C102D">
      <w:r>
        <w:continuationSeparator/>
      </w:r>
    </w:p>
  </w:footnote>
  <w:footnote w:id="1">
    <w:p w:rsidR="007C102D" w:rsidRPr="002F61C2" w:rsidRDefault="007C102D" w:rsidP="0050720C">
      <w:pPr>
        <w:pStyle w:val="FootnoteText"/>
        <w:spacing w:after="240"/>
        <w:ind w:left="255" w:hanging="255"/>
        <w:rPr>
          <w:lang w:val="es-ES"/>
        </w:rPr>
      </w:pPr>
      <w:r>
        <w:rPr>
          <w:rStyle w:val="FootnoteReference"/>
        </w:rPr>
        <w:footnoteRef/>
      </w:r>
      <w:r>
        <w:t xml:space="preserve"> </w:t>
      </w:r>
      <w:r>
        <w:rPr>
          <w:lang w:val="es-ES"/>
        </w:rPr>
        <w:t xml:space="preserve">Para más información, sírvase visitar el sitio web BSG: </w:t>
      </w:r>
      <w:hyperlink r:id="rId1" w:history="1">
        <w:r w:rsidRPr="00EF645D">
          <w:rPr>
            <w:rStyle w:val="Hyperlink"/>
            <w:lang w:val="es-ES"/>
          </w:rPr>
          <w:t>http://www.itu.int/es/ITU-T/gap/</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A8" w:rsidRDefault="00BE4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689671"/>
      <w:docPartObj>
        <w:docPartGallery w:val="Page Numbers (Top of Page)"/>
        <w:docPartUnique/>
      </w:docPartObj>
    </w:sdtPr>
    <w:sdtEndPr>
      <w:rPr>
        <w:noProof/>
      </w:rPr>
    </w:sdtEndPr>
    <w:sdtContent>
      <w:p w:rsidR="0050720C" w:rsidRDefault="0050720C">
        <w:pPr>
          <w:pStyle w:val="Header"/>
        </w:pPr>
        <w:r>
          <w:fldChar w:fldCharType="begin"/>
        </w:r>
        <w:r>
          <w:instrText xml:space="preserve"> PAGE   \* MERGEFORMAT </w:instrText>
        </w:r>
        <w:r>
          <w:fldChar w:fldCharType="separate"/>
        </w:r>
        <w:r w:rsidR="00BE4FA8">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A8" w:rsidRDefault="00BE4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2D"/>
    <w:rsid w:val="00002529"/>
    <w:rsid w:val="000C382F"/>
    <w:rsid w:val="001173CC"/>
    <w:rsid w:val="001A54CC"/>
    <w:rsid w:val="00257FB4"/>
    <w:rsid w:val="00303D62"/>
    <w:rsid w:val="00335367"/>
    <w:rsid w:val="00370C2D"/>
    <w:rsid w:val="003D1E8D"/>
    <w:rsid w:val="003D673B"/>
    <w:rsid w:val="003F2855"/>
    <w:rsid w:val="00401C20"/>
    <w:rsid w:val="00492540"/>
    <w:rsid w:val="004C4144"/>
    <w:rsid w:val="0050720C"/>
    <w:rsid w:val="00591C34"/>
    <w:rsid w:val="006969B4"/>
    <w:rsid w:val="0070407B"/>
    <w:rsid w:val="00781E2A"/>
    <w:rsid w:val="007C102D"/>
    <w:rsid w:val="00817D75"/>
    <w:rsid w:val="008258C2"/>
    <w:rsid w:val="008505BD"/>
    <w:rsid w:val="00850C78"/>
    <w:rsid w:val="008C17AD"/>
    <w:rsid w:val="008D02CD"/>
    <w:rsid w:val="0095172A"/>
    <w:rsid w:val="00A54E47"/>
    <w:rsid w:val="00AE7093"/>
    <w:rsid w:val="00B422BC"/>
    <w:rsid w:val="00B43F77"/>
    <w:rsid w:val="00B95F0A"/>
    <w:rsid w:val="00B96180"/>
    <w:rsid w:val="00BE4FA8"/>
    <w:rsid w:val="00C17AC0"/>
    <w:rsid w:val="00C34772"/>
    <w:rsid w:val="00CC67DB"/>
    <w:rsid w:val="00CD12C3"/>
    <w:rsid w:val="00DD77C9"/>
    <w:rsid w:val="00DE3633"/>
    <w:rsid w:val="00E369B1"/>
    <w:rsid w:val="00E839B0"/>
    <w:rsid w:val="00E92C09"/>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7B90BB-F200-4D56-BEA0-FCE1A8BC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20879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g@itu.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ITU-T/g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sg@itu.in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s/ITU-T/g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2B2F-E5F8-48A9-97B9-44DECFCE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PS_TSBWORKSHOP.dotm</Template>
  <TotalTime>0</TotalTime>
  <Pages>2</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3784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Mendoza Siles, Sidma Jeanneth</dc:creator>
  <cp:lastModifiedBy>Aveline, Marion</cp:lastModifiedBy>
  <cp:revision>2</cp:revision>
  <cp:lastPrinted>2014-03-28T13:11:00Z</cp:lastPrinted>
  <dcterms:created xsi:type="dcterms:W3CDTF">2014-04-01T13:00:00Z</dcterms:created>
  <dcterms:modified xsi:type="dcterms:W3CDTF">2014-04-01T13:00:00Z</dcterms:modified>
</cp:coreProperties>
</file>