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A65DCE">
        <w:t>11 de febrero de 2014</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A65DCE">
            <w:pPr>
              <w:tabs>
                <w:tab w:val="left" w:pos="4111"/>
              </w:tabs>
              <w:spacing w:before="0"/>
              <w:ind w:left="57"/>
              <w:rPr>
                <w:b/>
              </w:rPr>
            </w:pPr>
            <w:r>
              <w:rPr>
                <w:b/>
              </w:rPr>
              <w:t xml:space="preserve">Circular TSB </w:t>
            </w:r>
            <w:r w:rsidR="00A65DCE">
              <w:rPr>
                <w:b/>
              </w:rPr>
              <w:t>82</w:t>
            </w:r>
          </w:p>
          <w:p w:rsidR="00C34772" w:rsidRDefault="00C34772" w:rsidP="00303D62">
            <w:pPr>
              <w:tabs>
                <w:tab w:val="left" w:pos="4111"/>
              </w:tabs>
              <w:spacing w:before="0"/>
              <w:ind w:left="57"/>
              <w:rPr>
                <w:b/>
              </w:rPr>
            </w:pPr>
          </w:p>
          <w:p w:rsidR="00C34772" w:rsidRDefault="00C34772" w:rsidP="00303D62">
            <w:pPr>
              <w:tabs>
                <w:tab w:val="left" w:pos="4111"/>
              </w:tabs>
              <w:spacing w:before="0"/>
              <w:ind w:left="57"/>
            </w:pPr>
          </w:p>
          <w:p w:rsidR="00C34772" w:rsidRDefault="00C34772" w:rsidP="00303D62">
            <w:pPr>
              <w:tabs>
                <w:tab w:val="left" w:pos="4111"/>
              </w:tabs>
              <w:spacing w:before="0"/>
              <w:ind w:left="57"/>
            </w:pPr>
            <w:r>
              <w:t>+</w:t>
            </w:r>
            <w:r w:rsidR="00404178">
              <w:t>41 22 730 5780</w:t>
            </w:r>
            <w:r w:rsidR="00404178">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9D2D4C">
              <w:t>;</w:t>
            </w:r>
          </w:p>
          <w:p w:rsidR="009D2D4C" w:rsidRDefault="009D2D4C" w:rsidP="00303D62">
            <w:pPr>
              <w:tabs>
                <w:tab w:val="clear" w:pos="794"/>
                <w:tab w:val="clear" w:pos="1191"/>
                <w:tab w:val="clear" w:pos="1588"/>
                <w:tab w:val="clear" w:pos="1985"/>
                <w:tab w:val="left" w:pos="284"/>
              </w:tabs>
              <w:spacing w:before="0"/>
              <w:ind w:left="284" w:hanging="227"/>
            </w:pPr>
            <w:r>
              <w:t>-</w:t>
            </w:r>
            <w:r>
              <w:tab/>
              <w:t>A los Miembros del Sector UIT-T;</w:t>
            </w:r>
          </w:p>
          <w:p w:rsidR="009D2D4C" w:rsidRDefault="009D2D4C" w:rsidP="00BC0DC5">
            <w:pPr>
              <w:tabs>
                <w:tab w:val="clear" w:pos="794"/>
                <w:tab w:val="clear" w:pos="1191"/>
                <w:tab w:val="clear" w:pos="1588"/>
                <w:tab w:val="clear" w:pos="1985"/>
                <w:tab w:val="left" w:pos="284"/>
              </w:tabs>
              <w:spacing w:before="0"/>
              <w:ind w:left="284" w:hanging="227"/>
            </w:pPr>
            <w:r>
              <w:t>-</w:t>
            </w:r>
            <w:r>
              <w:tab/>
              <w:t>A los Asociados del UIT-T;</w:t>
            </w:r>
          </w:p>
          <w:p w:rsidR="009D2D4C" w:rsidRDefault="009D2D4C" w:rsidP="00303D62">
            <w:pPr>
              <w:tabs>
                <w:tab w:val="clear" w:pos="794"/>
                <w:tab w:val="clear" w:pos="1191"/>
                <w:tab w:val="clear" w:pos="1588"/>
                <w:tab w:val="clear" w:pos="1985"/>
                <w:tab w:val="left" w:pos="284"/>
              </w:tabs>
              <w:spacing w:before="0"/>
              <w:ind w:left="284" w:hanging="227"/>
            </w:pPr>
            <w:r>
              <w:t>-</w:t>
            </w:r>
            <w:r>
              <w:tab/>
              <w:t>A las Instituciones Académicas del UIT-T</w:t>
            </w:r>
          </w:p>
        </w:tc>
      </w:tr>
      <w:tr w:rsidR="00780487" w:rsidTr="00303D62">
        <w:trPr>
          <w:cantSplit/>
        </w:trPr>
        <w:tc>
          <w:tcPr>
            <w:tcW w:w="993" w:type="dxa"/>
          </w:tcPr>
          <w:p w:rsidR="00780487" w:rsidRDefault="00780487" w:rsidP="00206505">
            <w:pPr>
              <w:tabs>
                <w:tab w:val="left" w:pos="4111"/>
              </w:tabs>
              <w:spacing w:before="10"/>
              <w:ind w:left="57"/>
              <w:rPr>
                <w:sz w:val="22"/>
              </w:rPr>
            </w:pPr>
            <w:r>
              <w:rPr>
                <w:sz w:val="22"/>
              </w:rPr>
              <w:t>Correo-e:</w:t>
            </w:r>
          </w:p>
        </w:tc>
        <w:tc>
          <w:tcPr>
            <w:tcW w:w="3884" w:type="dxa"/>
          </w:tcPr>
          <w:p w:rsidR="00780487" w:rsidRDefault="008948BB" w:rsidP="00206505">
            <w:pPr>
              <w:tabs>
                <w:tab w:val="left" w:pos="4111"/>
              </w:tabs>
              <w:spacing w:before="0"/>
              <w:ind w:left="57"/>
            </w:pPr>
            <w:hyperlink r:id="rId10" w:history="1">
              <w:r w:rsidR="00780487" w:rsidRPr="00EF28DE">
                <w:rPr>
                  <w:rStyle w:val="Hyperlink"/>
                  <w:rFonts w:asciiTheme="majorBidi" w:hAnsiTheme="majorBidi" w:cstheme="majorBidi"/>
                  <w:szCs w:val="24"/>
                </w:rPr>
                <w:t>conformity@itu.int</w:t>
              </w:r>
            </w:hyperlink>
          </w:p>
        </w:tc>
        <w:tc>
          <w:tcPr>
            <w:tcW w:w="5329" w:type="dxa"/>
          </w:tcPr>
          <w:p w:rsidR="00780487" w:rsidRDefault="00780487" w:rsidP="00303D62">
            <w:pPr>
              <w:tabs>
                <w:tab w:val="left" w:pos="4111"/>
              </w:tabs>
              <w:spacing w:before="0"/>
              <w:rPr>
                <w:b/>
              </w:rPr>
            </w:pPr>
          </w:p>
        </w:tc>
      </w:tr>
      <w:tr w:rsidR="00C34772" w:rsidTr="00303D62">
        <w:trPr>
          <w:cantSplit/>
        </w:trPr>
        <w:tc>
          <w:tcPr>
            <w:tcW w:w="993" w:type="dxa"/>
          </w:tcPr>
          <w:p w:rsidR="00C34772" w:rsidRDefault="00C34772" w:rsidP="00303D62">
            <w:pPr>
              <w:tabs>
                <w:tab w:val="left" w:pos="4111"/>
              </w:tabs>
              <w:spacing w:before="10"/>
              <w:ind w:left="57"/>
              <w:rPr>
                <w:sz w:val="22"/>
              </w:rPr>
            </w:pPr>
          </w:p>
        </w:tc>
        <w:tc>
          <w:tcPr>
            <w:tcW w:w="3884" w:type="dxa"/>
          </w:tcPr>
          <w:p w:rsidR="00C34772" w:rsidRDefault="00C34772" w:rsidP="00303D62">
            <w:pPr>
              <w:tabs>
                <w:tab w:val="left" w:pos="4111"/>
              </w:tabs>
              <w:spacing w:before="0"/>
              <w:ind w:left="57"/>
            </w:pPr>
          </w:p>
        </w:tc>
        <w:tc>
          <w:tcPr>
            <w:tcW w:w="5329" w:type="dxa"/>
          </w:tcPr>
          <w:p w:rsidR="00C34772" w:rsidRDefault="00C34772" w:rsidP="00303D62">
            <w:pPr>
              <w:tabs>
                <w:tab w:val="left" w:pos="4111"/>
              </w:tabs>
              <w:spacing w:before="0"/>
            </w:pPr>
            <w:r>
              <w:rPr>
                <w:b/>
              </w:rPr>
              <w:t>Copia</w:t>
            </w:r>
            <w:r>
              <w:t>:</w:t>
            </w:r>
          </w:p>
          <w:p w:rsidR="00C34772" w:rsidRDefault="00C34772" w:rsidP="00404178">
            <w:pPr>
              <w:tabs>
                <w:tab w:val="left" w:pos="226"/>
                <w:tab w:val="left" w:pos="4111"/>
              </w:tabs>
              <w:spacing w:before="0"/>
              <w:ind w:left="226" w:hanging="226"/>
            </w:pPr>
            <w:r>
              <w:t>-</w:t>
            </w:r>
            <w:r>
              <w:tab/>
              <w:t>Al Presidente y a los Vicepresidentes de la</w:t>
            </w:r>
            <w:r>
              <w:br/>
              <w:t xml:space="preserve">Comisión de Estudio </w:t>
            </w:r>
            <w:r w:rsidR="00404178">
              <w:t>del UIT-T</w:t>
            </w:r>
            <w:r w:rsidR="00382677">
              <w:t>;</w:t>
            </w:r>
          </w:p>
          <w:p w:rsidR="00404178" w:rsidRDefault="00404178" w:rsidP="00404178">
            <w:pPr>
              <w:tabs>
                <w:tab w:val="clear" w:pos="794"/>
                <w:tab w:val="clear" w:pos="1191"/>
                <w:tab w:val="clear" w:pos="1588"/>
                <w:tab w:val="clear" w:pos="1985"/>
                <w:tab w:val="left" w:pos="226"/>
                <w:tab w:val="left" w:pos="510"/>
              </w:tabs>
              <w:spacing w:before="0"/>
              <w:ind w:left="227" w:hanging="170"/>
            </w:pPr>
            <w:r>
              <w:t>-</w:t>
            </w:r>
            <w:r>
              <w:tab/>
              <w:t>Al Director de la Oficina de Radiocomunicaciones</w:t>
            </w:r>
            <w:r w:rsidR="00382677">
              <w:t>;</w:t>
            </w:r>
          </w:p>
          <w:p w:rsidR="00C34772" w:rsidRDefault="00C34772" w:rsidP="00404178">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tc>
      </w:tr>
    </w:tbl>
    <w:p w:rsidR="00C34772" w:rsidRDefault="00C34772" w:rsidP="00303D62"/>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C34772" w:rsidRPr="00BC0DC5" w:rsidTr="009D2D4C">
        <w:trPr>
          <w:cantSplit/>
        </w:trPr>
        <w:tc>
          <w:tcPr>
            <w:tcW w:w="985" w:type="dxa"/>
          </w:tcPr>
          <w:p w:rsidR="00C34772" w:rsidRDefault="00C34772" w:rsidP="00303D62">
            <w:pPr>
              <w:tabs>
                <w:tab w:val="left" w:pos="4111"/>
              </w:tabs>
              <w:spacing w:before="10"/>
              <w:ind w:left="57"/>
              <w:rPr>
                <w:sz w:val="22"/>
              </w:rPr>
            </w:pPr>
            <w:r>
              <w:rPr>
                <w:sz w:val="22"/>
              </w:rPr>
              <w:t>Asunto:</w:t>
            </w:r>
          </w:p>
        </w:tc>
        <w:tc>
          <w:tcPr>
            <w:tcW w:w="9213" w:type="dxa"/>
          </w:tcPr>
          <w:p w:rsidR="00C34772" w:rsidRPr="00BC0DC5" w:rsidRDefault="009D2D4C" w:rsidP="00BC0DC5">
            <w:pPr>
              <w:spacing w:before="0"/>
              <w:rPr>
                <w:b/>
                <w:bCs/>
              </w:rPr>
            </w:pPr>
            <w:r w:rsidRPr="00BC0DC5">
              <w:rPr>
                <w:b/>
                <w:bCs/>
              </w:rPr>
              <w:t>Evento de pruebas organizado por el UIT-T sobre evaluación del comportamiento de los teléfonos móviles montados en vehículos junto con los terminales manos libres de acuerdo con las Recomendaciones UIT-T P.1100 y UIT-T P.1110, Ginebra, Suiza</w:t>
            </w:r>
            <w:r w:rsidR="00BC0DC5">
              <w:rPr>
                <w:b/>
                <w:bCs/>
              </w:rPr>
              <w:t>,</w:t>
            </w:r>
            <w:r w:rsidRPr="00BC0DC5">
              <w:rPr>
                <w:b/>
                <w:bCs/>
              </w:rPr>
              <w:t xml:space="preserve"> 12-16 de mayo de 2014</w:t>
            </w:r>
          </w:p>
        </w:tc>
      </w:tr>
    </w:tbl>
    <w:p w:rsidR="00501872" w:rsidRDefault="00501872" w:rsidP="00303D62">
      <w:bookmarkStart w:id="1" w:name="StartTyping_S"/>
      <w:bookmarkStart w:id="2" w:name="suitetext"/>
      <w:bookmarkStart w:id="3" w:name="text"/>
      <w:bookmarkEnd w:id="1"/>
      <w:bookmarkEnd w:id="2"/>
      <w:bookmarkEnd w:id="3"/>
    </w:p>
    <w:p w:rsidR="00C34772" w:rsidRDefault="00C34772" w:rsidP="00501872">
      <w:pPr>
        <w:spacing w:before="12"/>
      </w:pPr>
      <w:r>
        <w:t>Muy Señora mía/Muy Señor mío:</w:t>
      </w:r>
    </w:p>
    <w:p w:rsidR="00BC0DC5" w:rsidRDefault="00BC0DC5" w:rsidP="00501872">
      <w:pPr>
        <w:spacing w:before="12"/>
      </w:pPr>
    </w:p>
    <w:p w:rsidR="00B96DE3" w:rsidRDefault="001557A2" w:rsidP="00382677">
      <w:r>
        <w:t>1)</w:t>
      </w:r>
      <w:r>
        <w:tab/>
      </w:r>
      <w:r w:rsidR="00B96DE3">
        <w:t xml:space="preserve">Deseo informarle de que la </w:t>
      </w:r>
      <w:r>
        <w:t>Unión I</w:t>
      </w:r>
      <w:r w:rsidR="00BC0DC5">
        <w:t>nternacional</w:t>
      </w:r>
      <w:r w:rsidR="00B96DE3">
        <w:t xml:space="preserve"> de </w:t>
      </w:r>
      <w:r w:rsidR="00BC0DC5">
        <w:t>Telecomunicaciones</w:t>
      </w:r>
      <w:r w:rsidR="00B96DE3">
        <w:t xml:space="preserve"> (UIT) </w:t>
      </w:r>
      <w:r w:rsidR="00BC0DC5">
        <w:t>está</w:t>
      </w:r>
      <w:r w:rsidR="00B96DE3">
        <w:t xml:space="preserve"> organizando un evento de prueba</w:t>
      </w:r>
      <w:r>
        <w:t>s</w:t>
      </w:r>
      <w:r w:rsidR="00B96DE3">
        <w:t xml:space="preserve"> sobre </w:t>
      </w:r>
      <w:r>
        <w:t>"</w:t>
      </w:r>
      <w:r w:rsidR="00BC0DC5">
        <w:t>Evaluación</w:t>
      </w:r>
      <w:r w:rsidR="00B96DE3">
        <w:t xml:space="preserve"> del </w:t>
      </w:r>
      <w:r w:rsidR="00BC0DC5">
        <w:t>comportamiento</w:t>
      </w:r>
      <w:r w:rsidR="00B96DE3">
        <w:t xml:space="preserve"> de los teléfonos móviles </w:t>
      </w:r>
      <w:r>
        <w:t xml:space="preserve">montados </w:t>
      </w:r>
      <w:r w:rsidR="00B96DE3">
        <w:t>en vehículos junto con terminales manos libres (HFT) de acuerdo con las Recomendaciones UIT-T P.1100 y UIT-T P.11</w:t>
      </w:r>
      <w:r w:rsidR="00F72B99">
        <w:t>1</w:t>
      </w:r>
      <w:r w:rsidR="00B96DE3">
        <w:t>0</w:t>
      </w:r>
      <w:r>
        <w:t>"</w:t>
      </w:r>
      <w:r w:rsidR="00B96DE3">
        <w:t xml:space="preserve"> del 12 al 16 de mayo de 2014 en la </w:t>
      </w:r>
      <w:r>
        <w:t>S</w:t>
      </w:r>
      <w:r w:rsidR="00B96DE3">
        <w:t>ede de la</w:t>
      </w:r>
      <w:r w:rsidR="00382677">
        <w:t> </w:t>
      </w:r>
      <w:r w:rsidR="00B96DE3">
        <w:t>UIT en Ginebra, Suiza.</w:t>
      </w:r>
    </w:p>
    <w:p w:rsidR="00B96DE3" w:rsidRDefault="001557A2" w:rsidP="001557A2">
      <w:r>
        <w:t>2)</w:t>
      </w:r>
      <w:r>
        <w:tab/>
        <w:t>E</w:t>
      </w:r>
      <w:r w:rsidR="00B96DE3">
        <w:t xml:space="preserve">l evento </w:t>
      </w:r>
      <w:r>
        <w:t>se someterá a prueba</w:t>
      </w:r>
      <w:r w:rsidR="00B96DE3">
        <w:t xml:space="preserve"> y evaluar</w:t>
      </w:r>
      <w:r>
        <w:t>á</w:t>
      </w:r>
      <w:r w:rsidR="00B96DE3">
        <w:t xml:space="preserve"> el comportamiento de las transmisiones inalámbricas de corto alcance entre teléfonos móviles y un punto de acceso a estas </w:t>
      </w:r>
      <w:r w:rsidR="00BC0DC5">
        <w:t>tra</w:t>
      </w:r>
      <w:r w:rsidR="00382677">
        <w:t>n</w:t>
      </w:r>
      <w:r w:rsidR="00BC0DC5">
        <w:t>smisiones</w:t>
      </w:r>
      <w:r w:rsidR="00B96DE3">
        <w:t xml:space="preserve"> </w:t>
      </w:r>
      <w:r w:rsidR="00382677">
        <w:t>(</w:t>
      </w:r>
      <w:r w:rsidR="00B96DE3">
        <w:t>SRW</w:t>
      </w:r>
      <w:r w:rsidR="00382677">
        <w:t>)</w:t>
      </w:r>
      <w:r w:rsidR="00B96DE3">
        <w:t xml:space="preserve">, de conformidad con las especificaciones </w:t>
      </w:r>
      <w:r w:rsidR="00382677">
        <w:t>d</w:t>
      </w:r>
      <w:r w:rsidR="00B96DE3">
        <w:t xml:space="preserve">el </w:t>
      </w:r>
      <w:r w:rsidR="00BC0DC5">
        <w:t>Capítulo</w:t>
      </w:r>
      <w:r>
        <w:t xml:space="preserve"> </w:t>
      </w:r>
      <w:r w:rsidR="00B96DE3">
        <w:t>12 de las Recomendaciones UIT</w:t>
      </w:r>
      <w:r>
        <w:noBreakHyphen/>
      </w:r>
      <w:r w:rsidR="00B96DE3">
        <w:t>T</w:t>
      </w:r>
      <w:r>
        <w:t> </w:t>
      </w:r>
      <w:r w:rsidR="00B96DE3">
        <w:t>P.</w:t>
      </w:r>
      <w:r>
        <w:t>1</w:t>
      </w:r>
      <w:r w:rsidR="00B96DE3">
        <w:t>100 y UIT-T P.1110.</w:t>
      </w:r>
    </w:p>
    <w:p w:rsidR="00B96DE3" w:rsidRDefault="001557A2" w:rsidP="001557A2">
      <w:r>
        <w:t>3)</w:t>
      </w:r>
      <w:r>
        <w:tab/>
        <w:t>Este evento est</w:t>
      </w:r>
      <w:r w:rsidR="00B96DE3">
        <w:t xml:space="preserve">á </w:t>
      </w:r>
      <w:r w:rsidR="00BC0DC5">
        <w:t>abierto</w:t>
      </w:r>
      <w:r w:rsidR="00B96DE3">
        <w:t xml:space="preserve"> a la participación de fabricantes de automóviles y suministradores de terminales manos libres, operadores del servicio móvil y vendedores de teléfonos móviles. Los teléfonos móviles que se probar</w:t>
      </w:r>
      <w:r>
        <w:t>á</w:t>
      </w:r>
      <w:r w:rsidR="00B96DE3">
        <w:t>n serán identificado</w:t>
      </w:r>
      <w:r>
        <w:t>s</w:t>
      </w:r>
      <w:r w:rsidR="00B96DE3">
        <w:t xml:space="preserve"> y proporcionados por los participantes. Se </w:t>
      </w:r>
      <w:r>
        <w:t>facilitará</w:t>
      </w:r>
      <w:r w:rsidR="00B96DE3">
        <w:t xml:space="preserve"> a los participantes informes detallados sobre la prueba y se remitirá a la </w:t>
      </w:r>
      <w:hyperlink r:id="rId11" w:history="1">
        <w:r>
          <w:rPr>
            <w:rStyle w:val="Hyperlink"/>
            <w:rFonts w:asciiTheme="majorBidi" w:hAnsiTheme="majorBidi" w:cstheme="majorBidi"/>
            <w:szCs w:val="24"/>
          </w:rPr>
          <w:t xml:space="preserve">Comisión de Estudio </w:t>
        </w:r>
        <w:r w:rsidRPr="001557A2">
          <w:rPr>
            <w:rStyle w:val="Hyperlink"/>
            <w:rFonts w:asciiTheme="majorBidi" w:hAnsiTheme="majorBidi" w:cstheme="majorBidi"/>
            <w:szCs w:val="24"/>
          </w:rPr>
          <w:t xml:space="preserve">12 </w:t>
        </w:r>
        <w:r>
          <w:rPr>
            <w:rStyle w:val="Hyperlink"/>
            <w:rFonts w:asciiTheme="majorBidi" w:hAnsiTheme="majorBidi" w:cstheme="majorBidi"/>
            <w:szCs w:val="24"/>
          </w:rPr>
          <w:t xml:space="preserve">del UIT-T </w:t>
        </w:r>
        <w:r w:rsidRPr="001557A2">
          <w:rPr>
            <w:rStyle w:val="Hyperlink"/>
            <w:rFonts w:asciiTheme="majorBidi" w:hAnsiTheme="majorBidi" w:cstheme="majorBidi"/>
            <w:szCs w:val="24"/>
          </w:rPr>
          <w:t>(</w:t>
        </w:r>
        <w:r>
          <w:rPr>
            <w:rStyle w:val="Hyperlink"/>
            <w:rFonts w:asciiTheme="majorBidi" w:hAnsiTheme="majorBidi" w:cstheme="majorBidi"/>
            <w:szCs w:val="24"/>
          </w:rPr>
          <w:t>Calidad de funcionamiento</w:t>
        </w:r>
        <w:r w:rsidRPr="001557A2">
          <w:rPr>
            <w:rStyle w:val="Hyperlink"/>
            <w:rFonts w:asciiTheme="majorBidi" w:hAnsiTheme="majorBidi" w:cstheme="majorBidi"/>
            <w:szCs w:val="24"/>
          </w:rPr>
          <w:t xml:space="preserve">, </w:t>
        </w:r>
        <w:r>
          <w:rPr>
            <w:rStyle w:val="Hyperlink"/>
            <w:rFonts w:asciiTheme="majorBidi" w:hAnsiTheme="majorBidi" w:cstheme="majorBidi"/>
            <w:szCs w:val="24"/>
          </w:rPr>
          <w:t>Calidad de servicio y Calidad percibida</w:t>
        </w:r>
        <w:r w:rsidRPr="001557A2">
          <w:rPr>
            <w:rStyle w:val="Hyperlink"/>
            <w:rFonts w:asciiTheme="majorBidi" w:hAnsiTheme="majorBidi" w:cstheme="majorBidi"/>
            <w:szCs w:val="24"/>
          </w:rPr>
          <w:t>)</w:t>
        </w:r>
      </w:hyperlink>
      <w:r w:rsidRPr="001557A2">
        <w:rPr>
          <w:rFonts w:asciiTheme="majorBidi" w:hAnsiTheme="majorBidi" w:cstheme="majorBidi"/>
          <w:color w:val="000000"/>
          <w:szCs w:val="24"/>
        </w:rPr>
        <w:t xml:space="preserve"> </w:t>
      </w:r>
      <w:r w:rsidR="00B96DE3">
        <w:t>un inform</w:t>
      </w:r>
      <w:r>
        <w:t>e</w:t>
      </w:r>
      <w:r w:rsidR="00B96DE3">
        <w:t xml:space="preserve"> anónimo de los </w:t>
      </w:r>
      <w:r w:rsidR="00BC0DC5">
        <w:t>resultados</w:t>
      </w:r>
      <w:r w:rsidR="00B96DE3">
        <w:t xml:space="preserve"> de las pruebas </w:t>
      </w:r>
      <w:r w:rsidR="0079145D">
        <w:t>afín</w:t>
      </w:r>
      <w:r w:rsidR="00B96DE3">
        <w:t xml:space="preserve"> de mejorar las Recomendaciones UIT</w:t>
      </w:r>
      <w:r>
        <w:noBreakHyphen/>
      </w:r>
      <w:r w:rsidR="00B96DE3">
        <w:t>T</w:t>
      </w:r>
      <w:r>
        <w:t> </w:t>
      </w:r>
      <w:r w:rsidR="00B96DE3">
        <w:t>P.1100 y UIT-T P.1110.</w:t>
      </w:r>
    </w:p>
    <w:p w:rsidR="00B96DE3" w:rsidRDefault="001557A2" w:rsidP="00F72B99">
      <w:r>
        <w:t>4)</w:t>
      </w:r>
      <w:r>
        <w:tab/>
      </w:r>
      <w:r w:rsidR="00B96DE3">
        <w:t xml:space="preserve">La cuota de participación en este evento de </w:t>
      </w:r>
      <w:r w:rsidR="00BC0DC5">
        <w:t>pruebas</w:t>
      </w:r>
      <w:r w:rsidR="00F72B99">
        <w:t xml:space="preserve"> es</w:t>
      </w:r>
      <w:r w:rsidR="00B96DE3">
        <w:t xml:space="preserve"> de 6</w:t>
      </w:r>
      <w:r w:rsidR="00F72B99">
        <w:t>.</w:t>
      </w:r>
      <w:r w:rsidR="00B96DE3">
        <w:t xml:space="preserve">000 </w:t>
      </w:r>
      <w:r w:rsidR="00F72B99">
        <w:t>E</w:t>
      </w:r>
      <w:r w:rsidR="00B96DE3">
        <w:t>uros por empresa e inclu</w:t>
      </w:r>
      <w:r w:rsidR="00F72B99">
        <w:t>ye</w:t>
      </w:r>
      <w:r w:rsidR="00B96DE3">
        <w:t xml:space="preserve"> al menos ocho pruebas (véa</w:t>
      </w:r>
      <w:r w:rsidR="00F72B99">
        <w:t>n</w:t>
      </w:r>
      <w:r w:rsidR="00B96DE3">
        <w:t>se en el Anexo A los detalles sobre la cuota de participación y las características del evento).</w:t>
      </w:r>
    </w:p>
    <w:p w:rsidR="00B96DE3" w:rsidRDefault="00F72B99" w:rsidP="00382677">
      <w:r>
        <w:lastRenderedPageBreak/>
        <w:t>5)</w:t>
      </w:r>
      <w:r>
        <w:tab/>
      </w:r>
      <w:r w:rsidR="00B96DE3">
        <w:t xml:space="preserve">La descripción de los </w:t>
      </w:r>
      <w:r w:rsidR="00BC0DC5">
        <w:t>objetivos</w:t>
      </w:r>
      <w:r w:rsidR="00B96DE3">
        <w:t xml:space="preserve">, términos y </w:t>
      </w:r>
      <w:r w:rsidR="00BC0DC5">
        <w:t>condiciones</w:t>
      </w:r>
      <w:r w:rsidR="00B96DE3">
        <w:t xml:space="preserve"> del evento figuran en el Anexo A. En el Anexo B aparece un ejemplo de un informe de </w:t>
      </w:r>
      <w:r w:rsidR="00BC0DC5">
        <w:t>prueba</w:t>
      </w:r>
      <w:r w:rsidR="00B96DE3">
        <w:t xml:space="preserve"> detallado. Toda informaci</w:t>
      </w:r>
      <w:r w:rsidR="00BC0DC5">
        <w:t>ó</w:t>
      </w:r>
      <w:r w:rsidR="00B96DE3">
        <w:t>n sobre los eventos se encontrar</w:t>
      </w:r>
      <w:r w:rsidR="00382677">
        <w:t>á</w:t>
      </w:r>
      <w:r w:rsidR="00B96DE3">
        <w:t xml:space="preserve"> disponible en la </w:t>
      </w:r>
      <w:r w:rsidR="00BC0DC5">
        <w:t>página</w:t>
      </w:r>
      <w:r w:rsidR="00B96DE3">
        <w:t xml:space="preserve"> web del evento </w:t>
      </w:r>
      <w:r>
        <w:rPr>
          <w:rFonts w:asciiTheme="majorBidi" w:hAnsiTheme="majorBidi" w:cstheme="majorBidi"/>
          <w:szCs w:val="24"/>
        </w:rPr>
        <w:t>(</w:t>
      </w:r>
      <w:hyperlink r:id="rId12" w:history="1">
        <w:r w:rsidRPr="009165E7">
          <w:rPr>
            <w:rStyle w:val="Hyperlink"/>
            <w:rFonts w:asciiTheme="majorBidi" w:hAnsiTheme="majorBidi" w:cstheme="majorBidi"/>
            <w:szCs w:val="24"/>
          </w:rPr>
          <w:t>http://itu</w:t>
        </w:r>
        <w:r w:rsidRPr="009165E7">
          <w:rPr>
            <w:rStyle w:val="Hyperlink"/>
            <w:rFonts w:asciiTheme="majorBidi" w:hAnsiTheme="majorBidi" w:cstheme="majorBidi"/>
            <w:szCs w:val="24"/>
          </w:rPr>
          <w:t>.</w:t>
        </w:r>
        <w:r w:rsidRPr="009165E7">
          <w:rPr>
            <w:rStyle w:val="Hyperlink"/>
            <w:rFonts w:asciiTheme="majorBidi" w:hAnsiTheme="majorBidi" w:cstheme="majorBidi"/>
            <w:szCs w:val="24"/>
          </w:rPr>
          <w:t>int/go/test-event</w:t>
        </w:r>
      </w:hyperlink>
      <w:r>
        <w:rPr>
          <w:rFonts w:asciiTheme="majorBidi" w:hAnsiTheme="majorBidi" w:cstheme="majorBidi"/>
          <w:szCs w:val="24"/>
        </w:rPr>
        <w:t>)</w:t>
      </w:r>
      <w:r w:rsidRPr="005A04B7">
        <w:rPr>
          <w:rFonts w:asciiTheme="majorBidi" w:hAnsiTheme="majorBidi" w:cstheme="majorBidi"/>
          <w:szCs w:val="24"/>
        </w:rPr>
        <w:t>.</w:t>
      </w:r>
    </w:p>
    <w:p w:rsidR="00B96DE3" w:rsidRDefault="00F72B99" w:rsidP="00F72B99">
      <w:r>
        <w:t>6)</w:t>
      </w:r>
      <w:r>
        <w:tab/>
      </w:r>
      <w:r w:rsidR="00B96DE3">
        <w:t xml:space="preserve">Para tomar las disposiciones necesarias a fin de preparar el </w:t>
      </w:r>
      <w:r w:rsidR="00BC0DC5">
        <w:t>evento</w:t>
      </w:r>
      <w:r w:rsidR="00B96DE3">
        <w:t>, le agradecería que sugiriese los tipos de teléfono</w:t>
      </w:r>
      <w:r>
        <w:t>s</w:t>
      </w:r>
      <w:r w:rsidR="00B96DE3">
        <w:t xml:space="preserve"> móviles que probar</w:t>
      </w:r>
      <w:r>
        <w:t>á</w:t>
      </w:r>
      <w:r w:rsidR="00B96DE3">
        <w:t xml:space="preserve"> y que confirme su participación a la </w:t>
      </w:r>
      <w:r w:rsidR="00BC0DC5">
        <w:t>mayor</w:t>
      </w:r>
      <w:r w:rsidR="00B96DE3">
        <w:t xml:space="preserve"> brevedad posible y </w:t>
      </w:r>
      <w:r w:rsidR="00B96DE3" w:rsidRPr="00F72B99">
        <w:rPr>
          <w:b/>
          <w:bCs/>
        </w:rPr>
        <w:t>preferiblemente antes del 21 de marzo de 2014</w:t>
      </w:r>
      <w:r w:rsidR="00B96DE3">
        <w:t>.</w:t>
      </w:r>
    </w:p>
    <w:p w:rsidR="00B96DE3" w:rsidRDefault="00F72B99" w:rsidP="00F72B99">
      <w:r>
        <w:t>7)</w:t>
      </w:r>
      <w:r>
        <w:tab/>
      </w:r>
      <w:r w:rsidR="00B96DE3">
        <w:t xml:space="preserve">El pago de la cuota por la participación debe enviarse a la cuenta bancaria de la UIT </w:t>
      </w:r>
      <w:r w:rsidR="00B96DE3" w:rsidRPr="00F72B99">
        <w:rPr>
          <w:b/>
          <w:bCs/>
        </w:rPr>
        <w:t xml:space="preserve">a </w:t>
      </w:r>
      <w:r w:rsidR="00BC0DC5" w:rsidRPr="00F72B99">
        <w:rPr>
          <w:b/>
          <w:bCs/>
        </w:rPr>
        <w:t>más</w:t>
      </w:r>
      <w:r w:rsidR="00B96DE3" w:rsidRPr="00F72B99">
        <w:rPr>
          <w:b/>
          <w:bCs/>
        </w:rPr>
        <w:t xml:space="preserve"> </w:t>
      </w:r>
      <w:r w:rsidR="00BC0DC5" w:rsidRPr="00F72B99">
        <w:rPr>
          <w:b/>
          <w:bCs/>
        </w:rPr>
        <w:t>tardar</w:t>
      </w:r>
      <w:r w:rsidR="00B96DE3" w:rsidRPr="00F72B99">
        <w:rPr>
          <w:b/>
          <w:bCs/>
        </w:rPr>
        <w:t xml:space="preserve"> el 4 de abril de 2014</w:t>
      </w:r>
      <w:r w:rsidR="00B96DE3">
        <w:t xml:space="preserve">. </w:t>
      </w:r>
      <w:r w:rsidR="00BC0DC5">
        <w:t>Si</w:t>
      </w:r>
      <w:r w:rsidR="00B96DE3">
        <w:t xml:space="preserve"> se solicitan, se enviar</w:t>
      </w:r>
      <w:r>
        <w:t>á</w:t>
      </w:r>
      <w:r w:rsidR="00B96DE3">
        <w:t>n los detalles sobre la forma de realizar el pago a la UIT.</w:t>
      </w:r>
    </w:p>
    <w:p w:rsidR="00B96DE3" w:rsidRDefault="00F72B99" w:rsidP="00F72B99">
      <w:r>
        <w:t>8)</w:t>
      </w:r>
      <w:r>
        <w:tab/>
      </w:r>
      <w:r w:rsidR="00B96DE3">
        <w:t xml:space="preserve">Si tiene preguntas al respecto e interés </w:t>
      </w:r>
      <w:r w:rsidR="00BC0DC5">
        <w:t>en participar</w:t>
      </w:r>
      <w:r w:rsidR="00B96DE3">
        <w:t xml:space="preserve">, diríjase </w:t>
      </w:r>
      <w:r w:rsidR="00BC0DC5">
        <w:t>al</w:t>
      </w:r>
      <w:r w:rsidR="00B96DE3">
        <w:t xml:space="preserve"> Sr. Denis </w:t>
      </w:r>
      <w:proofErr w:type="spellStart"/>
      <w:r w:rsidR="00B96DE3">
        <w:t>Andreev</w:t>
      </w:r>
      <w:proofErr w:type="spellEnd"/>
      <w:r w:rsidR="00B96DE3">
        <w:t xml:space="preserve"> por correo-e</w:t>
      </w:r>
      <w:r>
        <w:t xml:space="preserve">: </w:t>
      </w:r>
      <w:hyperlink r:id="rId13" w:history="1">
        <w:r w:rsidRPr="00EF28DE">
          <w:rPr>
            <w:rStyle w:val="Hyperlink"/>
            <w:rFonts w:asciiTheme="majorBidi" w:hAnsiTheme="majorBidi" w:cstheme="majorBidi"/>
            <w:szCs w:val="24"/>
          </w:rPr>
          <w:t>conformity@i</w:t>
        </w:r>
        <w:r w:rsidRPr="00EF28DE">
          <w:rPr>
            <w:rStyle w:val="Hyperlink"/>
            <w:rFonts w:asciiTheme="majorBidi" w:hAnsiTheme="majorBidi" w:cstheme="majorBidi"/>
            <w:szCs w:val="24"/>
          </w:rPr>
          <w:t>t</w:t>
        </w:r>
        <w:r w:rsidRPr="00EF28DE">
          <w:rPr>
            <w:rStyle w:val="Hyperlink"/>
            <w:rFonts w:asciiTheme="majorBidi" w:hAnsiTheme="majorBidi" w:cstheme="majorBidi"/>
            <w:szCs w:val="24"/>
          </w:rPr>
          <w:t>u.int</w:t>
        </w:r>
      </w:hyperlink>
      <w:r>
        <w:t>.</w:t>
      </w:r>
    </w:p>
    <w:p w:rsidR="00B96DE3" w:rsidRDefault="00B96DE3" w:rsidP="00B96DE3">
      <w:r>
        <w:t>Atentamente</w:t>
      </w:r>
      <w:r w:rsidR="002405BB">
        <w:t>,</w:t>
      </w:r>
    </w:p>
    <w:p w:rsidR="00B96DE3" w:rsidRDefault="00B96DE3" w:rsidP="00B96DE3"/>
    <w:p w:rsidR="00B96DE3" w:rsidRDefault="00B96DE3" w:rsidP="00B96DE3"/>
    <w:p w:rsidR="002630DF" w:rsidRDefault="002630DF" w:rsidP="00B96DE3"/>
    <w:p w:rsidR="00B96DE3" w:rsidRDefault="00B96DE3" w:rsidP="00B96DE3">
      <w:r>
        <w:t>Malcolm Johnson</w:t>
      </w:r>
    </w:p>
    <w:p w:rsidR="00B96DE3" w:rsidRDefault="00B96DE3" w:rsidP="00F72B99">
      <w:r>
        <w:t>Director</w:t>
      </w:r>
      <w:r w:rsidR="00F72B99">
        <w:t xml:space="preserve"> de la Oficina de </w:t>
      </w:r>
      <w:r w:rsidR="00F72B99">
        <w:br/>
        <w:t>Normalización de las Telecomunicaciones</w:t>
      </w:r>
    </w:p>
    <w:p w:rsidR="00F72B99" w:rsidRDefault="00F72B99" w:rsidP="00F72B99"/>
    <w:p w:rsidR="00F72B99" w:rsidRDefault="00F72B99" w:rsidP="00F72B99"/>
    <w:p w:rsidR="00F72B99" w:rsidRDefault="00F72B99" w:rsidP="00F72B99"/>
    <w:p w:rsidR="00F72B99" w:rsidRDefault="00F72B99" w:rsidP="00F72B99"/>
    <w:p w:rsidR="00F72B99" w:rsidRDefault="00F72B99" w:rsidP="00F72B99"/>
    <w:p w:rsidR="00F72B99" w:rsidRDefault="00F72B99" w:rsidP="00F72B99"/>
    <w:p w:rsidR="00F72B99" w:rsidRDefault="00F72B99" w:rsidP="00F72B99"/>
    <w:p w:rsidR="00F72B99" w:rsidRDefault="00F72B99" w:rsidP="00F72B99">
      <w:r>
        <w:t>Anexos: 2</w:t>
      </w:r>
    </w:p>
    <w:p w:rsidR="00F72B99" w:rsidRDefault="00F72B99">
      <w:pPr>
        <w:tabs>
          <w:tab w:val="clear" w:pos="794"/>
          <w:tab w:val="clear" w:pos="1191"/>
          <w:tab w:val="clear" w:pos="1588"/>
          <w:tab w:val="clear" w:pos="1985"/>
        </w:tabs>
        <w:overflowPunct/>
        <w:autoSpaceDE/>
        <w:autoSpaceDN/>
        <w:adjustRightInd/>
        <w:spacing w:before="0"/>
        <w:textAlignment w:val="auto"/>
      </w:pPr>
      <w:r>
        <w:br w:type="page"/>
      </w:r>
    </w:p>
    <w:p w:rsidR="00B96DE3" w:rsidRDefault="00B96DE3" w:rsidP="00C25A6C">
      <w:pPr>
        <w:pStyle w:val="AnnexNotitle"/>
      </w:pPr>
      <w:r>
        <w:lastRenderedPageBreak/>
        <w:t xml:space="preserve">Anexo </w:t>
      </w:r>
      <w:r w:rsidR="00C25A6C">
        <w:t>A</w:t>
      </w:r>
      <w:r w:rsidR="00C25A6C">
        <w:br/>
      </w:r>
      <w:r w:rsidR="00C25A6C">
        <w:br/>
      </w:r>
      <w:r>
        <w:t xml:space="preserve">Evento de </w:t>
      </w:r>
      <w:r w:rsidR="00BC0DC5">
        <w:t>prueba</w:t>
      </w:r>
      <w:r w:rsidR="00C25A6C">
        <w:t>s</w:t>
      </w:r>
      <w:r>
        <w:t xml:space="preserve"> </w:t>
      </w:r>
      <w:r w:rsidR="00C25A6C">
        <w:t>organizado por el UIT</w:t>
      </w:r>
      <w:r>
        <w:t xml:space="preserve">-T sobre evaluación del comportamiento de </w:t>
      </w:r>
      <w:r w:rsidR="00C25A6C">
        <w:t xml:space="preserve">los </w:t>
      </w:r>
      <w:r>
        <w:t xml:space="preserve">teléfonos </w:t>
      </w:r>
      <w:r w:rsidR="00BC0DC5">
        <w:t>móviles</w:t>
      </w:r>
      <w:r>
        <w:t xml:space="preserve"> </w:t>
      </w:r>
      <w:r w:rsidR="00C25A6C">
        <w:t xml:space="preserve">montados </w:t>
      </w:r>
      <w:r>
        <w:t xml:space="preserve">en vehículos </w:t>
      </w:r>
      <w:r w:rsidR="00C25A6C">
        <w:br/>
      </w:r>
      <w:r>
        <w:t xml:space="preserve">junto con </w:t>
      </w:r>
      <w:r w:rsidR="00BC0DC5">
        <w:t>terminales</w:t>
      </w:r>
      <w:r>
        <w:t xml:space="preserve"> de manos libres de acu</w:t>
      </w:r>
      <w:r w:rsidR="00C25A6C">
        <w:t>e</w:t>
      </w:r>
      <w:r>
        <w:t xml:space="preserve">rdo con las </w:t>
      </w:r>
      <w:r w:rsidR="00C25A6C">
        <w:br/>
      </w:r>
      <w:r>
        <w:t>Recomendaciones UIT-T P.1100 y UIT-T P.11</w:t>
      </w:r>
      <w:r w:rsidR="00C25A6C">
        <w:t>10</w:t>
      </w:r>
    </w:p>
    <w:p w:rsidR="00B96DE3" w:rsidRPr="003A7933" w:rsidRDefault="00B96DE3" w:rsidP="003A7933">
      <w:pPr>
        <w:pStyle w:val="headingb"/>
        <w:rPr>
          <w:u w:val="single"/>
        </w:rPr>
      </w:pPr>
      <w:r w:rsidRPr="003A7933">
        <w:rPr>
          <w:u w:val="single"/>
        </w:rPr>
        <w:t xml:space="preserve">Objetivo del </w:t>
      </w:r>
      <w:r w:rsidR="00453973" w:rsidRPr="003A7933">
        <w:rPr>
          <w:u w:val="single"/>
        </w:rPr>
        <w:t>e</w:t>
      </w:r>
      <w:r w:rsidR="00BC0DC5" w:rsidRPr="003A7933">
        <w:rPr>
          <w:u w:val="single"/>
        </w:rPr>
        <w:t>vento</w:t>
      </w:r>
      <w:r w:rsidRPr="003A7933">
        <w:rPr>
          <w:u w:val="single"/>
        </w:rPr>
        <w:t xml:space="preserve"> de prueba</w:t>
      </w:r>
      <w:r w:rsidR="00453973" w:rsidRPr="003A7933">
        <w:rPr>
          <w:u w:val="single"/>
        </w:rPr>
        <w:t>s</w:t>
      </w:r>
    </w:p>
    <w:p w:rsidR="00B96DE3" w:rsidRDefault="00073DE5" w:rsidP="00073DE5">
      <w:pPr>
        <w:pStyle w:val="enumlev1"/>
      </w:pPr>
      <w:r>
        <w:t>•</w:t>
      </w:r>
      <w:r>
        <w:tab/>
      </w:r>
      <w:r w:rsidR="00453973">
        <w:t>E</w:t>
      </w:r>
      <w:r w:rsidR="00B96DE3">
        <w:t xml:space="preserve">l </w:t>
      </w:r>
      <w:r w:rsidR="00BC0DC5">
        <w:t>comportamiento</w:t>
      </w:r>
      <w:r w:rsidR="00B96DE3">
        <w:t xml:space="preserve"> del audio </w:t>
      </w:r>
      <w:r w:rsidR="00453973">
        <w:t xml:space="preserve">en </w:t>
      </w:r>
      <w:r w:rsidR="00BC0DC5">
        <w:t>los</w:t>
      </w:r>
      <w:r w:rsidR="00B96DE3">
        <w:t xml:space="preserve"> teléfonos móviles de </w:t>
      </w:r>
      <w:r w:rsidR="00BC0DC5">
        <w:t>último</w:t>
      </w:r>
      <w:r w:rsidR="00B96DE3">
        <w:t xml:space="preserve"> modelo se probar</w:t>
      </w:r>
      <w:r w:rsidR="00453973">
        <w:t>á</w:t>
      </w:r>
      <w:r w:rsidR="00B96DE3">
        <w:t xml:space="preserve"> con las conexiones </w:t>
      </w:r>
      <w:r w:rsidR="00BC0DC5">
        <w:t>inalámbricas</w:t>
      </w:r>
      <w:r w:rsidR="00B96DE3">
        <w:t xml:space="preserve"> de corto alcance (SRW) normalmente utilizadas junto </w:t>
      </w:r>
      <w:r w:rsidR="00BC0DC5">
        <w:t>con los</w:t>
      </w:r>
      <w:r w:rsidR="00B96DE3">
        <w:t xml:space="preserve"> </w:t>
      </w:r>
      <w:r w:rsidR="00BC0DC5">
        <w:t>terminales</w:t>
      </w:r>
      <w:r w:rsidR="00B96DE3">
        <w:t xml:space="preserve"> de manos libres </w:t>
      </w:r>
      <w:r w:rsidR="00453973">
        <w:t xml:space="preserve">montados </w:t>
      </w:r>
      <w:r w:rsidR="00B96DE3">
        <w:t>en vehículos</w:t>
      </w:r>
      <w:r w:rsidR="00453973">
        <w:t>,</w:t>
      </w:r>
      <w:r w:rsidR="00B96DE3">
        <w:t xml:space="preserve"> de acuerdo con el </w:t>
      </w:r>
      <w:r w:rsidR="00BC0DC5">
        <w:t>Capítulo</w:t>
      </w:r>
      <w:r w:rsidR="00B96DE3">
        <w:t xml:space="preserve"> 12 de las Recomendaciones UIT-T P.1100, </w:t>
      </w:r>
      <w:r w:rsidR="00453973">
        <w:t>(</w:t>
      </w:r>
      <w:r>
        <w:t>"</w:t>
      </w:r>
      <w:r w:rsidR="00453973" w:rsidRPr="00453973">
        <w:rPr>
          <w:rFonts w:asciiTheme="majorBidi" w:hAnsiTheme="majorBidi" w:cstheme="majorBidi"/>
          <w:i/>
          <w:iCs/>
          <w:szCs w:val="24"/>
        </w:rPr>
        <w:t xml:space="preserve">Narrow-band </w:t>
      </w:r>
      <w:proofErr w:type="spellStart"/>
      <w:r w:rsidR="00453973" w:rsidRPr="00453973">
        <w:rPr>
          <w:rFonts w:asciiTheme="majorBidi" w:hAnsiTheme="majorBidi" w:cstheme="majorBidi"/>
          <w:i/>
          <w:iCs/>
          <w:szCs w:val="24"/>
        </w:rPr>
        <w:t>hands</w:t>
      </w:r>
      <w:proofErr w:type="spellEnd"/>
      <w:r w:rsidR="00453973" w:rsidRPr="00453973">
        <w:rPr>
          <w:rFonts w:asciiTheme="majorBidi" w:hAnsiTheme="majorBidi" w:cstheme="majorBidi"/>
          <w:i/>
          <w:iCs/>
          <w:szCs w:val="24"/>
        </w:rPr>
        <w:t xml:space="preserve">-free </w:t>
      </w:r>
      <w:proofErr w:type="spellStart"/>
      <w:r w:rsidR="00453973" w:rsidRPr="00453973">
        <w:rPr>
          <w:rFonts w:asciiTheme="majorBidi" w:hAnsiTheme="majorBidi" w:cstheme="majorBidi"/>
          <w:i/>
          <w:iCs/>
          <w:szCs w:val="24"/>
        </w:rPr>
        <w:t>communication</w:t>
      </w:r>
      <w:proofErr w:type="spellEnd"/>
      <w:r w:rsidR="00453973" w:rsidRPr="00453973">
        <w:rPr>
          <w:rFonts w:asciiTheme="majorBidi" w:hAnsiTheme="majorBidi" w:cstheme="majorBidi"/>
          <w:i/>
          <w:iCs/>
          <w:szCs w:val="24"/>
        </w:rPr>
        <w:t xml:space="preserve"> in motor </w:t>
      </w:r>
      <w:proofErr w:type="spellStart"/>
      <w:r w:rsidR="00453973" w:rsidRPr="00453973">
        <w:rPr>
          <w:rFonts w:asciiTheme="majorBidi" w:hAnsiTheme="majorBidi" w:cstheme="majorBidi"/>
          <w:i/>
          <w:iCs/>
          <w:szCs w:val="24"/>
        </w:rPr>
        <w:t>vehicles</w:t>
      </w:r>
      <w:proofErr w:type="spellEnd"/>
      <w:r w:rsidR="00453973">
        <w:t xml:space="preserve">, </w:t>
      </w:r>
      <w:r w:rsidR="00BC0DC5">
        <w:t>Comunicaciones</w:t>
      </w:r>
      <w:r w:rsidR="00B96DE3">
        <w:t xml:space="preserve"> manos </w:t>
      </w:r>
      <w:r w:rsidR="00BC0DC5">
        <w:t>libres</w:t>
      </w:r>
      <w:r w:rsidR="00B96DE3">
        <w:t xml:space="preserve"> de banda estrecha en </w:t>
      </w:r>
      <w:r w:rsidR="00BC0DC5">
        <w:t>vehículo</w:t>
      </w:r>
      <w:r w:rsidR="00453973">
        <w:t>s</w:t>
      </w:r>
      <w:r w:rsidR="00B96DE3">
        <w:t xml:space="preserve"> d</w:t>
      </w:r>
      <w:r w:rsidR="00453973">
        <w:t>e</w:t>
      </w:r>
      <w:r w:rsidR="00B96DE3">
        <w:t xml:space="preserve"> motor</w:t>
      </w:r>
      <w:r>
        <w:t>"</w:t>
      </w:r>
      <w:r w:rsidR="00453973">
        <w:t xml:space="preserve">) </w:t>
      </w:r>
      <w:r>
        <w:t>y UIT</w:t>
      </w:r>
      <w:r>
        <w:noBreakHyphen/>
        <w:t>T P.</w:t>
      </w:r>
      <w:r w:rsidR="00B96DE3">
        <w:t>1110,</w:t>
      </w:r>
      <w:r w:rsidR="00453973">
        <w:t xml:space="preserve"> </w:t>
      </w:r>
      <w:r w:rsidR="00B96DE3">
        <w:t>(</w:t>
      </w:r>
      <w:r>
        <w:t>"</w:t>
      </w:r>
      <w:proofErr w:type="spellStart"/>
      <w:r w:rsidR="00453973" w:rsidRPr="00453973">
        <w:rPr>
          <w:rFonts w:asciiTheme="majorBidi" w:hAnsiTheme="majorBidi" w:cstheme="majorBidi"/>
          <w:i/>
          <w:iCs/>
          <w:szCs w:val="24"/>
        </w:rPr>
        <w:t>Wideband</w:t>
      </w:r>
      <w:proofErr w:type="spellEnd"/>
      <w:r w:rsidR="00453973" w:rsidRPr="00453973">
        <w:rPr>
          <w:rFonts w:asciiTheme="majorBidi" w:hAnsiTheme="majorBidi" w:cstheme="majorBidi"/>
          <w:i/>
          <w:iCs/>
          <w:szCs w:val="24"/>
        </w:rPr>
        <w:t xml:space="preserve"> </w:t>
      </w:r>
      <w:proofErr w:type="spellStart"/>
      <w:r w:rsidR="00453973" w:rsidRPr="00453973">
        <w:rPr>
          <w:rFonts w:asciiTheme="majorBidi" w:hAnsiTheme="majorBidi" w:cstheme="majorBidi"/>
          <w:i/>
          <w:iCs/>
          <w:szCs w:val="24"/>
        </w:rPr>
        <w:t>hands</w:t>
      </w:r>
      <w:proofErr w:type="spellEnd"/>
      <w:r w:rsidR="00453973" w:rsidRPr="00453973">
        <w:rPr>
          <w:rFonts w:asciiTheme="majorBidi" w:hAnsiTheme="majorBidi" w:cstheme="majorBidi"/>
          <w:i/>
          <w:iCs/>
          <w:szCs w:val="24"/>
        </w:rPr>
        <w:t xml:space="preserve">-free </w:t>
      </w:r>
      <w:proofErr w:type="spellStart"/>
      <w:r w:rsidR="00453973" w:rsidRPr="00453973">
        <w:rPr>
          <w:rFonts w:asciiTheme="majorBidi" w:hAnsiTheme="majorBidi" w:cstheme="majorBidi"/>
          <w:i/>
          <w:iCs/>
          <w:szCs w:val="24"/>
        </w:rPr>
        <w:t>communication</w:t>
      </w:r>
      <w:proofErr w:type="spellEnd"/>
      <w:r w:rsidR="00453973" w:rsidRPr="00453973">
        <w:rPr>
          <w:rFonts w:asciiTheme="majorBidi" w:hAnsiTheme="majorBidi" w:cstheme="majorBidi"/>
          <w:i/>
          <w:iCs/>
          <w:szCs w:val="24"/>
        </w:rPr>
        <w:t xml:space="preserve"> in motor </w:t>
      </w:r>
      <w:proofErr w:type="spellStart"/>
      <w:r w:rsidR="00453973" w:rsidRPr="00453973">
        <w:rPr>
          <w:rFonts w:asciiTheme="majorBidi" w:hAnsiTheme="majorBidi" w:cstheme="majorBidi"/>
          <w:i/>
          <w:iCs/>
          <w:szCs w:val="24"/>
        </w:rPr>
        <w:t>vehicles</w:t>
      </w:r>
      <w:proofErr w:type="spellEnd"/>
      <w:r w:rsidR="00453973">
        <w:rPr>
          <w:rFonts w:asciiTheme="majorBidi" w:hAnsiTheme="majorBidi" w:cstheme="majorBidi"/>
          <w:szCs w:val="24"/>
        </w:rPr>
        <w:t>,</w:t>
      </w:r>
      <w:r w:rsidR="00453973">
        <w:t xml:space="preserve"> C</w:t>
      </w:r>
      <w:r w:rsidR="00B96DE3">
        <w:t>omunicaciones m</w:t>
      </w:r>
      <w:r w:rsidR="00453973">
        <w:t>a</w:t>
      </w:r>
      <w:r w:rsidR="00B96DE3">
        <w:t>nos libre</w:t>
      </w:r>
      <w:r w:rsidR="00453973">
        <w:t>s</w:t>
      </w:r>
      <w:r w:rsidR="00B96DE3">
        <w:t xml:space="preserve"> </w:t>
      </w:r>
      <w:r w:rsidR="00453973">
        <w:t xml:space="preserve">de banda amplia </w:t>
      </w:r>
      <w:r w:rsidR="00B96DE3">
        <w:t>en vehículos de motor</w:t>
      </w:r>
      <w:r>
        <w:t>"</w:t>
      </w:r>
      <w:r w:rsidR="00453973">
        <w:t>)</w:t>
      </w:r>
      <w:r w:rsidR="00B96DE3">
        <w:t>. La conexión SRW se proporcionar</w:t>
      </w:r>
      <w:r w:rsidR="00453973">
        <w:t>á</w:t>
      </w:r>
      <w:r w:rsidR="00B96DE3">
        <w:t xml:space="preserve"> a </w:t>
      </w:r>
      <w:r w:rsidR="00BC0DC5">
        <w:t>través de</w:t>
      </w:r>
      <w:r w:rsidR="00B96DE3">
        <w:t xml:space="preserve"> un punto de acceso SRW </w:t>
      </w:r>
      <w:r w:rsidR="00BC0DC5">
        <w:t>suministrado</w:t>
      </w:r>
      <w:r w:rsidR="00B96DE3">
        <w:t xml:space="preserve"> por el laboratorio de pruebas seleccionado (TL).</w:t>
      </w:r>
    </w:p>
    <w:p w:rsidR="00B96DE3" w:rsidRDefault="00073DE5" w:rsidP="00073DE5">
      <w:pPr>
        <w:pStyle w:val="enumlev1"/>
      </w:pPr>
      <w:r>
        <w:t>•</w:t>
      </w:r>
      <w:r>
        <w:tab/>
      </w:r>
      <w:r w:rsidR="00B96DE3">
        <w:t xml:space="preserve">Los resultados de la prueba </w:t>
      </w:r>
      <w:r w:rsidR="00BC0DC5">
        <w:t>ofrecerán</w:t>
      </w:r>
      <w:r w:rsidR="00B96DE3">
        <w:t xml:space="preserve"> </w:t>
      </w:r>
      <w:r w:rsidR="00BC0DC5">
        <w:t>información</w:t>
      </w:r>
      <w:r w:rsidR="00B96DE3">
        <w:t xml:space="preserve"> importante a </w:t>
      </w:r>
      <w:r>
        <w:t>l</w:t>
      </w:r>
      <w:r w:rsidR="00B96DE3">
        <w:t xml:space="preserve">os fabricantes de vehículos, a los </w:t>
      </w:r>
      <w:r w:rsidR="00BC0DC5">
        <w:t>suministradores</w:t>
      </w:r>
      <w:r w:rsidR="00B96DE3">
        <w:t xml:space="preserve"> de sistemas </w:t>
      </w:r>
      <w:r>
        <w:t>de terminales manos libres</w:t>
      </w:r>
      <w:r w:rsidR="00B96DE3">
        <w:t xml:space="preserve">, a los operadores de redes móviles y a los vendedores de </w:t>
      </w:r>
      <w:r w:rsidR="00BC0DC5">
        <w:t>teléfonos</w:t>
      </w:r>
      <w:r w:rsidR="00B96DE3">
        <w:t xml:space="preserve"> móviles acerca de si los teléfonos móviles están configurados adecuadamente.</w:t>
      </w:r>
    </w:p>
    <w:p w:rsidR="00B96DE3" w:rsidRDefault="00073DE5" w:rsidP="00073DE5">
      <w:pPr>
        <w:pStyle w:val="enumlev1"/>
      </w:pPr>
      <w:r>
        <w:t>•</w:t>
      </w:r>
      <w:r>
        <w:tab/>
      </w:r>
      <w:r w:rsidR="00B96DE3">
        <w:t xml:space="preserve">Las </w:t>
      </w:r>
      <w:r w:rsidR="00BC0DC5">
        <w:t>discusiones</w:t>
      </w:r>
      <w:r w:rsidR="00B96DE3">
        <w:t xml:space="preserve"> de los </w:t>
      </w:r>
      <w:r w:rsidR="00BC0DC5">
        <w:t>resultados</w:t>
      </w:r>
      <w:r w:rsidR="00B96DE3">
        <w:t xml:space="preserve"> de las pruebas entre la industria del automóvil y la industria de la telefonía móvil deben mejorar la calidad </w:t>
      </w:r>
      <w:r w:rsidR="00BC0DC5">
        <w:t>vocal</w:t>
      </w:r>
      <w:r w:rsidR="00B96DE3">
        <w:t xml:space="preserve"> de los teléfonos manos libres </w:t>
      </w:r>
      <w:r>
        <w:t xml:space="preserve">montados </w:t>
      </w:r>
      <w:r w:rsidR="00B96DE3">
        <w:t>en los vehículos.</w:t>
      </w:r>
    </w:p>
    <w:p w:rsidR="00B96DE3" w:rsidRDefault="00073DE5" w:rsidP="00073DE5">
      <w:pPr>
        <w:pStyle w:val="enumlev1"/>
      </w:pPr>
      <w:r>
        <w:t>•</w:t>
      </w:r>
      <w:r>
        <w:tab/>
        <w:t>L</w:t>
      </w:r>
      <w:r w:rsidR="00B96DE3">
        <w:t xml:space="preserve">os resultados </w:t>
      </w:r>
      <w:r>
        <w:t xml:space="preserve">anónimos </w:t>
      </w:r>
      <w:r w:rsidR="00B96DE3">
        <w:t xml:space="preserve">de las pruebas y la </w:t>
      </w:r>
      <w:r w:rsidR="00BC0DC5">
        <w:t>información</w:t>
      </w:r>
      <w:r w:rsidR="00B96DE3">
        <w:t xml:space="preserve"> sobre la experiencia obtenida en el </w:t>
      </w:r>
      <w:r w:rsidR="00BC0DC5">
        <w:t>evento</w:t>
      </w:r>
      <w:r w:rsidR="00B96DE3">
        <w:t xml:space="preserve"> se remitirán a la </w:t>
      </w:r>
      <w:r w:rsidR="00BC0DC5">
        <w:t>Comisión</w:t>
      </w:r>
      <w:r w:rsidR="00B96DE3">
        <w:t xml:space="preserve"> de Estudio 12 del UIT-T para mejorar las Recomendaciones UIT-T P.1100 y UIT-T P.1110.</w:t>
      </w:r>
    </w:p>
    <w:p w:rsidR="00B96DE3" w:rsidRPr="003A7933" w:rsidRDefault="00BC0DC5" w:rsidP="003A7933">
      <w:pPr>
        <w:pStyle w:val="headingb"/>
        <w:rPr>
          <w:u w:val="single"/>
        </w:rPr>
      </w:pPr>
      <w:r w:rsidRPr="003A7933">
        <w:rPr>
          <w:u w:val="single"/>
        </w:rPr>
        <w:t>Términos</w:t>
      </w:r>
      <w:r w:rsidR="00B96DE3" w:rsidRPr="003A7933">
        <w:rPr>
          <w:u w:val="single"/>
        </w:rPr>
        <w:t xml:space="preserve"> y condiciones para participar en este evento de pruebas</w:t>
      </w:r>
    </w:p>
    <w:p w:rsidR="00B96DE3" w:rsidRDefault="00073DE5" w:rsidP="00073DE5">
      <w:pPr>
        <w:pStyle w:val="enumlev1"/>
      </w:pPr>
      <w:r>
        <w:t>•</w:t>
      </w:r>
      <w:r>
        <w:tab/>
        <w:t>L</w:t>
      </w:r>
      <w:r w:rsidR="00B96DE3">
        <w:t xml:space="preserve">a participación </w:t>
      </w:r>
      <w:r w:rsidR="00BC0DC5">
        <w:t>está</w:t>
      </w:r>
      <w:r w:rsidR="00B96DE3">
        <w:t xml:space="preserve"> abierta a </w:t>
      </w:r>
      <w:r w:rsidR="00BC0DC5" w:rsidRPr="00073DE5">
        <w:rPr>
          <w:b/>
          <w:bCs/>
        </w:rPr>
        <w:t>empresas</w:t>
      </w:r>
      <w:r w:rsidR="00B96DE3" w:rsidRPr="00073DE5">
        <w:rPr>
          <w:b/>
          <w:bCs/>
        </w:rPr>
        <w:t xml:space="preserve"> del sector del automóvil, </w:t>
      </w:r>
      <w:r w:rsidR="00BC0DC5" w:rsidRPr="00073DE5">
        <w:rPr>
          <w:b/>
          <w:bCs/>
        </w:rPr>
        <w:t>suministrador</w:t>
      </w:r>
      <w:r w:rsidRPr="00073DE5">
        <w:rPr>
          <w:b/>
          <w:bCs/>
        </w:rPr>
        <w:t>es</w:t>
      </w:r>
      <w:r w:rsidR="00B96DE3" w:rsidRPr="00073DE5">
        <w:rPr>
          <w:b/>
          <w:bCs/>
        </w:rPr>
        <w:t xml:space="preserve"> de terminales manos libres, operadores de redes móviles y vendedores de teléfonos móviles</w:t>
      </w:r>
      <w:r w:rsidR="00B96DE3">
        <w:t>.</w:t>
      </w:r>
    </w:p>
    <w:p w:rsidR="00B96DE3" w:rsidRDefault="00073DE5" w:rsidP="002630DF">
      <w:pPr>
        <w:pStyle w:val="enumlev1"/>
      </w:pPr>
      <w:r>
        <w:t>•</w:t>
      </w:r>
      <w:r>
        <w:tab/>
        <w:t>La cuota</w:t>
      </w:r>
      <w:r w:rsidR="00B96DE3">
        <w:t xml:space="preserve"> de participación es de 6</w:t>
      </w:r>
      <w:r>
        <w:t>.</w:t>
      </w:r>
      <w:r w:rsidR="00B96DE3">
        <w:t xml:space="preserve">000 </w:t>
      </w:r>
      <w:r w:rsidR="002630DF">
        <w:t>€</w:t>
      </w:r>
      <w:r w:rsidR="00B96DE3">
        <w:t xml:space="preserve"> y comprende</w:t>
      </w:r>
      <w:r>
        <w:t>:</w:t>
      </w:r>
    </w:p>
    <w:p w:rsidR="00B96DE3" w:rsidRDefault="00073DE5" w:rsidP="00073DE5">
      <w:pPr>
        <w:pStyle w:val="enumlev2"/>
      </w:pPr>
      <w:r>
        <w:t>–</w:t>
      </w:r>
      <w:r>
        <w:tab/>
      </w:r>
      <w:r w:rsidR="00B96DE3">
        <w:t xml:space="preserve">Ocho pruebas con un informe de dos </w:t>
      </w:r>
      <w:r w:rsidR="00BC0DC5">
        <w:t>páginas</w:t>
      </w:r>
      <w:r w:rsidR="00B96DE3">
        <w:t xml:space="preserve"> por prueba </w:t>
      </w:r>
      <w:r w:rsidR="00BC0DC5">
        <w:t>donde</w:t>
      </w:r>
      <w:r w:rsidR="00B96DE3">
        <w:t xml:space="preserve"> se </w:t>
      </w:r>
      <w:r w:rsidR="00BC0DC5">
        <w:t>resumen</w:t>
      </w:r>
      <w:r w:rsidR="00B96DE3">
        <w:t xml:space="preserve"> los resultados detallados de la prueba incluido un </w:t>
      </w:r>
      <w:r>
        <w:t xml:space="preserve">diagrama </w:t>
      </w:r>
      <w:r w:rsidR="00B96DE3">
        <w:t xml:space="preserve">de sectores, como </w:t>
      </w:r>
      <w:proofErr w:type="gramStart"/>
      <w:r w:rsidR="00B96DE3">
        <w:t>especifica</w:t>
      </w:r>
      <w:proofErr w:type="gramEnd"/>
      <w:r w:rsidR="00B96DE3">
        <w:t xml:space="preserve"> la Recomendación UIT-T P.505. </w:t>
      </w:r>
      <w:r>
        <w:t>E</w:t>
      </w:r>
      <w:r w:rsidR="00B96DE3">
        <w:t>n el Anexo B al presente documento figura u</w:t>
      </w:r>
      <w:r>
        <w:t>n</w:t>
      </w:r>
      <w:r w:rsidR="00B96DE3">
        <w:t xml:space="preserve"> ejemplo de informe.</w:t>
      </w:r>
    </w:p>
    <w:p w:rsidR="00B96DE3" w:rsidRDefault="00073DE5" w:rsidP="002630DF">
      <w:pPr>
        <w:pStyle w:val="enumlev2"/>
      </w:pPr>
      <w:r>
        <w:t>–</w:t>
      </w:r>
      <w:r>
        <w:tab/>
      </w:r>
      <w:r w:rsidR="00B96DE3">
        <w:t>La evaluación de un teléfono móvil en ambos modos, banda estrecha y banda ancha, se considerar</w:t>
      </w:r>
      <w:r w:rsidR="002630DF">
        <w:t>á</w:t>
      </w:r>
      <w:r w:rsidR="00B96DE3">
        <w:t xml:space="preserve"> como dos pruebas.</w:t>
      </w:r>
    </w:p>
    <w:p w:rsidR="00B96DE3" w:rsidRDefault="00073DE5" w:rsidP="00817099">
      <w:pPr>
        <w:pStyle w:val="enumlev2"/>
      </w:pPr>
      <w:r>
        <w:t>–</w:t>
      </w:r>
      <w:r>
        <w:tab/>
      </w:r>
      <w:r w:rsidR="00B96DE3">
        <w:t xml:space="preserve">En los casos en que se precisen </w:t>
      </w:r>
      <w:r w:rsidR="00BC0DC5">
        <w:t>más</w:t>
      </w:r>
      <w:r w:rsidR="00B96DE3">
        <w:t xml:space="preserve"> de ocho pruebas (8</w:t>
      </w:r>
      <w:r>
        <w:t xml:space="preserve"> + </w:t>
      </w:r>
      <w:r w:rsidR="00B96DE3">
        <w:t xml:space="preserve">N pruebas), la cuota de participación </w:t>
      </w:r>
      <w:r w:rsidR="00BC0DC5">
        <w:t>aumentar</w:t>
      </w:r>
      <w:r>
        <w:t>á</w:t>
      </w:r>
      <w:r w:rsidR="00B96DE3">
        <w:t xml:space="preserve"> de la forma </w:t>
      </w:r>
      <w:r w:rsidR="00BC0DC5">
        <w:t>correspondiente</w:t>
      </w:r>
      <w:r w:rsidR="00B96DE3">
        <w:t xml:space="preserve">. El coste de </w:t>
      </w:r>
      <w:r w:rsidR="00B96DE3" w:rsidRPr="00073DE5">
        <w:rPr>
          <w:b/>
          <w:bCs/>
        </w:rPr>
        <w:t>cada prueba adicional</w:t>
      </w:r>
      <w:r w:rsidR="00B96DE3">
        <w:t xml:space="preserve"> (banda </w:t>
      </w:r>
      <w:r w:rsidR="00BC0DC5">
        <w:t>estrecha</w:t>
      </w:r>
      <w:r w:rsidR="00B96DE3">
        <w:t xml:space="preserve"> o banda amplia) incluida la documentación es de 500 </w:t>
      </w:r>
      <w:r w:rsidR="00817099">
        <w:t>€</w:t>
      </w:r>
      <w:r w:rsidR="00B96DE3">
        <w:t>; por consiguiente</w:t>
      </w:r>
      <w:r>
        <w:t>,</w:t>
      </w:r>
      <w:r w:rsidR="00B96DE3">
        <w:t xml:space="preserve"> la </w:t>
      </w:r>
      <w:r w:rsidR="00BC0DC5">
        <w:t>cuota</w:t>
      </w:r>
      <w:r w:rsidR="00B96DE3">
        <w:t xml:space="preserve"> de </w:t>
      </w:r>
      <w:r w:rsidR="00BC0DC5">
        <w:t>participación</w:t>
      </w:r>
      <w:r w:rsidR="00B96DE3">
        <w:t xml:space="preserve"> se elevaría a 6</w:t>
      </w:r>
      <w:r>
        <w:t>.</w:t>
      </w:r>
      <w:r w:rsidR="00B96DE3">
        <w:t>000 + N</w:t>
      </w:r>
      <w:r>
        <w:t xml:space="preserve"> </w:t>
      </w:r>
      <w:r w:rsidR="00B96DE3">
        <w:t>x</w:t>
      </w:r>
      <w:r>
        <w:t xml:space="preserve"> </w:t>
      </w:r>
      <w:r w:rsidR="00B96DE3">
        <w:t xml:space="preserve">500 </w:t>
      </w:r>
      <w:r w:rsidR="002630DF">
        <w:t>€</w:t>
      </w:r>
      <w:r w:rsidR="00B96DE3">
        <w:t>.</w:t>
      </w:r>
    </w:p>
    <w:p w:rsidR="00B96DE3" w:rsidRDefault="00073DE5" w:rsidP="000A72AB">
      <w:pPr>
        <w:pStyle w:val="enumlev2"/>
      </w:pPr>
      <w:r>
        <w:t>–</w:t>
      </w:r>
      <w:r>
        <w:tab/>
      </w:r>
      <w:r w:rsidR="00B96DE3">
        <w:t xml:space="preserve">En un </w:t>
      </w:r>
      <w:r>
        <w:t>"</w:t>
      </w:r>
      <w:r w:rsidR="00B96DE3">
        <w:t>Informe de prueba anónimo</w:t>
      </w:r>
      <w:r>
        <w:t>"</w:t>
      </w:r>
      <w:r w:rsidR="00B96DE3">
        <w:t xml:space="preserve"> figurar</w:t>
      </w:r>
      <w:r>
        <w:t>á</w:t>
      </w:r>
      <w:r w:rsidR="00B96DE3">
        <w:t xml:space="preserve"> el análisis </w:t>
      </w:r>
      <w:r>
        <w:t xml:space="preserve">sobre la </w:t>
      </w:r>
      <w:r w:rsidR="00BC0DC5">
        <w:t>recopilación</w:t>
      </w:r>
      <w:r w:rsidR="00B96DE3">
        <w:t xml:space="preserve"> y comparación de resultado</w:t>
      </w:r>
      <w:r>
        <w:t>s</w:t>
      </w:r>
      <w:r w:rsidR="00B96DE3">
        <w:t xml:space="preserve"> de todos los teléfonos móviles sometidos a prueba en este evento. </w:t>
      </w:r>
      <w:r w:rsidR="000A72AB">
        <w:t>"</w:t>
      </w:r>
      <w:r w:rsidR="00BC0DC5">
        <w:t>Anónimo</w:t>
      </w:r>
      <w:r w:rsidR="000A72AB">
        <w:t>"</w:t>
      </w:r>
      <w:r w:rsidR="00B96DE3">
        <w:t xml:space="preserve"> significa </w:t>
      </w:r>
      <w:r w:rsidR="00BC0DC5">
        <w:t>que</w:t>
      </w:r>
      <w:r w:rsidR="00B96DE3">
        <w:t xml:space="preserve"> el modelo, la </w:t>
      </w:r>
      <w:r w:rsidR="00BC0DC5">
        <w:t>versión</w:t>
      </w:r>
      <w:r w:rsidR="00B96DE3">
        <w:t xml:space="preserve"> software, el nombre de la empresa o la marca del teléfono móvil no se mencionan.</w:t>
      </w:r>
    </w:p>
    <w:p w:rsidR="00B96DE3" w:rsidRDefault="00363B49" w:rsidP="00363B49">
      <w:pPr>
        <w:pStyle w:val="enumlev1"/>
      </w:pPr>
      <w:r>
        <w:t>–</w:t>
      </w:r>
      <w:r>
        <w:tab/>
      </w:r>
      <w:r w:rsidR="00B96DE3">
        <w:t xml:space="preserve">Sugerencias para mejorar el </w:t>
      </w:r>
      <w:r w:rsidR="00BC0DC5">
        <w:t>comportamiento</w:t>
      </w:r>
      <w:r w:rsidR="00B96DE3">
        <w:t xml:space="preserve"> de los </w:t>
      </w:r>
      <w:r w:rsidR="00BC0DC5">
        <w:t>dispositivos</w:t>
      </w:r>
      <w:r w:rsidR="00B96DE3">
        <w:t xml:space="preserve"> probados.</w:t>
      </w:r>
    </w:p>
    <w:p w:rsidR="00B96DE3" w:rsidRDefault="00363B49" w:rsidP="00363B49">
      <w:pPr>
        <w:pStyle w:val="enumlev1"/>
      </w:pPr>
      <w:r>
        <w:lastRenderedPageBreak/>
        <w:t>•</w:t>
      </w:r>
      <w:r>
        <w:tab/>
      </w:r>
      <w:r w:rsidR="00B96DE3">
        <w:t xml:space="preserve">La </w:t>
      </w:r>
      <w:r w:rsidR="00BC0DC5">
        <w:t>cuota</w:t>
      </w:r>
      <w:r w:rsidR="00B96DE3">
        <w:t xml:space="preserve"> de participación total debe abonarse a la UIT </w:t>
      </w:r>
      <w:r w:rsidR="00B96DE3" w:rsidRPr="00363B49">
        <w:rPr>
          <w:b/>
          <w:bCs/>
        </w:rPr>
        <w:t xml:space="preserve">a </w:t>
      </w:r>
      <w:r w:rsidR="00BC0DC5" w:rsidRPr="00363B49">
        <w:rPr>
          <w:b/>
          <w:bCs/>
        </w:rPr>
        <w:t>más</w:t>
      </w:r>
      <w:r w:rsidR="00B96DE3" w:rsidRPr="00363B49">
        <w:rPr>
          <w:b/>
          <w:bCs/>
        </w:rPr>
        <w:t xml:space="preserve"> tardar el 4 de abril de 2014</w:t>
      </w:r>
      <w:r w:rsidR="00B96DE3" w:rsidRPr="00817099">
        <w:t>.</w:t>
      </w:r>
      <w:r w:rsidR="00B96DE3">
        <w:t xml:space="preserve"> Si se solicita, se </w:t>
      </w:r>
      <w:r w:rsidR="00BC0DC5">
        <w:t>comunicarán</w:t>
      </w:r>
      <w:r w:rsidR="00B96DE3">
        <w:t xml:space="preserve"> los detalles sobre la forma de efectuar el pago.</w:t>
      </w:r>
    </w:p>
    <w:p w:rsidR="00D24FA1" w:rsidRPr="006B772F" w:rsidRDefault="00D24FA1" w:rsidP="00D24FA1">
      <w:pPr>
        <w:pStyle w:val="enumlev1"/>
      </w:pPr>
      <w:r w:rsidRPr="006B772F">
        <w:t>•</w:t>
      </w:r>
      <w:r w:rsidRPr="006B772F">
        <w:tab/>
        <w:t xml:space="preserve">Los fabricantes de automóviles, los suministradores de terminales manos libres y los operadores de redes móviles recibirán un informe de prueba de dos páginas de </w:t>
      </w:r>
      <w:r w:rsidRPr="00945D41">
        <w:rPr>
          <w:b/>
          <w:bCs/>
          <w:i/>
          <w:iCs/>
        </w:rPr>
        <w:t>todos</w:t>
      </w:r>
      <w:r w:rsidRPr="006B772F">
        <w:t xml:space="preserve"> los teléfonos móviles probados en este evento indicando el modelo, la versión software, el nombre de la empresa y la marca del teléfono móvil. La UIT y el laboratorio de pruebas coordinarán con los participantes a fin de evitar solicitudes que se solapen para el mismo modelo de teléfono.</w:t>
      </w:r>
    </w:p>
    <w:p w:rsidR="00D24FA1" w:rsidRPr="00676173" w:rsidRDefault="00D24FA1" w:rsidP="00D24FA1">
      <w:pPr>
        <w:pStyle w:val="enumlev1"/>
      </w:pPr>
      <w:r w:rsidRPr="00676173">
        <w:t>•</w:t>
      </w:r>
      <w:r w:rsidRPr="00676173">
        <w:tab/>
        <w:t xml:space="preserve">Un participante que sea vendedor de teléfonos móviles </w:t>
      </w:r>
      <w:r w:rsidRPr="00676173">
        <w:rPr>
          <w:u w:val="single"/>
        </w:rPr>
        <w:t>recibirá únicamente</w:t>
      </w:r>
      <w:r w:rsidRPr="00676173">
        <w:t xml:space="preserve"> los resultados de la prueba </w:t>
      </w:r>
      <w:r w:rsidRPr="00676173">
        <w:rPr>
          <w:b/>
          <w:bCs/>
          <w:i/>
          <w:iCs/>
        </w:rPr>
        <w:t>detallados</w:t>
      </w:r>
      <w:r w:rsidRPr="00676173">
        <w:t xml:space="preserve"> de </w:t>
      </w:r>
      <w:r w:rsidRPr="00676173">
        <w:rPr>
          <w:u w:val="single"/>
        </w:rPr>
        <w:t>sus propios</w:t>
      </w:r>
      <w:r w:rsidRPr="00676173">
        <w:t xml:space="preserve"> teléfonos móviles con información sustantiva acerca del comportamiento de cada uno de sus dispositivos e indicaciones para la posible mejora. La UIT y el laboratorio de pruebas </w:t>
      </w:r>
      <w:r w:rsidRPr="00676173">
        <w:rPr>
          <w:u w:val="single"/>
        </w:rPr>
        <w:t>no proporcionarán</w:t>
      </w:r>
      <w:r w:rsidRPr="00676173">
        <w:t xml:space="preserve"> los resultados de las pruebas </w:t>
      </w:r>
      <w:r w:rsidRPr="00676173">
        <w:rPr>
          <w:b/>
          <w:bCs/>
          <w:i/>
          <w:iCs/>
        </w:rPr>
        <w:t>detallados</w:t>
      </w:r>
      <w:r w:rsidRPr="00676173">
        <w:t xml:space="preserve"> de los teléfonos móviles presentados por un vendedor de teléfonos móviles </w:t>
      </w:r>
      <w:r>
        <w:rPr>
          <w:u w:val="single"/>
        </w:rPr>
        <w:t>a </w:t>
      </w:r>
      <w:r w:rsidRPr="00676173">
        <w:rPr>
          <w:u w:val="single"/>
        </w:rPr>
        <w:t>otro</w:t>
      </w:r>
      <w:r w:rsidRPr="00676173">
        <w:t xml:space="preserve"> vendedor de teléfonos móviles. A los fabricantes de automóviles, los suministradores de terminales manos libres o los operadores de redes móviles que participen </w:t>
      </w:r>
      <w:r w:rsidRPr="00676173">
        <w:rPr>
          <w:u w:val="single"/>
        </w:rPr>
        <w:t>no se les permitirá</w:t>
      </w:r>
      <w:r w:rsidRPr="00676173">
        <w:t xml:space="preserve"> compartir los resultados de prueba </w:t>
      </w:r>
      <w:r w:rsidRPr="00676173">
        <w:rPr>
          <w:b/>
          <w:bCs/>
          <w:i/>
          <w:iCs/>
        </w:rPr>
        <w:t>detallados</w:t>
      </w:r>
      <w:r w:rsidRPr="00676173">
        <w:t xml:space="preserve"> de un teléfono móvil de un vendedor en particular con otros vendedores de teléfonos móviles.</w:t>
      </w:r>
    </w:p>
    <w:p w:rsidR="00D24FA1" w:rsidRPr="00676173" w:rsidRDefault="00D24FA1" w:rsidP="00D24FA1">
      <w:pPr>
        <w:pStyle w:val="enumlev1"/>
      </w:pPr>
      <w:r w:rsidRPr="00676173">
        <w:t>•</w:t>
      </w:r>
      <w:r w:rsidRPr="00676173">
        <w:tab/>
        <w:t>La UIT y el laboratorio de pruebas no facilitarán los nombres de las empresas que participan, a menos que la propia empresa dé su acuerdo explícito para ello.</w:t>
      </w:r>
    </w:p>
    <w:p w:rsidR="00D24FA1" w:rsidRPr="00676173" w:rsidRDefault="00D24FA1" w:rsidP="00D24FA1">
      <w:pPr>
        <w:pStyle w:val="enumlev1"/>
      </w:pPr>
      <w:r w:rsidRPr="00676173">
        <w:t>•</w:t>
      </w:r>
      <w:r w:rsidRPr="00676173">
        <w:tab/>
      </w:r>
      <w:r w:rsidRPr="00676173">
        <w:rPr>
          <w:u w:val="single"/>
        </w:rPr>
        <w:t>Se permite</w:t>
      </w:r>
      <w:r w:rsidRPr="00676173">
        <w:t xml:space="preserve"> a los participantes hacer publicidad de los teléfonos móviles (modelo, versión software, nombre de la empresa y modelo) que recomiendan (de manera positiva o negativa).</w:t>
      </w:r>
    </w:p>
    <w:p w:rsidR="00D24FA1" w:rsidRPr="00676173" w:rsidRDefault="00D24FA1" w:rsidP="00D24FA1">
      <w:pPr>
        <w:pStyle w:val="enumlev1"/>
      </w:pPr>
      <w:r w:rsidRPr="00676173">
        <w:t>•</w:t>
      </w:r>
      <w:r w:rsidRPr="00676173">
        <w:tab/>
        <w:t>Los teléfonos móviles que van a probarse de</w:t>
      </w:r>
      <w:bookmarkStart w:id="4" w:name="_GoBack"/>
      <w:bookmarkEnd w:id="4"/>
      <w:r w:rsidRPr="00676173">
        <w:t xml:space="preserve">ben proporcionarlos los participantes a la UIT en Ginebra con la debida antelación, preferentemente una semana antes de la celebración del evento. Como organismo especializado de las Naciones Unidas, la UIT está exenta de derechos de aduana con arreglo al Convenio Internacional sobre Privilegios e Inmunidades de los Organismos Especializados. Tenga presente que todo el material dirigido a la UIT debe encaminarse </w:t>
      </w:r>
      <w:r w:rsidRPr="00676173">
        <w:rPr>
          <w:b/>
          <w:bCs/>
          <w:i/>
          <w:iCs/>
        </w:rPr>
        <w:t>a través de Ginebra</w:t>
      </w:r>
      <w:r w:rsidRPr="00676173">
        <w:t>. De conformidad con la administración de Aduanas de Suiza en Ginebra, la autorización de aduana sólo afecta a la ciudad de Ginebra. Si se solicita, se comunicará la dirección de envío a la UIT.</w:t>
      </w:r>
    </w:p>
    <w:p w:rsidR="00D24FA1" w:rsidRPr="00676173" w:rsidRDefault="00D24FA1" w:rsidP="00D24FA1">
      <w:pPr>
        <w:pStyle w:val="enumlev1"/>
      </w:pPr>
      <w:r w:rsidRPr="00676173">
        <w:t>•</w:t>
      </w:r>
      <w:r w:rsidRPr="00676173">
        <w:tab/>
        <w:t xml:space="preserve">En los casos en que un participante no pueda proporcionar un teléfono móvil, el laboratorio de pruebas tratará de encontrar un dispositivo para someterlo a prueba. Si un operador de red o un vendedor de teléfonos móviles </w:t>
      </w:r>
      <w:proofErr w:type="gramStart"/>
      <w:r w:rsidRPr="00676173">
        <w:t>alquila</w:t>
      </w:r>
      <w:proofErr w:type="gramEnd"/>
      <w:r w:rsidRPr="00676173">
        <w:t xml:space="preserve"> un teléfono móvil para este evento de pruebas, los resultados de la prueba detallados del dispositivo alquilado se pondrán gratuitamente a disposición de la empresa así como de todos los participantes que sean fabricantes de automóviles, suministradores de terminales manos libres y operadores de redes móviles.</w:t>
      </w:r>
    </w:p>
    <w:p w:rsidR="00D24FA1" w:rsidRPr="00C4211A" w:rsidRDefault="00D24FA1" w:rsidP="00D24FA1">
      <w:pPr>
        <w:pStyle w:val="enumlev1"/>
      </w:pPr>
      <w:r w:rsidRPr="00C4211A">
        <w:t>•</w:t>
      </w:r>
      <w:r w:rsidRPr="00C4211A">
        <w:tab/>
        <w:t>El laboratorio de pruebas somete a prueba los teléfonos móviles de un vendedor específico durante un intervalo de tiempo concreto (un vendedor de teléfonos móviles por cada intervalo de tiempo), y mantiene diariamente comunicaciones conferencias con los participantes para discutir los resultados de las pruebas o con el vendedor de teléfonos móviles, según el caso.</w:t>
      </w:r>
    </w:p>
    <w:p w:rsidR="00D24FA1" w:rsidRPr="006B772F" w:rsidRDefault="00D24FA1" w:rsidP="00D24FA1">
      <w:pPr>
        <w:pStyle w:val="enumlev1"/>
        <w:keepLines/>
      </w:pPr>
      <w:r w:rsidRPr="00C4211A">
        <w:t>•</w:t>
      </w:r>
      <w:r w:rsidRPr="00C4211A">
        <w:tab/>
        <w:t>Se invita a los participantes que sean fabricantes de automóviles, suministradores de terminales manos libres y operadores de red a que asistan a las pruebas de todos los teléfonos y participen en las discusiones en cualquier instante, ya sea en persona o a través de comunicaciones conferencia. A los vendedores de teléfonos móviles se les invita a asistir a las pruebas únicamente durante los intervalos de tiempo en que son probados sus propios dispositivos y podrán participar sólo en las discusiones relativas a sus dispositivos, ya sea en persona o por comunicación conferencia.</w:t>
      </w:r>
    </w:p>
    <w:p w:rsidR="00780487" w:rsidRDefault="00D24FA1" w:rsidP="003A7933">
      <w:pPr>
        <w:pStyle w:val="AnnexNotitle"/>
        <w:spacing w:before="0"/>
      </w:pPr>
      <w:r w:rsidRPr="006B772F">
        <w:lastRenderedPageBreak/>
        <w:t>Anexo B</w:t>
      </w:r>
      <w:r w:rsidR="003A7933">
        <w:br/>
      </w:r>
      <w:r>
        <w:br/>
      </w:r>
      <w:r w:rsidRPr="006B772F">
        <w:t xml:space="preserve">Ejemplo de informe de </w:t>
      </w:r>
      <w:r w:rsidRPr="00780487">
        <w:t>prueba</w:t>
      </w:r>
      <w:r w:rsidRPr="006B772F">
        <w:t xml:space="preserve"> detallado</w:t>
      </w:r>
    </w:p>
    <w:p w:rsidR="003A7933" w:rsidRPr="00BB4CA7" w:rsidRDefault="003A7933" w:rsidP="003A7933">
      <w:pPr>
        <w:spacing w:before="0"/>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D24FA1" w:rsidRPr="006B772F" w:rsidTr="00B81C2F">
        <w:trPr>
          <w:trHeight w:val="5166"/>
          <w:jc w:val="center"/>
        </w:trPr>
        <w:tc>
          <w:tcPr>
            <w:tcW w:w="9288" w:type="dxa"/>
          </w:tcPr>
          <w:tbl>
            <w:tblPr>
              <w:tblpPr w:leftFromText="141" w:rightFromText="141" w:vertAnchor="text" w:horzAnchor="margin" w:tblpXSpec="right" w:tblpY="-232"/>
              <w:tblOverlap w:val="never"/>
              <w:tblW w:w="4080" w:type="dxa"/>
              <w:tblLayout w:type="fixed"/>
              <w:tblCellMar>
                <w:left w:w="70" w:type="dxa"/>
                <w:right w:w="70" w:type="dxa"/>
              </w:tblCellMar>
              <w:tblLook w:val="04A0" w:firstRow="1" w:lastRow="0" w:firstColumn="1" w:lastColumn="0" w:noHBand="0" w:noVBand="1"/>
            </w:tblPr>
            <w:tblGrid>
              <w:gridCol w:w="1730"/>
              <w:gridCol w:w="2350"/>
            </w:tblGrid>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FA1" w:rsidRPr="006B772F" w:rsidRDefault="00D24FA1" w:rsidP="00780487">
                  <w:pPr>
                    <w:spacing w:before="0"/>
                    <w:rPr>
                      <w:rFonts w:cs="Arial"/>
                      <w:b/>
                      <w:bCs/>
                      <w:color w:val="000000"/>
                      <w:szCs w:val="22"/>
                    </w:rPr>
                  </w:pPr>
                  <w:r w:rsidRPr="006B772F">
                    <w:rPr>
                      <w:rFonts w:cs="Arial"/>
                      <w:b/>
                      <w:bCs/>
                      <w:color w:val="000000"/>
                      <w:szCs w:val="22"/>
                    </w:rPr>
                    <w:t>Fabricante: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D24FA1" w:rsidRPr="006B772F" w:rsidRDefault="00D24FA1" w:rsidP="00780487">
                  <w:pPr>
                    <w:spacing w:before="0"/>
                    <w:jc w:val="center"/>
                    <w:rPr>
                      <w:rFonts w:cs="Arial"/>
                      <w:b/>
                      <w:bCs/>
                      <w:color w:val="000000"/>
                      <w:szCs w:val="22"/>
                    </w:rPr>
                  </w:pPr>
                  <w:r w:rsidRPr="006B772F">
                    <w:rPr>
                      <w:rFonts w:cs="Arial"/>
                      <w:b/>
                      <w:bCs/>
                      <w:color w:val="000000"/>
                      <w:szCs w:val="22"/>
                    </w:rPr>
                    <w:t>ABC</w:t>
                  </w:r>
                </w:p>
              </w:tc>
            </w:tr>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FA1" w:rsidRPr="006B772F" w:rsidRDefault="00D24FA1" w:rsidP="00780487">
                  <w:pPr>
                    <w:spacing w:before="0"/>
                    <w:ind w:left="-105" w:firstLine="105"/>
                    <w:rPr>
                      <w:rFonts w:cs="Arial"/>
                      <w:b/>
                      <w:bCs/>
                      <w:color w:val="000000"/>
                      <w:szCs w:val="22"/>
                    </w:rPr>
                  </w:pPr>
                  <w:r w:rsidRPr="006B772F">
                    <w:rPr>
                      <w:rFonts w:cs="Arial"/>
                      <w:b/>
                      <w:bCs/>
                      <w:color w:val="000000"/>
                      <w:szCs w:val="22"/>
                    </w:rPr>
                    <w:t>Dispositivo:</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D24FA1" w:rsidRPr="006B772F" w:rsidRDefault="00D24FA1" w:rsidP="00780487">
                  <w:pPr>
                    <w:spacing w:before="0"/>
                    <w:jc w:val="center"/>
                    <w:rPr>
                      <w:rFonts w:cs="Arial"/>
                      <w:b/>
                      <w:bCs/>
                      <w:color w:val="000000"/>
                      <w:szCs w:val="22"/>
                    </w:rPr>
                  </w:pPr>
                  <w:r w:rsidRPr="006B772F">
                    <w:rPr>
                      <w:rFonts w:cs="Arial"/>
                      <w:b/>
                      <w:bCs/>
                      <w:color w:val="000000"/>
                      <w:szCs w:val="22"/>
                    </w:rPr>
                    <w:t>XYZ</w:t>
                  </w:r>
                </w:p>
              </w:tc>
            </w:tr>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FA1" w:rsidRPr="006B772F" w:rsidRDefault="00D24FA1" w:rsidP="00780487">
                  <w:pPr>
                    <w:spacing w:before="0"/>
                    <w:rPr>
                      <w:rFonts w:cs="Arial"/>
                      <w:b/>
                      <w:bCs/>
                      <w:color w:val="000000"/>
                      <w:szCs w:val="22"/>
                    </w:rPr>
                  </w:pPr>
                  <w:r w:rsidRPr="006B772F">
                    <w:rPr>
                      <w:rFonts w:cs="Arial"/>
                      <w:b/>
                      <w:bCs/>
                      <w:color w:val="000000"/>
                      <w:szCs w:val="22"/>
                    </w:rPr>
                    <w:t>IMEI:</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D24FA1" w:rsidRPr="006B772F" w:rsidRDefault="00D24FA1" w:rsidP="00780487">
                  <w:pPr>
                    <w:spacing w:before="0"/>
                    <w:jc w:val="center"/>
                    <w:rPr>
                      <w:rFonts w:cs="Arial"/>
                      <w:b/>
                      <w:bCs/>
                      <w:color w:val="000000"/>
                      <w:szCs w:val="22"/>
                    </w:rPr>
                  </w:pPr>
                  <w:r w:rsidRPr="006B772F">
                    <w:rPr>
                      <w:rFonts w:cs="Arial"/>
                      <w:b/>
                      <w:bCs/>
                      <w:color w:val="000000"/>
                      <w:szCs w:val="22"/>
                    </w:rPr>
                    <w:t>12345678910</w:t>
                  </w:r>
                </w:p>
              </w:tc>
            </w:tr>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FA1" w:rsidRPr="006B772F" w:rsidRDefault="00D24FA1" w:rsidP="00780487">
                  <w:pPr>
                    <w:spacing w:before="0"/>
                    <w:rPr>
                      <w:rFonts w:cs="Arial"/>
                      <w:b/>
                      <w:bCs/>
                      <w:color w:val="000000"/>
                      <w:szCs w:val="22"/>
                    </w:rPr>
                  </w:pPr>
                  <w:r w:rsidRPr="006B772F">
                    <w:rPr>
                      <w:rFonts w:cs="Arial"/>
                      <w:b/>
                      <w:bCs/>
                      <w:color w:val="000000"/>
                      <w:szCs w:val="22"/>
                    </w:rPr>
                    <w:t>Versión software: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D24FA1" w:rsidRPr="006B772F" w:rsidRDefault="00D24FA1" w:rsidP="00780487">
                  <w:pPr>
                    <w:spacing w:before="0"/>
                    <w:jc w:val="center"/>
                    <w:rPr>
                      <w:rFonts w:cs="Arial"/>
                      <w:b/>
                      <w:bCs/>
                      <w:color w:val="000000"/>
                      <w:szCs w:val="22"/>
                    </w:rPr>
                  </w:pPr>
                  <w:r w:rsidRPr="006B772F">
                    <w:rPr>
                      <w:rFonts w:cs="Arial"/>
                      <w:b/>
                      <w:bCs/>
                      <w:color w:val="000000"/>
                      <w:szCs w:val="22"/>
                    </w:rPr>
                    <w:t>1.2.3.4</w:t>
                  </w:r>
                </w:p>
              </w:tc>
            </w:tr>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FA1" w:rsidRPr="006B772F" w:rsidRDefault="00D24FA1" w:rsidP="00780487">
                  <w:pPr>
                    <w:spacing w:before="0"/>
                    <w:rPr>
                      <w:rFonts w:cs="Arial"/>
                      <w:b/>
                      <w:bCs/>
                      <w:color w:val="000000"/>
                      <w:szCs w:val="22"/>
                    </w:rPr>
                  </w:pPr>
                  <w:r w:rsidRPr="006B772F">
                    <w:rPr>
                      <w:rFonts w:cs="Arial"/>
                      <w:b/>
                      <w:bCs/>
                      <w:color w:val="000000"/>
                      <w:szCs w:val="22"/>
                    </w:rPr>
                    <w:t>Modo audio:</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rsidR="00D24FA1" w:rsidRPr="006B772F" w:rsidRDefault="00D24FA1" w:rsidP="00780487">
                  <w:pPr>
                    <w:spacing w:before="0"/>
                    <w:jc w:val="center"/>
                    <w:rPr>
                      <w:rFonts w:cs="Arial"/>
                      <w:b/>
                      <w:bCs/>
                      <w:color w:val="000000"/>
                      <w:szCs w:val="22"/>
                    </w:rPr>
                  </w:pPr>
                  <w:r w:rsidRPr="006B772F">
                    <w:rPr>
                      <w:rFonts w:cs="Arial"/>
                      <w:b/>
                      <w:bCs/>
                      <w:color w:val="000000"/>
                      <w:szCs w:val="22"/>
                    </w:rPr>
                    <w:t>Banda ancha</w:t>
                  </w:r>
                </w:p>
              </w:tc>
            </w:tr>
            <w:tr w:rsidR="00D24FA1" w:rsidRPr="006B772F" w:rsidTr="000068C2">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FA1" w:rsidRPr="006B772F" w:rsidRDefault="00D24FA1" w:rsidP="00780487">
                  <w:pPr>
                    <w:spacing w:before="0"/>
                    <w:rPr>
                      <w:rFonts w:cs="Arial"/>
                      <w:b/>
                      <w:bCs/>
                      <w:color w:val="000000"/>
                      <w:szCs w:val="22"/>
                    </w:rPr>
                  </w:pPr>
                  <w:r w:rsidRPr="006B772F">
                    <w:rPr>
                      <w:rFonts w:cs="Arial"/>
                      <w:b/>
                      <w:bCs/>
                      <w:color w:val="000000"/>
                      <w:szCs w:val="22"/>
                    </w:rPr>
                    <w:t>Fecha de la prueba</w:t>
                  </w:r>
                </w:p>
              </w:tc>
              <w:tc>
                <w:tcPr>
                  <w:tcW w:w="2350" w:type="dxa"/>
                  <w:tcBorders>
                    <w:top w:val="single" w:sz="4" w:space="0" w:color="auto"/>
                    <w:left w:val="nil"/>
                    <w:bottom w:val="single" w:sz="4" w:space="0" w:color="auto"/>
                    <w:right w:val="single" w:sz="4" w:space="0" w:color="000000"/>
                  </w:tcBorders>
                  <w:shd w:val="clear" w:color="auto" w:fill="auto"/>
                  <w:noWrap/>
                  <w:vAlign w:val="center"/>
                </w:tcPr>
                <w:p w:rsidR="00D24FA1" w:rsidRPr="006B772F" w:rsidRDefault="00D24FA1" w:rsidP="00780487">
                  <w:pPr>
                    <w:spacing w:before="0"/>
                    <w:jc w:val="center"/>
                    <w:rPr>
                      <w:rFonts w:cs="Arial"/>
                      <w:b/>
                      <w:bCs/>
                      <w:color w:val="000000"/>
                      <w:szCs w:val="22"/>
                    </w:rPr>
                  </w:pPr>
                  <w:r w:rsidRPr="006B772F">
                    <w:rPr>
                      <w:rFonts w:cs="Arial"/>
                      <w:b/>
                      <w:bCs/>
                      <w:color w:val="000000"/>
                      <w:szCs w:val="22"/>
                    </w:rPr>
                    <w:t>MM:DD:AA</w:t>
                  </w:r>
                </w:p>
              </w:tc>
            </w:tr>
          </w:tbl>
          <w:p w:rsidR="00D24FA1" w:rsidRPr="006B772F" w:rsidRDefault="00D24FA1" w:rsidP="00780487">
            <w:pPr>
              <w:spacing w:before="0" w:after="60" w:line="288" w:lineRule="auto"/>
              <w:rPr>
                <w:rFonts w:cs="Arial"/>
              </w:rPr>
            </w:pPr>
            <w:r w:rsidRPr="006B772F">
              <w:rPr>
                <w:rFonts w:cs="Arial"/>
                <w:noProof/>
                <w:lang w:val="en-US" w:eastAsia="zh-CN"/>
              </w:rPr>
              <w:drawing>
                <wp:anchor distT="0" distB="0" distL="114300" distR="114300" simplePos="0" relativeHeight="251659264" behindDoc="1" locked="0" layoutInCell="1" allowOverlap="1" wp14:anchorId="2D085C66" wp14:editId="34CD6ED3">
                  <wp:simplePos x="0" y="0"/>
                  <wp:positionH relativeFrom="column">
                    <wp:posOffset>-21021</wp:posOffset>
                  </wp:positionH>
                  <wp:positionV relativeFrom="paragraph">
                    <wp:posOffset>4016</wp:posOffset>
                  </wp:positionV>
                  <wp:extent cx="5796000" cy="32004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P1100-1110Grafik.jpg"/>
                          <pic:cNvPicPr/>
                        </pic:nvPicPr>
                        <pic:blipFill rotWithShape="1">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t="6093" b="13027"/>
                          <a:stretch/>
                        </pic:blipFill>
                        <pic:spPr bwMode="auto">
                          <a:xfrm>
                            <a:off x="0" y="0"/>
                            <a:ext cx="579600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72F">
              <w:rPr>
                <w:rFonts w:cs="Arial"/>
                <w:noProof/>
                <w:lang w:val="en-US" w:eastAsia="zh-CN"/>
              </w:rPr>
              <w:drawing>
                <wp:inline distT="0" distB="0" distL="0" distR="0" wp14:anchorId="48217037" wp14:editId="45DAC679">
                  <wp:extent cx="3071918" cy="280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1918" cy="2808000"/>
                          </a:xfrm>
                          <a:prstGeom prst="rect">
                            <a:avLst/>
                          </a:prstGeom>
                          <a:noFill/>
                          <a:ln>
                            <a:noFill/>
                          </a:ln>
                        </pic:spPr>
                      </pic:pic>
                    </a:graphicData>
                  </a:graphic>
                </wp:inline>
              </w:drawing>
            </w:r>
          </w:p>
          <w:p w:rsidR="00D24FA1" w:rsidRPr="006B772F" w:rsidRDefault="00D24FA1" w:rsidP="00780487">
            <w:pPr>
              <w:spacing w:before="0"/>
              <w:rPr>
                <w:rFonts w:cs="Arial"/>
                <w:b/>
                <w:sz w:val="18"/>
                <w:szCs w:val="18"/>
              </w:rPr>
            </w:pPr>
            <w:r w:rsidRPr="006B772F">
              <w:rPr>
                <w:sz w:val="18"/>
                <w:szCs w:val="18"/>
              </w:rPr>
              <w:t xml:space="preserve">Gráfico UIT-T P.505 de diagrama de sectores sobre los resultados de las pruebas Bluetooth de banda ancha de </w:t>
            </w:r>
            <w:r w:rsidRPr="006B772F">
              <w:rPr>
                <w:rFonts w:cs="Arial"/>
                <w:b/>
                <w:sz w:val="18"/>
                <w:szCs w:val="18"/>
              </w:rPr>
              <w:t>ABC XYZ</w:t>
            </w:r>
          </w:p>
          <w:p w:rsidR="00D24FA1" w:rsidRPr="006B772F" w:rsidRDefault="00D24FA1" w:rsidP="00780487">
            <w:pPr>
              <w:spacing w:before="0"/>
              <w:rPr>
                <w:rFonts w:cs="Arial"/>
              </w:rPr>
            </w:pPr>
          </w:p>
        </w:tc>
      </w:tr>
    </w:tbl>
    <w:p w:rsidR="00D24FA1" w:rsidRPr="006B772F" w:rsidRDefault="00D24FA1" w:rsidP="00BB4CA7">
      <w:pPr>
        <w:pStyle w:val="Headingb0"/>
        <w:spacing w:before="80"/>
      </w:pPr>
      <w:r w:rsidRPr="006B772F">
        <w:t>Resumen de resultados bas</w:t>
      </w:r>
      <w:r>
        <w:t>ado en casos de prueba UIT-T P.</w:t>
      </w:r>
      <w:r w:rsidRPr="006B772F">
        <w:t>1110 adaptados y ampliados (en el sentido de las agujas del reloj)</w:t>
      </w:r>
    </w:p>
    <w:p w:rsidR="00D24FA1" w:rsidRPr="006B772F" w:rsidRDefault="00D24FA1" w:rsidP="00780487">
      <w:pPr>
        <w:pStyle w:val="enumlev1"/>
        <w:spacing w:before="120"/>
      </w:pPr>
      <w:r w:rsidRPr="006B772F">
        <w:t>•</w:t>
      </w:r>
      <w:r w:rsidRPr="006B772F">
        <w:tab/>
        <w:t>Como cabía esperar, la instrucción AT+NREC=0 se confirma con "OK".</w:t>
      </w:r>
    </w:p>
    <w:p w:rsidR="00D24FA1" w:rsidRPr="006B772F" w:rsidRDefault="00D24FA1" w:rsidP="00D24FA1">
      <w:pPr>
        <w:pStyle w:val="enumlev1"/>
      </w:pPr>
      <w:r w:rsidRPr="006B772F">
        <w:t>•</w:t>
      </w:r>
      <w:r w:rsidRPr="006B772F">
        <w:tab/>
        <w:t xml:space="preserve">El ajuste del control de volumen del teléfono no afecta el índice de sonoridad en conjunto </w:t>
      </w:r>
      <w:r>
        <w:t>(</w:t>
      </w:r>
      <w:r w:rsidRPr="006B772F">
        <w:t>JLR</w:t>
      </w:r>
      <w:r>
        <w:t>)</w:t>
      </w:r>
      <w:r w:rsidRPr="006B772F">
        <w:t xml:space="preserve"> medido en la dirección de recepción, salvo si el terminal manos libres no dispone de "Control de volumen a distancia (RVC)". En este caso, el control de volumen del teléfono introduce una atenuación de hasta 13 dB dependiendo del ajuste de volumen seleccionado.</w:t>
      </w:r>
    </w:p>
    <w:p w:rsidR="00D24FA1" w:rsidRPr="00B56825" w:rsidRDefault="00D24FA1" w:rsidP="00D24FA1">
      <w:pPr>
        <w:pStyle w:val="enumlev1"/>
      </w:pPr>
      <w:r w:rsidRPr="00C4211A">
        <w:t>•</w:t>
      </w:r>
      <w:r w:rsidRPr="00C4211A">
        <w:tab/>
      </w:r>
      <w:r w:rsidRPr="00B56825">
        <w:t>El comportamiento del CAG puede detectarse en ambos sentidos de transmisión.</w:t>
      </w:r>
    </w:p>
    <w:p w:rsidR="00D24FA1" w:rsidRPr="00B56825" w:rsidRDefault="00D24FA1" w:rsidP="00D24FA1">
      <w:pPr>
        <w:pStyle w:val="enumlev1"/>
      </w:pPr>
      <w:r w:rsidRPr="00C4211A">
        <w:t>•</w:t>
      </w:r>
      <w:r w:rsidRPr="00C4211A">
        <w:tab/>
        <w:t>La</w:t>
      </w:r>
      <w:r w:rsidRPr="00B56825">
        <w:t xml:space="preserve"> reducción de ruido sigue estando activada aunque el teléfono responda con un </w:t>
      </w:r>
      <w:r w:rsidRPr="00C4211A">
        <w:t>"</w:t>
      </w:r>
      <w:r w:rsidRPr="00B56825">
        <w:t>OK</w:t>
      </w:r>
      <w:r w:rsidRPr="00C4211A">
        <w:t>"</w:t>
      </w:r>
      <w:r w:rsidRPr="00B56825">
        <w:t xml:space="preserve"> a la </w:t>
      </w:r>
      <w:r w:rsidRPr="00C4211A">
        <w:t>instrucción</w:t>
      </w:r>
      <w:r w:rsidRPr="00B56825">
        <w:t xml:space="preserve"> de AT </w:t>
      </w:r>
      <w:r w:rsidRPr="00C4211A">
        <w:t>"</w:t>
      </w:r>
      <w:r w:rsidRPr="00B56825">
        <w:t>AT+NRE</w:t>
      </w:r>
      <w:r w:rsidRPr="00C4211A">
        <w:t>C</w:t>
      </w:r>
      <w:r w:rsidRPr="00B56825">
        <w:t>=0</w:t>
      </w:r>
      <w:r w:rsidRPr="00C4211A">
        <w:t>"</w:t>
      </w:r>
      <w:r w:rsidRPr="00B56825">
        <w:t>.</w:t>
      </w:r>
    </w:p>
    <w:p w:rsidR="00D24FA1" w:rsidRPr="00B56825" w:rsidRDefault="00D24FA1" w:rsidP="00D24FA1">
      <w:pPr>
        <w:pStyle w:val="enumlev1"/>
      </w:pPr>
      <w:r w:rsidRPr="00C4211A">
        <w:t>•</w:t>
      </w:r>
      <w:r w:rsidRPr="00C4211A">
        <w:tab/>
        <w:t>El</w:t>
      </w:r>
      <w:r w:rsidRPr="00B56825">
        <w:t xml:space="preserve"> supresor de eco se </w:t>
      </w:r>
      <w:r w:rsidRPr="00C4211A">
        <w:t>desconecta</w:t>
      </w:r>
      <w:r w:rsidRPr="00B56825">
        <w:t xml:space="preserve"> cuando es necesario.</w:t>
      </w:r>
    </w:p>
    <w:p w:rsidR="00D24FA1" w:rsidRPr="00B56825" w:rsidRDefault="00D24FA1" w:rsidP="00D24FA1">
      <w:pPr>
        <w:pStyle w:val="enumlev1"/>
      </w:pPr>
      <w:r w:rsidRPr="00C4211A">
        <w:t>•</w:t>
      </w:r>
      <w:r w:rsidRPr="00C4211A">
        <w:tab/>
      </w:r>
      <w:r w:rsidRPr="00B56825">
        <w:t xml:space="preserve">La </w:t>
      </w:r>
      <w:r w:rsidRPr="00C4211A">
        <w:t>prueba</w:t>
      </w:r>
      <w:r w:rsidRPr="00B56825">
        <w:t xml:space="preserve"> de doble llamada (</w:t>
      </w:r>
      <w:r w:rsidRPr="00C4211A">
        <w:t>"</w:t>
      </w:r>
      <w:r w:rsidRPr="00B56825">
        <w:t>DT</w:t>
      </w:r>
      <w:r w:rsidRPr="00C4211A">
        <w:t>"</w:t>
      </w:r>
      <w:r w:rsidRPr="00B56825">
        <w:t>) muestra una transmisión transparente en ambos sentidos.</w:t>
      </w:r>
    </w:p>
    <w:p w:rsidR="00D24FA1" w:rsidRPr="00B56825" w:rsidRDefault="00D24FA1" w:rsidP="00D24FA1">
      <w:pPr>
        <w:pStyle w:val="enumlev1"/>
      </w:pPr>
      <w:r w:rsidRPr="00C4211A">
        <w:t>•</w:t>
      </w:r>
      <w:r w:rsidRPr="00C4211A">
        <w:tab/>
      </w:r>
      <w:r w:rsidRPr="00B56825">
        <w:t xml:space="preserve">El trayecto de emisión resulta </w:t>
      </w:r>
      <w:r w:rsidRPr="00C4211A">
        <w:t>ligeramente</w:t>
      </w:r>
      <w:r w:rsidRPr="00B56825">
        <w:t xml:space="preserve"> aten</w:t>
      </w:r>
      <w:r w:rsidRPr="00C4211A">
        <w:t>u</w:t>
      </w:r>
      <w:r w:rsidRPr="00B56825">
        <w:t>ado en 2,2 dB (</w:t>
      </w:r>
      <w:r w:rsidRPr="00C4211A">
        <w:t>"</w:t>
      </w:r>
      <w:proofErr w:type="gramStart"/>
      <w:r w:rsidRPr="00B56825">
        <w:t>JLR(</w:t>
      </w:r>
      <w:proofErr w:type="gramEnd"/>
      <w:r w:rsidRPr="00B56825">
        <w:t>SND)</w:t>
      </w:r>
      <w:r w:rsidRPr="00C4211A">
        <w:t>"</w:t>
      </w:r>
      <w:r w:rsidRPr="00B56825">
        <w:t xml:space="preserve">), lo que </w:t>
      </w:r>
      <w:r w:rsidRPr="00C4211A">
        <w:t>está</w:t>
      </w:r>
      <w:r w:rsidRPr="00B56825">
        <w:t xml:space="preserve"> dentro de la gama recomendada </w:t>
      </w:r>
      <w:r w:rsidRPr="006B772F">
        <w:t>de 0 ± 3 dB</w:t>
      </w:r>
      <w:r w:rsidRPr="00B56825">
        <w:t>.</w:t>
      </w:r>
    </w:p>
    <w:p w:rsidR="00D24FA1" w:rsidRPr="00B56825" w:rsidRDefault="00D24FA1" w:rsidP="00780487">
      <w:pPr>
        <w:pStyle w:val="enumlev1"/>
      </w:pPr>
      <w:r w:rsidRPr="00C4211A">
        <w:t>•</w:t>
      </w:r>
      <w:r w:rsidRPr="00C4211A">
        <w:tab/>
      </w:r>
      <w:r w:rsidRPr="00B56825">
        <w:t xml:space="preserve">El </w:t>
      </w:r>
      <w:r w:rsidRPr="00C4211A">
        <w:t>esquema</w:t>
      </w:r>
      <w:r w:rsidRPr="00B56825">
        <w:t xml:space="preserve"> de tolerancia para la respuesta en </w:t>
      </w:r>
      <w:r w:rsidRPr="00C4211A">
        <w:t>frecuencia</w:t>
      </w:r>
      <w:r w:rsidRPr="00B56825">
        <w:t xml:space="preserve"> de </w:t>
      </w:r>
      <w:r w:rsidRPr="00C4211A">
        <w:t xml:space="preserve">la </w:t>
      </w:r>
      <w:r w:rsidRPr="00B56825">
        <w:t>emisión (</w:t>
      </w:r>
      <w:r w:rsidRPr="00C4211A">
        <w:t>"</w:t>
      </w:r>
      <w:r w:rsidRPr="00B56825">
        <w:t>SFR</w:t>
      </w:r>
      <w:r w:rsidRPr="00C4211A">
        <w:t>"</w:t>
      </w:r>
      <w:r w:rsidRPr="00B56825">
        <w:t xml:space="preserve">) no se satisface. Sin embargo, puede despreciarse la ligera violación (véase el </w:t>
      </w:r>
      <w:r w:rsidR="00780487">
        <w:t>a</w:t>
      </w:r>
      <w:r w:rsidRPr="00B56825">
        <w:t>nexo Resultados de WB).</w:t>
      </w:r>
    </w:p>
    <w:p w:rsidR="00D24FA1" w:rsidRPr="00B56825" w:rsidRDefault="00D24FA1" w:rsidP="00D24FA1">
      <w:pPr>
        <w:pStyle w:val="enumlev1"/>
      </w:pPr>
      <w:r w:rsidRPr="00C4211A">
        <w:t>•</w:t>
      </w:r>
      <w:r w:rsidRPr="00C4211A">
        <w:tab/>
        <w:t>La</w:t>
      </w:r>
      <w:r w:rsidRPr="00B56825">
        <w:t xml:space="preserve"> calidad de la señal vocal en el sentido de </w:t>
      </w:r>
      <w:r w:rsidRPr="00C4211A">
        <w:t>emisión</w:t>
      </w:r>
      <w:r w:rsidRPr="00B56825">
        <w:t xml:space="preserve"> e</w:t>
      </w:r>
      <w:r w:rsidRPr="00C4211A">
        <w:t>s</w:t>
      </w:r>
      <w:r w:rsidRPr="00B56825">
        <w:t xml:space="preserve"> lo suficientemente alta </w:t>
      </w:r>
      <w:r w:rsidRPr="006B772F">
        <w:t>(4</w:t>
      </w:r>
      <w:r>
        <w:t>,</w:t>
      </w:r>
      <w:r w:rsidRPr="006B772F">
        <w:t>1 MOS</w:t>
      </w:r>
      <w:r w:rsidRPr="006B772F">
        <w:noBreakHyphen/>
      </w:r>
      <w:proofErr w:type="spellStart"/>
      <w:r w:rsidRPr="00C4211A">
        <w:t>LQOw</w:t>
      </w:r>
      <w:proofErr w:type="spellEnd"/>
      <w:r w:rsidRPr="00C4211A">
        <w:t>)</w:t>
      </w:r>
      <w:r w:rsidRPr="00B56825">
        <w:t>.</w:t>
      </w:r>
    </w:p>
    <w:p w:rsidR="00D24FA1" w:rsidRPr="00B56825" w:rsidRDefault="00D24FA1" w:rsidP="00D24FA1">
      <w:pPr>
        <w:pStyle w:val="enumlev1"/>
      </w:pPr>
      <w:r w:rsidRPr="00C4211A">
        <w:t>•</w:t>
      </w:r>
      <w:r w:rsidRPr="00C4211A">
        <w:tab/>
      </w:r>
      <w:r w:rsidRPr="00B56825">
        <w:t xml:space="preserve">El JLR de 1,6 dB medido en el </w:t>
      </w:r>
      <w:r w:rsidRPr="00C4211A">
        <w:t>sentido</w:t>
      </w:r>
      <w:r w:rsidRPr="00B56825">
        <w:t xml:space="preserve"> de </w:t>
      </w:r>
      <w:r w:rsidRPr="00C4211A">
        <w:t>recepción</w:t>
      </w:r>
      <w:r w:rsidRPr="00B56825">
        <w:t xml:space="preserve"> (</w:t>
      </w:r>
      <w:r w:rsidRPr="00C4211A">
        <w:t>"</w:t>
      </w:r>
      <w:r w:rsidRPr="00B56825">
        <w:t>JLR (RCV)</w:t>
      </w:r>
      <w:r w:rsidRPr="00C4211A">
        <w:t>"</w:t>
      </w:r>
      <w:r w:rsidRPr="00B56825">
        <w:t xml:space="preserve">) es </w:t>
      </w:r>
      <w:r w:rsidRPr="00C4211A">
        <w:t>ligeramente</w:t>
      </w:r>
      <w:r w:rsidRPr="00B56825">
        <w:t xml:space="preserve"> </w:t>
      </w:r>
      <w:r w:rsidRPr="00C4211A">
        <w:t>elevado</w:t>
      </w:r>
      <w:r w:rsidRPr="00B56825">
        <w:t xml:space="preserve"> pero sigue </w:t>
      </w:r>
      <w:r w:rsidRPr="00C4211A">
        <w:t>encontrándose</w:t>
      </w:r>
      <w:r w:rsidRPr="00B56825">
        <w:t xml:space="preserve"> </w:t>
      </w:r>
      <w:r w:rsidRPr="00C4211A">
        <w:t>d</w:t>
      </w:r>
      <w:r w:rsidRPr="00B56825">
        <w:t>en</w:t>
      </w:r>
      <w:r w:rsidRPr="00C4211A">
        <w:t>tro</w:t>
      </w:r>
      <w:r w:rsidRPr="00B56825">
        <w:t xml:space="preserve"> </w:t>
      </w:r>
      <w:r w:rsidRPr="00C4211A">
        <w:t xml:space="preserve">de </w:t>
      </w:r>
      <w:r w:rsidRPr="00B56825">
        <w:t>la gama recomendad</w:t>
      </w:r>
      <w:r w:rsidRPr="00C4211A">
        <w:t>a</w:t>
      </w:r>
      <w:r w:rsidRPr="00B56825">
        <w:t xml:space="preserve"> </w:t>
      </w:r>
      <w:r w:rsidRPr="006B772F">
        <w:t>de 0 ± 3 dB</w:t>
      </w:r>
      <w:r w:rsidRPr="00B56825">
        <w:t>.</w:t>
      </w:r>
    </w:p>
    <w:p w:rsidR="00D24FA1" w:rsidRPr="00B56825" w:rsidRDefault="00D24FA1" w:rsidP="00D24FA1">
      <w:pPr>
        <w:pStyle w:val="enumlev1"/>
      </w:pPr>
      <w:r w:rsidRPr="00C4211A">
        <w:t>•</w:t>
      </w:r>
      <w:r w:rsidRPr="00C4211A">
        <w:tab/>
      </w:r>
      <w:r w:rsidRPr="00B56825">
        <w:t xml:space="preserve">No se satisface completamente el esquema de tolerancia para la respuesta en frecuencia de </w:t>
      </w:r>
      <w:r w:rsidRPr="006B772F">
        <w:t>la recepción</w:t>
      </w:r>
      <w:r w:rsidRPr="00B56825">
        <w:t xml:space="preserve"> (</w:t>
      </w:r>
      <w:r w:rsidRPr="006B772F">
        <w:t>"</w:t>
      </w:r>
      <w:r w:rsidRPr="00B56825">
        <w:t>RFR</w:t>
      </w:r>
      <w:r w:rsidRPr="006B772F">
        <w:t>"</w:t>
      </w:r>
      <w:r w:rsidRPr="00B56825">
        <w:t>). No obstante, puede despreciarse esa ligera violación.</w:t>
      </w:r>
    </w:p>
    <w:p w:rsidR="00D24FA1" w:rsidRPr="006B772F" w:rsidRDefault="00D24FA1" w:rsidP="00780487">
      <w:pPr>
        <w:pStyle w:val="enumlev1"/>
        <w:widowControl w:val="0"/>
      </w:pPr>
      <w:r w:rsidRPr="00C4211A">
        <w:t>•</w:t>
      </w:r>
      <w:r w:rsidRPr="00C4211A">
        <w:tab/>
      </w:r>
      <w:r w:rsidRPr="006B772F">
        <w:t>La</w:t>
      </w:r>
      <w:r w:rsidRPr="00C4211A">
        <w:t xml:space="preserve"> </w:t>
      </w:r>
      <w:r w:rsidRPr="006B772F">
        <w:t>calidad</w:t>
      </w:r>
      <w:r w:rsidRPr="00C4211A">
        <w:t xml:space="preserve"> de la señal vocal en </w:t>
      </w:r>
      <w:r w:rsidRPr="006B772F">
        <w:t xml:space="preserve">el </w:t>
      </w:r>
      <w:r w:rsidRPr="00C4211A">
        <w:t>sentido de recepción es lo suficientem</w:t>
      </w:r>
      <w:r w:rsidRPr="006B772F">
        <w:t>en</w:t>
      </w:r>
      <w:r w:rsidRPr="00C4211A">
        <w:t xml:space="preserve">te elevada </w:t>
      </w:r>
      <w:r w:rsidRPr="006B772F">
        <w:t>(4</w:t>
      </w:r>
      <w:r>
        <w:t>,</w:t>
      </w:r>
      <w:r w:rsidRPr="006B772F">
        <w:t>1 MOS</w:t>
      </w:r>
      <w:r w:rsidRPr="006B772F">
        <w:noBreakHyphen/>
      </w:r>
      <w:proofErr w:type="spellStart"/>
      <w:r w:rsidRPr="00C4211A">
        <w:t>LQOw</w:t>
      </w:r>
      <w:proofErr w:type="spellEnd"/>
      <w:r w:rsidRPr="00C4211A">
        <w:t>).</w:t>
      </w:r>
    </w:p>
    <w:p w:rsidR="00D24FA1" w:rsidRDefault="00D24FA1" w:rsidP="00D24FA1">
      <w:pPr>
        <w:pStyle w:val="headingb"/>
        <w:rPr>
          <w:rStyle w:val="FormatvorlageBeschriftungNichtKursivZchn"/>
          <w:rFonts w:ascii="Times New Roman" w:hAnsi="Times New Roman"/>
          <w:iCs/>
          <w:lang w:eastAsia="en-US"/>
        </w:rPr>
      </w:pPr>
      <w:r w:rsidRPr="00D24FA1">
        <w:rPr>
          <w:rStyle w:val="FormatvorlageBeschriftungNichtKursivZchn"/>
          <w:rFonts w:ascii="Times New Roman" w:hAnsi="Times New Roman"/>
          <w:iCs/>
          <w:lang w:eastAsia="en-US"/>
        </w:rPr>
        <w:lastRenderedPageBreak/>
        <w:t>Resultados de banda ancha</w:t>
      </w:r>
    </w:p>
    <w:p w:rsidR="00D24FA1" w:rsidRPr="00D24FA1" w:rsidRDefault="00D24FA1" w:rsidP="00D24FA1">
      <w:pPr>
        <w:rPr>
          <w:sz w:val="16"/>
          <w:szCs w:val="16"/>
        </w:rPr>
      </w:pPr>
    </w:p>
    <w:tbl>
      <w:tblPr>
        <w:tblStyle w:val="TableGrid"/>
        <w:tblW w:w="9356" w:type="dxa"/>
        <w:tblInd w:w="250" w:type="dxa"/>
        <w:tblLook w:val="04A0" w:firstRow="1" w:lastRow="0" w:firstColumn="1" w:lastColumn="0" w:noHBand="0" w:noVBand="1"/>
      </w:tblPr>
      <w:tblGrid>
        <w:gridCol w:w="4678"/>
        <w:gridCol w:w="4678"/>
      </w:tblGrid>
      <w:tr w:rsidR="00D24FA1" w:rsidRPr="006B772F" w:rsidTr="000068C2">
        <w:tc>
          <w:tcPr>
            <w:tcW w:w="4678" w:type="dxa"/>
            <w:tcBorders>
              <w:bottom w:val="nil"/>
            </w:tcBorders>
          </w:tcPr>
          <w:p w:rsidR="00D24FA1" w:rsidRPr="006B772F" w:rsidRDefault="00D24FA1" w:rsidP="000068C2">
            <w:pPr>
              <w:keepNext/>
              <w:keepLines/>
              <w:spacing w:after="60"/>
              <w:rPr>
                <w:rStyle w:val="FormatvorlageBeschriftungNichtKursivZchn"/>
                <w:rFonts w:asciiTheme="majorBidi" w:hAnsiTheme="majorBidi" w:cstheme="majorBidi"/>
                <w:b/>
                <w:i w:val="0"/>
                <w:sz w:val="20"/>
              </w:rPr>
            </w:pPr>
            <w:r w:rsidRPr="006B772F">
              <w:rPr>
                <w:rStyle w:val="FormatvorlageBeschriftungNichtKursivZchn"/>
                <w:rFonts w:asciiTheme="majorBidi" w:hAnsiTheme="majorBidi" w:cstheme="majorBidi"/>
                <w:b/>
                <w:sz w:val="20"/>
              </w:rPr>
              <w:t>Respuesta en Frecuencia de la emisión (SFR)</w:t>
            </w:r>
          </w:p>
        </w:tc>
        <w:tc>
          <w:tcPr>
            <w:tcW w:w="4678" w:type="dxa"/>
            <w:tcBorders>
              <w:bottom w:val="nil"/>
            </w:tcBorders>
          </w:tcPr>
          <w:p w:rsidR="00D24FA1" w:rsidRPr="00D24FA1" w:rsidRDefault="00D24FA1" w:rsidP="000068C2">
            <w:pPr>
              <w:keepNext/>
              <w:keepLines/>
              <w:spacing w:after="60"/>
              <w:rPr>
                <w:rStyle w:val="FormatvorlageBeschriftungNichtKursivZchn"/>
                <w:rFonts w:asciiTheme="majorBidi" w:hAnsiTheme="majorBidi" w:cstheme="majorBidi"/>
                <w:b/>
                <w:i w:val="0"/>
                <w:sz w:val="20"/>
              </w:rPr>
            </w:pPr>
            <w:r w:rsidRPr="00D24FA1">
              <w:rPr>
                <w:rStyle w:val="FormatvorlageBeschriftungNichtKursivZchn"/>
                <w:rFonts w:asciiTheme="majorBidi" w:hAnsiTheme="majorBidi" w:cstheme="majorBidi"/>
                <w:b/>
                <w:sz w:val="20"/>
              </w:rPr>
              <w:t>Respuesta en Frecuencia de la recepción (RFR)</w:t>
            </w:r>
          </w:p>
        </w:tc>
      </w:tr>
      <w:tr w:rsidR="00D24FA1" w:rsidRPr="006B772F" w:rsidTr="000068C2">
        <w:tc>
          <w:tcPr>
            <w:tcW w:w="4678" w:type="dxa"/>
            <w:tcBorders>
              <w:top w:val="nil"/>
              <w:bottom w:val="nil"/>
            </w:tcBorders>
          </w:tcPr>
          <w:p w:rsidR="00D24FA1" w:rsidRPr="006B772F" w:rsidRDefault="00D24FA1" w:rsidP="000068C2">
            <w:pPr>
              <w:keepNext/>
              <w:keepLines/>
              <w:spacing w:line="288" w:lineRule="auto"/>
              <w:jc w:val="center"/>
              <w:rPr>
                <w:rStyle w:val="FormatvorlageBeschriftungNichtKursivZchn"/>
                <w:rFonts w:asciiTheme="majorBidi" w:hAnsiTheme="majorBidi" w:cstheme="majorBidi"/>
                <w:i w:val="0"/>
              </w:rPr>
            </w:pPr>
            <w:r w:rsidRPr="006B772F">
              <w:rPr>
                <w:rFonts w:asciiTheme="majorBidi" w:hAnsiTheme="majorBidi" w:cstheme="majorBidi"/>
                <w:i/>
                <w:noProof/>
                <w:lang w:val="en-US" w:eastAsia="zh-CN"/>
              </w:rPr>
              <w:drawing>
                <wp:inline distT="0" distB="0" distL="0" distR="0" wp14:anchorId="292755DF" wp14:editId="65161E5B">
                  <wp:extent cx="2552480" cy="1980000"/>
                  <wp:effectExtent l="0" t="0" r="63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rsidR="00D24FA1" w:rsidRPr="006B772F" w:rsidRDefault="00D24FA1" w:rsidP="000068C2">
            <w:pPr>
              <w:keepNext/>
              <w:keepLines/>
              <w:spacing w:line="288" w:lineRule="auto"/>
              <w:jc w:val="center"/>
              <w:rPr>
                <w:rStyle w:val="FormatvorlageBeschriftungNichtKursivZchn"/>
                <w:rFonts w:asciiTheme="majorBidi" w:hAnsiTheme="majorBidi" w:cstheme="majorBidi"/>
                <w:i w:val="0"/>
              </w:rPr>
            </w:pPr>
            <w:r w:rsidRPr="006B772F">
              <w:rPr>
                <w:rFonts w:asciiTheme="majorBidi" w:hAnsiTheme="majorBidi" w:cstheme="majorBidi"/>
                <w:i/>
                <w:noProof/>
                <w:lang w:val="en-US" w:eastAsia="zh-CN"/>
              </w:rPr>
              <w:drawing>
                <wp:inline distT="0" distB="0" distL="0" distR="0" wp14:anchorId="1C977ACD" wp14:editId="7A4ED9F8">
                  <wp:extent cx="2552480" cy="1980000"/>
                  <wp:effectExtent l="0" t="0" r="63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D24FA1" w:rsidRPr="006B772F" w:rsidTr="000068C2">
        <w:tc>
          <w:tcPr>
            <w:tcW w:w="4678" w:type="dxa"/>
            <w:tcBorders>
              <w:top w:val="nil"/>
              <w:bottom w:val="single" w:sz="4" w:space="0" w:color="auto"/>
            </w:tcBorders>
          </w:tcPr>
          <w:p w:rsidR="00D24FA1" w:rsidRPr="00C63AEB" w:rsidRDefault="00D24FA1" w:rsidP="00D24FA1">
            <w:pPr>
              <w:pStyle w:val="SmdResultText"/>
              <w:tabs>
                <w:tab w:val="left" w:pos="1440"/>
                <w:tab w:val="left" w:pos="3600"/>
                <w:tab w:val="left" w:pos="5040"/>
              </w:tabs>
              <w:spacing w:before="40" w:after="40" w:line="288" w:lineRule="auto"/>
              <w:jc w:val="both"/>
              <w:rPr>
                <w:rFonts w:asciiTheme="majorBidi" w:hAnsiTheme="majorBidi" w:cstheme="majorBidi"/>
                <w:sz w:val="18"/>
                <w:szCs w:val="18"/>
                <w:lang w:val="es-ES_tradnl"/>
              </w:rPr>
            </w:pPr>
            <w:r w:rsidRPr="00C63AEB">
              <w:rPr>
                <w:rFonts w:asciiTheme="majorBidi" w:hAnsiTheme="majorBidi" w:cstheme="majorBidi"/>
                <w:sz w:val="18"/>
                <w:szCs w:val="18"/>
                <w:lang w:val="es-ES_tradnl"/>
              </w:rPr>
              <w:t>Mínima distancia –1,0 dB a 3 550 Hz</w:t>
            </w:r>
          </w:p>
          <w:p w:rsidR="00D24FA1" w:rsidRPr="00C63AEB" w:rsidRDefault="00D24FA1" w:rsidP="000068C2">
            <w:pPr>
              <w:pStyle w:val="SmdResultText"/>
              <w:tabs>
                <w:tab w:val="left" w:pos="1440"/>
                <w:tab w:val="left" w:pos="3600"/>
                <w:tab w:val="left" w:pos="5040"/>
              </w:tabs>
              <w:spacing w:before="40" w:after="40" w:line="288" w:lineRule="auto"/>
              <w:rPr>
                <w:rFonts w:asciiTheme="majorBidi" w:hAnsiTheme="majorBidi" w:cstheme="majorBidi"/>
                <w:sz w:val="18"/>
                <w:szCs w:val="18"/>
                <w:lang w:val="es-ES_tradnl"/>
              </w:rPr>
            </w:pPr>
            <w:r w:rsidRPr="00C63AEB">
              <w:rPr>
                <w:rFonts w:asciiTheme="majorBidi" w:hAnsiTheme="majorBidi" w:cstheme="majorBidi"/>
                <w:sz w:val="18"/>
                <w:szCs w:val="18"/>
                <w:lang w:val="es-ES_tradnl"/>
              </w:rPr>
              <w:t>Índice de sonoridad en conjunto (JLR SND): 2,2 dB</w:t>
            </w:r>
          </w:p>
          <w:p w:rsidR="00D24FA1" w:rsidRPr="00C63AEB" w:rsidRDefault="00D24FA1" w:rsidP="000068C2">
            <w:pPr>
              <w:keepNext/>
              <w:keepLines/>
              <w:spacing w:before="40" w:after="40" w:line="288" w:lineRule="auto"/>
              <w:rPr>
                <w:rFonts w:asciiTheme="majorBidi" w:hAnsiTheme="majorBidi" w:cstheme="majorBidi"/>
                <w:i/>
                <w:noProof/>
                <w:sz w:val="18"/>
                <w:szCs w:val="18"/>
              </w:rPr>
            </w:pPr>
            <w:r w:rsidRPr="00C63AEB">
              <w:rPr>
                <w:rFonts w:asciiTheme="majorBidi" w:hAnsiTheme="majorBidi" w:cstheme="majorBidi"/>
                <w:sz w:val="18"/>
                <w:szCs w:val="18"/>
              </w:rPr>
              <w:t>MOS-</w:t>
            </w:r>
            <w:proofErr w:type="spellStart"/>
            <w:r w:rsidRPr="00C63AEB">
              <w:rPr>
                <w:rFonts w:asciiTheme="majorBidi" w:hAnsiTheme="majorBidi" w:cstheme="majorBidi"/>
                <w:sz w:val="18"/>
                <w:szCs w:val="18"/>
              </w:rPr>
              <w:t>LQO</w:t>
            </w:r>
            <w:r w:rsidRPr="00C63AEB">
              <w:rPr>
                <w:rFonts w:asciiTheme="majorBidi" w:hAnsiTheme="majorBidi" w:cstheme="majorBidi"/>
                <w:sz w:val="18"/>
                <w:szCs w:val="18"/>
                <w:vertAlign w:val="subscript"/>
              </w:rPr>
              <w:t>w</w:t>
            </w:r>
            <w:proofErr w:type="spellEnd"/>
            <w:r w:rsidRPr="00C63AEB">
              <w:rPr>
                <w:rFonts w:asciiTheme="majorBidi" w:hAnsiTheme="majorBidi" w:cstheme="majorBidi"/>
                <w:sz w:val="18"/>
                <w:szCs w:val="18"/>
              </w:rPr>
              <w:t xml:space="preserve"> SND: 4,1</w:t>
            </w:r>
          </w:p>
        </w:tc>
        <w:tc>
          <w:tcPr>
            <w:tcW w:w="4678" w:type="dxa"/>
            <w:tcBorders>
              <w:top w:val="nil"/>
              <w:bottom w:val="single" w:sz="4" w:space="0" w:color="auto"/>
            </w:tcBorders>
          </w:tcPr>
          <w:p w:rsidR="00D24FA1" w:rsidRPr="00C63AEB" w:rsidRDefault="00D24FA1" w:rsidP="00D24FA1">
            <w:pPr>
              <w:pStyle w:val="SmdResultText"/>
              <w:tabs>
                <w:tab w:val="left" w:pos="1440"/>
                <w:tab w:val="left" w:pos="3600"/>
                <w:tab w:val="left" w:pos="5040"/>
              </w:tabs>
              <w:spacing w:before="40" w:after="40" w:line="288" w:lineRule="auto"/>
              <w:jc w:val="both"/>
              <w:rPr>
                <w:rFonts w:asciiTheme="majorBidi" w:hAnsiTheme="majorBidi" w:cstheme="majorBidi"/>
                <w:sz w:val="18"/>
                <w:szCs w:val="18"/>
                <w:lang w:val="es-ES_tradnl"/>
              </w:rPr>
            </w:pPr>
            <w:r w:rsidRPr="00C63AEB">
              <w:rPr>
                <w:rFonts w:asciiTheme="majorBidi" w:hAnsiTheme="majorBidi" w:cstheme="majorBidi"/>
                <w:sz w:val="18"/>
                <w:szCs w:val="18"/>
                <w:lang w:val="es-ES_tradnl"/>
              </w:rPr>
              <w:t>Mínima distancia –0,6 dB a 3 550 Hz</w:t>
            </w:r>
          </w:p>
          <w:p w:rsidR="00D24FA1" w:rsidRPr="00C63AEB" w:rsidRDefault="00D24FA1" w:rsidP="000068C2">
            <w:pPr>
              <w:pStyle w:val="SmdResultText"/>
              <w:tabs>
                <w:tab w:val="left" w:pos="1440"/>
                <w:tab w:val="left" w:pos="3600"/>
                <w:tab w:val="left" w:pos="5040"/>
              </w:tabs>
              <w:spacing w:before="40" w:after="40" w:line="288" w:lineRule="auto"/>
              <w:jc w:val="both"/>
              <w:rPr>
                <w:rFonts w:asciiTheme="majorBidi" w:hAnsiTheme="majorBidi" w:cstheme="majorBidi"/>
                <w:sz w:val="18"/>
                <w:szCs w:val="18"/>
                <w:lang w:val="es-ES_tradnl"/>
              </w:rPr>
            </w:pPr>
            <w:r w:rsidRPr="00C63AEB">
              <w:rPr>
                <w:rFonts w:asciiTheme="majorBidi" w:hAnsiTheme="majorBidi" w:cstheme="majorBidi"/>
                <w:sz w:val="18"/>
                <w:szCs w:val="18"/>
                <w:lang w:val="es-ES_tradnl"/>
              </w:rPr>
              <w:t>Índice de sonoridad en conjunto (JLR RCV): 8,7 dB</w:t>
            </w:r>
          </w:p>
          <w:p w:rsidR="00D24FA1" w:rsidRPr="00C63AEB" w:rsidRDefault="00D24FA1" w:rsidP="000068C2">
            <w:pPr>
              <w:keepNext/>
              <w:keepLines/>
              <w:spacing w:before="40" w:after="40" w:line="288" w:lineRule="auto"/>
              <w:rPr>
                <w:rFonts w:asciiTheme="majorBidi" w:hAnsiTheme="majorBidi" w:cstheme="majorBidi"/>
                <w:i/>
                <w:noProof/>
                <w:sz w:val="18"/>
                <w:szCs w:val="18"/>
              </w:rPr>
            </w:pPr>
            <w:r w:rsidRPr="00C63AEB">
              <w:rPr>
                <w:rFonts w:asciiTheme="majorBidi" w:hAnsiTheme="majorBidi" w:cstheme="majorBidi"/>
                <w:sz w:val="18"/>
                <w:szCs w:val="18"/>
              </w:rPr>
              <w:t>MOS-</w:t>
            </w:r>
            <w:proofErr w:type="spellStart"/>
            <w:r w:rsidRPr="00C63AEB">
              <w:rPr>
                <w:rFonts w:asciiTheme="majorBidi" w:hAnsiTheme="majorBidi" w:cstheme="majorBidi"/>
                <w:sz w:val="18"/>
                <w:szCs w:val="18"/>
              </w:rPr>
              <w:t>LQO</w:t>
            </w:r>
            <w:r w:rsidRPr="00C63AEB">
              <w:rPr>
                <w:rFonts w:asciiTheme="majorBidi" w:hAnsiTheme="majorBidi" w:cstheme="majorBidi"/>
                <w:sz w:val="18"/>
                <w:szCs w:val="18"/>
                <w:vertAlign w:val="subscript"/>
              </w:rPr>
              <w:t>w</w:t>
            </w:r>
            <w:proofErr w:type="spellEnd"/>
            <w:r w:rsidRPr="00C63AEB">
              <w:rPr>
                <w:rFonts w:asciiTheme="majorBidi" w:hAnsiTheme="majorBidi" w:cstheme="majorBidi"/>
                <w:sz w:val="18"/>
                <w:szCs w:val="18"/>
              </w:rPr>
              <w:t xml:space="preserve"> RCV: 4,1</w:t>
            </w:r>
          </w:p>
        </w:tc>
      </w:tr>
      <w:tr w:rsidR="00D24FA1" w:rsidRPr="006B772F" w:rsidTr="000068C2">
        <w:tc>
          <w:tcPr>
            <w:tcW w:w="4678" w:type="dxa"/>
            <w:tcBorders>
              <w:bottom w:val="nil"/>
            </w:tcBorders>
          </w:tcPr>
          <w:p w:rsidR="00D24FA1" w:rsidRPr="00D24FA1" w:rsidRDefault="00D24FA1" w:rsidP="000068C2">
            <w:pPr>
              <w:keepNext/>
              <w:keepLines/>
              <w:spacing w:after="60"/>
              <w:rPr>
                <w:rFonts w:asciiTheme="majorBidi" w:hAnsiTheme="majorBidi" w:cstheme="majorBidi"/>
                <w:b/>
                <w:noProof/>
                <w:sz w:val="20"/>
              </w:rPr>
            </w:pPr>
            <w:r w:rsidRPr="00D24FA1">
              <w:rPr>
                <w:rFonts w:asciiTheme="majorBidi" w:hAnsiTheme="majorBidi" w:cstheme="majorBidi"/>
                <w:b/>
                <w:noProof/>
                <w:sz w:val="20"/>
              </w:rPr>
              <w:t xml:space="preserve">Detección del CAG en el sentido de emisión </w:t>
            </w:r>
          </w:p>
        </w:tc>
        <w:tc>
          <w:tcPr>
            <w:tcW w:w="4678" w:type="dxa"/>
            <w:tcBorders>
              <w:bottom w:val="nil"/>
            </w:tcBorders>
          </w:tcPr>
          <w:p w:rsidR="00D24FA1" w:rsidRPr="00D24FA1" w:rsidRDefault="00D24FA1" w:rsidP="000068C2">
            <w:pPr>
              <w:keepNext/>
              <w:keepLines/>
              <w:spacing w:after="60"/>
              <w:rPr>
                <w:rFonts w:asciiTheme="majorBidi" w:hAnsiTheme="majorBidi" w:cstheme="majorBidi"/>
                <w:i/>
                <w:noProof/>
                <w:sz w:val="20"/>
              </w:rPr>
            </w:pPr>
            <w:r w:rsidRPr="00D24FA1">
              <w:rPr>
                <w:rFonts w:asciiTheme="majorBidi" w:hAnsiTheme="majorBidi" w:cstheme="majorBidi"/>
                <w:b/>
                <w:noProof/>
                <w:sz w:val="20"/>
              </w:rPr>
              <w:t>Detección del CAG en el sentido de recepción</w:t>
            </w:r>
          </w:p>
        </w:tc>
      </w:tr>
      <w:tr w:rsidR="00D24FA1" w:rsidRPr="006B772F" w:rsidTr="000068C2">
        <w:tc>
          <w:tcPr>
            <w:tcW w:w="4678" w:type="dxa"/>
            <w:tcBorders>
              <w:top w:val="nil"/>
              <w:bottom w:val="single" w:sz="4" w:space="0" w:color="auto"/>
            </w:tcBorders>
          </w:tcPr>
          <w:p w:rsidR="00D24FA1" w:rsidRPr="006B772F" w:rsidRDefault="00D24FA1" w:rsidP="000068C2">
            <w:pPr>
              <w:keepNext/>
              <w:keepLines/>
              <w:spacing w:line="288" w:lineRule="auto"/>
              <w:jc w:val="center"/>
              <w:rPr>
                <w:rFonts w:asciiTheme="majorBidi" w:hAnsiTheme="majorBidi" w:cstheme="majorBidi"/>
                <w:i/>
                <w:noProof/>
              </w:rPr>
            </w:pPr>
            <w:r w:rsidRPr="006B772F">
              <w:rPr>
                <w:rFonts w:asciiTheme="majorBidi" w:hAnsiTheme="majorBidi" w:cstheme="majorBidi"/>
                <w:i/>
                <w:noProof/>
                <w:lang w:val="en-US" w:eastAsia="zh-CN"/>
              </w:rPr>
              <w:drawing>
                <wp:inline distT="0" distB="0" distL="0" distR="0" wp14:anchorId="3E0CF495" wp14:editId="120FCAC7">
                  <wp:extent cx="2552480" cy="1980000"/>
                  <wp:effectExtent l="0" t="0" r="63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single" w:sz="4" w:space="0" w:color="auto"/>
            </w:tcBorders>
          </w:tcPr>
          <w:p w:rsidR="00D24FA1" w:rsidRPr="006B772F" w:rsidRDefault="00D24FA1" w:rsidP="000068C2">
            <w:pPr>
              <w:keepNext/>
              <w:keepLines/>
              <w:spacing w:line="288" w:lineRule="auto"/>
              <w:jc w:val="center"/>
              <w:rPr>
                <w:rFonts w:asciiTheme="majorBidi" w:hAnsiTheme="majorBidi" w:cstheme="majorBidi"/>
                <w:i/>
                <w:noProof/>
              </w:rPr>
            </w:pPr>
            <w:r w:rsidRPr="006B772F">
              <w:rPr>
                <w:rFonts w:asciiTheme="majorBidi" w:hAnsiTheme="majorBidi" w:cstheme="majorBidi"/>
                <w:i/>
                <w:noProof/>
                <w:lang w:val="en-US" w:eastAsia="zh-CN"/>
              </w:rPr>
              <w:drawing>
                <wp:inline distT="0" distB="0" distL="0" distR="0" wp14:anchorId="02E2F52F" wp14:editId="57E4CB16">
                  <wp:extent cx="2552480" cy="1980000"/>
                  <wp:effectExtent l="0" t="0" r="63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D24FA1" w:rsidRPr="006B772F" w:rsidTr="000068C2">
        <w:tc>
          <w:tcPr>
            <w:tcW w:w="4678" w:type="dxa"/>
            <w:tcBorders>
              <w:bottom w:val="nil"/>
            </w:tcBorders>
          </w:tcPr>
          <w:p w:rsidR="00D24FA1" w:rsidRPr="00D24FA1" w:rsidRDefault="00D24FA1" w:rsidP="00D24FA1">
            <w:pPr>
              <w:pStyle w:val="headingb"/>
              <w:rPr>
                <w:rStyle w:val="FormatvorlageBeschriftungNichtKursivZchn"/>
                <w:rFonts w:asciiTheme="majorBidi" w:hAnsiTheme="majorBidi" w:cstheme="majorBidi"/>
                <w:b w:val="0"/>
                <w:i w:val="0"/>
                <w:sz w:val="20"/>
              </w:rPr>
            </w:pPr>
            <w:r w:rsidRPr="00D24FA1">
              <w:rPr>
                <w:rStyle w:val="FormatvorlageBeschriftungNichtKursivZchn"/>
                <w:rFonts w:asciiTheme="majorBidi" w:hAnsiTheme="majorBidi" w:cstheme="majorBidi"/>
                <w:sz w:val="20"/>
              </w:rPr>
              <w:t>Prueba de Reducción de ruido</w:t>
            </w:r>
            <w:r w:rsidRPr="00D24FA1">
              <w:rPr>
                <w:rStyle w:val="FormatvorlageBeschriftungNichtKursivZchn"/>
                <w:rFonts w:asciiTheme="majorBidi" w:hAnsiTheme="majorBidi" w:cstheme="majorBidi"/>
                <w:sz w:val="20"/>
              </w:rPr>
              <w:br/>
              <w:t>(Ruido estacionario)</w:t>
            </w:r>
          </w:p>
        </w:tc>
        <w:tc>
          <w:tcPr>
            <w:tcW w:w="4678" w:type="dxa"/>
            <w:tcBorders>
              <w:bottom w:val="nil"/>
            </w:tcBorders>
          </w:tcPr>
          <w:p w:rsidR="00D24FA1" w:rsidRPr="00D24FA1" w:rsidRDefault="00D24FA1" w:rsidP="00D24FA1">
            <w:pPr>
              <w:pStyle w:val="Headingb0"/>
              <w:rPr>
                <w:rStyle w:val="FormatvorlageBeschriftungNichtKursivZchn"/>
                <w:rFonts w:asciiTheme="majorBidi" w:hAnsiTheme="majorBidi" w:cstheme="majorBidi"/>
                <w:b w:val="0"/>
                <w:i w:val="0"/>
                <w:sz w:val="20"/>
              </w:rPr>
            </w:pPr>
            <w:r w:rsidRPr="00D24FA1">
              <w:rPr>
                <w:rStyle w:val="FormatvorlageBeschriftungNichtKursivZchn"/>
                <w:rFonts w:asciiTheme="majorBidi" w:hAnsiTheme="majorBidi" w:cstheme="majorBidi"/>
                <w:sz w:val="20"/>
              </w:rPr>
              <w:t>Prueba del supresor de Eco</w:t>
            </w:r>
            <w:r w:rsidRPr="00D24FA1">
              <w:rPr>
                <w:rStyle w:val="FormatvorlageBeschriftungNichtKursivZchn"/>
                <w:rFonts w:asciiTheme="majorBidi" w:hAnsiTheme="majorBidi" w:cstheme="majorBidi"/>
                <w:b w:val="0"/>
                <w:sz w:val="20"/>
              </w:rPr>
              <w:br/>
            </w:r>
            <w:r w:rsidRPr="00D24FA1">
              <w:rPr>
                <w:rStyle w:val="FormatvorlageBeschriftungNichtKursivZchn"/>
                <w:rFonts w:asciiTheme="majorBidi" w:hAnsiTheme="majorBidi" w:cstheme="majorBidi"/>
                <w:sz w:val="20"/>
              </w:rPr>
              <w:t>(Trayecto del eco simulado de 20 dB)</w:t>
            </w:r>
          </w:p>
        </w:tc>
      </w:tr>
      <w:tr w:rsidR="00D24FA1" w:rsidRPr="006B772F" w:rsidTr="000068C2">
        <w:tc>
          <w:tcPr>
            <w:tcW w:w="4678" w:type="dxa"/>
            <w:tcBorders>
              <w:top w:val="nil"/>
              <w:bottom w:val="nil"/>
            </w:tcBorders>
          </w:tcPr>
          <w:p w:rsidR="00D24FA1" w:rsidRPr="006B772F" w:rsidRDefault="00D24FA1" w:rsidP="000068C2">
            <w:pPr>
              <w:keepNext/>
              <w:keepLines/>
              <w:spacing w:line="288" w:lineRule="auto"/>
              <w:jc w:val="center"/>
              <w:rPr>
                <w:rFonts w:asciiTheme="majorBidi" w:hAnsiTheme="majorBidi" w:cstheme="majorBidi"/>
                <w:i/>
                <w:noProof/>
              </w:rPr>
            </w:pPr>
            <w:r w:rsidRPr="006B772F">
              <w:rPr>
                <w:rFonts w:asciiTheme="majorBidi" w:hAnsiTheme="majorBidi" w:cstheme="majorBidi"/>
                <w:i/>
                <w:noProof/>
                <w:lang w:val="en-US" w:eastAsia="zh-CN"/>
              </w:rPr>
              <w:drawing>
                <wp:inline distT="0" distB="0" distL="0" distR="0" wp14:anchorId="1E8CDB3E" wp14:editId="1CC39D1C">
                  <wp:extent cx="2552480" cy="1980000"/>
                  <wp:effectExtent l="0" t="0" r="63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rsidR="00D24FA1" w:rsidRPr="006B772F" w:rsidRDefault="00D24FA1" w:rsidP="000068C2">
            <w:pPr>
              <w:keepNext/>
              <w:keepLines/>
              <w:spacing w:line="288" w:lineRule="auto"/>
              <w:jc w:val="center"/>
              <w:rPr>
                <w:rFonts w:asciiTheme="majorBidi" w:hAnsiTheme="majorBidi" w:cstheme="majorBidi"/>
                <w:i/>
                <w:noProof/>
              </w:rPr>
            </w:pPr>
            <w:r w:rsidRPr="006B772F">
              <w:rPr>
                <w:rFonts w:asciiTheme="majorBidi" w:hAnsiTheme="majorBidi" w:cstheme="majorBidi"/>
                <w:i/>
                <w:noProof/>
                <w:lang w:val="en-US" w:eastAsia="zh-CN"/>
              </w:rPr>
              <w:drawing>
                <wp:inline distT="0" distB="0" distL="0" distR="0" wp14:anchorId="7FE2ADBE" wp14:editId="36303CCC">
                  <wp:extent cx="2552480" cy="1980000"/>
                  <wp:effectExtent l="0" t="0" r="635" b="127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D24FA1" w:rsidRPr="006B772F" w:rsidTr="000068C2">
        <w:tc>
          <w:tcPr>
            <w:tcW w:w="4678" w:type="dxa"/>
            <w:tcBorders>
              <w:top w:val="nil"/>
            </w:tcBorders>
          </w:tcPr>
          <w:p w:rsidR="00D24FA1" w:rsidRPr="00C63AEB" w:rsidRDefault="00D24FA1" w:rsidP="000068C2">
            <w:pPr>
              <w:keepNext/>
              <w:keepLines/>
              <w:spacing w:before="60" w:after="60"/>
              <w:rPr>
                <w:rFonts w:asciiTheme="majorBidi" w:hAnsiTheme="majorBidi" w:cstheme="majorBidi"/>
                <w:noProof/>
                <w:sz w:val="18"/>
                <w:szCs w:val="18"/>
              </w:rPr>
            </w:pPr>
            <w:r w:rsidRPr="00C63AEB">
              <w:rPr>
                <w:rFonts w:asciiTheme="majorBidi" w:hAnsiTheme="majorBidi" w:cstheme="majorBidi"/>
                <w:noProof/>
                <w:sz w:val="18"/>
                <w:szCs w:val="18"/>
              </w:rPr>
              <w:t>Reducción de ruido activa</w:t>
            </w:r>
          </w:p>
        </w:tc>
        <w:tc>
          <w:tcPr>
            <w:tcW w:w="4678" w:type="dxa"/>
            <w:tcBorders>
              <w:top w:val="nil"/>
            </w:tcBorders>
          </w:tcPr>
          <w:p w:rsidR="00D24FA1" w:rsidRPr="00C63AEB" w:rsidRDefault="00D24FA1" w:rsidP="000068C2">
            <w:pPr>
              <w:keepNext/>
              <w:keepLines/>
              <w:spacing w:before="60" w:after="60"/>
              <w:rPr>
                <w:rFonts w:asciiTheme="majorBidi" w:hAnsiTheme="majorBidi" w:cstheme="majorBidi"/>
                <w:noProof/>
                <w:sz w:val="18"/>
                <w:szCs w:val="18"/>
              </w:rPr>
            </w:pPr>
            <w:r w:rsidRPr="00C63AEB">
              <w:rPr>
                <w:rFonts w:asciiTheme="majorBidi" w:hAnsiTheme="majorBidi" w:cstheme="majorBidi"/>
                <w:noProof/>
                <w:sz w:val="18"/>
                <w:szCs w:val="18"/>
              </w:rPr>
              <w:t>Supresor de eco desactivado (19,9 dB)</w:t>
            </w:r>
          </w:p>
        </w:tc>
      </w:tr>
    </w:tbl>
    <w:p w:rsidR="00D24FA1" w:rsidRDefault="00D24FA1" w:rsidP="00D24FA1">
      <w:pPr>
        <w:jc w:val="center"/>
      </w:pPr>
    </w:p>
    <w:p w:rsidR="00D24FA1" w:rsidRDefault="00D24FA1" w:rsidP="00D24FA1">
      <w:pPr>
        <w:jc w:val="center"/>
      </w:pPr>
      <w:r w:rsidRPr="006B772F">
        <w:t>______________</w:t>
      </w:r>
    </w:p>
    <w:p w:rsidR="00D24FA1" w:rsidRPr="006B772F" w:rsidRDefault="00D24FA1" w:rsidP="00D24FA1">
      <w:pPr>
        <w:jc w:val="center"/>
      </w:pPr>
    </w:p>
    <w:sectPr w:rsidR="00D24FA1" w:rsidRPr="006B772F" w:rsidSect="00B87E9E">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CE" w:rsidRDefault="00A65DCE">
      <w:r>
        <w:separator/>
      </w:r>
    </w:p>
  </w:endnote>
  <w:endnote w:type="continuationSeparator" w:id="0">
    <w:p w:rsidR="00A65DCE" w:rsidRDefault="00A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99" w:rsidRPr="00F72B99" w:rsidRDefault="00F72B99" w:rsidP="008948BB">
    <w:pPr>
      <w:pStyle w:val="Footer"/>
      <w:rPr>
        <w:sz w:val="16"/>
        <w:szCs w:val="16"/>
        <w:lang w:val="fr-CH"/>
      </w:rPr>
    </w:pPr>
    <w:r w:rsidRPr="00F72B99">
      <w:rPr>
        <w:sz w:val="16"/>
        <w:szCs w:val="16"/>
      </w:rPr>
      <w:fldChar w:fldCharType="begin"/>
    </w:r>
    <w:r w:rsidRPr="00F72B99">
      <w:rPr>
        <w:sz w:val="16"/>
        <w:szCs w:val="16"/>
        <w:lang w:val="fr-CH"/>
      </w:rPr>
      <w:instrText xml:space="preserve"> FILENAME \p  \* MERGEFORMAT </w:instrText>
    </w:r>
    <w:r w:rsidRPr="00F72B99">
      <w:rPr>
        <w:sz w:val="16"/>
        <w:szCs w:val="16"/>
      </w:rPr>
      <w:fldChar w:fldCharType="separate"/>
    </w:r>
    <w:r w:rsidR="00BB4CA7">
      <w:rPr>
        <w:noProof/>
        <w:sz w:val="16"/>
        <w:szCs w:val="16"/>
        <w:lang w:val="fr-CH"/>
      </w:rPr>
      <w:t>ITU-T</w:t>
    </w:r>
    <w:r w:rsidR="008948BB">
      <w:rPr>
        <w:noProof/>
        <w:sz w:val="16"/>
        <w:szCs w:val="16"/>
        <w:lang w:val="fr-CH"/>
      </w:rPr>
      <w:t>/</w:t>
    </w:r>
    <w:r w:rsidR="00BB4CA7">
      <w:rPr>
        <w:noProof/>
        <w:sz w:val="16"/>
        <w:szCs w:val="16"/>
        <w:lang w:val="fr-CH"/>
      </w:rPr>
      <w:t>BUREAU</w:t>
    </w:r>
    <w:r w:rsidR="008948BB">
      <w:rPr>
        <w:noProof/>
        <w:sz w:val="16"/>
        <w:szCs w:val="16"/>
        <w:lang w:val="fr-CH"/>
      </w:rPr>
      <w:t>/</w:t>
    </w:r>
    <w:r w:rsidR="00BB4CA7">
      <w:rPr>
        <w:noProof/>
        <w:sz w:val="16"/>
        <w:szCs w:val="16"/>
        <w:lang w:val="fr-CH"/>
      </w:rPr>
      <w:t>CIRC</w:t>
    </w:r>
    <w:r w:rsidR="008948BB">
      <w:rPr>
        <w:noProof/>
        <w:sz w:val="16"/>
        <w:szCs w:val="16"/>
        <w:lang w:val="fr-CH"/>
      </w:rPr>
      <w:t>/</w:t>
    </w:r>
    <w:r w:rsidR="00BB4CA7">
      <w:rPr>
        <w:noProof/>
        <w:sz w:val="16"/>
        <w:szCs w:val="16"/>
        <w:lang w:val="fr-CH"/>
      </w:rPr>
      <w:t>082S</w:t>
    </w:r>
    <w:r w:rsidRPr="00F72B99">
      <w:rPr>
        <w:noProof/>
        <w:sz w:val="16"/>
        <w:szCs w:val="16"/>
      </w:rPr>
      <w:fldChar w:fldCharType="end"/>
    </w:r>
    <w:r w:rsidRPr="00F72B99">
      <w:rPr>
        <w:sz w:val="16"/>
        <w:szCs w:val="16"/>
        <w:lang w:val="fr-CH"/>
      </w:rPr>
      <w:tab/>
    </w:r>
    <w:r w:rsidRPr="00F72B99">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rsidP="00F72B99">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8948BB" w:rsidRPr="00636A43">
              <w:rPr>
                <w:rStyle w:val="Hyperlink"/>
                <w:rFonts w:ascii="Futura Lt BT" w:hAnsi="Futura Lt BT"/>
              </w:rPr>
              <w:t>itumail</w:t>
            </w:r>
            <w:r w:rsidR="008948BB" w:rsidRPr="00636A43">
              <w:rPr>
                <w:rStyle w:val="Hyperlink"/>
                <w:rFonts w:ascii="Futura Lt BT" w:hAnsi="Futura Lt BT"/>
              </w:rPr>
              <w:t>@</w:t>
            </w:r>
            <w:r w:rsidR="008948BB" w:rsidRPr="00636A43">
              <w:rPr>
                <w:rStyle w:val="Hyperlink"/>
                <w:rFonts w:ascii="Futura Lt BT" w:hAnsi="Futura Lt BT"/>
              </w:rPr>
              <w:t>itu.int</w:t>
            </w:r>
          </w:hyperlink>
          <w:r w:rsidR="008948BB">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8948BB" w:rsidP="008505BD">
          <w:pPr>
            <w:pStyle w:val="FirstFooter"/>
            <w:tabs>
              <w:tab w:val="right" w:pos="1956"/>
            </w:tabs>
            <w:ind w:right="70"/>
            <w:rPr>
              <w:rFonts w:ascii="Futura Lt BT" w:hAnsi="Futura Lt BT"/>
            </w:rPr>
          </w:pPr>
          <w:r>
            <w:rPr>
              <w:rFonts w:ascii="Futura Lt BT" w:hAnsi="Futura Lt BT"/>
            </w:rPr>
            <w:t xml:space="preserve">                  </w:t>
          </w:r>
          <w:hyperlink r:id="rId2" w:history="1">
            <w:r w:rsidRPr="00636A43">
              <w:rPr>
                <w:rStyle w:val="Hyperlink"/>
                <w:rFonts w:ascii="Futura Lt BT" w:hAnsi="Futura Lt BT"/>
              </w:rPr>
              <w:t>www.it</w:t>
            </w:r>
            <w:r w:rsidRPr="00636A43">
              <w:rPr>
                <w:rStyle w:val="Hyperlink"/>
                <w:rFonts w:ascii="Futura Lt BT" w:hAnsi="Futura Lt BT"/>
              </w:rPr>
              <w:t>u</w:t>
            </w:r>
            <w:r w:rsidRPr="00636A43">
              <w:rPr>
                <w:rStyle w:val="Hyperlink"/>
                <w:rFonts w:ascii="Futura Lt BT" w:hAnsi="Futura Lt BT"/>
              </w:rPr>
              <w:t>.int</w:t>
            </w:r>
          </w:hyperlink>
          <w:r>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CE" w:rsidRDefault="00A65DCE">
      <w:r>
        <w:t>____________________</w:t>
      </w:r>
    </w:p>
  </w:footnote>
  <w:footnote w:type="continuationSeparator" w:id="0">
    <w:p w:rsidR="00A65DCE" w:rsidRDefault="00A6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948BB">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537A20"/>
    <w:multiLevelType w:val="hybridMultilevel"/>
    <w:tmpl w:val="3C0A9844"/>
    <w:lvl w:ilvl="0" w:tplc="CBEC94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8E7FEB"/>
    <w:multiLevelType w:val="hybridMultilevel"/>
    <w:tmpl w:val="874276E0"/>
    <w:lvl w:ilvl="0" w:tplc="0FC8CBAE">
      <w:start w:val="1"/>
      <w:numFmt w:val="decimal"/>
      <w:lvlText w:val="%1"/>
      <w:lvlJc w:val="left"/>
      <w:pPr>
        <w:ind w:left="900" w:hanging="6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CE"/>
    <w:rsid w:val="00002529"/>
    <w:rsid w:val="00073DE5"/>
    <w:rsid w:val="000A72AB"/>
    <w:rsid w:val="000C382F"/>
    <w:rsid w:val="001173CC"/>
    <w:rsid w:val="001557A2"/>
    <w:rsid w:val="001A2A06"/>
    <w:rsid w:val="001A54CC"/>
    <w:rsid w:val="002405BB"/>
    <w:rsid w:val="00257FB4"/>
    <w:rsid w:val="002630DF"/>
    <w:rsid w:val="00303D62"/>
    <w:rsid w:val="00335367"/>
    <w:rsid w:val="00363B49"/>
    <w:rsid w:val="00370C2D"/>
    <w:rsid w:val="00382677"/>
    <w:rsid w:val="003A7933"/>
    <w:rsid w:val="003D1E8D"/>
    <w:rsid w:val="003D673B"/>
    <w:rsid w:val="003F2855"/>
    <w:rsid w:val="00401C20"/>
    <w:rsid w:val="00404178"/>
    <w:rsid w:val="00453973"/>
    <w:rsid w:val="004C4144"/>
    <w:rsid w:val="00501872"/>
    <w:rsid w:val="006969B4"/>
    <w:rsid w:val="00757B8E"/>
    <w:rsid w:val="00780487"/>
    <w:rsid w:val="00781E2A"/>
    <w:rsid w:val="0079145D"/>
    <w:rsid w:val="007933A2"/>
    <w:rsid w:val="00814503"/>
    <w:rsid w:val="00817099"/>
    <w:rsid w:val="008258C2"/>
    <w:rsid w:val="008505BD"/>
    <w:rsid w:val="00850C78"/>
    <w:rsid w:val="008948BB"/>
    <w:rsid w:val="008C17AD"/>
    <w:rsid w:val="008D02CD"/>
    <w:rsid w:val="0095172A"/>
    <w:rsid w:val="009A0BA0"/>
    <w:rsid w:val="009D2D4C"/>
    <w:rsid w:val="00A54E47"/>
    <w:rsid w:val="00A65DCE"/>
    <w:rsid w:val="00AA4568"/>
    <w:rsid w:val="00AE7093"/>
    <w:rsid w:val="00AF6526"/>
    <w:rsid w:val="00B422BC"/>
    <w:rsid w:val="00B43F77"/>
    <w:rsid w:val="00B55A3E"/>
    <w:rsid w:val="00B81C2F"/>
    <w:rsid w:val="00B87E9E"/>
    <w:rsid w:val="00B95F0A"/>
    <w:rsid w:val="00B96180"/>
    <w:rsid w:val="00B96DE3"/>
    <w:rsid w:val="00BB4CA7"/>
    <w:rsid w:val="00BC0DC5"/>
    <w:rsid w:val="00C17AC0"/>
    <w:rsid w:val="00C25A6C"/>
    <w:rsid w:val="00C304E4"/>
    <w:rsid w:val="00C34772"/>
    <w:rsid w:val="00C5465A"/>
    <w:rsid w:val="00C63AEB"/>
    <w:rsid w:val="00D24FA1"/>
    <w:rsid w:val="00D54642"/>
    <w:rsid w:val="00DD77C9"/>
    <w:rsid w:val="00DF3538"/>
    <w:rsid w:val="00E839B0"/>
    <w:rsid w:val="00E92C09"/>
    <w:rsid w:val="00F14380"/>
    <w:rsid w:val="00F6461F"/>
    <w:rsid w:val="00F72B99"/>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uiPriority w:val="59"/>
    <w:rsid w:val="00D24FA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D24FA1"/>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D24FA1"/>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D24FA1"/>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D24FA1"/>
    <w:pPr>
      <w:spacing w:before="0" w:after="200"/>
    </w:pPr>
    <w:rPr>
      <w:b/>
      <w:bCs/>
      <w:color w:val="4F81BD" w:themeColor="accent1"/>
      <w:sz w:val="18"/>
      <w:szCs w:val="18"/>
    </w:rPr>
  </w:style>
  <w:style w:type="paragraph" w:styleId="BalloonText">
    <w:name w:val="Balloon Text"/>
    <w:basedOn w:val="Normal"/>
    <w:link w:val="BalloonTextChar"/>
    <w:rsid w:val="008948BB"/>
    <w:pPr>
      <w:spacing w:before="0"/>
    </w:pPr>
    <w:rPr>
      <w:rFonts w:ascii="Tahoma" w:hAnsi="Tahoma" w:cs="Tahoma"/>
      <w:sz w:val="16"/>
      <w:szCs w:val="16"/>
    </w:rPr>
  </w:style>
  <w:style w:type="character" w:customStyle="1" w:styleId="BalloonTextChar">
    <w:name w:val="Balloon Text Char"/>
    <w:basedOn w:val="DefaultParagraphFont"/>
    <w:link w:val="BalloonText"/>
    <w:rsid w:val="008948B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uiPriority w:val="59"/>
    <w:rsid w:val="00D24FA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D24FA1"/>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D24FA1"/>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D24FA1"/>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D24FA1"/>
    <w:pPr>
      <w:spacing w:before="0" w:after="200"/>
    </w:pPr>
    <w:rPr>
      <w:b/>
      <w:bCs/>
      <w:color w:val="4F81BD" w:themeColor="accent1"/>
      <w:sz w:val="18"/>
      <w:szCs w:val="18"/>
    </w:rPr>
  </w:style>
  <w:style w:type="paragraph" w:styleId="BalloonText">
    <w:name w:val="Balloon Text"/>
    <w:basedOn w:val="Normal"/>
    <w:link w:val="BalloonTextChar"/>
    <w:rsid w:val="008948BB"/>
    <w:pPr>
      <w:spacing w:before="0"/>
    </w:pPr>
    <w:rPr>
      <w:rFonts w:ascii="Tahoma" w:hAnsi="Tahoma" w:cs="Tahoma"/>
      <w:sz w:val="16"/>
      <w:szCs w:val="16"/>
    </w:rPr>
  </w:style>
  <w:style w:type="character" w:customStyle="1" w:styleId="BalloonTextChar">
    <w:name w:val="Balloon Text Char"/>
    <w:basedOn w:val="DefaultParagraphFont"/>
    <w:link w:val="BalloonText"/>
    <w:rsid w:val="008948B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formity@itu.int"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itu.int/go/test-event"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about/groups/Pages/sg12.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conformity@itu.int"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A402-AA01-40EE-8B15-09AFC520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6</Pages>
  <Words>2062</Words>
  <Characters>11127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13163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Aveline, Marion</cp:lastModifiedBy>
  <cp:revision>2</cp:revision>
  <cp:lastPrinted>2014-02-20T10:27:00Z</cp:lastPrinted>
  <dcterms:created xsi:type="dcterms:W3CDTF">2014-02-26T10:51:00Z</dcterms:created>
  <dcterms:modified xsi:type="dcterms:W3CDTF">2014-02-26T10:51:00Z</dcterms:modified>
</cp:coreProperties>
</file>