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231600" w:rsidP="00AE03C4">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AE03C4" w:rsidRDefault="00AE03C4">
      <w:pPr>
        <w:pStyle w:val="Index1"/>
        <w:tabs>
          <w:tab w:val="clear" w:pos="794"/>
          <w:tab w:val="clear" w:pos="1191"/>
          <w:tab w:val="clear" w:pos="1588"/>
          <w:tab w:val="clear" w:pos="1985"/>
          <w:tab w:val="left" w:pos="5387"/>
        </w:tabs>
      </w:pPr>
    </w:p>
    <w:p w:rsidR="00957FE8" w:rsidRDefault="00957FE8" w:rsidP="005E301A">
      <w:pPr>
        <w:pStyle w:val="Index1"/>
        <w:tabs>
          <w:tab w:val="clear" w:pos="794"/>
          <w:tab w:val="clear" w:pos="1191"/>
          <w:tab w:val="clear" w:pos="1588"/>
          <w:tab w:val="clear" w:pos="1985"/>
          <w:tab w:val="left" w:pos="5387"/>
        </w:tabs>
      </w:pPr>
      <w:r>
        <w:tab/>
        <w:t xml:space="preserve">Geneva, </w:t>
      </w:r>
      <w:r w:rsidR="005E301A">
        <w:t>15</w:t>
      </w:r>
      <w:r w:rsidR="00C436A4">
        <w:t xml:space="preserve"> October</w:t>
      </w:r>
      <w:r w:rsidR="00D56663">
        <w:t xml:space="preserve"> 2013</w:t>
      </w:r>
    </w:p>
    <w:p w:rsidR="00957FE8" w:rsidRDefault="00957FE8"/>
    <w:tbl>
      <w:tblPr>
        <w:tblW w:w="9865" w:type="dxa"/>
        <w:tblInd w:w="8" w:type="dxa"/>
        <w:tblLayout w:type="fixed"/>
        <w:tblCellMar>
          <w:left w:w="0" w:type="dxa"/>
          <w:right w:w="0" w:type="dxa"/>
        </w:tblCellMar>
        <w:tblLook w:val="0000" w:firstRow="0" w:lastRow="0" w:firstColumn="0" w:lastColumn="0" w:noHBand="0" w:noVBand="0"/>
      </w:tblPr>
      <w:tblGrid>
        <w:gridCol w:w="985"/>
        <w:gridCol w:w="4444"/>
        <w:gridCol w:w="4436"/>
      </w:tblGrid>
      <w:tr w:rsidR="00957FE8" w:rsidTr="00CD5C07">
        <w:trPr>
          <w:cantSplit/>
        </w:trPr>
        <w:tc>
          <w:tcPr>
            <w:tcW w:w="985" w:type="dxa"/>
          </w:tcPr>
          <w:p w:rsidR="00957FE8" w:rsidRDefault="00957FE8">
            <w:pPr>
              <w:tabs>
                <w:tab w:val="left" w:pos="4111"/>
              </w:tabs>
              <w:spacing w:before="10"/>
              <w:rPr>
                <w:sz w:val="22"/>
              </w:rPr>
            </w:pPr>
            <w:r>
              <w:rPr>
                <w:sz w:val="22"/>
              </w:rPr>
              <w:t>Ref:</w:t>
            </w:r>
          </w:p>
          <w:p w:rsidR="00957FE8" w:rsidRDefault="00957FE8">
            <w:pPr>
              <w:tabs>
                <w:tab w:val="left" w:pos="4111"/>
              </w:tabs>
              <w:spacing w:before="10"/>
              <w:rPr>
                <w:sz w:val="22"/>
              </w:rPr>
            </w:pPr>
          </w:p>
          <w:p w:rsidR="00957FE8" w:rsidRDefault="00957FE8">
            <w:pPr>
              <w:tabs>
                <w:tab w:val="left" w:pos="4111"/>
              </w:tabs>
              <w:spacing w:before="10"/>
              <w:rPr>
                <w:sz w:val="22"/>
              </w:rPr>
            </w:pPr>
            <w:r>
              <w:rPr>
                <w:sz w:val="22"/>
              </w:rPr>
              <w:br/>
              <w:t>Tel:</w:t>
            </w:r>
          </w:p>
          <w:p w:rsidR="00957FE8" w:rsidRDefault="00957FE8">
            <w:pPr>
              <w:tabs>
                <w:tab w:val="left" w:pos="4111"/>
              </w:tabs>
              <w:spacing w:before="10"/>
              <w:rPr>
                <w:rFonts w:ascii="Futura Lt BT" w:hAnsi="Futura Lt BT"/>
                <w:sz w:val="20"/>
              </w:rPr>
            </w:pPr>
            <w:r>
              <w:rPr>
                <w:sz w:val="22"/>
              </w:rPr>
              <w:t>Fax:</w:t>
            </w:r>
          </w:p>
        </w:tc>
        <w:tc>
          <w:tcPr>
            <w:tcW w:w="4444" w:type="dxa"/>
          </w:tcPr>
          <w:p w:rsidR="00957FE8" w:rsidRDefault="00957FE8" w:rsidP="005E301A">
            <w:pPr>
              <w:tabs>
                <w:tab w:val="left" w:pos="4111"/>
              </w:tabs>
              <w:spacing w:before="0"/>
              <w:rPr>
                <w:b/>
              </w:rPr>
            </w:pPr>
            <w:r>
              <w:rPr>
                <w:b/>
              </w:rPr>
              <w:t xml:space="preserve">TSB Circular </w:t>
            </w:r>
            <w:r w:rsidR="005E301A">
              <w:rPr>
                <w:b/>
              </w:rPr>
              <w:t>60</w:t>
            </w:r>
          </w:p>
          <w:p w:rsidR="00CD5C07" w:rsidRDefault="00CD5C07">
            <w:pPr>
              <w:tabs>
                <w:tab w:val="left" w:pos="4111"/>
              </w:tabs>
              <w:spacing w:before="0"/>
            </w:pPr>
          </w:p>
          <w:p w:rsidR="00957FE8" w:rsidRDefault="00957FE8" w:rsidP="007E0130">
            <w:pPr>
              <w:tabs>
                <w:tab w:val="left" w:pos="4111"/>
              </w:tabs>
              <w:spacing w:before="0"/>
            </w:pPr>
            <w:r>
              <w:br/>
              <w:t xml:space="preserve">+41 22 730 </w:t>
            </w:r>
            <w:r w:rsidR="007E0130">
              <w:t>5858</w:t>
            </w:r>
            <w:r>
              <w:br/>
              <w:t>+41 22 730 5853</w:t>
            </w:r>
          </w:p>
        </w:tc>
        <w:tc>
          <w:tcPr>
            <w:tcW w:w="4436" w:type="dxa"/>
          </w:tcPr>
          <w:p w:rsidR="00957FE8" w:rsidRDefault="00957FE8" w:rsidP="00D65862">
            <w:pPr>
              <w:tabs>
                <w:tab w:val="clear" w:pos="794"/>
                <w:tab w:val="left" w:pos="233"/>
                <w:tab w:val="left" w:pos="4111"/>
              </w:tabs>
              <w:spacing w:before="0"/>
              <w:ind w:left="233" w:hanging="233"/>
            </w:pPr>
            <w:bookmarkStart w:id="2" w:name="Addressee_E"/>
            <w:bookmarkEnd w:id="2"/>
            <w:r>
              <w:t>-</w:t>
            </w:r>
            <w:r w:rsidR="00D65862">
              <w:tab/>
            </w:r>
            <w:r>
              <w:t xml:space="preserve">To Administrations of Member States of the </w:t>
            </w:r>
            <w:smartTag w:uri="urn:schemas-microsoft-com:office:smarttags" w:element="place">
              <w:r>
                <w:t>Union</w:t>
              </w:r>
            </w:smartTag>
            <w:r>
              <w:t>;</w:t>
            </w:r>
          </w:p>
          <w:p w:rsidR="00957FE8" w:rsidRDefault="00957FE8" w:rsidP="00D65862">
            <w:pPr>
              <w:tabs>
                <w:tab w:val="clear" w:pos="794"/>
                <w:tab w:val="left" w:pos="233"/>
                <w:tab w:val="left" w:pos="4111"/>
              </w:tabs>
              <w:spacing w:before="0"/>
              <w:rPr>
                <w:color w:val="000000"/>
              </w:rPr>
            </w:pPr>
            <w:r>
              <w:rPr>
                <w:color w:val="000000"/>
              </w:rPr>
              <w:t>-</w:t>
            </w:r>
            <w:r w:rsidR="00D65862">
              <w:rPr>
                <w:color w:val="000000"/>
              </w:rPr>
              <w:tab/>
            </w:r>
            <w:r>
              <w:rPr>
                <w:color w:val="000000"/>
              </w:rPr>
              <w:t>To ITU-T Sector Members;</w:t>
            </w:r>
          </w:p>
          <w:p w:rsidR="00957FE8" w:rsidRDefault="00957FE8"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sidR="00D65862">
              <w:rPr>
                <w:color w:val="000000"/>
              </w:rPr>
              <w:tab/>
            </w:r>
            <w:r>
              <w:rPr>
                <w:color w:val="000000"/>
              </w:rPr>
              <w:t>To ITU-T Associates;</w:t>
            </w:r>
          </w:p>
          <w:p w:rsidR="00231600" w:rsidRDefault="00231600"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Pr>
                <w:color w:val="000000"/>
              </w:rPr>
              <w:tab/>
              <w:t>To ITU-T Academia;</w:t>
            </w:r>
          </w:p>
          <w:p w:rsidR="00231600" w:rsidRDefault="00231600" w:rsidP="00D65862">
            <w:pPr>
              <w:tabs>
                <w:tab w:val="clear" w:pos="794"/>
                <w:tab w:val="clear" w:pos="1191"/>
                <w:tab w:val="clear" w:pos="1588"/>
                <w:tab w:val="clear" w:pos="1985"/>
                <w:tab w:val="left" w:pos="233"/>
                <w:tab w:val="left" w:pos="284"/>
              </w:tabs>
              <w:spacing w:before="0"/>
              <w:ind w:left="284" w:hanging="284"/>
            </w:pPr>
          </w:p>
        </w:tc>
      </w:tr>
      <w:tr w:rsidR="00957FE8" w:rsidTr="00CD5C07">
        <w:trPr>
          <w:cantSplit/>
        </w:trPr>
        <w:tc>
          <w:tcPr>
            <w:tcW w:w="985" w:type="dxa"/>
          </w:tcPr>
          <w:p w:rsidR="00957FE8" w:rsidRDefault="00957FE8">
            <w:pPr>
              <w:spacing w:before="10"/>
            </w:pPr>
          </w:p>
          <w:p w:rsidR="00957FE8" w:rsidRDefault="00957FE8">
            <w:pPr>
              <w:spacing w:before="10"/>
            </w:pPr>
            <w:r>
              <w:t>E-mail:</w:t>
            </w:r>
          </w:p>
        </w:tc>
        <w:tc>
          <w:tcPr>
            <w:tcW w:w="4444" w:type="dxa"/>
          </w:tcPr>
          <w:p w:rsidR="00957FE8" w:rsidRDefault="00957FE8">
            <w:pPr>
              <w:tabs>
                <w:tab w:val="left" w:pos="4111"/>
              </w:tabs>
              <w:spacing w:before="0"/>
            </w:pPr>
          </w:p>
          <w:p w:rsidR="00957FE8" w:rsidRDefault="003F7E8C" w:rsidP="00CD5C07">
            <w:pPr>
              <w:tabs>
                <w:tab w:val="left" w:pos="4111"/>
              </w:tabs>
              <w:spacing w:before="0"/>
            </w:pPr>
            <w:hyperlink r:id="rId9" w:history="1">
              <w:r w:rsidR="007E0130" w:rsidRPr="00D13E00">
                <w:rPr>
                  <w:rStyle w:val="Hyperlink"/>
                </w:rPr>
                <w:t>tsbjcasdn@itu.int</w:t>
              </w:r>
            </w:hyperlink>
          </w:p>
        </w:tc>
        <w:tc>
          <w:tcPr>
            <w:tcW w:w="4436" w:type="dxa"/>
          </w:tcPr>
          <w:p w:rsidR="00957FE8" w:rsidRDefault="00957FE8">
            <w:pPr>
              <w:tabs>
                <w:tab w:val="left" w:pos="4111"/>
              </w:tabs>
              <w:spacing w:before="0"/>
              <w:rPr>
                <w:b/>
              </w:rPr>
            </w:pPr>
            <w:r>
              <w:rPr>
                <w:b/>
              </w:rPr>
              <w:t>Copy:</w:t>
            </w:r>
          </w:p>
          <w:p w:rsidR="00957FE8" w:rsidRDefault="00957FE8" w:rsidP="0067275D">
            <w:pPr>
              <w:tabs>
                <w:tab w:val="clear" w:pos="794"/>
                <w:tab w:val="left" w:pos="233"/>
                <w:tab w:val="left" w:pos="4111"/>
              </w:tabs>
              <w:spacing w:before="0"/>
              <w:ind w:left="233" w:hanging="233"/>
              <w:rPr>
                <w:b/>
              </w:rPr>
            </w:pPr>
            <w:r>
              <w:t>-</w:t>
            </w:r>
            <w:r w:rsidR="00D65862">
              <w:tab/>
            </w:r>
            <w:r>
              <w:t>To the Chairm</w:t>
            </w:r>
            <w:r w:rsidR="0067275D">
              <w:t>e</w:t>
            </w:r>
            <w:r>
              <w:t xml:space="preserve">n and Vice-Chairmen of </w:t>
            </w:r>
            <w:r w:rsidR="00BA102A">
              <w:t xml:space="preserve">ITU-T </w:t>
            </w:r>
            <w:r>
              <w:t>Study Group</w:t>
            </w:r>
            <w:r w:rsidR="0039373B">
              <w:t>s</w:t>
            </w:r>
            <w:r>
              <w:t>;</w:t>
            </w:r>
          </w:p>
          <w:p w:rsidR="00957FE8" w:rsidRDefault="00957FE8" w:rsidP="00D65862">
            <w:pPr>
              <w:tabs>
                <w:tab w:val="clear" w:pos="794"/>
                <w:tab w:val="left" w:pos="233"/>
                <w:tab w:val="left" w:pos="4111"/>
              </w:tabs>
              <w:spacing w:before="0"/>
              <w:ind w:left="233" w:hanging="233"/>
            </w:pPr>
            <w:r>
              <w:t>-</w:t>
            </w:r>
            <w:r>
              <w:tab/>
              <w:t>To the Director of the Telecommunication Development Bureau;</w:t>
            </w:r>
          </w:p>
          <w:p w:rsidR="00957FE8" w:rsidRDefault="00957FE8" w:rsidP="00D65862">
            <w:pPr>
              <w:tabs>
                <w:tab w:val="clear" w:pos="794"/>
                <w:tab w:val="clear" w:pos="1191"/>
                <w:tab w:val="clear" w:pos="1588"/>
                <w:tab w:val="clear" w:pos="1985"/>
                <w:tab w:val="left" w:pos="233"/>
              </w:tabs>
              <w:spacing w:before="0"/>
              <w:ind w:left="233" w:hanging="233"/>
            </w:pPr>
            <w:r>
              <w:t>-</w:t>
            </w:r>
            <w:r>
              <w:tab/>
              <w:t>To the Director of the Radiocommunication Bureau</w:t>
            </w:r>
          </w:p>
          <w:p w:rsidR="00957FE8" w:rsidRDefault="00957FE8">
            <w:pPr>
              <w:tabs>
                <w:tab w:val="clear" w:pos="794"/>
                <w:tab w:val="clear" w:pos="1191"/>
                <w:tab w:val="clear" w:pos="1588"/>
                <w:tab w:val="clear" w:pos="1985"/>
                <w:tab w:val="left" w:pos="284"/>
              </w:tabs>
              <w:spacing w:before="0"/>
              <w:ind w:left="284" w:hanging="284"/>
            </w:pPr>
          </w:p>
        </w:tc>
      </w:tr>
    </w:tbl>
    <w:p w:rsidR="00957FE8" w:rsidRDefault="00957FE8">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957FE8" w:rsidTr="000E3AB9">
        <w:trPr>
          <w:cantSplit/>
        </w:trPr>
        <w:tc>
          <w:tcPr>
            <w:tcW w:w="1100" w:type="dxa"/>
          </w:tcPr>
          <w:p w:rsidR="00957FE8" w:rsidRDefault="00957FE8">
            <w:pPr>
              <w:tabs>
                <w:tab w:val="left" w:pos="4111"/>
              </w:tabs>
              <w:spacing w:before="10"/>
              <w:ind w:left="57"/>
              <w:rPr>
                <w:sz w:val="22"/>
              </w:rPr>
            </w:pPr>
            <w:r>
              <w:rPr>
                <w:sz w:val="22"/>
              </w:rPr>
              <w:t>Subject:</w:t>
            </w:r>
          </w:p>
        </w:tc>
        <w:tc>
          <w:tcPr>
            <w:tcW w:w="7087" w:type="dxa"/>
          </w:tcPr>
          <w:p w:rsidR="00957FE8" w:rsidRDefault="00CD5C07" w:rsidP="00E96DE9">
            <w:pPr>
              <w:tabs>
                <w:tab w:val="left" w:pos="4111"/>
              </w:tabs>
              <w:spacing w:before="0"/>
              <w:ind w:left="57" w:right="28"/>
            </w:pPr>
            <w:r w:rsidRPr="00CD5C07">
              <w:rPr>
                <w:b/>
              </w:rPr>
              <w:t>New Joint Co</w:t>
            </w:r>
            <w:r w:rsidR="00E96DE9">
              <w:rPr>
                <w:b/>
              </w:rPr>
              <w:t xml:space="preserve">ordination Activity </w:t>
            </w:r>
            <w:r w:rsidR="004052CE" w:rsidRPr="004052CE">
              <w:rPr>
                <w:b/>
              </w:rPr>
              <w:t xml:space="preserve">on Software-Defined Networking </w:t>
            </w:r>
            <w:r w:rsidR="00E96DE9">
              <w:rPr>
                <w:b/>
              </w:rPr>
              <w:t>(JCA-SDN)</w:t>
            </w:r>
          </w:p>
        </w:tc>
      </w:tr>
    </w:tbl>
    <w:p w:rsidR="00957FE8" w:rsidRDefault="00957FE8">
      <w:pPr>
        <w:spacing w:before="160"/>
        <w:ind w:left="-198"/>
        <w:rPr>
          <w:rFonts w:ascii="Century Gothic" w:hAnsi="Century Gothic"/>
          <w:sz w:val="16"/>
        </w:rPr>
      </w:pPr>
    </w:p>
    <w:p w:rsidR="00957FE8" w:rsidRDefault="00957FE8" w:rsidP="00A71BB6">
      <w:bookmarkStart w:id="3" w:name="StartTyping_E"/>
      <w:bookmarkEnd w:id="3"/>
      <w:r>
        <w:t>Dear Sir/Madam,</w:t>
      </w:r>
    </w:p>
    <w:p w:rsidR="00CD5C07" w:rsidRPr="008B58EB" w:rsidRDefault="00CD5C07" w:rsidP="007E0130">
      <w:pPr>
        <w:tabs>
          <w:tab w:val="clear" w:pos="794"/>
          <w:tab w:val="clear" w:pos="1191"/>
          <w:tab w:val="clear" w:pos="1588"/>
          <w:tab w:val="clear" w:pos="1985"/>
        </w:tabs>
        <w:spacing w:after="120"/>
        <w:ind w:right="-170"/>
        <w:rPr>
          <w:rFonts w:asciiTheme="majorBidi" w:hAnsiTheme="majorBidi" w:cstheme="majorBidi"/>
        </w:rPr>
      </w:pPr>
      <w:bookmarkStart w:id="4" w:name="suitetext"/>
      <w:bookmarkStart w:id="5" w:name="text"/>
      <w:bookmarkEnd w:id="4"/>
      <w:bookmarkEnd w:id="5"/>
      <w:r>
        <w:rPr>
          <w:rFonts w:asciiTheme="majorBidi" w:hAnsiTheme="majorBidi" w:cstheme="majorBidi"/>
        </w:rPr>
        <w:t>1</w:t>
      </w:r>
      <w:r>
        <w:rPr>
          <w:rFonts w:asciiTheme="majorBidi" w:hAnsiTheme="majorBidi" w:cstheme="majorBidi"/>
        </w:rPr>
        <w:tab/>
      </w:r>
      <w:r w:rsidRPr="008B58EB">
        <w:rPr>
          <w:rFonts w:asciiTheme="majorBidi" w:hAnsiTheme="majorBidi" w:cstheme="majorBidi"/>
        </w:rPr>
        <w:t xml:space="preserve">It is my pleasure to inform you that </w:t>
      </w:r>
      <w:r w:rsidR="0039373B">
        <w:rPr>
          <w:rFonts w:asciiTheme="majorBidi" w:hAnsiTheme="majorBidi" w:cstheme="majorBidi"/>
        </w:rPr>
        <w:t xml:space="preserve">the </w:t>
      </w:r>
      <w:r w:rsidR="00E96DE9">
        <w:rPr>
          <w:rFonts w:asciiTheme="majorBidi" w:hAnsiTheme="majorBidi" w:cstheme="majorBidi"/>
        </w:rPr>
        <w:t>Telecommunication Standardization Advisory Group</w:t>
      </w:r>
      <w:r w:rsidRPr="008B58EB">
        <w:rPr>
          <w:rFonts w:asciiTheme="majorBidi" w:hAnsiTheme="majorBidi" w:cstheme="majorBidi"/>
        </w:rPr>
        <w:t xml:space="preserve"> </w:t>
      </w:r>
      <w:r w:rsidR="007E0130">
        <w:rPr>
          <w:rFonts w:asciiTheme="majorBidi" w:hAnsiTheme="majorBidi" w:cstheme="majorBidi"/>
        </w:rPr>
        <w:t xml:space="preserve">(TSAG) </w:t>
      </w:r>
      <w:r w:rsidRPr="008B58EB">
        <w:rPr>
          <w:rFonts w:asciiTheme="majorBidi" w:hAnsiTheme="majorBidi" w:cstheme="majorBidi"/>
        </w:rPr>
        <w:t xml:space="preserve">agreed </w:t>
      </w:r>
      <w:r w:rsidR="007E0130">
        <w:rPr>
          <w:rFonts w:asciiTheme="majorBidi" w:hAnsiTheme="majorBidi" w:cstheme="majorBidi"/>
        </w:rPr>
        <w:t xml:space="preserve">at their June 2013 meeting </w:t>
      </w:r>
      <w:r w:rsidRPr="008B58EB">
        <w:rPr>
          <w:rFonts w:asciiTheme="majorBidi" w:hAnsiTheme="majorBidi" w:cstheme="majorBidi"/>
        </w:rPr>
        <w:t xml:space="preserve">to the following: </w:t>
      </w:r>
    </w:p>
    <w:p w:rsidR="00CD5C07" w:rsidRPr="008B58EB" w:rsidRDefault="00CD5C07" w:rsidP="00745066">
      <w:pPr>
        <w:tabs>
          <w:tab w:val="clear" w:pos="794"/>
          <w:tab w:val="clear" w:pos="1191"/>
          <w:tab w:val="clear" w:pos="1588"/>
          <w:tab w:val="clear" w:pos="1985"/>
        </w:tabs>
        <w:ind w:left="567"/>
        <w:jc w:val="both"/>
        <w:rPr>
          <w:rFonts w:asciiTheme="majorBidi" w:hAnsiTheme="majorBidi" w:cstheme="majorBidi"/>
        </w:rPr>
      </w:pPr>
      <w:r w:rsidRPr="008B58EB">
        <w:rPr>
          <w:rFonts w:asciiTheme="majorBidi" w:hAnsiTheme="majorBidi" w:cstheme="majorBidi"/>
        </w:rPr>
        <w:t>1.1</w:t>
      </w:r>
      <w:r w:rsidRPr="008B58EB">
        <w:rPr>
          <w:rFonts w:asciiTheme="majorBidi" w:hAnsiTheme="majorBidi" w:cstheme="majorBidi"/>
        </w:rPr>
        <w:tab/>
        <w:t xml:space="preserve">The establishment of the </w:t>
      </w:r>
      <w:r w:rsidR="00E96DE9" w:rsidRPr="00E96DE9">
        <w:rPr>
          <w:rFonts w:asciiTheme="majorBidi" w:hAnsiTheme="majorBidi" w:cstheme="majorBidi"/>
        </w:rPr>
        <w:t>Joint Coordination Activity on Software-Defined Networking (JCA-SDN)</w:t>
      </w:r>
      <w:r w:rsidRPr="008B58EB">
        <w:rPr>
          <w:rFonts w:asciiTheme="majorBidi" w:hAnsiTheme="majorBidi" w:cstheme="majorBidi"/>
          <w:szCs w:val="24"/>
        </w:rPr>
        <w:t xml:space="preserve">, </w:t>
      </w:r>
      <w:r w:rsidRPr="008B58EB">
        <w:rPr>
          <w:rFonts w:asciiTheme="majorBidi" w:hAnsiTheme="majorBidi" w:cstheme="majorBidi"/>
        </w:rPr>
        <w:t xml:space="preserve">with the </w:t>
      </w:r>
      <w:r w:rsidRPr="00D25FB3">
        <w:rPr>
          <w:rFonts w:asciiTheme="majorBidi" w:hAnsiTheme="majorBidi" w:cstheme="majorBidi"/>
        </w:rPr>
        <w:t>Terms of References</w:t>
      </w:r>
      <w:r w:rsidR="007E0130">
        <w:rPr>
          <w:rFonts w:asciiTheme="majorBidi" w:hAnsiTheme="majorBidi" w:cstheme="majorBidi"/>
        </w:rPr>
        <w:t xml:space="preserve"> (</w:t>
      </w:r>
      <w:proofErr w:type="spellStart"/>
      <w:r w:rsidR="007E0130">
        <w:rPr>
          <w:rFonts w:asciiTheme="majorBidi" w:hAnsiTheme="majorBidi" w:cstheme="majorBidi"/>
        </w:rPr>
        <w:t>ToR</w:t>
      </w:r>
      <w:proofErr w:type="spellEnd"/>
      <w:r w:rsidR="007E0130">
        <w:rPr>
          <w:rFonts w:asciiTheme="majorBidi" w:hAnsiTheme="majorBidi" w:cstheme="majorBidi"/>
        </w:rPr>
        <w:t>)</w:t>
      </w:r>
      <w:r w:rsidRPr="008B58EB">
        <w:rPr>
          <w:rFonts w:asciiTheme="majorBidi" w:hAnsiTheme="majorBidi" w:cstheme="majorBidi"/>
        </w:rPr>
        <w:t xml:space="preserve"> set forth in </w:t>
      </w:r>
      <w:hyperlink w:anchor="_Terms_of_Reference" w:history="1">
        <w:r w:rsidRPr="00D25FB3">
          <w:rPr>
            <w:rStyle w:val="Hyperlink"/>
            <w:rFonts w:asciiTheme="majorBidi" w:hAnsiTheme="majorBidi" w:cstheme="majorBidi"/>
          </w:rPr>
          <w:t>Annex 1</w:t>
        </w:r>
      </w:hyperlink>
      <w:r>
        <w:rPr>
          <w:rFonts w:asciiTheme="majorBidi" w:hAnsiTheme="majorBidi" w:cstheme="majorBidi"/>
        </w:rPr>
        <w:t>;</w:t>
      </w:r>
    </w:p>
    <w:p w:rsidR="006179A3" w:rsidRDefault="00E96DE9">
      <w:pPr>
        <w:tabs>
          <w:tab w:val="clear" w:pos="794"/>
          <w:tab w:val="clear" w:pos="1191"/>
          <w:tab w:val="clear" w:pos="1588"/>
          <w:tab w:val="clear" w:pos="1985"/>
        </w:tabs>
        <w:ind w:left="567"/>
        <w:jc w:val="both"/>
        <w:rPr>
          <w:rFonts w:asciiTheme="majorBidi" w:hAnsiTheme="majorBidi" w:cstheme="majorBidi"/>
        </w:rPr>
      </w:pPr>
      <w:r>
        <w:rPr>
          <w:rFonts w:asciiTheme="majorBidi" w:hAnsiTheme="majorBidi" w:cstheme="majorBidi"/>
        </w:rPr>
        <w:t>1.2</w:t>
      </w:r>
      <w:r>
        <w:rPr>
          <w:rFonts w:asciiTheme="majorBidi" w:hAnsiTheme="majorBidi" w:cstheme="majorBidi"/>
        </w:rPr>
        <w:tab/>
        <w:t>That the JCA-SDN</w:t>
      </w:r>
      <w:r w:rsidR="00CD5C07" w:rsidRPr="008B58EB">
        <w:rPr>
          <w:rFonts w:asciiTheme="majorBidi" w:hAnsiTheme="majorBidi" w:cstheme="majorBidi"/>
        </w:rPr>
        <w:t xml:space="preserve"> shall report to TSAG</w:t>
      </w:r>
      <w:r w:rsidR="00CD5C07">
        <w:rPr>
          <w:rFonts w:asciiTheme="majorBidi" w:hAnsiTheme="majorBidi" w:cstheme="majorBidi"/>
        </w:rPr>
        <w:t>;</w:t>
      </w:r>
    </w:p>
    <w:p w:rsidR="00CD5C07" w:rsidRPr="008B58EB" w:rsidRDefault="006179A3" w:rsidP="00D25FB3">
      <w:pPr>
        <w:tabs>
          <w:tab w:val="clear" w:pos="794"/>
          <w:tab w:val="clear" w:pos="1191"/>
          <w:tab w:val="clear" w:pos="1588"/>
          <w:tab w:val="clear" w:pos="1985"/>
        </w:tabs>
        <w:rPr>
          <w:rFonts w:asciiTheme="majorBidi" w:hAnsiTheme="majorBidi" w:cstheme="majorBidi"/>
        </w:rPr>
      </w:pPr>
      <w:r>
        <w:rPr>
          <w:rFonts w:asciiTheme="majorBidi" w:hAnsiTheme="majorBidi" w:cstheme="majorBidi"/>
        </w:rPr>
        <w:t xml:space="preserve">Mr </w:t>
      </w:r>
      <w:r w:rsidRPr="006179A3">
        <w:rPr>
          <w:rFonts w:asciiTheme="majorBidi" w:hAnsiTheme="majorBidi" w:cstheme="majorBidi"/>
        </w:rPr>
        <w:t>Takashi Egawa (NEC, Japan)</w:t>
      </w:r>
      <w:r>
        <w:rPr>
          <w:rFonts w:asciiTheme="majorBidi" w:hAnsiTheme="majorBidi" w:cstheme="majorBidi"/>
        </w:rPr>
        <w:t xml:space="preserve"> has been appointed as JCA-SDN </w:t>
      </w:r>
      <w:r w:rsidRPr="006179A3">
        <w:rPr>
          <w:rFonts w:asciiTheme="majorBidi" w:hAnsiTheme="majorBidi" w:cstheme="majorBidi"/>
        </w:rPr>
        <w:t>Chairman</w:t>
      </w:r>
      <w:r>
        <w:rPr>
          <w:rFonts w:asciiTheme="majorBidi" w:hAnsiTheme="majorBidi" w:cstheme="majorBidi"/>
        </w:rPr>
        <w:t xml:space="preserve"> while Ms </w:t>
      </w:r>
      <w:r w:rsidRPr="006179A3">
        <w:rPr>
          <w:rFonts w:asciiTheme="majorBidi" w:hAnsiTheme="majorBidi" w:cstheme="majorBidi"/>
        </w:rPr>
        <w:t>Ying Cheng (China Unicom, China)</w:t>
      </w:r>
      <w:r>
        <w:rPr>
          <w:rFonts w:asciiTheme="majorBidi" w:hAnsiTheme="majorBidi" w:cstheme="majorBidi"/>
        </w:rPr>
        <w:t xml:space="preserve"> has been appointed as JCA-SDN</w:t>
      </w:r>
      <w:r w:rsidRPr="006179A3">
        <w:rPr>
          <w:rFonts w:asciiTheme="majorBidi" w:hAnsiTheme="majorBidi" w:cstheme="majorBidi"/>
        </w:rPr>
        <w:t xml:space="preserve"> </w:t>
      </w:r>
      <w:proofErr w:type="gramStart"/>
      <w:r w:rsidRPr="006179A3">
        <w:rPr>
          <w:rFonts w:asciiTheme="majorBidi" w:hAnsiTheme="majorBidi" w:cstheme="majorBidi"/>
        </w:rPr>
        <w:t>Vice</w:t>
      </w:r>
      <w:proofErr w:type="gramEnd"/>
      <w:r w:rsidRPr="006179A3">
        <w:rPr>
          <w:rFonts w:asciiTheme="majorBidi" w:hAnsiTheme="majorBidi" w:cstheme="majorBidi"/>
        </w:rPr>
        <w:t xml:space="preserve"> </w:t>
      </w:r>
      <w:r w:rsidR="005E301A" w:rsidRPr="006179A3">
        <w:rPr>
          <w:rFonts w:asciiTheme="majorBidi" w:hAnsiTheme="majorBidi" w:cstheme="majorBidi"/>
        </w:rPr>
        <w:t>Chair</w:t>
      </w:r>
      <w:r>
        <w:rPr>
          <w:rFonts w:asciiTheme="majorBidi" w:hAnsiTheme="majorBidi" w:cstheme="majorBidi"/>
        </w:rPr>
        <w:t>.</w:t>
      </w:r>
    </w:p>
    <w:p w:rsidR="007E0130" w:rsidRPr="007E0130" w:rsidRDefault="00CD5C07" w:rsidP="007E0130">
      <w:pPr>
        <w:tabs>
          <w:tab w:val="clear" w:pos="794"/>
          <w:tab w:val="clear" w:pos="1191"/>
          <w:tab w:val="clear" w:pos="1588"/>
          <w:tab w:val="clear" w:pos="1985"/>
        </w:tabs>
        <w:rPr>
          <w:rFonts w:asciiTheme="majorBidi" w:hAnsiTheme="majorBidi" w:cstheme="majorBidi"/>
        </w:rPr>
      </w:pPr>
      <w:r w:rsidRPr="008B58EB">
        <w:rPr>
          <w:rFonts w:asciiTheme="majorBidi" w:hAnsiTheme="majorBidi" w:cstheme="majorBidi"/>
        </w:rPr>
        <w:t>2</w:t>
      </w:r>
      <w:r w:rsidRPr="008B58EB">
        <w:rPr>
          <w:rFonts w:asciiTheme="majorBidi" w:hAnsiTheme="majorBidi" w:cstheme="majorBidi"/>
        </w:rPr>
        <w:tab/>
      </w:r>
      <w:r w:rsidR="007E0130" w:rsidRPr="007E0130">
        <w:rPr>
          <w:rFonts w:asciiTheme="majorBidi" w:hAnsiTheme="majorBidi" w:cstheme="majorBidi"/>
        </w:rPr>
        <w:t>The role of JCA-SDN is the coordination of the standardization work on SDN and related technical topics within ITU-T, taking into consideration the work of relevant other standards development organizations (SDOs), forums and consortia.</w:t>
      </w:r>
    </w:p>
    <w:p w:rsidR="00CD5C07" w:rsidRPr="008B58EB" w:rsidRDefault="007E0130" w:rsidP="00D25FB3">
      <w:pPr>
        <w:tabs>
          <w:tab w:val="clear" w:pos="794"/>
          <w:tab w:val="clear" w:pos="1191"/>
          <w:tab w:val="clear" w:pos="1588"/>
          <w:tab w:val="clear" w:pos="1985"/>
        </w:tabs>
        <w:rPr>
          <w:rFonts w:asciiTheme="majorBidi" w:hAnsiTheme="majorBidi" w:cstheme="majorBidi"/>
        </w:rPr>
      </w:pPr>
      <w:r w:rsidRPr="007E0130">
        <w:rPr>
          <w:rFonts w:asciiTheme="majorBidi" w:hAnsiTheme="majorBidi" w:cstheme="majorBidi"/>
        </w:rPr>
        <w:t xml:space="preserve">The JCA-SDN will help TSAG in achieving the actions assigned in </w:t>
      </w:r>
      <w:hyperlink r:id="rId10" w:history="1">
        <w:r w:rsidRPr="002336AB">
          <w:rPr>
            <w:rStyle w:val="Hyperlink"/>
            <w:rFonts w:asciiTheme="majorBidi" w:hAnsiTheme="majorBidi" w:cstheme="majorBidi"/>
          </w:rPr>
          <w:t>WTSA-12 Resolution 77</w:t>
        </w:r>
      </w:hyperlink>
      <w:r w:rsidR="002336AB">
        <w:rPr>
          <w:rFonts w:asciiTheme="majorBidi" w:hAnsiTheme="majorBidi" w:cstheme="majorBidi"/>
        </w:rPr>
        <w:t xml:space="preserve"> </w:t>
      </w:r>
      <w:r w:rsidR="002336AB" w:rsidRPr="00D25FB3">
        <w:rPr>
          <w:rFonts w:asciiTheme="majorBidi" w:hAnsiTheme="majorBidi" w:cstheme="majorBidi"/>
          <w:i/>
          <w:iCs/>
        </w:rPr>
        <w:t>(</w:t>
      </w:r>
      <w:r w:rsidR="006179A3" w:rsidRPr="006179A3">
        <w:rPr>
          <w:rFonts w:asciiTheme="majorBidi" w:hAnsiTheme="majorBidi" w:cstheme="majorBidi"/>
          <w:i/>
          <w:iCs/>
        </w:rPr>
        <w:t>Standardization work in the ITU</w:t>
      </w:r>
      <w:r w:rsidR="006179A3">
        <w:rPr>
          <w:rFonts w:asciiTheme="majorBidi" w:hAnsiTheme="majorBidi" w:cstheme="majorBidi"/>
          <w:i/>
          <w:iCs/>
        </w:rPr>
        <w:t xml:space="preserve"> </w:t>
      </w:r>
      <w:r w:rsidR="006179A3" w:rsidRPr="006179A3">
        <w:rPr>
          <w:rFonts w:asciiTheme="majorBidi" w:hAnsiTheme="majorBidi" w:cstheme="majorBidi"/>
          <w:i/>
          <w:iCs/>
        </w:rPr>
        <w:t>Telecommunication Standardization Sector for</w:t>
      </w:r>
      <w:r w:rsidR="006179A3">
        <w:rPr>
          <w:rFonts w:asciiTheme="majorBidi" w:hAnsiTheme="majorBidi" w:cstheme="majorBidi"/>
          <w:i/>
          <w:iCs/>
        </w:rPr>
        <w:t xml:space="preserve"> </w:t>
      </w:r>
      <w:r w:rsidR="006179A3" w:rsidRPr="006179A3">
        <w:rPr>
          <w:rFonts w:asciiTheme="majorBidi" w:hAnsiTheme="majorBidi" w:cstheme="majorBidi"/>
          <w:i/>
          <w:iCs/>
        </w:rPr>
        <w:t>software-defined networking</w:t>
      </w:r>
      <w:r w:rsidR="002336AB">
        <w:rPr>
          <w:rFonts w:asciiTheme="majorBidi" w:hAnsiTheme="majorBidi" w:cstheme="majorBidi"/>
          <w:i/>
          <w:iCs/>
        </w:rPr>
        <w:t>)</w:t>
      </w:r>
      <w:r w:rsidR="002336AB">
        <w:rPr>
          <w:rFonts w:asciiTheme="majorBidi" w:hAnsiTheme="majorBidi" w:cstheme="majorBidi"/>
        </w:rPr>
        <w:t>;</w:t>
      </w:r>
      <w:r>
        <w:rPr>
          <w:rFonts w:asciiTheme="majorBidi" w:hAnsiTheme="majorBidi" w:cstheme="majorBidi"/>
        </w:rPr>
        <w:t xml:space="preserve"> </w:t>
      </w:r>
      <w:r w:rsidR="002336AB">
        <w:rPr>
          <w:rFonts w:asciiTheme="majorBidi" w:hAnsiTheme="majorBidi" w:cstheme="majorBidi"/>
        </w:rPr>
        <w:t>s</w:t>
      </w:r>
      <w:r>
        <w:rPr>
          <w:rFonts w:asciiTheme="majorBidi" w:hAnsiTheme="majorBidi" w:cstheme="majorBidi"/>
        </w:rPr>
        <w:t xml:space="preserve">ee the </w:t>
      </w:r>
      <w:proofErr w:type="spellStart"/>
      <w:r>
        <w:rPr>
          <w:rFonts w:asciiTheme="majorBidi" w:hAnsiTheme="majorBidi" w:cstheme="majorBidi"/>
        </w:rPr>
        <w:t>ToR</w:t>
      </w:r>
      <w:proofErr w:type="spellEnd"/>
      <w:r>
        <w:rPr>
          <w:rFonts w:asciiTheme="majorBidi" w:hAnsiTheme="majorBidi" w:cstheme="majorBidi"/>
        </w:rPr>
        <w:t xml:space="preserve"> in </w:t>
      </w:r>
      <w:hyperlink w:anchor="_Terms_of_Reference" w:history="1">
        <w:r w:rsidRPr="00745066">
          <w:rPr>
            <w:rStyle w:val="Hyperlink"/>
            <w:rFonts w:asciiTheme="majorBidi" w:hAnsiTheme="majorBidi" w:cstheme="majorBidi"/>
          </w:rPr>
          <w:t>Annex 1</w:t>
        </w:r>
      </w:hyperlink>
      <w:r>
        <w:rPr>
          <w:rFonts w:asciiTheme="majorBidi" w:hAnsiTheme="majorBidi" w:cstheme="majorBidi"/>
        </w:rPr>
        <w:t xml:space="preserve"> for more details.</w:t>
      </w:r>
    </w:p>
    <w:p w:rsidR="006179A3" w:rsidRDefault="00CD5C07" w:rsidP="004040E1">
      <w:pPr>
        <w:tabs>
          <w:tab w:val="clear" w:pos="794"/>
          <w:tab w:val="clear" w:pos="1191"/>
          <w:tab w:val="clear" w:pos="1588"/>
          <w:tab w:val="clear" w:pos="1985"/>
        </w:tabs>
        <w:jc w:val="both"/>
        <w:rPr>
          <w:rFonts w:asciiTheme="majorBidi" w:hAnsiTheme="majorBidi" w:cstheme="majorBidi"/>
        </w:rPr>
      </w:pPr>
      <w:r w:rsidRPr="008B58EB">
        <w:rPr>
          <w:rFonts w:asciiTheme="majorBidi" w:hAnsiTheme="majorBidi" w:cstheme="majorBidi"/>
        </w:rPr>
        <w:t>3</w:t>
      </w:r>
      <w:r w:rsidRPr="008B58EB">
        <w:rPr>
          <w:rFonts w:asciiTheme="majorBidi" w:hAnsiTheme="majorBidi" w:cstheme="majorBidi"/>
        </w:rPr>
        <w:tab/>
      </w:r>
      <w:r w:rsidR="00751663">
        <w:rPr>
          <w:rFonts w:asciiTheme="majorBidi" w:hAnsiTheme="majorBidi" w:cstheme="majorBidi"/>
        </w:rPr>
        <w:t xml:space="preserve">The first </w:t>
      </w:r>
      <w:r w:rsidRPr="008B58EB">
        <w:rPr>
          <w:rFonts w:asciiTheme="majorBidi" w:hAnsiTheme="majorBidi" w:cstheme="majorBidi"/>
        </w:rPr>
        <w:t>mee</w:t>
      </w:r>
      <w:r w:rsidR="00751663">
        <w:rPr>
          <w:rFonts w:asciiTheme="majorBidi" w:hAnsiTheme="majorBidi" w:cstheme="majorBidi"/>
        </w:rPr>
        <w:t xml:space="preserve">ting of JCA-SDN is scheduled to take place </w:t>
      </w:r>
      <w:r w:rsidR="00BB3977" w:rsidRPr="00BB3977">
        <w:rPr>
          <w:rFonts w:asciiTheme="majorBidi" w:hAnsiTheme="majorBidi" w:cstheme="majorBidi"/>
        </w:rPr>
        <w:t xml:space="preserve">on </w:t>
      </w:r>
      <w:r w:rsidR="00BB3977" w:rsidRPr="00BB3977">
        <w:rPr>
          <w:rFonts w:asciiTheme="majorBidi" w:hAnsiTheme="majorBidi" w:cstheme="majorBidi"/>
          <w:b/>
          <w:bCs/>
        </w:rPr>
        <w:t>11 November 2013</w:t>
      </w:r>
      <w:r w:rsidR="00BB3977">
        <w:rPr>
          <w:rFonts w:asciiTheme="majorBidi" w:hAnsiTheme="majorBidi" w:cstheme="majorBidi"/>
          <w:b/>
          <w:bCs/>
        </w:rPr>
        <w:t xml:space="preserve"> </w:t>
      </w:r>
      <w:r w:rsidR="00751663" w:rsidRPr="00BB3977">
        <w:rPr>
          <w:rFonts w:asciiTheme="majorBidi" w:hAnsiTheme="majorBidi" w:cstheme="majorBidi"/>
        </w:rPr>
        <w:t xml:space="preserve">in </w:t>
      </w:r>
      <w:r w:rsidR="00751663">
        <w:rPr>
          <w:rFonts w:asciiTheme="majorBidi" w:hAnsiTheme="majorBidi" w:cstheme="majorBidi"/>
        </w:rPr>
        <w:t>Kampala, Uganda</w:t>
      </w:r>
      <w:r w:rsidR="002336AB">
        <w:rPr>
          <w:rFonts w:asciiTheme="majorBidi" w:hAnsiTheme="majorBidi" w:cstheme="majorBidi"/>
        </w:rPr>
        <w:t xml:space="preserve">, </w:t>
      </w:r>
      <w:r w:rsidR="002336AB">
        <w:t>at the kind invitation of the Uganda Communications Commission (UCC)</w:t>
      </w:r>
      <w:r w:rsidRPr="00CD5C07">
        <w:rPr>
          <w:rFonts w:asciiTheme="majorBidi" w:hAnsiTheme="majorBidi" w:cstheme="majorBidi"/>
        </w:rPr>
        <w:t>.</w:t>
      </w:r>
      <w:r w:rsidR="007E0130">
        <w:rPr>
          <w:rFonts w:asciiTheme="majorBidi" w:hAnsiTheme="majorBidi" w:cstheme="majorBidi"/>
        </w:rPr>
        <w:t xml:space="preserve"> </w:t>
      </w:r>
      <w:r w:rsidR="00F1728D">
        <w:t xml:space="preserve">The </w:t>
      </w:r>
      <w:r w:rsidR="004040E1">
        <w:t xml:space="preserve">draft </w:t>
      </w:r>
      <w:r w:rsidR="00F1728D">
        <w:t>agenda for the meeting</w:t>
      </w:r>
      <w:r w:rsidR="004040E1">
        <w:t xml:space="preserve"> is attached in </w:t>
      </w:r>
      <w:hyperlink w:anchor="_Draft_Agenda_for" w:history="1">
        <w:r w:rsidR="004040E1" w:rsidRPr="00F60165">
          <w:rPr>
            <w:rStyle w:val="Hyperlink"/>
          </w:rPr>
          <w:t>Annex 2</w:t>
        </w:r>
      </w:hyperlink>
      <w:r w:rsidR="004040E1">
        <w:t xml:space="preserve"> to this Circular</w:t>
      </w:r>
      <w:r w:rsidR="00F1728D">
        <w:t>.</w:t>
      </w:r>
    </w:p>
    <w:p w:rsidR="00CD5C07" w:rsidRDefault="00C54D4F" w:rsidP="00D372D3">
      <w:pPr>
        <w:tabs>
          <w:tab w:val="clear" w:pos="794"/>
          <w:tab w:val="clear" w:pos="1191"/>
          <w:tab w:val="clear" w:pos="1588"/>
          <w:tab w:val="clear" w:pos="1985"/>
        </w:tabs>
        <w:jc w:val="both"/>
      </w:pPr>
      <w:r>
        <w:rPr>
          <w:rFonts w:asciiTheme="majorBidi" w:hAnsiTheme="majorBidi" w:cstheme="majorBidi"/>
        </w:rPr>
        <w:t>4</w:t>
      </w:r>
      <w:r>
        <w:rPr>
          <w:rFonts w:asciiTheme="majorBidi" w:hAnsiTheme="majorBidi" w:cstheme="majorBidi"/>
        </w:rPr>
        <w:tab/>
      </w:r>
      <w:r w:rsidR="007E0130">
        <w:rPr>
          <w:rFonts w:asciiTheme="majorBidi" w:hAnsiTheme="majorBidi" w:cstheme="majorBidi"/>
        </w:rPr>
        <w:t xml:space="preserve">The meeting will be collocated with </w:t>
      </w:r>
      <w:r w:rsidR="002336AB">
        <w:t>Study Group 13 (</w:t>
      </w:r>
      <w:r w:rsidR="002336AB" w:rsidRPr="005D6843">
        <w:rPr>
          <w:i/>
          <w:iCs/>
        </w:rPr>
        <w:t>Future</w:t>
      </w:r>
      <w:r w:rsidR="002336AB" w:rsidRPr="00DA4C3C">
        <w:rPr>
          <w:i/>
          <w:iCs/>
        </w:rPr>
        <w:t xml:space="preserve"> networks including </w:t>
      </w:r>
      <w:r w:rsidR="002336AB">
        <w:rPr>
          <w:i/>
          <w:iCs/>
        </w:rPr>
        <w:t xml:space="preserve">cloud computing, </w:t>
      </w:r>
      <w:r w:rsidR="002336AB" w:rsidRPr="00DA4C3C">
        <w:rPr>
          <w:i/>
          <w:iCs/>
        </w:rPr>
        <w:t xml:space="preserve">mobile and </w:t>
      </w:r>
      <w:r w:rsidR="002336AB">
        <w:rPr>
          <w:i/>
          <w:iCs/>
        </w:rPr>
        <w:t>next</w:t>
      </w:r>
      <w:r w:rsidR="002336AB" w:rsidRPr="00D37D88">
        <w:rPr>
          <w:i/>
          <w:iCs/>
        </w:rPr>
        <w:t xml:space="preserve"> </w:t>
      </w:r>
      <w:r w:rsidR="002336AB">
        <w:rPr>
          <w:i/>
          <w:iCs/>
        </w:rPr>
        <w:t>generation networks</w:t>
      </w:r>
      <w:r w:rsidR="002336AB">
        <w:t>), 4-15 November 2013</w:t>
      </w:r>
      <w:r w:rsidR="006179A3">
        <w:t>,</w:t>
      </w:r>
      <w:r w:rsidR="002336AB">
        <w:t xml:space="preserve"> as well as </w:t>
      </w:r>
      <w:r w:rsidR="002336AB" w:rsidRPr="002336AB">
        <w:t>WPs 1, 2 and 3 of Study Group 11</w:t>
      </w:r>
      <w:r w:rsidR="002336AB">
        <w:t xml:space="preserve"> </w:t>
      </w:r>
      <w:r w:rsidR="002336AB" w:rsidRPr="00D25FB3">
        <w:rPr>
          <w:i/>
          <w:iCs/>
        </w:rPr>
        <w:t xml:space="preserve">(Signalling requirements, protocols and test specifications) </w:t>
      </w:r>
      <w:r w:rsidR="002336AB">
        <w:t>meeting</w:t>
      </w:r>
      <w:r w:rsidR="006179A3">
        <w:t>s</w:t>
      </w:r>
      <w:r w:rsidR="002336AB" w:rsidRPr="002336AB">
        <w:t xml:space="preserve">, </w:t>
      </w:r>
      <w:r w:rsidR="00D372D3">
        <w:br/>
      </w:r>
      <w:r w:rsidR="002336AB" w:rsidRPr="002336AB">
        <w:t>7-13</w:t>
      </w:r>
      <w:r w:rsidR="00D372D3">
        <w:t> </w:t>
      </w:r>
      <w:r w:rsidR="002336AB" w:rsidRPr="002336AB">
        <w:t>November 2013</w:t>
      </w:r>
      <w:r w:rsidR="002336AB">
        <w:t xml:space="preserve">, </w:t>
      </w:r>
      <w:r w:rsidR="002336AB" w:rsidRPr="002336AB">
        <w:t>Kampala, Uganda</w:t>
      </w:r>
      <w:r w:rsidR="00CD5C07" w:rsidRPr="00D25FB3">
        <w:t>.</w:t>
      </w:r>
      <w:r w:rsidR="00F1728D">
        <w:t xml:space="preserve"> </w:t>
      </w:r>
    </w:p>
    <w:p w:rsidR="00587591" w:rsidRDefault="00C54D4F" w:rsidP="00587591">
      <w:pPr>
        <w:jc w:val="both"/>
        <w:rPr>
          <w:rFonts w:asciiTheme="majorBidi" w:hAnsiTheme="majorBidi" w:cstheme="majorBidi"/>
        </w:rPr>
      </w:pPr>
      <w:r>
        <w:rPr>
          <w:rFonts w:asciiTheme="majorBidi" w:hAnsiTheme="majorBidi" w:cstheme="majorBidi"/>
        </w:rPr>
        <w:lastRenderedPageBreak/>
        <w:t>5</w:t>
      </w:r>
      <w:r w:rsidR="00CD5C07" w:rsidRPr="008B58EB">
        <w:rPr>
          <w:rFonts w:asciiTheme="majorBidi" w:hAnsiTheme="majorBidi" w:cstheme="majorBidi"/>
        </w:rPr>
        <w:tab/>
      </w:r>
      <w:r w:rsidR="006179A3">
        <w:rPr>
          <w:rFonts w:asciiTheme="majorBidi" w:hAnsiTheme="majorBidi" w:cstheme="majorBidi"/>
        </w:rPr>
        <w:t>A webpage for the JCA-SDN has been set-up</w:t>
      </w:r>
      <w:r w:rsidR="00745066">
        <w:rPr>
          <w:rFonts w:asciiTheme="majorBidi" w:hAnsiTheme="majorBidi" w:cstheme="majorBidi"/>
        </w:rPr>
        <w:t xml:space="preserve">. It includes </w:t>
      </w:r>
      <w:r w:rsidR="00587591">
        <w:rPr>
          <w:rFonts w:asciiTheme="majorBidi" w:hAnsiTheme="majorBidi" w:cstheme="majorBidi"/>
        </w:rPr>
        <w:t xml:space="preserve">online registration and </w:t>
      </w:r>
      <w:r w:rsidR="00745066">
        <w:rPr>
          <w:rFonts w:asciiTheme="majorBidi" w:hAnsiTheme="majorBidi" w:cstheme="majorBidi"/>
        </w:rPr>
        <w:t>additional information, please see</w:t>
      </w:r>
      <w:r w:rsidR="006179A3">
        <w:rPr>
          <w:rFonts w:asciiTheme="majorBidi" w:hAnsiTheme="majorBidi" w:cstheme="majorBidi"/>
        </w:rPr>
        <w:t>:</w:t>
      </w:r>
      <w:r w:rsidR="00745066">
        <w:rPr>
          <w:rFonts w:asciiTheme="majorBidi" w:hAnsiTheme="majorBidi" w:cstheme="majorBidi"/>
        </w:rPr>
        <w:t xml:space="preserve"> </w:t>
      </w:r>
      <w:hyperlink r:id="rId11" w:history="1">
        <w:r w:rsidR="006179A3" w:rsidRPr="00712A9E">
          <w:rPr>
            <w:rStyle w:val="Hyperlink"/>
            <w:rFonts w:asciiTheme="majorBidi" w:hAnsiTheme="majorBidi" w:cstheme="majorBidi"/>
          </w:rPr>
          <w:t>https://itu.int/en/ITU-T/jca/sdn</w:t>
        </w:r>
      </w:hyperlink>
      <w:r w:rsidR="00745066">
        <w:rPr>
          <w:rFonts w:asciiTheme="majorBidi" w:hAnsiTheme="majorBidi" w:cstheme="majorBidi"/>
        </w:rPr>
        <w:t>.</w:t>
      </w:r>
      <w:r w:rsidR="00587591">
        <w:rPr>
          <w:rFonts w:asciiTheme="majorBidi" w:hAnsiTheme="majorBidi" w:cstheme="majorBidi"/>
        </w:rPr>
        <w:t xml:space="preserve"> </w:t>
      </w:r>
    </w:p>
    <w:p w:rsidR="006179A3" w:rsidRDefault="00C54D4F" w:rsidP="00C54D4F">
      <w:pPr>
        <w:jc w:val="both"/>
        <w:rPr>
          <w:rFonts w:asciiTheme="majorBidi" w:hAnsiTheme="majorBidi" w:cstheme="majorBidi"/>
        </w:rPr>
      </w:pPr>
      <w:r>
        <w:rPr>
          <w:rFonts w:asciiTheme="majorBidi" w:hAnsiTheme="majorBidi" w:cstheme="majorBidi"/>
        </w:rPr>
        <w:t>6</w:t>
      </w:r>
      <w:r w:rsidR="00587591">
        <w:rPr>
          <w:rFonts w:asciiTheme="majorBidi" w:hAnsiTheme="majorBidi" w:cstheme="majorBidi"/>
        </w:rPr>
        <w:tab/>
      </w:r>
      <w:r>
        <w:rPr>
          <w:rFonts w:asciiTheme="majorBidi" w:hAnsiTheme="majorBidi" w:cstheme="majorBidi"/>
        </w:rPr>
        <w:t>The JCA-SDN always tries to accommodate remote participation, please see the webpage for more information.</w:t>
      </w:r>
    </w:p>
    <w:p w:rsidR="00CD5C07" w:rsidRPr="008B58EB" w:rsidRDefault="00CD5C07">
      <w:pPr>
        <w:jc w:val="both"/>
        <w:rPr>
          <w:rFonts w:asciiTheme="majorBidi" w:hAnsiTheme="majorBidi" w:cstheme="majorBidi"/>
        </w:rPr>
      </w:pPr>
    </w:p>
    <w:p w:rsidR="00957FE8" w:rsidRDefault="00957FE8">
      <w:pPr>
        <w:spacing w:before="480"/>
        <w:ind w:right="92"/>
      </w:pPr>
      <w:r>
        <w:t>Yours faithfully,</w:t>
      </w:r>
    </w:p>
    <w:p w:rsidR="00957FE8" w:rsidRDefault="0094379E" w:rsidP="00690A75">
      <w:pPr>
        <w:pStyle w:val="BodyText3"/>
        <w:spacing w:before="1200"/>
      </w:pPr>
      <w:r w:rsidRPr="0094379E">
        <w:rPr>
          <w:lang w:val="en-US"/>
        </w:rPr>
        <w:t>Malcolm Johnson</w:t>
      </w:r>
      <w:r w:rsidR="00957FE8">
        <w:br/>
        <w:t>Director of the Telecommunication</w:t>
      </w:r>
      <w:r w:rsidR="00957FE8">
        <w:br/>
        <w:t>Standardization Bureau</w:t>
      </w:r>
    </w:p>
    <w:p w:rsidR="00957FE8" w:rsidRPr="00AD6650" w:rsidRDefault="00A271F0">
      <w:pPr>
        <w:spacing w:before="720"/>
        <w:ind w:right="92"/>
        <w:rPr>
          <w:lang w:val="en-US"/>
        </w:rPr>
      </w:pPr>
      <w:r w:rsidRPr="00A271F0">
        <w:rPr>
          <w:b/>
          <w:lang w:val="en-US"/>
        </w:rPr>
        <w:t>Annex</w:t>
      </w:r>
      <w:r w:rsidR="003F7E8C">
        <w:rPr>
          <w:b/>
          <w:lang w:val="en-US"/>
        </w:rPr>
        <w:t>es</w:t>
      </w:r>
      <w:r w:rsidRPr="00A271F0">
        <w:rPr>
          <w:b/>
          <w:lang w:val="en-US"/>
        </w:rPr>
        <w:t>:</w:t>
      </w:r>
      <w:r w:rsidR="00D56663">
        <w:rPr>
          <w:b/>
          <w:lang w:val="en-US"/>
        </w:rPr>
        <w:t xml:space="preserve"> </w:t>
      </w:r>
      <w:r w:rsidR="005E301A">
        <w:rPr>
          <w:b/>
          <w:lang w:val="en-US"/>
        </w:rPr>
        <w:t>2</w:t>
      </w:r>
    </w:p>
    <w:p w:rsidR="00957FE8" w:rsidRDefault="00A271F0" w:rsidP="00CD5C07">
      <w:pPr>
        <w:pStyle w:val="LetterStart"/>
        <w:tabs>
          <w:tab w:val="clear" w:pos="1361"/>
          <w:tab w:val="clear" w:pos="1758"/>
          <w:tab w:val="clear" w:pos="2155"/>
          <w:tab w:val="clear" w:pos="2552"/>
          <w:tab w:val="center" w:pos="4962"/>
        </w:tabs>
        <w:spacing w:before="120" w:line="240" w:lineRule="atLeast"/>
      </w:pPr>
      <w:r w:rsidRPr="00A271F0">
        <w:rPr>
          <w:lang w:val="en-US"/>
        </w:rPr>
        <w:br w:type="page"/>
      </w:r>
      <w:bookmarkStart w:id="6" w:name="Duties"/>
      <w:bookmarkEnd w:id="6"/>
      <w:r w:rsidRPr="00A271F0">
        <w:rPr>
          <w:lang w:val="en-US"/>
        </w:rPr>
        <w:lastRenderedPageBreak/>
        <w:tab/>
      </w:r>
    </w:p>
    <w:p w:rsidR="00CD5C07" w:rsidRPr="00FC5A72" w:rsidRDefault="00CD5C07" w:rsidP="005E301A">
      <w:pPr>
        <w:jc w:val="center"/>
      </w:pPr>
      <w:r>
        <w:t>ANNEX 1</w:t>
      </w:r>
      <w:r>
        <w:br/>
      </w:r>
      <w:r w:rsidRPr="00FC5A72">
        <w:t xml:space="preserve">(to TSB Circular </w:t>
      </w:r>
      <w:r w:rsidR="005E301A">
        <w:t>60</w:t>
      </w:r>
      <w:r w:rsidRPr="00FC5A72">
        <w:t>)</w:t>
      </w:r>
    </w:p>
    <w:p w:rsidR="00745066" w:rsidRPr="003866E5" w:rsidRDefault="00745066" w:rsidP="003866E5">
      <w:pPr>
        <w:pStyle w:val="Heading1"/>
        <w:jc w:val="center"/>
        <w:rPr>
          <w:rFonts w:asciiTheme="majorBidi" w:hAnsiTheme="majorBidi" w:cstheme="majorBidi"/>
          <w:sz w:val="28"/>
          <w:szCs w:val="28"/>
          <w:lang w:eastAsia="ko-KR"/>
        </w:rPr>
      </w:pPr>
      <w:r w:rsidRPr="00033E90">
        <w:rPr>
          <w:rFonts w:asciiTheme="majorBidi" w:hAnsiTheme="majorBidi" w:cstheme="majorBidi"/>
          <w:sz w:val="28"/>
          <w:szCs w:val="28"/>
          <w:lang w:eastAsia="ko-KR"/>
        </w:rPr>
        <w:t>Joint Coordination Activity on Software-Defined Networking (JCA-SDN</w:t>
      </w:r>
      <w:proofErr w:type="gramStart"/>
      <w:r w:rsidRPr="00033E90">
        <w:rPr>
          <w:rFonts w:asciiTheme="majorBidi" w:hAnsiTheme="majorBidi" w:cstheme="majorBidi"/>
          <w:sz w:val="28"/>
          <w:szCs w:val="28"/>
          <w:lang w:eastAsia="ko-KR"/>
        </w:rPr>
        <w:t>)</w:t>
      </w:r>
      <w:bookmarkStart w:id="7" w:name="_Terms_of_Reference"/>
      <w:bookmarkEnd w:id="7"/>
      <w:proofErr w:type="gramEnd"/>
      <w:r w:rsidR="00F60165" w:rsidRPr="003866E5">
        <w:rPr>
          <w:rFonts w:asciiTheme="majorBidi" w:hAnsiTheme="majorBidi" w:cstheme="majorBidi"/>
          <w:sz w:val="28"/>
          <w:szCs w:val="28"/>
          <w:lang w:eastAsia="ko-KR"/>
        </w:rPr>
        <w:br/>
      </w:r>
      <w:r w:rsidRPr="003866E5">
        <w:rPr>
          <w:rFonts w:asciiTheme="majorBidi" w:hAnsiTheme="majorBidi" w:cstheme="majorBidi"/>
          <w:sz w:val="28"/>
          <w:szCs w:val="28"/>
          <w:lang w:eastAsia="ko-KR"/>
        </w:rPr>
        <w:t>Terms of Reference</w:t>
      </w:r>
    </w:p>
    <w:p w:rsidR="00745066" w:rsidRPr="00033E90" w:rsidRDefault="00745066" w:rsidP="00745066">
      <w:pPr>
        <w:pStyle w:val="Heading3"/>
        <w:keepLines w:val="0"/>
        <w:numPr>
          <w:ilvl w:val="0"/>
          <w:numId w:val="12"/>
        </w:numPr>
        <w:tabs>
          <w:tab w:val="clear" w:pos="794"/>
          <w:tab w:val="clear" w:pos="2127"/>
          <w:tab w:val="clear" w:pos="2410"/>
          <w:tab w:val="clear" w:pos="2921"/>
          <w:tab w:val="clear" w:pos="3261"/>
        </w:tabs>
        <w:spacing w:before="240" w:after="60"/>
        <w:ind w:left="567" w:hanging="567"/>
        <w:rPr>
          <w:rFonts w:asciiTheme="majorBidi" w:hAnsiTheme="majorBidi" w:cstheme="majorBidi"/>
          <w:szCs w:val="24"/>
          <w:lang w:eastAsia="ko-KR"/>
        </w:rPr>
      </w:pPr>
      <w:r w:rsidRPr="00033E90">
        <w:rPr>
          <w:rFonts w:asciiTheme="majorBidi" w:hAnsiTheme="majorBidi" w:cstheme="majorBidi"/>
          <w:szCs w:val="24"/>
          <w:lang w:eastAsia="ko-KR"/>
        </w:rPr>
        <w:t>Scope</w:t>
      </w:r>
    </w:p>
    <w:p w:rsidR="00745066" w:rsidRPr="00033E90" w:rsidRDefault="00745066" w:rsidP="00745066">
      <w:pPr>
        <w:jc w:val="both"/>
        <w:rPr>
          <w:rFonts w:asciiTheme="majorBidi" w:eastAsia="Malgun Gothic" w:hAnsiTheme="majorBidi" w:cstheme="majorBidi"/>
          <w:lang w:eastAsia="ko-KR"/>
        </w:rPr>
      </w:pPr>
      <w:r w:rsidRPr="00033E90">
        <w:rPr>
          <w:rFonts w:asciiTheme="majorBidi" w:eastAsia="Malgun Gothic" w:hAnsiTheme="majorBidi" w:cstheme="majorBidi"/>
          <w:lang w:eastAsia="ko-KR"/>
        </w:rPr>
        <w:t>The role of JCA-SDN is the coordination of the standardization work on SDN and related technical topics within ITU-T, taking into consideration the work of relevant other standards development organizations (SDOs), forums and consortia.</w:t>
      </w:r>
    </w:p>
    <w:p w:rsidR="00745066" w:rsidRPr="00033E90" w:rsidRDefault="00745066" w:rsidP="00745066">
      <w:pPr>
        <w:jc w:val="both"/>
        <w:rPr>
          <w:rFonts w:asciiTheme="majorBidi" w:eastAsia="Malgun Gothic" w:hAnsiTheme="majorBidi" w:cstheme="majorBidi"/>
          <w:lang w:eastAsia="ko-KR"/>
        </w:rPr>
      </w:pPr>
      <w:r w:rsidRPr="00033E90">
        <w:rPr>
          <w:rFonts w:asciiTheme="majorBidi" w:eastAsia="Malgun Gothic" w:hAnsiTheme="majorBidi" w:cstheme="majorBidi"/>
          <w:lang w:eastAsia="ko-KR"/>
        </w:rPr>
        <w:t>The JCA-SDN will help TSAG in achieving the actions assigned in WTSA</w:t>
      </w:r>
      <w:r w:rsidRPr="00033E90">
        <w:rPr>
          <w:rFonts w:asciiTheme="majorBidi" w:eastAsia="Malgun Gothic" w:hAnsiTheme="majorBidi" w:cstheme="majorBidi"/>
          <w:lang w:eastAsia="ko-KR"/>
        </w:rPr>
        <w:noBreakHyphen/>
        <w:t xml:space="preserve">12 Resolution 77, </w:t>
      </w:r>
      <w:r w:rsidRPr="00033E90">
        <w:rPr>
          <w:rFonts w:asciiTheme="majorBidi" w:eastAsia="Malgun Gothic" w:hAnsiTheme="majorBidi" w:cstheme="majorBidi"/>
          <w:i/>
          <w:lang w:eastAsia="ko-KR"/>
        </w:rPr>
        <w:t>Standardization work in ITU-T for software-defined networking</w:t>
      </w:r>
      <w:r w:rsidRPr="00033E90">
        <w:rPr>
          <w:rFonts w:asciiTheme="majorBidi" w:eastAsia="Malgun Gothic" w:hAnsiTheme="majorBidi" w:cstheme="majorBidi"/>
          <w:lang w:eastAsia="ko-KR"/>
        </w:rPr>
        <w:t>, namely:</w:t>
      </w:r>
    </w:p>
    <w:p w:rsidR="00745066" w:rsidRPr="00033E90" w:rsidRDefault="00745066" w:rsidP="00745066">
      <w:pPr>
        <w:jc w:val="both"/>
        <w:rPr>
          <w:rFonts w:asciiTheme="majorBidi" w:eastAsia="Malgun Gothic" w:hAnsiTheme="majorBidi" w:cstheme="majorBidi"/>
          <w:i/>
          <w:iCs/>
          <w:lang w:eastAsia="ko-KR"/>
        </w:rPr>
      </w:pPr>
      <w:r w:rsidRPr="00033E90">
        <w:rPr>
          <w:rFonts w:asciiTheme="majorBidi" w:eastAsia="Malgun Gothic" w:hAnsiTheme="majorBidi" w:cstheme="majorBidi"/>
          <w:lang w:eastAsia="ko-KR"/>
        </w:rPr>
        <w:t>"</w:t>
      </w:r>
      <w:r w:rsidRPr="00033E90">
        <w:rPr>
          <w:rFonts w:asciiTheme="majorBidi" w:eastAsia="Malgun Gothic" w:hAnsiTheme="majorBidi" w:cstheme="majorBidi"/>
          <w:i/>
          <w:iCs/>
          <w:lang w:eastAsia="ko-KR"/>
        </w:rPr>
        <w:t>to examine the matter, consider the input of Study Group 13 and other relevant study groups and take the necessary actions, as appropriate, with a view to deciding on the necessary SDN standardization activities in ITU-T, with the following actions:</w:t>
      </w:r>
    </w:p>
    <w:p w:rsidR="00745066" w:rsidRPr="00033E90" w:rsidRDefault="00745066" w:rsidP="00745066">
      <w:pPr>
        <w:pStyle w:val="ListParagraph"/>
        <w:numPr>
          <w:ilvl w:val="0"/>
          <w:numId w:val="11"/>
        </w:numPr>
        <w:spacing w:before="120" w:after="0" w:line="240" w:lineRule="auto"/>
        <w:ind w:left="567" w:hanging="567"/>
        <w:jc w:val="both"/>
        <w:rPr>
          <w:rFonts w:asciiTheme="majorBidi" w:eastAsia="Malgun Gothic" w:hAnsiTheme="majorBidi" w:cstheme="majorBidi"/>
          <w:i/>
          <w:iCs/>
          <w:sz w:val="24"/>
          <w:lang w:eastAsia="ko-KR"/>
        </w:rPr>
      </w:pPr>
      <w:r w:rsidRPr="00033E90">
        <w:rPr>
          <w:rFonts w:asciiTheme="majorBidi" w:eastAsia="Malgun Gothic" w:hAnsiTheme="majorBidi" w:cstheme="majorBidi"/>
          <w:i/>
          <w:iCs/>
          <w:sz w:val="24"/>
          <w:lang w:eastAsia="ko-KR"/>
        </w:rPr>
        <w:t>identify the relevant study group(s) in which to follow up actions and establish a suitable organizational arrangement on SDN;</w:t>
      </w:r>
    </w:p>
    <w:p w:rsidR="00745066" w:rsidRPr="00033E90" w:rsidRDefault="00745066" w:rsidP="00745066">
      <w:pPr>
        <w:pStyle w:val="ListParagraph"/>
        <w:numPr>
          <w:ilvl w:val="0"/>
          <w:numId w:val="11"/>
        </w:numPr>
        <w:spacing w:before="120" w:after="0" w:line="240" w:lineRule="auto"/>
        <w:ind w:left="567" w:hanging="567"/>
        <w:jc w:val="both"/>
        <w:rPr>
          <w:rFonts w:asciiTheme="majorBidi" w:eastAsia="Malgun Gothic" w:hAnsiTheme="majorBidi" w:cstheme="majorBidi"/>
          <w:i/>
          <w:iCs/>
          <w:sz w:val="24"/>
          <w:lang w:eastAsia="ko-KR"/>
        </w:rPr>
      </w:pPr>
      <w:r w:rsidRPr="00033E90">
        <w:rPr>
          <w:rFonts w:asciiTheme="majorBidi" w:eastAsia="Malgun Gothic" w:hAnsiTheme="majorBidi" w:cstheme="majorBidi"/>
          <w:i/>
          <w:iCs/>
          <w:sz w:val="24"/>
          <w:lang w:eastAsia="ko-KR"/>
        </w:rPr>
        <w:t>coordinate the work on technical issues of SDN across the study groups according to their area of expertise;</w:t>
      </w:r>
    </w:p>
    <w:p w:rsidR="00745066" w:rsidRPr="00033E90" w:rsidRDefault="00745066" w:rsidP="00745066">
      <w:pPr>
        <w:pStyle w:val="ListParagraph"/>
        <w:numPr>
          <w:ilvl w:val="0"/>
          <w:numId w:val="11"/>
        </w:numPr>
        <w:spacing w:before="120" w:after="0" w:line="240" w:lineRule="auto"/>
        <w:ind w:left="567" w:hanging="567"/>
        <w:jc w:val="both"/>
        <w:rPr>
          <w:rFonts w:asciiTheme="majorBidi" w:eastAsia="Malgun Gothic" w:hAnsiTheme="majorBidi" w:cstheme="majorBidi"/>
          <w:i/>
          <w:iCs/>
          <w:sz w:val="24"/>
          <w:lang w:eastAsia="ko-KR"/>
        </w:rPr>
      </w:pPr>
      <w:r w:rsidRPr="00033E90">
        <w:rPr>
          <w:rFonts w:asciiTheme="majorBidi" w:eastAsia="Malgun Gothic" w:hAnsiTheme="majorBidi" w:cstheme="majorBidi"/>
          <w:i/>
          <w:iCs/>
          <w:sz w:val="24"/>
          <w:lang w:eastAsia="ko-KR"/>
        </w:rPr>
        <w:t>promote collaboration with other SDN-related standards bodies and forums;</w:t>
      </w:r>
    </w:p>
    <w:p w:rsidR="00745066" w:rsidRPr="00033E90" w:rsidRDefault="00745066" w:rsidP="00745066">
      <w:pPr>
        <w:pStyle w:val="ListParagraph"/>
        <w:numPr>
          <w:ilvl w:val="0"/>
          <w:numId w:val="11"/>
        </w:numPr>
        <w:spacing w:before="120" w:after="0" w:line="240" w:lineRule="auto"/>
        <w:ind w:left="567" w:hanging="567"/>
        <w:jc w:val="both"/>
        <w:rPr>
          <w:rFonts w:asciiTheme="majorBidi" w:eastAsia="Malgun Gothic" w:hAnsiTheme="majorBidi" w:cstheme="majorBidi"/>
          <w:sz w:val="24"/>
          <w:lang w:eastAsia="ko-KR"/>
        </w:rPr>
      </w:pPr>
      <w:proofErr w:type="gramStart"/>
      <w:r w:rsidRPr="00033E90">
        <w:rPr>
          <w:rFonts w:asciiTheme="majorBidi" w:eastAsia="Malgun Gothic" w:hAnsiTheme="majorBidi" w:cstheme="majorBidi"/>
          <w:i/>
          <w:iCs/>
          <w:sz w:val="24"/>
          <w:lang w:eastAsia="ko-KR"/>
        </w:rPr>
        <w:t>define</w:t>
      </w:r>
      <w:proofErr w:type="gramEnd"/>
      <w:r w:rsidRPr="00033E90">
        <w:rPr>
          <w:rFonts w:asciiTheme="majorBidi" w:eastAsia="Malgun Gothic" w:hAnsiTheme="majorBidi" w:cstheme="majorBidi"/>
          <w:i/>
          <w:iCs/>
          <w:sz w:val="24"/>
          <w:lang w:eastAsia="ko-KR"/>
        </w:rPr>
        <w:t xml:space="preserve"> a clear strategic vision for SDN standardization and an important active role that ITU-T should play.</w:t>
      </w:r>
      <w:r w:rsidRPr="00033E90">
        <w:rPr>
          <w:rFonts w:asciiTheme="majorBidi" w:eastAsia="Malgun Gothic" w:hAnsiTheme="majorBidi" w:cstheme="majorBidi"/>
          <w:sz w:val="24"/>
          <w:lang w:eastAsia="ko-KR"/>
        </w:rPr>
        <w:t>"</w:t>
      </w:r>
    </w:p>
    <w:p w:rsidR="00745066" w:rsidRPr="00033E90" w:rsidRDefault="00745066" w:rsidP="00745066">
      <w:pPr>
        <w:jc w:val="both"/>
        <w:rPr>
          <w:rFonts w:asciiTheme="majorBidi" w:eastAsia="Malgun Gothic" w:hAnsiTheme="majorBidi" w:cstheme="majorBidi"/>
          <w:lang w:eastAsia="ko-KR"/>
        </w:rPr>
      </w:pPr>
      <w:r w:rsidRPr="00033E90">
        <w:rPr>
          <w:rFonts w:asciiTheme="majorBidi" w:eastAsia="Malgun Gothic" w:hAnsiTheme="majorBidi" w:cstheme="majorBidi"/>
          <w:lang w:eastAsia="ko-KR"/>
        </w:rPr>
        <w:t>The JCA-SDN will also help SG 13 in performing its role of lead study group on SDN according to WTSA-12 Resolution 1, clause 2.1.6, namely:</w:t>
      </w:r>
    </w:p>
    <w:p w:rsidR="00745066" w:rsidRPr="00033E90" w:rsidRDefault="00745066" w:rsidP="00745066">
      <w:pPr>
        <w:jc w:val="both"/>
        <w:rPr>
          <w:rFonts w:asciiTheme="majorBidi" w:eastAsia="Malgun Gothic" w:hAnsiTheme="majorBidi" w:cstheme="majorBidi"/>
          <w:lang w:eastAsia="ko-KR"/>
        </w:rPr>
      </w:pPr>
      <w:r w:rsidRPr="00033E90">
        <w:rPr>
          <w:rFonts w:asciiTheme="majorBidi" w:eastAsia="Malgun Gothic" w:hAnsiTheme="majorBidi" w:cstheme="majorBidi"/>
          <w:lang w:eastAsia="ko-KR"/>
        </w:rPr>
        <w:t>"</w:t>
      </w:r>
      <w:r w:rsidRPr="00033E90">
        <w:rPr>
          <w:rFonts w:asciiTheme="majorBidi" w:eastAsia="Malgun Gothic" w:hAnsiTheme="majorBidi" w:cstheme="majorBidi"/>
          <w:i/>
          <w:iCs/>
          <w:lang w:eastAsia="ko-KR"/>
        </w:rPr>
        <w:t>This lead study group is responsible for the study of the appropriate core Questions. In addition, in consultation with the relevant study groups and in collaboration, where appropriate, with other standards bodies, the lead study group has the responsibility to define and maintain the overall framework and to coordinate, assign (recognizing the mandates of the study groups) and prioritize the studies to be carried out by the study groups, and to ensure the preparation of consistent, complete and timely Recommendations. The lead study group shall inform TSAG on the progress of the work as defined in the scope of the lead study group activity. Issues which cannot be resolved by the study group should be raised for TSAG to offer advice and proposals for the direction of the work.</w:t>
      </w:r>
      <w:r w:rsidRPr="00033E90">
        <w:rPr>
          <w:rFonts w:asciiTheme="majorBidi" w:eastAsia="Malgun Gothic" w:hAnsiTheme="majorBidi" w:cstheme="majorBidi"/>
          <w:lang w:eastAsia="ko-KR"/>
        </w:rPr>
        <w:t>"</w:t>
      </w:r>
    </w:p>
    <w:p w:rsidR="00745066" w:rsidRPr="00033E90" w:rsidRDefault="00745066" w:rsidP="00745066">
      <w:pPr>
        <w:jc w:val="both"/>
        <w:rPr>
          <w:rFonts w:asciiTheme="majorBidi" w:eastAsia="Malgun Gothic" w:hAnsiTheme="majorBidi" w:cstheme="majorBidi"/>
          <w:lang w:eastAsia="ko-KR"/>
        </w:rPr>
      </w:pPr>
      <w:r w:rsidRPr="00033E90">
        <w:rPr>
          <w:rFonts w:asciiTheme="majorBidi" w:eastAsia="Malgun Gothic" w:hAnsiTheme="majorBidi" w:cstheme="majorBidi"/>
          <w:lang w:eastAsia="ko-KR"/>
        </w:rPr>
        <w:t>The JCA operates under the terms of Recommendation ITU-T A.1, clause 2.2.</w:t>
      </w:r>
    </w:p>
    <w:p w:rsidR="00745066" w:rsidRPr="00033E90" w:rsidRDefault="00745066" w:rsidP="00745066">
      <w:pPr>
        <w:pStyle w:val="Heading3"/>
        <w:keepLines w:val="0"/>
        <w:numPr>
          <w:ilvl w:val="0"/>
          <w:numId w:val="12"/>
        </w:numPr>
        <w:tabs>
          <w:tab w:val="clear" w:pos="794"/>
          <w:tab w:val="clear" w:pos="2127"/>
          <w:tab w:val="clear" w:pos="2410"/>
          <w:tab w:val="clear" w:pos="2921"/>
          <w:tab w:val="clear" w:pos="3261"/>
        </w:tabs>
        <w:spacing w:before="240" w:after="60"/>
        <w:ind w:left="567" w:hanging="567"/>
        <w:rPr>
          <w:rFonts w:asciiTheme="majorBidi" w:hAnsiTheme="majorBidi" w:cstheme="majorBidi"/>
          <w:szCs w:val="24"/>
          <w:lang w:eastAsia="ko-KR"/>
        </w:rPr>
      </w:pPr>
      <w:r w:rsidRPr="00033E90">
        <w:rPr>
          <w:rFonts w:asciiTheme="majorBidi" w:hAnsiTheme="majorBidi" w:cstheme="majorBidi"/>
          <w:szCs w:val="24"/>
          <w:lang w:eastAsia="ko-KR"/>
        </w:rPr>
        <w:t>Objectives</w:t>
      </w:r>
    </w:p>
    <w:p w:rsidR="00745066" w:rsidRPr="00033E90" w:rsidRDefault="00745066" w:rsidP="00745066">
      <w:pPr>
        <w:numPr>
          <w:ilvl w:val="0"/>
          <w:numId w:val="10"/>
        </w:numPr>
        <w:tabs>
          <w:tab w:val="clear" w:pos="794"/>
          <w:tab w:val="clear" w:pos="1191"/>
          <w:tab w:val="clear" w:pos="1588"/>
          <w:tab w:val="clear" w:pos="1985"/>
        </w:tabs>
        <w:ind w:left="567" w:hanging="567"/>
        <w:jc w:val="both"/>
        <w:rPr>
          <w:rFonts w:asciiTheme="majorBidi" w:eastAsia="Malgun Gothic" w:hAnsiTheme="majorBidi" w:cstheme="majorBidi"/>
          <w:lang w:eastAsia="ko-KR"/>
        </w:rPr>
      </w:pPr>
      <w:r w:rsidRPr="00033E90">
        <w:rPr>
          <w:rFonts w:asciiTheme="majorBidi" w:hAnsiTheme="majorBidi" w:cstheme="majorBidi"/>
        </w:rPr>
        <w:t>The JCA-SDN will coordinate and help plan the work to ensure that the ITU-T SDN standardization is progressed in a well-coordinated manner among relevant study groups, in particular, Study Group 13 on use-cases, requirements and architecture, Study Group 3 on billing, economic and regulatory considerations, Study Group 11 on protocols and interoperability, Study Group 12 on QoS, Study Group 15 on transport aspects, Study Group 16 on multimedia systems and services, and Study Group 17 on security;</w:t>
      </w:r>
    </w:p>
    <w:p w:rsidR="00745066" w:rsidRPr="00033E90" w:rsidRDefault="00745066" w:rsidP="00745066">
      <w:pPr>
        <w:numPr>
          <w:ilvl w:val="0"/>
          <w:numId w:val="10"/>
        </w:numPr>
        <w:tabs>
          <w:tab w:val="clear" w:pos="794"/>
          <w:tab w:val="clear" w:pos="1191"/>
          <w:tab w:val="clear" w:pos="1588"/>
          <w:tab w:val="clear" w:pos="1985"/>
        </w:tabs>
        <w:ind w:left="567" w:hanging="567"/>
        <w:jc w:val="both"/>
        <w:rPr>
          <w:rFonts w:asciiTheme="majorBidi" w:eastAsia="Malgun Gothic" w:hAnsiTheme="majorBidi" w:cstheme="majorBidi"/>
          <w:lang w:eastAsia="ko-KR"/>
        </w:rPr>
      </w:pPr>
      <w:r w:rsidRPr="00033E90">
        <w:rPr>
          <w:rFonts w:asciiTheme="majorBidi" w:eastAsia="Malgun Gothic" w:hAnsiTheme="majorBidi" w:cstheme="majorBidi"/>
          <w:lang w:eastAsia="ko-KR"/>
        </w:rPr>
        <w:t>The JCA-SDN will study the SDN-related work programmes (including virtualization of network functions, programmable networks and Network as a Service) in ITU-T study groups, as well as in other SDOs, forums and consortia, for use in its coordination function and will provide information on this work for use by the relevant study groups in planning their work.</w:t>
      </w:r>
    </w:p>
    <w:p w:rsidR="00745066" w:rsidRPr="00033E90" w:rsidRDefault="00745066" w:rsidP="00745066">
      <w:pPr>
        <w:numPr>
          <w:ilvl w:val="0"/>
          <w:numId w:val="10"/>
        </w:numPr>
        <w:tabs>
          <w:tab w:val="clear" w:pos="794"/>
          <w:tab w:val="clear" w:pos="1191"/>
          <w:tab w:val="clear" w:pos="1588"/>
          <w:tab w:val="clear" w:pos="1985"/>
        </w:tabs>
        <w:ind w:left="567" w:hanging="567"/>
        <w:jc w:val="both"/>
        <w:rPr>
          <w:rFonts w:asciiTheme="majorBidi" w:eastAsia="Malgun Gothic" w:hAnsiTheme="majorBidi" w:cstheme="majorBidi"/>
          <w:lang w:eastAsia="ko-KR"/>
        </w:rPr>
      </w:pPr>
      <w:r w:rsidRPr="00033E90">
        <w:rPr>
          <w:rFonts w:asciiTheme="majorBidi" w:eastAsia="Malgun Gothic" w:hAnsiTheme="majorBidi" w:cstheme="majorBidi"/>
          <w:lang w:eastAsia="ko-KR"/>
        </w:rPr>
        <w:lastRenderedPageBreak/>
        <w:t>While study groups will interact directly with SDOs for progressing work items under their responsibility, the JCA-SDN will facilitate coordination with other SDOs, consortia and forums working on SDN-related standards;</w:t>
      </w:r>
    </w:p>
    <w:p w:rsidR="00745066" w:rsidRPr="00033E90" w:rsidRDefault="00745066" w:rsidP="00745066">
      <w:pPr>
        <w:numPr>
          <w:ilvl w:val="0"/>
          <w:numId w:val="10"/>
        </w:numPr>
        <w:tabs>
          <w:tab w:val="clear" w:pos="794"/>
          <w:tab w:val="clear" w:pos="1191"/>
          <w:tab w:val="clear" w:pos="1588"/>
          <w:tab w:val="clear" w:pos="1985"/>
        </w:tabs>
        <w:ind w:left="567" w:hanging="567"/>
        <w:jc w:val="both"/>
        <w:rPr>
          <w:rFonts w:asciiTheme="majorBidi" w:eastAsia="Malgun Gothic" w:hAnsiTheme="majorBidi" w:cstheme="majorBidi"/>
          <w:lang w:eastAsia="ko-KR"/>
        </w:rPr>
      </w:pPr>
      <w:r w:rsidRPr="00033E90">
        <w:rPr>
          <w:rFonts w:asciiTheme="majorBidi" w:eastAsia="Malgun Gothic" w:hAnsiTheme="majorBidi" w:cstheme="majorBidi"/>
          <w:lang w:eastAsia="ko-KR"/>
        </w:rPr>
        <w:t>In carrying out the JCA-SDN’s internal coordinating role, participants in the JCA-SDN will include representatives of relevant ITU-T study groups and other related ITU groups.</w:t>
      </w:r>
    </w:p>
    <w:p w:rsidR="00745066" w:rsidRPr="00033E90" w:rsidRDefault="00745066" w:rsidP="00745066">
      <w:pPr>
        <w:pStyle w:val="Heading3"/>
        <w:keepLines w:val="0"/>
        <w:numPr>
          <w:ilvl w:val="0"/>
          <w:numId w:val="12"/>
        </w:numPr>
        <w:tabs>
          <w:tab w:val="clear" w:pos="794"/>
          <w:tab w:val="clear" w:pos="2127"/>
          <w:tab w:val="clear" w:pos="2410"/>
          <w:tab w:val="clear" w:pos="2921"/>
          <w:tab w:val="clear" w:pos="3261"/>
        </w:tabs>
        <w:spacing w:before="240" w:after="60"/>
        <w:ind w:left="567" w:hanging="567"/>
        <w:rPr>
          <w:rFonts w:asciiTheme="majorBidi" w:hAnsiTheme="majorBidi" w:cstheme="majorBidi"/>
          <w:szCs w:val="24"/>
          <w:lang w:eastAsia="ko-KR"/>
        </w:rPr>
      </w:pPr>
      <w:r w:rsidRPr="00033E90">
        <w:rPr>
          <w:rFonts w:asciiTheme="majorBidi" w:hAnsiTheme="majorBidi" w:cstheme="majorBidi"/>
          <w:szCs w:val="24"/>
          <w:lang w:eastAsia="ko-KR"/>
        </w:rPr>
        <w:t>Administrative support</w:t>
      </w:r>
    </w:p>
    <w:p w:rsidR="00745066" w:rsidRPr="00033E90" w:rsidRDefault="00745066" w:rsidP="00745066">
      <w:pPr>
        <w:jc w:val="both"/>
        <w:rPr>
          <w:rFonts w:asciiTheme="majorBidi" w:eastAsia="Malgun Gothic" w:hAnsiTheme="majorBidi" w:cstheme="majorBidi"/>
          <w:lang w:eastAsia="ko-KR"/>
        </w:rPr>
      </w:pPr>
      <w:r w:rsidRPr="00033E90">
        <w:rPr>
          <w:rFonts w:asciiTheme="majorBidi" w:eastAsia="Malgun Gothic" w:hAnsiTheme="majorBidi" w:cstheme="majorBidi"/>
          <w:lang w:eastAsia="ko-KR"/>
        </w:rPr>
        <w:t>The ITU-T Telecommunication Standardization Bureau (TSB) will provide secretariat and facilities required by JCA-SDN, within available resource limits.</w:t>
      </w:r>
    </w:p>
    <w:p w:rsidR="00745066" w:rsidRPr="00033E90" w:rsidRDefault="00745066" w:rsidP="00745066">
      <w:pPr>
        <w:pStyle w:val="Heading3"/>
        <w:keepLines w:val="0"/>
        <w:numPr>
          <w:ilvl w:val="0"/>
          <w:numId w:val="12"/>
        </w:numPr>
        <w:tabs>
          <w:tab w:val="clear" w:pos="794"/>
          <w:tab w:val="clear" w:pos="2127"/>
          <w:tab w:val="clear" w:pos="2410"/>
          <w:tab w:val="clear" w:pos="2921"/>
          <w:tab w:val="clear" w:pos="3261"/>
        </w:tabs>
        <w:spacing w:before="240" w:after="60"/>
        <w:ind w:left="567" w:hanging="567"/>
        <w:rPr>
          <w:rFonts w:asciiTheme="majorBidi" w:hAnsiTheme="majorBidi" w:cstheme="majorBidi"/>
          <w:szCs w:val="24"/>
          <w:lang w:eastAsia="ko-KR"/>
        </w:rPr>
      </w:pPr>
      <w:r w:rsidRPr="00033E90">
        <w:rPr>
          <w:rFonts w:asciiTheme="majorBidi" w:hAnsiTheme="majorBidi" w:cstheme="majorBidi"/>
          <w:szCs w:val="24"/>
          <w:lang w:eastAsia="ko-KR"/>
        </w:rPr>
        <w:t>Meetings</w:t>
      </w:r>
    </w:p>
    <w:p w:rsidR="00745066" w:rsidRPr="00033E90" w:rsidRDefault="00745066" w:rsidP="00745066">
      <w:pPr>
        <w:jc w:val="both"/>
        <w:rPr>
          <w:rFonts w:asciiTheme="majorBidi" w:eastAsia="Malgun Gothic" w:hAnsiTheme="majorBidi" w:cstheme="majorBidi"/>
          <w:lang w:eastAsia="ko-KR"/>
        </w:rPr>
      </w:pPr>
      <w:r w:rsidRPr="00033E90">
        <w:rPr>
          <w:rFonts w:asciiTheme="majorBidi" w:eastAsia="Malgun Gothic" w:hAnsiTheme="majorBidi" w:cstheme="majorBidi"/>
          <w:lang w:eastAsia="ko-KR"/>
        </w:rPr>
        <w:t>The JCA-SDN will work electronically using teleconferences and with face-to-face meetings which will normally occur concurrently with study groups involved in JCA</w:t>
      </w:r>
      <w:r w:rsidRPr="00033E90">
        <w:rPr>
          <w:rFonts w:asciiTheme="majorBidi" w:eastAsia="Malgun Gothic" w:hAnsiTheme="majorBidi" w:cstheme="majorBidi"/>
          <w:lang w:eastAsia="ko-KR"/>
        </w:rPr>
        <w:noBreakHyphen/>
        <w:t>SDN. Meetings will be held as determined by the JCA-SDN and will be announced to its participants and on the ITU-T website.</w:t>
      </w:r>
    </w:p>
    <w:p w:rsidR="00745066" w:rsidRPr="00033E90" w:rsidRDefault="00745066" w:rsidP="00745066">
      <w:pPr>
        <w:pStyle w:val="Heading3"/>
        <w:keepLines w:val="0"/>
        <w:numPr>
          <w:ilvl w:val="0"/>
          <w:numId w:val="12"/>
        </w:numPr>
        <w:tabs>
          <w:tab w:val="clear" w:pos="794"/>
          <w:tab w:val="clear" w:pos="2127"/>
          <w:tab w:val="clear" w:pos="2410"/>
          <w:tab w:val="clear" w:pos="2921"/>
          <w:tab w:val="clear" w:pos="3261"/>
        </w:tabs>
        <w:spacing w:before="240" w:after="60"/>
        <w:ind w:left="567" w:hanging="567"/>
        <w:rPr>
          <w:rFonts w:asciiTheme="majorBidi" w:hAnsiTheme="majorBidi" w:cstheme="majorBidi"/>
          <w:szCs w:val="24"/>
          <w:lang w:eastAsia="ko-KR"/>
        </w:rPr>
      </w:pPr>
      <w:r w:rsidRPr="00033E90">
        <w:rPr>
          <w:rFonts w:asciiTheme="majorBidi" w:hAnsiTheme="majorBidi" w:cstheme="majorBidi"/>
          <w:szCs w:val="24"/>
          <w:lang w:eastAsia="ko-KR"/>
        </w:rPr>
        <w:t>Parent group and progress reports</w:t>
      </w:r>
    </w:p>
    <w:p w:rsidR="00745066" w:rsidRPr="00033E90" w:rsidRDefault="00745066" w:rsidP="00745066">
      <w:pPr>
        <w:jc w:val="both"/>
        <w:rPr>
          <w:rFonts w:asciiTheme="majorBidi" w:eastAsia="Malgun Gothic" w:hAnsiTheme="majorBidi" w:cstheme="majorBidi"/>
          <w:lang w:eastAsia="ko-KR"/>
        </w:rPr>
      </w:pPr>
      <w:r w:rsidRPr="00033E90">
        <w:rPr>
          <w:rFonts w:asciiTheme="majorBidi" w:eastAsia="Malgun Gothic" w:hAnsiTheme="majorBidi" w:cstheme="majorBidi"/>
          <w:lang w:eastAsia="ko-KR"/>
        </w:rPr>
        <w:t>The JCA-SDN will report its activities to TSAG at its meetings. An executive summary will be sent to TSAG after each JCA-SDN meeting.</w:t>
      </w:r>
    </w:p>
    <w:p w:rsidR="00745066" w:rsidRPr="00033E90" w:rsidRDefault="00745066" w:rsidP="00745066">
      <w:pPr>
        <w:jc w:val="both"/>
        <w:rPr>
          <w:rFonts w:asciiTheme="majorBidi" w:eastAsia="Malgun Gothic" w:hAnsiTheme="majorBidi" w:cstheme="majorBidi"/>
          <w:lang w:eastAsia="ko-KR"/>
        </w:rPr>
      </w:pPr>
      <w:r w:rsidRPr="00033E90">
        <w:rPr>
          <w:rFonts w:asciiTheme="majorBidi" w:eastAsia="Malgun Gothic" w:hAnsiTheme="majorBidi" w:cstheme="majorBidi"/>
          <w:lang w:eastAsia="ko-KR"/>
        </w:rPr>
        <w:t>Progress reports and proposals will be sent to relevant study groups as necessary, in accordance with Recommendation ITU-T A.1, clause 2.2.7, in particular to Study Group 13 as lead study group on SDN.</w:t>
      </w:r>
    </w:p>
    <w:p w:rsidR="00745066" w:rsidRPr="00033E90" w:rsidRDefault="00745066" w:rsidP="00745066">
      <w:pPr>
        <w:pStyle w:val="Heading3"/>
        <w:keepLines w:val="0"/>
        <w:numPr>
          <w:ilvl w:val="0"/>
          <w:numId w:val="12"/>
        </w:numPr>
        <w:tabs>
          <w:tab w:val="clear" w:pos="794"/>
          <w:tab w:val="clear" w:pos="2127"/>
          <w:tab w:val="clear" w:pos="2410"/>
          <w:tab w:val="clear" w:pos="2921"/>
          <w:tab w:val="clear" w:pos="3261"/>
        </w:tabs>
        <w:spacing w:before="240" w:after="60"/>
        <w:ind w:left="567" w:hanging="567"/>
        <w:rPr>
          <w:rFonts w:asciiTheme="majorBidi" w:hAnsiTheme="majorBidi" w:cstheme="majorBidi"/>
          <w:szCs w:val="24"/>
          <w:lang w:eastAsia="ko-KR"/>
        </w:rPr>
      </w:pPr>
      <w:r w:rsidRPr="00033E90">
        <w:rPr>
          <w:rFonts w:asciiTheme="majorBidi" w:hAnsiTheme="majorBidi" w:cstheme="majorBidi"/>
          <w:szCs w:val="24"/>
          <w:lang w:eastAsia="ko-KR"/>
        </w:rPr>
        <w:t>Lifetime</w:t>
      </w:r>
    </w:p>
    <w:p w:rsidR="00745066" w:rsidRPr="00033E90" w:rsidRDefault="00745066" w:rsidP="003866E5">
      <w:pPr>
        <w:jc w:val="both"/>
        <w:rPr>
          <w:rFonts w:asciiTheme="majorBidi" w:eastAsia="Malgun Gothic" w:hAnsiTheme="majorBidi" w:cstheme="majorBidi"/>
          <w:b/>
          <w:lang w:eastAsia="ko-KR"/>
        </w:rPr>
      </w:pPr>
      <w:r w:rsidRPr="00033E90">
        <w:rPr>
          <w:rFonts w:asciiTheme="majorBidi" w:eastAsia="Malgun Gothic" w:hAnsiTheme="majorBidi" w:cstheme="majorBidi"/>
          <w:lang w:eastAsia="ko-KR"/>
        </w:rPr>
        <w:t>The lifetime of JCA-SDN is until the end of the 2013-</w:t>
      </w:r>
      <w:r w:rsidR="005E301A">
        <w:rPr>
          <w:rFonts w:asciiTheme="majorBidi" w:eastAsia="Malgun Gothic" w:hAnsiTheme="majorBidi" w:cstheme="majorBidi"/>
          <w:lang w:eastAsia="ko-KR"/>
        </w:rPr>
        <w:t>20</w:t>
      </w:r>
      <w:r w:rsidRPr="00033E90">
        <w:rPr>
          <w:rFonts w:asciiTheme="majorBidi" w:eastAsia="Malgun Gothic" w:hAnsiTheme="majorBidi" w:cstheme="majorBidi"/>
          <w:lang w:eastAsia="ko-KR"/>
        </w:rPr>
        <w:t>16 study period, or until terminated according to Recommendation ITU-T A.1, clause 2.2.10.</w:t>
      </w:r>
    </w:p>
    <w:p w:rsidR="004040E1" w:rsidRPr="00FC5A72" w:rsidRDefault="004040E1" w:rsidP="005E301A">
      <w:pPr>
        <w:pageBreakBefore/>
        <w:jc w:val="center"/>
      </w:pPr>
      <w:r>
        <w:lastRenderedPageBreak/>
        <w:t>ANNEX 2</w:t>
      </w:r>
      <w:r>
        <w:br/>
      </w:r>
      <w:r w:rsidRPr="00FC5A72">
        <w:t xml:space="preserve">(to TSB Circular </w:t>
      </w:r>
      <w:r w:rsidR="005E301A">
        <w:t>60</w:t>
      </w:r>
      <w:r w:rsidRPr="00FC5A72">
        <w:t>)</w:t>
      </w:r>
    </w:p>
    <w:p w:rsidR="004040E1" w:rsidRPr="004040E1" w:rsidRDefault="004040E1" w:rsidP="003866E5">
      <w:pPr>
        <w:pStyle w:val="Heading1"/>
        <w:jc w:val="center"/>
        <w:rPr>
          <w:rFonts w:asciiTheme="majorBidi" w:hAnsiTheme="majorBidi" w:cstheme="majorBidi"/>
          <w:sz w:val="28"/>
          <w:szCs w:val="28"/>
          <w:lang w:eastAsia="ko-KR"/>
        </w:rPr>
      </w:pPr>
      <w:bookmarkStart w:id="8" w:name="_Draft_Agenda_for"/>
      <w:bookmarkEnd w:id="8"/>
      <w:r w:rsidRPr="004040E1">
        <w:rPr>
          <w:rFonts w:asciiTheme="majorBidi" w:hAnsiTheme="majorBidi" w:cstheme="majorBidi"/>
          <w:sz w:val="28"/>
          <w:szCs w:val="28"/>
          <w:lang w:eastAsia="ko-KR"/>
        </w:rPr>
        <w:t>Draft Agenda f</w:t>
      </w:r>
      <w:r w:rsidR="00D372D3">
        <w:rPr>
          <w:rFonts w:asciiTheme="majorBidi" w:hAnsiTheme="majorBidi" w:cstheme="majorBidi"/>
          <w:sz w:val="28"/>
          <w:szCs w:val="28"/>
          <w:lang w:eastAsia="ko-KR"/>
        </w:rPr>
        <w:t xml:space="preserve">or the kick-off JCA-SDN </w:t>
      </w:r>
      <w:proofErr w:type="gramStart"/>
      <w:r w:rsidR="00D372D3">
        <w:rPr>
          <w:rFonts w:asciiTheme="majorBidi" w:hAnsiTheme="majorBidi" w:cstheme="majorBidi"/>
          <w:sz w:val="28"/>
          <w:szCs w:val="28"/>
          <w:lang w:eastAsia="ko-KR"/>
        </w:rPr>
        <w:t>meeting</w:t>
      </w:r>
      <w:proofErr w:type="gramEnd"/>
      <w:r w:rsidRPr="004040E1">
        <w:rPr>
          <w:rFonts w:asciiTheme="majorBidi" w:hAnsiTheme="majorBidi" w:cstheme="majorBidi"/>
          <w:sz w:val="28"/>
          <w:szCs w:val="28"/>
          <w:lang w:eastAsia="ko-KR"/>
        </w:rPr>
        <w:br/>
        <w:t xml:space="preserve">(Kampala, Uganda, </w:t>
      </w:r>
      <w:r w:rsidRPr="004040E1">
        <w:rPr>
          <w:rFonts w:asciiTheme="majorBidi" w:hAnsiTheme="majorBidi" w:cstheme="majorBidi" w:hint="eastAsia"/>
          <w:sz w:val="28"/>
          <w:szCs w:val="28"/>
          <w:lang w:eastAsia="ko-KR"/>
        </w:rPr>
        <w:t>11</w:t>
      </w:r>
      <w:r w:rsidRPr="004040E1">
        <w:rPr>
          <w:rFonts w:asciiTheme="majorBidi" w:hAnsiTheme="majorBidi" w:cstheme="majorBidi"/>
          <w:sz w:val="28"/>
          <w:szCs w:val="28"/>
          <w:lang w:eastAsia="ko-KR"/>
        </w:rPr>
        <w:t xml:space="preserve"> November 2013</w:t>
      </w:r>
      <w:r w:rsidRPr="004040E1">
        <w:rPr>
          <w:rFonts w:asciiTheme="majorBidi" w:hAnsiTheme="majorBidi" w:cstheme="majorBidi" w:hint="eastAsia"/>
          <w:sz w:val="28"/>
          <w:szCs w:val="28"/>
          <w:lang w:eastAsia="ko-KR"/>
        </w:rPr>
        <w:t>)</w:t>
      </w:r>
    </w:p>
    <w:p w:rsidR="004040E1" w:rsidRDefault="004040E1" w:rsidP="003866E5">
      <w:pPr>
        <w:tabs>
          <w:tab w:val="clear" w:pos="794"/>
          <w:tab w:val="clear" w:pos="1191"/>
          <w:tab w:val="clear" w:pos="1588"/>
          <w:tab w:val="clear" w:pos="1985"/>
          <w:tab w:val="left" w:leader="dot" w:pos="8789"/>
          <w:tab w:val="right" w:pos="9639"/>
        </w:tabs>
        <w:spacing w:before="480"/>
        <w:ind w:left="567" w:hanging="567"/>
      </w:pPr>
      <w:r w:rsidRPr="00E90D03">
        <w:t>1</w:t>
      </w:r>
      <w:r w:rsidRPr="00E90D03">
        <w:tab/>
        <w:t>Opening</w:t>
      </w:r>
      <w:r>
        <w:t>, welcome and meeting objectives</w:t>
      </w:r>
    </w:p>
    <w:p w:rsidR="004040E1" w:rsidRDefault="004040E1" w:rsidP="004040E1">
      <w:pPr>
        <w:tabs>
          <w:tab w:val="clear" w:pos="794"/>
          <w:tab w:val="clear" w:pos="1191"/>
          <w:tab w:val="clear" w:pos="1588"/>
          <w:tab w:val="clear" w:pos="1985"/>
          <w:tab w:val="left" w:leader="dot" w:pos="8789"/>
          <w:tab w:val="right" w:pos="9639"/>
        </w:tabs>
        <w:ind w:left="567" w:hanging="567"/>
        <w:rPr>
          <w:lang w:eastAsia="ja-JP"/>
        </w:rPr>
      </w:pPr>
      <w:r>
        <w:t>2</w:t>
      </w:r>
      <w:r>
        <w:tab/>
      </w:r>
      <w:r>
        <w:rPr>
          <w:rFonts w:hint="eastAsia"/>
          <w:lang w:eastAsia="ja-JP"/>
        </w:rPr>
        <w:t>Approval of the agenda</w:t>
      </w:r>
      <w:r>
        <w:rPr>
          <w:lang w:eastAsia="ja-JP"/>
        </w:rPr>
        <w:t xml:space="preserve"> </w:t>
      </w:r>
    </w:p>
    <w:p w:rsidR="004040E1" w:rsidRDefault="004040E1" w:rsidP="004040E1">
      <w:pPr>
        <w:tabs>
          <w:tab w:val="clear" w:pos="794"/>
          <w:tab w:val="clear" w:pos="1191"/>
          <w:tab w:val="clear" w:pos="1588"/>
          <w:tab w:val="clear" w:pos="1985"/>
          <w:tab w:val="left" w:leader="dot" w:pos="8789"/>
          <w:tab w:val="right" w:pos="9639"/>
        </w:tabs>
        <w:ind w:left="567" w:hanging="567"/>
        <w:rPr>
          <w:lang w:eastAsia="ja-JP"/>
        </w:rPr>
      </w:pPr>
      <w:r>
        <w:rPr>
          <w:lang w:eastAsia="ja-JP"/>
        </w:rPr>
        <w:t>3</w:t>
      </w:r>
      <w:r>
        <w:rPr>
          <w:lang w:eastAsia="ja-JP"/>
        </w:rPr>
        <w:tab/>
        <w:t>Meeting documents</w:t>
      </w:r>
    </w:p>
    <w:p w:rsidR="004040E1" w:rsidRDefault="004040E1" w:rsidP="004040E1">
      <w:pPr>
        <w:tabs>
          <w:tab w:val="clear" w:pos="794"/>
          <w:tab w:val="clear" w:pos="1191"/>
          <w:tab w:val="clear" w:pos="1588"/>
          <w:tab w:val="clear" w:pos="1985"/>
          <w:tab w:val="left" w:leader="dot" w:pos="8789"/>
          <w:tab w:val="right" w:pos="9639"/>
        </w:tabs>
        <w:ind w:left="567" w:hanging="567"/>
        <w:rPr>
          <w:lang w:eastAsia="ja-JP"/>
        </w:rPr>
      </w:pPr>
      <w:r>
        <w:rPr>
          <w:lang w:eastAsia="ja-JP"/>
        </w:rPr>
        <w:t>4</w:t>
      </w:r>
      <w:r>
        <w:rPr>
          <w:rFonts w:hint="eastAsia"/>
          <w:lang w:eastAsia="ja-JP"/>
        </w:rPr>
        <w:tab/>
      </w:r>
      <w:r>
        <w:rPr>
          <w:lang w:eastAsia="ja-JP"/>
        </w:rPr>
        <w:t>Joint Coordination Activity (JCA) - working methods</w:t>
      </w:r>
    </w:p>
    <w:p w:rsidR="004040E1" w:rsidRPr="00E90D03" w:rsidRDefault="004040E1" w:rsidP="004040E1">
      <w:pPr>
        <w:tabs>
          <w:tab w:val="clear" w:pos="794"/>
          <w:tab w:val="clear" w:pos="1191"/>
          <w:tab w:val="clear" w:pos="1588"/>
          <w:tab w:val="clear" w:pos="1985"/>
          <w:tab w:val="left" w:leader="dot" w:pos="8789"/>
          <w:tab w:val="right" w:pos="9639"/>
        </w:tabs>
        <w:ind w:left="567" w:hanging="567"/>
        <w:rPr>
          <w:lang w:eastAsia="ja-JP"/>
        </w:rPr>
      </w:pPr>
      <w:r>
        <w:rPr>
          <w:lang w:eastAsia="ja-JP"/>
        </w:rPr>
        <w:t>5</w:t>
      </w:r>
      <w:r>
        <w:rPr>
          <w:lang w:eastAsia="ja-JP"/>
        </w:rPr>
        <w:tab/>
      </w:r>
      <w:r>
        <w:rPr>
          <w:rFonts w:hint="eastAsia"/>
          <w:lang w:eastAsia="ja-JP"/>
        </w:rPr>
        <w:t>T</w:t>
      </w:r>
      <w:r>
        <w:rPr>
          <w:lang w:eastAsia="ja-JP"/>
        </w:rPr>
        <w:t>erms of Reference for</w:t>
      </w:r>
      <w:r>
        <w:rPr>
          <w:rFonts w:hint="eastAsia"/>
          <w:lang w:eastAsia="ja-JP"/>
        </w:rPr>
        <w:t xml:space="preserve"> JCA-SDN</w:t>
      </w:r>
    </w:p>
    <w:p w:rsidR="004040E1" w:rsidRDefault="004040E1" w:rsidP="004040E1">
      <w:pPr>
        <w:tabs>
          <w:tab w:val="clear" w:pos="794"/>
          <w:tab w:val="clear" w:pos="1191"/>
          <w:tab w:val="clear" w:pos="1588"/>
          <w:tab w:val="clear" w:pos="1985"/>
          <w:tab w:val="left" w:leader="dot" w:pos="8789"/>
          <w:tab w:val="right" w:pos="9639"/>
        </w:tabs>
        <w:ind w:left="567" w:hanging="567"/>
      </w:pPr>
      <w:r>
        <w:t>6</w:t>
      </w:r>
      <w:r w:rsidRPr="00E90D03">
        <w:tab/>
      </w:r>
      <w:r>
        <w:rPr>
          <w:lang w:eastAsia="ja-JP"/>
        </w:rPr>
        <w:t>SDN Work programme and work items in ITU-T Study Groups</w:t>
      </w:r>
    </w:p>
    <w:p w:rsidR="004040E1" w:rsidRDefault="004040E1" w:rsidP="004040E1">
      <w:pPr>
        <w:tabs>
          <w:tab w:val="clear" w:pos="794"/>
          <w:tab w:val="clear" w:pos="1191"/>
          <w:tab w:val="clear" w:pos="1588"/>
          <w:tab w:val="clear" w:pos="1985"/>
          <w:tab w:val="left" w:leader="dot" w:pos="8789"/>
          <w:tab w:val="right" w:pos="9639"/>
        </w:tabs>
        <w:ind w:left="567" w:hanging="567"/>
        <w:rPr>
          <w:lang w:eastAsia="ja-JP"/>
        </w:rPr>
      </w:pPr>
      <w:r>
        <w:rPr>
          <w:lang w:eastAsia="ja-JP"/>
        </w:rPr>
        <w:t>7</w:t>
      </w:r>
      <w:r>
        <w:rPr>
          <w:lang w:eastAsia="ja-JP"/>
        </w:rPr>
        <w:tab/>
        <w:t>SDN Work programme and work items in other SDOs</w:t>
      </w:r>
    </w:p>
    <w:p w:rsidR="004040E1" w:rsidRDefault="004040E1" w:rsidP="004040E1">
      <w:pPr>
        <w:tabs>
          <w:tab w:val="clear" w:pos="794"/>
          <w:tab w:val="clear" w:pos="1191"/>
          <w:tab w:val="clear" w:pos="1588"/>
          <w:tab w:val="clear" w:pos="1985"/>
          <w:tab w:val="left" w:leader="dot" w:pos="8789"/>
          <w:tab w:val="right" w:pos="9639"/>
        </w:tabs>
        <w:ind w:left="567" w:hanging="567"/>
        <w:rPr>
          <w:lang w:eastAsia="ja-JP"/>
        </w:rPr>
      </w:pPr>
      <w:r>
        <w:t>8</w:t>
      </w:r>
      <w:r>
        <w:tab/>
      </w:r>
      <w:r>
        <w:rPr>
          <w:lang w:eastAsia="ja-JP"/>
        </w:rPr>
        <w:t>Matters requiring coordination</w:t>
      </w:r>
    </w:p>
    <w:p w:rsidR="004040E1" w:rsidRDefault="004040E1" w:rsidP="004040E1">
      <w:pPr>
        <w:tabs>
          <w:tab w:val="clear" w:pos="794"/>
          <w:tab w:val="clear" w:pos="1191"/>
          <w:tab w:val="clear" w:pos="1588"/>
          <w:tab w:val="clear" w:pos="1985"/>
          <w:tab w:val="left" w:leader="dot" w:pos="8789"/>
          <w:tab w:val="right" w:pos="9639"/>
        </w:tabs>
        <w:ind w:left="567" w:hanging="567"/>
        <w:rPr>
          <w:lang w:eastAsia="ja-JP"/>
        </w:rPr>
      </w:pPr>
      <w:r>
        <w:rPr>
          <w:lang w:eastAsia="ja-JP"/>
        </w:rPr>
        <w:t>9</w:t>
      </w:r>
      <w:r>
        <w:rPr>
          <w:lang w:eastAsia="ja-JP"/>
        </w:rPr>
        <w:tab/>
      </w:r>
      <w:r>
        <w:t>ITU-T Roadmap to SDN standardization, including other SDOs</w:t>
      </w:r>
      <w:r w:rsidDel="00915024">
        <w:rPr>
          <w:rFonts w:hint="eastAsia"/>
          <w:lang w:eastAsia="ja-JP"/>
        </w:rPr>
        <w:t xml:space="preserve"> </w:t>
      </w:r>
    </w:p>
    <w:p w:rsidR="004040E1" w:rsidRDefault="004040E1" w:rsidP="004040E1">
      <w:pPr>
        <w:tabs>
          <w:tab w:val="clear" w:pos="794"/>
          <w:tab w:val="clear" w:pos="1191"/>
          <w:tab w:val="clear" w:pos="1588"/>
          <w:tab w:val="clear" w:pos="1985"/>
          <w:tab w:val="left" w:leader="dot" w:pos="8789"/>
          <w:tab w:val="right" w:pos="9639"/>
        </w:tabs>
        <w:ind w:left="567" w:hanging="567"/>
        <w:rPr>
          <w:lang w:eastAsia="ja-JP"/>
        </w:rPr>
      </w:pPr>
      <w:r>
        <w:rPr>
          <w:lang w:eastAsia="ja-JP"/>
        </w:rPr>
        <w:t>10</w:t>
      </w:r>
      <w:r>
        <w:rPr>
          <w:rFonts w:hint="eastAsia"/>
          <w:lang w:eastAsia="ja-JP"/>
        </w:rPr>
        <w:tab/>
      </w:r>
      <w:r>
        <w:rPr>
          <w:lang w:eastAsia="ja-JP"/>
        </w:rPr>
        <w:t>List of contact points and representatives from ITU-T SGs and other SDOs and Forums</w:t>
      </w:r>
    </w:p>
    <w:p w:rsidR="004040E1" w:rsidRDefault="004040E1" w:rsidP="004040E1">
      <w:pPr>
        <w:tabs>
          <w:tab w:val="clear" w:pos="794"/>
          <w:tab w:val="clear" w:pos="1191"/>
          <w:tab w:val="clear" w:pos="1588"/>
          <w:tab w:val="clear" w:pos="1985"/>
          <w:tab w:val="left" w:leader="dot" w:pos="8789"/>
          <w:tab w:val="right" w:pos="9639"/>
        </w:tabs>
        <w:ind w:left="567" w:hanging="567"/>
        <w:rPr>
          <w:lang w:eastAsia="ja-JP"/>
        </w:rPr>
      </w:pPr>
      <w:r>
        <w:rPr>
          <w:lang w:eastAsia="ja-JP"/>
        </w:rPr>
        <w:t>11</w:t>
      </w:r>
      <w:r>
        <w:rPr>
          <w:rFonts w:hint="eastAsia"/>
          <w:lang w:eastAsia="ja-JP"/>
        </w:rPr>
        <w:tab/>
      </w:r>
      <w:r>
        <w:rPr>
          <w:lang w:eastAsia="ja-JP"/>
        </w:rPr>
        <w:t>Next step and outgoing liaison statements</w:t>
      </w:r>
    </w:p>
    <w:p w:rsidR="004040E1" w:rsidRDefault="004040E1" w:rsidP="004040E1">
      <w:pPr>
        <w:tabs>
          <w:tab w:val="clear" w:pos="794"/>
          <w:tab w:val="clear" w:pos="1191"/>
          <w:tab w:val="clear" w:pos="1588"/>
          <w:tab w:val="clear" w:pos="1985"/>
          <w:tab w:val="left" w:leader="dot" w:pos="8789"/>
          <w:tab w:val="right" w:pos="9639"/>
        </w:tabs>
        <w:ind w:left="567" w:hanging="567"/>
        <w:rPr>
          <w:lang w:eastAsia="ja-JP"/>
        </w:rPr>
      </w:pPr>
      <w:r>
        <w:rPr>
          <w:lang w:eastAsia="ja-JP"/>
        </w:rPr>
        <w:t>12</w:t>
      </w:r>
      <w:r>
        <w:rPr>
          <w:lang w:eastAsia="ja-JP"/>
        </w:rPr>
        <w:tab/>
        <w:t>Next JCA-SDN meeting</w:t>
      </w:r>
    </w:p>
    <w:p w:rsidR="004040E1" w:rsidRDefault="004040E1" w:rsidP="004040E1">
      <w:pPr>
        <w:tabs>
          <w:tab w:val="clear" w:pos="794"/>
          <w:tab w:val="clear" w:pos="1191"/>
          <w:tab w:val="clear" w:pos="1588"/>
          <w:tab w:val="clear" w:pos="1985"/>
          <w:tab w:val="left" w:leader="dot" w:pos="8789"/>
          <w:tab w:val="right" w:pos="9639"/>
        </w:tabs>
        <w:ind w:left="567" w:hanging="567"/>
        <w:rPr>
          <w:lang w:eastAsia="ja-JP"/>
        </w:rPr>
      </w:pPr>
      <w:r>
        <w:rPr>
          <w:lang w:eastAsia="ja-JP"/>
        </w:rPr>
        <w:t>13</w:t>
      </w:r>
      <w:r w:rsidRPr="00E90D03">
        <w:tab/>
      </w:r>
      <w:proofErr w:type="spellStart"/>
      <w:r>
        <w:rPr>
          <w:rFonts w:hint="eastAsia"/>
          <w:lang w:eastAsia="ja-JP"/>
        </w:rPr>
        <w:t>AoB</w:t>
      </w:r>
      <w:proofErr w:type="spellEnd"/>
    </w:p>
    <w:p w:rsidR="004040E1" w:rsidRPr="00E027F2" w:rsidRDefault="004040E1" w:rsidP="004040E1">
      <w:pPr>
        <w:tabs>
          <w:tab w:val="clear" w:pos="794"/>
        </w:tabs>
        <w:ind w:left="567" w:hanging="567"/>
        <w:rPr>
          <w:sz w:val="16"/>
          <w:szCs w:val="16"/>
          <w:lang w:val="en-US" w:eastAsia="ja-JP" w:bidi="ar-EG"/>
        </w:rPr>
      </w:pPr>
      <w:r>
        <w:rPr>
          <w:lang w:eastAsia="ja-JP"/>
        </w:rPr>
        <w:t>14</w:t>
      </w:r>
      <w:r w:rsidRPr="00E90D03">
        <w:tab/>
        <w:t>Closing</w:t>
      </w:r>
    </w:p>
    <w:p w:rsidR="0039373B" w:rsidRDefault="0039373B" w:rsidP="00745066">
      <w:pPr>
        <w:spacing w:before="0" w:line="240" w:lineRule="atLeast"/>
        <w:ind w:left="360" w:right="453"/>
        <w:jc w:val="center"/>
        <w:rPr>
          <w:lang w:val="en-US"/>
        </w:rPr>
      </w:pPr>
    </w:p>
    <w:p w:rsidR="00F60165" w:rsidRPr="003866E5" w:rsidRDefault="00F60165" w:rsidP="00745066">
      <w:pPr>
        <w:spacing w:before="0" w:line="240" w:lineRule="atLeast"/>
        <w:ind w:left="360" w:right="453"/>
        <w:jc w:val="center"/>
        <w:rPr>
          <w:lang w:val="en-US"/>
        </w:rPr>
      </w:pPr>
      <w:r>
        <w:rPr>
          <w:lang w:val="en-US"/>
        </w:rPr>
        <w:t>____________________</w:t>
      </w:r>
    </w:p>
    <w:sectPr w:rsidR="00F60165" w:rsidRPr="003866E5" w:rsidSect="00690A75">
      <w:headerReference w:type="default" r:id="rId12"/>
      <w:footerReference w:type="default" r:id="rId13"/>
      <w:footerReference w:type="first" r:id="rId14"/>
      <w:type w:val="oddPage"/>
      <w:pgSz w:w="11907" w:h="16840" w:code="9"/>
      <w:pgMar w:top="567"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5DE" w:rsidRDefault="00BC45DE">
      <w:r>
        <w:separator/>
      </w:r>
    </w:p>
  </w:endnote>
  <w:endnote w:type="continuationSeparator" w:id="0">
    <w:p w:rsidR="00BC45DE" w:rsidRDefault="00BC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FE8" w:rsidRPr="00D210B7" w:rsidRDefault="000203F8" w:rsidP="00751663">
    <w:pPr>
      <w:pStyle w:val="Footer"/>
    </w:pPr>
    <w:r>
      <w:t>ITU-T\BUREAU\CIRC</w:t>
    </w:r>
    <w:r w:rsidR="0039373B">
      <w:t>\</w:t>
    </w:r>
    <w:r w:rsidR="00BA5998">
      <w:t>060</w:t>
    </w:r>
    <w: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3C4" w:rsidRDefault="00AE03C4"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443340728" r:id="rId2">
          <o:FieldCodes>\s</o:FieldCodes>
        </o:OLEObject>
      </w:object>
    </w:r>
  </w:p>
  <w:p w:rsidR="00AE03C4" w:rsidRPr="00AE03C4" w:rsidRDefault="00AE03C4" w:rsidP="00AE03C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5DE" w:rsidRDefault="00BC45DE">
      <w:r>
        <w:t>____________________</w:t>
      </w:r>
    </w:p>
  </w:footnote>
  <w:footnote w:type="continuationSeparator" w:id="0">
    <w:p w:rsidR="00BC45DE" w:rsidRDefault="00BC4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3C4" w:rsidRDefault="00AE03C4" w:rsidP="00AE03C4">
    <w:pPr>
      <w:pStyle w:val="Header"/>
    </w:pPr>
    <w:r>
      <w:t xml:space="preserve">- </w:t>
    </w:r>
    <w:r w:rsidR="00BB7AB5">
      <w:fldChar w:fldCharType="begin"/>
    </w:r>
    <w:r w:rsidR="00BB7AB5">
      <w:instrText>PAGE</w:instrText>
    </w:r>
    <w:r w:rsidR="00BB7AB5">
      <w:fldChar w:fldCharType="separate"/>
    </w:r>
    <w:r w:rsidR="003F7E8C">
      <w:rPr>
        <w:noProof/>
      </w:rPr>
      <w:t>5</w:t>
    </w:r>
    <w:r w:rsidR="00BB7AB5">
      <w:rPr>
        <w:noProof/>
      </w:rPr>
      <w:fldChar w:fldCharType="end"/>
    </w:r>
    <w:r>
      <w:t xml:space="preserve"> -</w:t>
    </w:r>
  </w:p>
  <w:p w:rsidR="00AE03C4" w:rsidRPr="00AE03C4" w:rsidRDefault="00AE03C4"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5049"/>
    <w:multiLevelType w:val="hybridMultilevel"/>
    <w:tmpl w:val="AF0A991C"/>
    <w:lvl w:ilvl="0" w:tplc="D8E698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16E00"/>
    <w:multiLevelType w:val="hybridMultilevel"/>
    <w:tmpl w:val="B5422552"/>
    <w:lvl w:ilvl="0" w:tplc="098CA378">
      <w:numFmt w:val="bullet"/>
      <w:lvlText w:val="•"/>
      <w:lvlJc w:val="left"/>
      <w:pPr>
        <w:ind w:left="927" w:hanging="360"/>
      </w:pPr>
      <w:rPr>
        <w:rFonts w:ascii="Times New Roman" w:eastAsia="Malgun Gothic"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23407B79"/>
    <w:multiLevelType w:val="hybridMultilevel"/>
    <w:tmpl w:val="35EC0840"/>
    <w:lvl w:ilvl="0" w:tplc="D8E698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CD5D9C"/>
    <w:multiLevelType w:val="hybridMultilevel"/>
    <w:tmpl w:val="539E4588"/>
    <w:lvl w:ilvl="0" w:tplc="F6F26624">
      <w:start w:val="1"/>
      <w:numFmt w:val="bullet"/>
      <w:lvlText w:val=""/>
      <w:lvlJc w:val="left"/>
      <w:pPr>
        <w:ind w:left="800" w:hanging="400"/>
      </w:pPr>
      <w:rPr>
        <w:rFonts w:ascii="Symbol" w:hAnsi="Symbol" w:hint="default"/>
        <w:sz w:val="16"/>
        <w:szCs w:val="16"/>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8373B54"/>
    <w:multiLevelType w:val="hybridMultilevel"/>
    <w:tmpl w:val="6C6C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106C72"/>
    <w:multiLevelType w:val="hybridMultilevel"/>
    <w:tmpl w:val="855825E4"/>
    <w:lvl w:ilvl="0" w:tplc="D1AAE8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B3470C"/>
    <w:multiLevelType w:val="hybridMultilevel"/>
    <w:tmpl w:val="41049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C184E82"/>
    <w:multiLevelType w:val="multilevel"/>
    <w:tmpl w:val="59BE42D0"/>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4D01E4D"/>
    <w:multiLevelType w:val="hybridMultilevel"/>
    <w:tmpl w:val="2C0C2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DC37A10"/>
    <w:multiLevelType w:val="hybridMultilevel"/>
    <w:tmpl w:val="2200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0"/>
  </w:num>
  <w:num w:numId="6">
    <w:abstractNumId w:val="2"/>
  </w:num>
  <w:num w:numId="7">
    <w:abstractNumId w:val="6"/>
  </w:num>
  <w:num w:numId="8">
    <w:abstractNumId w:val="10"/>
  </w:num>
  <w:num w:numId="9">
    <w:abstractNumId w:val="5"/>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203F8"/>
    <w:rsid w:val="000306FA"/>
    <w:rsid w:val="000A5C7A"/>
    <w:rsid w:val="000C2672"/>
    <w:rsid w:val="000E3AB9"/>
    <w:rsid w:val="00175B33"/>
    <w:rsid w:val="001D0322"/>
    <w:rsid w:val="001D0E99"/>
    <w:rsid w:val="001F5A0A"/>
    <w:rsid w:val="00203E8E"/>
    <w:rsid w:val="00231600"/>
    <w:rsid w:val="002336AB"/>
    <w:rsid w:val="002458FF"/>
    <w:rsid w:val="002748D1"/>
    <w:rsid w:val="002B3EBC"/>
    <w:rsid w:val="003019E1"/>
    <w:rsid w:val="00324733"/>
    <w:rsid w:val="00352BE2"/>
    <w:rsid w:val="00353FD6"/>
    <w:rsid w:val="003767B3"/>
    <w:rsid w:val="003866E5"/>
    <w:rsid w:val="0039373B"/>
    <w:rsid w:val="003F4C91"/>
    <w:rsid w:val="003F7E8C"/>
    <w:rsid w:val="004040E1"/>
    <w:rsid w:val="004052CE"/>
    <w:rsid w:val="004331A5"/>
    <w:rsid w:val="004458C6"/>
    <w:rsid w:val="004C1424"/>
    <w:rsid w:val="004D1551"/>
    <w:rsid w:val="00542F1F"/>
    <w:rsid w:val="00587591"/>
    <w:rsid w:val="005C3BC8"/>
    <w:rsid w:val="005E301A"/>
    <w:rsid w:val="00614EB6"/>
    <w:rsid w:val="006179A3"/>
    <w:rsid w:val="00630399"/>
    <w:rsid w:val="0067275D"/>
    <w:rsid w:val="00690A75"/>
    <w:rsid w:val="00691E1A"/>
    <w:rsid w:val="006A4665"/>
    <w:rsid w:val="006C0F93"/>
    <w:rsid w:val="00724BF9"/>
    <w:rsid w:val="00745066"/>
    <w:rsid w:val="00751663"/>
    <w:rsid w:val="00755140"/>
    <w:rsid w:val="007823D7"/>
    <w:rsid w:val="0078643B"/>
    <w:rsid w:val="007E0130"/>
    <w:rsid w:val="00817F1B"/>
    <w:rsid w:val="008733CD"/>
    <w:rsid w:val="008941E8"/>
    <w:rsid w:val="008A7DE3"/>
    <w:rsid w:val="008B1814"/>
    <w:rsid w:val="008E6684"/>
    <w:rsid w:val="009346DD"/>
    <w:rsid w:val="0094379E"/>
    <w:rsid w:val="00957C6D"/>
    <w:rsid w:val="00957FE8"/>
    <w:rsid w:val="00983E4F"/>
    <w:rsid w:val="00A068B2"/>
    <w:rsid w:val="00A26BA7"/>
    <w:rsid w:val="00A271F0"/>
    <w:rsid w:val="00A35111"/>
    <w:rsid w:val="00A41CDD"/>
    <w:rsid w:val="00A706B6"/>
    <w:rsid w:val="00A71BB6"/>
    <w:rsid w:val="00A74465"/>
    <w:rsid w:val="00AD6650"/>
    <w:rsid w:val="00AE03C4"/>
    <w:rsid w:val="00B47ED0"/>
    <w:rsid w:val="00BA102A"/>
    <w:rsid w:val="00BA5998"/>
    <w:rsid w:val="00BB3977"/>
    <w:rsid w:val="00BB7AB5"/>
    <w:rsid w:val="00BC45DE"/>
    <w:rsid w:val="00BE6F29"/>
    <w:rsid w:val="00C135BF"/>
    <w:rsid w:val="00C436A4"/>
    <w:rsid w:val="00C54D4F"/>
    <w:rsid w:val="00C63492"/>
    <w:rsid w:val="00C67AB9"/>
    <w:rsid w:val="00C72170"/>
    <w:rsid w:val="00C91490"/>
    <w:rsid w:val="00C92C20"/>
    <w:rsid w:val="00CA303D"/>
    <w:rsid w:val="00CD5C07"/>
    <w:rsid w:val="00D210B7"/>
    <w:rsid w:val="00D25FB3"/>
    <w:rsid w:val="00D372D3"/>
    <w:rsid w:val="00D52ABF"/>
    <w:rsid w:val="00D56663"/>
    <w:rsid w:val="00D65862"/>
    <w:rsid w:val="00D87C64"/>
    <w:rsid w:val="00DE6A32"/>
    <w:rsid w:val="00E00CF3"/>
    <w:rsid w:val="00E20C97"/>
    <w:rsid w:val="00E96DE9"/>
    <w:rsid w:val="00EA0D19"/>
    <w:rsid w:val="00EF7217"/>
    <w:rsid w:val="00F1728D"/>
    <w:rsid w:val="00F601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sid w:val="00542F1F"/>
    <w:rPr>
      <w:position w:val="6"/>
      <w:sz w:val="16"/>
    </w:rPr>
  </w:style>
  <w:style w:type="paragraph" w:styleId="FootnoteText">
    <w:name w:val="footnote text"/>
    <w:basedOn w:val="Normal"/>
    <w:link w:val="FootnoteTextChar"/>
    <w:uiPriority w:val="99"/>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paragraph" w:styleId="ListParagraph">
    <w:name w:val="List Paragraph"/>
    <w:basedOn w:val="Normal"/>
    <w:uiPriority w:val="34"/>
    <w:qFormat/>
    <w:rsid w:val="00CD5C07"/>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rPr>
  </w:style>
  <w:style w:type="character" w:customStyle="1" w:styleId="FootnoteTextChar">
    <w:name w:val="Footnote Text Char"/>
    <w:basedOn w:val="DefaultParagraphFont"/>
    <w:link w:val="FootnoteText"/>
    <w:uiPriority w:val="99"/>
    <w:semiHidden/>
    <w:rsid w:val="00CD5C07"/>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sid w:val="00542F1F"/>
    <w:rPr>
      <w:position w:val="6"/>
      <w:sz w:val="16"/>
    </w:rPr>
  </w:style>
  <w:style w:type="paragraph" w:styleId="FootnoteText">
    <w:name w:val="footnote text"/>
    <w:basedOn w:val="Normal"/>
    <w:link w:val="FootnoteTextChar"/>
    <w:uiPriority w:val="99"/>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paragraph" w:styleId="ListParagraph">
    <w:name w:val="List Paragraph"/>
    <w:basedOn w:val="Normal"/>
    <w:uiPriority w:val="34"/>
    <w:qFormat/>
    <w:rsid w:val="00CD5C07"/>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rPr>
  </w:style>
  <w:style w:type="character" w:customStyle="1" w:styleId="FootnoteTextChar">
    <w:name w:val="Footnote Text Char"/>
    <w:basedOn w:val="DefaultParagraphFont"/>
    <w:link w:val="FootnoteText"/>
    <w:uiPriority w:val="99"/>
    <w:semiHidden/>
    <w:rsid w:val="00CD5C0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373374">
      <w:bodyDiv w:val="1"/>
      <w:marLeft w:val="0"/>
      <w:marRight w:val="0"/>
      <w:marTop w:val="0"/>
      <w:marBottom w:val="0"/>
      <w:divBdr>
        <w:top w:val="none" w:sz="0" w:space="0" w:color="auto"/>
        <w:left w:val="none" w:sz="0" w:space="0" w:color="auto"/>
        <w:bottom w:val="none" w:sz="0" w:space="0" w:color="auto"/>
        <w:right w:val="none" w:sz="0" w:space="0" w:color="auto"/>
      </w:divBdr>
      <w:divsChild>
        <w:div w:id="506986669">
          <w:marLeft w:val="0"/>
          <w:marRight w:val="0"/>
          <w:marTop w:val="0"/>
          <w:marBottom w:val="0"/>
          <w:divBdr>
            <w:top w:val="none" w:sz="0" w:space="0" w:color="auto"/>
            <w:left w:val="none" w:sz="0" w:space="0" w:color="auto"/>
            <w:bottom w:val="none" w:sz="0" w:space="0" w:color="auto"/>
            <w:right w:val="none" w:sz="0" w:space="0" w:color="auto"/>
          </w:divBdr>
          <w:divsChild>
            <w:div w:id="1369255389">
              <w:marLeft w:val="0"/>
              <w:marRight w:val="0"/>
              <w:marTop w:val="0"/>
              <w:marBottom w:val="0"/>
              <w:divBdr>
                <w:top w:val="none" w:sz="0" w:space="0" w:color="auto"/>
                <w:left w:val="none" w:sz="0" w:space="0" w:color="auto"/>
                <w:bottom w:val="none" w:sz="0" w:space="0" w:color="auto"/>
                <w:right w:val="none" w:sz="0" w:space="0" w:color="auto"/>
              </w:divBdr>
              <w:divsChild>
                <w:div w:id="672030742">
                  <w:marLeft w:val="0"/>
                  <w:marRight w:val="0"/>
                  <w:marTop w:val="0"/>
                  <w:marBottom w:val="0"/>
                  <w:divBdr>
                    <w:top w:val="none" w:sz="0" w:space="0" w:color="auto"/>
                    <w:left w:val="none" w:sz="0" w:space="0" w:color="auto"/>
                    <w:bottom w:val="none" w:sz="0" w:space="0" w:color="auto"/>
                    <w:right w:val="none" w:sz="0" w:space="0" w:color="auto"/>
                  </w:divBdr>
                  <w:divsChild>
                    <w:div w:id="112556191">
                      <w:marLeft w:val="0"/>
                      <w:marRight w:val="0"/>
                      <w:marTop w:val="0"/>
                      <w:marBottom w:val="0"/>
                      <w:divBdr>
                        <w:top w:val="none" w:sz="0" w:space="0" w:color="auto"/>
                        <w:left w:val="none" w:sz="0" w:space="0" w:color="auto"/>
                        <w:bottom w:val="none" w:sz="0" w:space="0" w:color="auto"/>
                        <w:right w:val="none" w:sz="0" w:space="0" w:color="auto"/>
                      </w:divBdr>
                      <w:divsChild>
                        <w:div w:id="1603683376">
                          <w:marLeft w:val="0"/>
                          <w:marRight w:val="0"/>
                          <w:marTop w:val="0"/>
                          <w:marBottom w:val="0"/>
                          <w:divBdr>
                            <w:top w:val="none" w:sz="0" w:space="0" w:color="auto"/>
                            <w:left w:val="none" w:sz="0" w:space="0" w:color="auto"/>
                            <w:bottom w:val="none" w:sz="0" w:space="0" w:color="auto"/>
                            <w:right w:val="none" w:sz="0" w:space="0" w:color="auto"/>
                          </w:divBdr>
                          <w:divsChild>
                            <w:div w:id="2030182138">
                              <w:marLeft w:val="0"/>
                              <w:marRight w:val="0"/>
                              <w:marTop w:val="0"/>
                              <w:marBottom w:val="0"/>
                              <w:divBdr>
                                <w:top w:val="none" w:sz="0" w:space="0" w:color="auto"/>
                                <w:left w:val="none" w:sz="0" w:space="0" w:color="auto"/>
                                <w:bottom w:val="none" w:sz="0" w:space="0" w:color="auto"/>
                                <w:right w:val="none" w:sz="0" w:space="0" w:color="auto"/>
                              </w:divBdr>
                              <w:divsChild>
                                <w:div w:id="45498512">
                                  <w:marLeft w:val="0"/>
                                  <w:marRight w:val="0"/>
                                  <w:marTop w:val="0"/>
                                  <w:marBottom w:val="0"/>
                                  <w:divBdr>
                                    <w:top w:val="none" w:sz="0" w:space="0" w:color="auto"/>
                                    <w:left w:val="none" w:sz="0" w:space="0" w:color="auto"/>
                                    <w:bottom w:val="none" w:sz="0" w:space="0" w:color="auto"/>
                                    <w:right w:val="none" w:sz="0" w:space="0" w:color="auto"/>
                                  </w:divBdr>
                                  <w:divsChild>
                                    <w:div w:id="616108240">
                                      <w:marLeft w:val="0"/>
                                      <w:marRight w:val="0"/>
                                      <w:marTop w:val="0"/>
                                      <w:marBottom w:val="0"/>
                                      <w:divBdr>
                                        <w:top w:val="none" w:sz="0" w:space="0" w:color="auto"/>
                                        <w:left w:val="none" w:sz="0" w:space="0" w:color="auto"/>
                                        <w:bottom w:val="none" w:sz="0" w:space="0" w:color="auto"/>
                                        <w:right w:val="none" w:sz="0" w:space="0" w:color="auto"/>
                                      </w:divBdr>
                                      <w:divsChild>
                                        <w:div w:id="28844649">
                                          <w:marLeft w:val="0"/>
                                          <w:marRight w:val="0"/>
                                          <w:marTop w:val="0"/>
                                          <w:marBottom w:val="0"/>
                                          <w:divBdr>
                                            <w:top w:val="none" w:sz="0" w:space="0" w:color="auto"/>
                                            <w:left w:val="none" w:sz="0" w:space="0" w:color="auto"/>
                                            <w:bottom w:val="none" w:sz="0" w:space="0" w:color="auto"/>
                                            <w:right w:val="none" w:sz="0" w:space="0" w:color="auto"/>
                                          </w:divBdr>
                                          <w:divsChild>
                                            <w:div w:id="315645528">
                                              <w:marLeft w:val="0"/>
                                              <w:marRight w:val="0"/>
                                              <w:marTop w:val="0"/>
                                              <w:marBottom w:val="0"/>
                                              <w:divBdr>
                                                <w:top w:val="none" w:sz="0" w:space="0" w:color="auto"/>
                                                <w:left w:val="none" w:sz="0" w:space="0" w:color="auto"/>
                                                <w:bottom w:val="none" w:sz="0" w:space="0" w:color="auto"/>
                                                <w:right w:val="none" w:sz="0" w:space="0" w:color="auto"/>
                                              </w:divBdr>
                                              <w:divsChild>
                                                <w:div w:id="2002659034">
                                                  <w:marLeft w:val="0"/>
                                                  <w:marRight w:val="0"/>
                                                  <w:marTop w:val="0"/>
                                                  <w:marBottom w:val="0"/>
                                                  <w:divBdr>
                                                    <w:top w:val="none" w:sz="0" w:space="0" w:color="auto"/>
                                                    <w:left w:val="none" w:sz="0" w:space="0" w:color="auto"/>
                                                    <w:bottom w:val="none" w:sz="0" w:space="0" w:color="auto"/>
                                                    <w:right w:val="none" w:sz="0" w:space="0" w:color="auto"/>
                                                  </w:divBdr>
                                                  <w:divsChild>
                                                    <w:div w:id="1505785410">
                                                      <w:marLeft w:val="0"/>
                                                      <w:marRight w:val="0"/>
                                                      <w:marTop w:val="0"/>
                                                      <w:marBottom w:val="0"/>
                                                      <w:divBdr>
                                                        <w:top w:val="none" w:sz="0" w:space="0" w:color="auto"/>
                                                        <w:left w:val="none" w:sz="0" w:space="0" w:color="auto"/>
                                                        <w:bottom w:val="none" w:sz="0" w:space="0" w:color="auto"/>
                                                        <w:right w:val="none" w:sz="0" w:space="0" w:color="auto"/>
                                                      </w:divBdr>
                                                      <w:divsChild>
                                                        <w:div w:id="10770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tu.int/en/ITU-T/jca/sd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pub/T-RES-T.77-2012" TargetMode="External"/><Relationship Id="rId4" Type="http://schemas.openxmlformats.org/officeDocument/2006/relationships/settings" Target="settings.xml"/><Relationship Id="rId9" Type="http://schemas.openxmlformats.org/officeDocument/2006/relationships/hyperlink" Target="mailto:tsbjcasdn@itu.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7863</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2013-10-15T08:41:00Z</cp:lastPrinted>
  <dcterms:created xsi:type="dcterms:W3CDTF">2013-10-15T09:12:00Z</dcterms:created>
  <dcterms:modified xsi:type="dcterms:W3CDTF">2013-10-15T09:12:00Z</dcterms:modified>
</cp:coreProperties>
</file>