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BC" w:rsidRDefault="00C51CBC" w:rsidP="00A61D8B">
      <w:pPr>
        <w:tabs>
          <w:tab w:val="left" w:pos="5755"/>
        </w:tabs>
        <w:spacing w:before="0"/>
      </w:pPr>
      <w:bookmarkStart w:id="0" w:name="_GoBack"/>
      <w:bookmarkEnd w:id="0"/>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61D8B">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152BC2" w:rsidP="00BB2162">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61D8B" w:rsidRPr="00F50108">
        <w:trPr>
          <w:cantSplit/>
        </w:trPr>
        <w:tc>
          <w:tcPr>
            <w:tcW w:w="6426" w:type="dxa"/>
            <w:vAlign w:val="center"/>
          </w:tcPr>
          <w:p w:rsidR="00A61D8B" w:rsidRPr="00F50108" w:rsidRDefault="00A61D8B" w:rsidP="00BB2162">
            <w:pPr>
              <w:tabs>
                <w:tab w:val="right" w:pos="8732"/>
              </w:tabs>
              <w:spacing w:before="0"/>
              <w:rPr>
                <w:rFonts w:ascii="Verdana" w:hAnsi="Verdana"/>
                <w:b/>
                <w:bCs/>
                <w:iCs/>
                <w:sz w:val="18"/>
                <w:szCs w:val="18"/>
              </w:rPr>
            </w:pPr>
          </w:p>
        </w:tc>
        <w:tc>
          <w:tcPr>
            <w:tcW w:w="3355" w:type="dxa"/>
            <w:vAlign w:val="center"/>
          </w:tcPr>
          <w:p w:rsidR="00A61D8B" w:rsidRPr="00F50108" w:rsidRDefault="00A61D8B" w:rsidP="00BB2162">
            <w:pPr>
              <w:spacing w:before="0"/>
              <w:ind w:left="993" w:hanging="993"/>
              <w:jc w:val="right"/>
              <w:rPr>
                <w:rFonts w:ascii="Verdana" w:hAnsi="Verdana"/>
                <w:sz w:val="18"/>
                <w:szCs w:val="18"/>
              </w:rPr>
            </w:pPr>
          </w:p>
        </w:tc>
      </w:tr>
    </w:tbl>
    <w:p w:rsidR="00984C99" w:rsidRDefault="00A61D8B" w:rsidP="00F603D9">
      <w:pPr>
        <w:tabs>
          <w:tab w:val="clear" w:pos="794"/>
          <w:tab w:val="clear" w:pos="1191"/>
          <w:tab w:val="clear" w:pos="1588"/>
          <w:tab w:val="clear" w:pos="1985"/>
          <w:tab w:val="left" w:pos="6096"/>
        </w:tabs>
        <w:spacing w:before="0"/>
      </w:pPr>
      <w:r>
        <w:tab/>
      </w:r>
      <w:r w:rsidR="00984C99">
        <w:t xml:space="preserve">Geneva, </w:t>
      </w:r>
      <w:r w:rsidR="00F603D9">
        <w:t>16</w:t>
      </w:r>
      <w:r w:rsidR="00582188">
        <w:t xml:space="preserve"> September</w:t>
      </w:r>
      <w:r w:rsidR="0016145D">
        <w:t xml:space="preserve"> 2013</w:t>
      </w:r>
    </w:p>
    <w:p w:rsidR="00984C99" w:rsidRDefault="00984C99">
      <w:pPr>
        <w:spacing w:before="0" w:after="240"/>
      </w:pPr>
    </w:p>
    <w:p w:rsidR="00984C99" w:rsidRDefault="00984C99">
      <w:pPr>
        <w:tabs>
          <w:tab w:val="left" w:pos="4111"/>
        </w:tabs>
        <w:spacing w:before="0" w:after="240"/>
        <w:ind w:left="57"/>
        <w:rPr>
          <w:rFonts w:ascii="Futura Lt BT" w:hAnsi="Futura Lt BT"/>
          <w:sz w:val="20"/>
        </w:rPr>
        <w:sectPr w:rsidR="00984C99">
          <w:headerReference w:type="default" r:id="rId10"/>
          <w:footerReference w:type="default" r:id="rId11"/>
          <w:headerReference w:type="first" r:id="rId12"/>
          <w:footerReference w:type="first" r:id="rId13"/>
          <w:type w:val="continuous"/>
          <w:pgSz w:w="11907" w:h="16840" w:code="9"/>
          <w:pgMar w:top="-510" w:right="454" w:bottom="1440" w:left="567" w:header="397" w:footer="510" w:gutter="0"/>
          <w:cols w:space="0"/>
          <w:titlePg/>
        </w:sectPr>
      </w:pPr>
    </w:p>
    <w:tbl>
      <w:tblPr>
        <w:tblW w:w="4877" w:type="dxa"/>
        <w:tblInd w:w="654" w:type="dxa"/>
        <w:tblLayout w:type="fixed"/>
        <w:tblCellMar>
          <w:left w:w="0" w:type="dxa"/>
          <w:right w:w="0" w:type="dxa"/>
        </w:tblCellMar>
        <w:tblLook w:val="0000" w:firstRow="0" w:lastRow="0" w:firstColumn="0" w:lastColumn="0" w:noHBand="0" w:noVBand="0"/>
      </w:tblPr>
      <w:tblGrid>
        <w:gridCol w:w="822"/>
        <w:gridCol w:w="4055"/>
      </w:tblGrid>
      <w:tr w:rsidR="00984C99">
        <w:trPr>
          <w:trHeight w:val="340"/>
        </w:trPr>
        <w:tc>
          <w:tcPr>
            <w:tcW w:w="822" w:type="dxa"/>
          </w:tcPr>
          <w:p w:rsidR="00984C99" w:rsidRDefault="00984C99">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Ref:</w:t>
            </w:r>
          </w:p>
        </w:tc>
        <w:tc>
          <w:tcPr>
            <w:tcW w:w="4055" w:type="dxa"/>
          </w:tcPr>
          <w:p w:rsidR="00984C99" w:rsidRDefault="00984C99" w:rsidP="00582188">
            <w:pPr>
              <w:tabs>
                <w:tab w:val="left" w:pos="4111"/>
              </w:tabs>
              <w:spacing w:before="0"/>
              <w:ind w:left="57"/>
            </w:pPr>
            <w:r>
              <w:rPr>
                <w:b/>
              </w:rPr>
              <w:t xml:space="preserve">TSB Circular </w:t>
            </w:r>
            <w:r w:rsidR="00613DAA">
              <w:rPr>
                <w:b/>
              </w:rPr>
              <w:t>54</w:t>
            </w:r>
            <w:r>
              <w:br/>
              <w:t xml:space="preserve">COM </w:t>
            </w:r>
            <w:r w:rsidR="00E9306B">
              <w:t>17</w:t>
            </w:r>
            <w:r>
              <w:t>/</w:t>
            </w:r>
            <w:r w:rsidR="00E9306B">
              <w:t>MEU</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p>
        </w:tc>
        <w:tc>
          <w:tcPr>
            <w:tcW w:w="4055" w:type="dxa"/>
          </w:tcPr>
          <w:p w:rsidR="00984C99" w:rsidRDefault="00984C99">
            <w:pPr>
              <w:tabs>
                <w:tab w:val="left" w:pos="4111"/>
              </w:tabs>
              <w:spacing w:before="0"/>
              <w:ind w:left="57"/>
            </w:pP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Tel:</w:t>
            </w:r>
          </w:p>
        </w:tc>
        <w:tc>
          <w:tcPr>
            <w:tcW w:w="4055" w:type="dxa"/>
          </w:tcPr>
          <w:p w:rsidR="00984C99" w:rsidRDefault="00984C99">
            <w:pPr>
              <w:tabs>
                <w:tab w:val="left" w:pos="4111"/>
              </w:tabs>
              <w:spacing w:before="0"/>
              <w:ind w:left="57"/>
            </w:pPr>
            <w:r>
              <w:t xml:space="preserve">+41 22 730 </w:t>
            </w:r>
            <w:r w:rsidR="0016145D" w:rsidRPr="0016145D">
              <w:t>5866</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984C99" w:rsidRDefault="00984C99">
            <w:pPr>
              <w:tabs>
                <w:tab w:val="left" w:pos="4111"/>
              </w:tabs>
              <w:spacing w:before="0"/>
              <w:ind w:left="57"/>
            </w:pPr>
            <w:r>
              <w:t>+41 22 730 5853</w:t>
            </w:r>
          </w:p>
        </w:tc>
      </w:tr>
      <w:tr w:rsidR="00984C99">
        <w:trPr>
          <w:trHeight w:hRule="exact" w:val="560"/>
        </w:trPr>
        <w:tc>
          <w:tcPr>
            <w:tcW w:w="822" w:type="dxa"/>
          </w:tcPr>
          <w:p w:rsidR="00984C99" w:rsidRDefault="00984C99">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984C99" w:rsidRDefault="009170F1" w:rsidP="00C17A15">
            <w:pPr>
              <w:tabs>
                <w:tab w:val="left" w:pos="4111"/>
              </w:tabs>
              <w:spacing w:before="0"/>
              <w:ind w:left="57"/>
              <w:rPr>
                <w:b/>
              </w:rPr>
            </w:pPr>
            <w:hyperlink r:id="rId14" w:history="1">
              <w:r w:rsidR="00730DC3" w:rsidRPr="00F10307">
                <w:rPr>
                  <w:rStyle w:val="Hyperlink"/>
                </w:rPr>
                <w:t>tsbsg17@itu.int</w:t>
              </w:r>
            </w:hyperlink>
          </w:p>
        </w:tc>
      </w:tr>
      <w:tr w:rsidR="00D74495">
        <w:trPr>
          <w:trHeight w:hRule="exact" w:val="560"/>
        </w:trPr>
        <w:tc>
          <w:tcPr>
            <w:tcW w:w="822" w:type="dxa"/>
          </w:tcPr>
          <w:p w:rsidR="00D74495" w:rsidRDefault="00D74495">
            <w:pPr>
              <w:tabs>
                <w:tab w:val="left" w:pos="4111"/>
              </w:tabs>
              <w:spacing w:before="0"/>
              <w:ind w:left="57"/>
              <w:rPr>
                <w:rFonts w:ascii="Futura Lt BT" w:hAnsi="Futura Lt BT"/>
                <w:sz w:val="20"/>
              </w:rPr>
            </w:pPr>
          </w:p>
        </w:tc>
        <w:tc>
          <w:tcPr>
            <w:tcW w:w="4055" w:type="dxa"/>
          </w:tcPr>
          <w:p w:rsidR="00D74495" w:rsidRDefault="00D74495">
            <w:pPr>
              <w:tabs>
                <w:tab w:val="left" w:pos="4111"/>
              </w:tabs>
              <w:spacing w:before="0"/>
              <w:ind w:left="57"/>
            </w:pPr>
          </w:p>
        </w:tc>
      </w:tr>
    </w:tbl>
    <w:p w:rsidR="00984C99" w:rsidRDefault="00984C99">
      <w:pPr>
        <w:spacing w:before="0"/>
        <w:rPr>
          <w:sz w:val="4"/>
        </w:rPr>
      </w:pPr>
      <w:r>
        <w:rPr>
          <w:sz w:val="4"/>
        </w:rPr>
        <w:br w:type="column"/>
      </w:r>
    </w:p>
    <w:tbl>
      <w:tblPr>
        <w:tblW w:w="5103" w:type="dxa"/>
        <w:tblInd w:w="284" w:type="dxa"/>
        <w:tblLayout w:type="fixed"/>
        <w:tblCellMar>
          <w:left w:w="0" w:type="dxa"/>
          <w:right w:w="0" w:type="dxa"/>
        </w:tblCellMar>
        <w:tblLook w:val="0000" w:firstRow="0" w:lastRow="0" w:firstColumn="0" w:lastColumn="0" w:noHBand="0" w:noVBand="0"/>
      </w:tblPr>
      <w:tblGrid>
        <w:gridCol w:w="5103"/>
      </w:tblGrid>
      <w:tr w:rsidR="00984C99">
        <w:trPr>
          <w:trHeight w:val="1588"/>
        </w:trPr>
        <w:tc>
          <w:tcPr>
            <w:tcW w:w="5103" w:type="dxa"/>
          </w:tcPr>
          <w:p w:rsidR="00984C99" w:rsidRPr="00C51CBC" w:rsidRDefault="00984C99" w:rsidP="00C51CBC">
            <w:pPr>
              <w:tabs>
                <w:tab w:val="clear" w:pos="794"/>
                <w:tab w:val="clear" w:pos="1191"/>
                <w:tab w:val="clear" w:pos="1588"/>
                <w:tab w:val="clear" w:pos="1985"/>
                <w:tab w:val="left" w:pos="710"/>
              </w:tabs>
              <w:spacing w:before="0"/>
              <w:ind w:left="710" w:hanging="341"/>
              <w:rPr>
                <w:lang w:val="en-US"/>
              </w:rPr>
            </w:pPr>
            <w:bookmarkStart w:id="3" w:name="Addressee"/>
            <w:bookmarkEnd w:id="3"/>
            <w:r w:rsidRPr="00C51CBC">
              <w:rPr>
                <w:lang w:val="en-US"/>
              </w:rPr>
              <w:t>-</w:t>
            </w:r>
            <w:r w:rsidRPr="00C51CBC">
              <w:rPr>
                <w:lang w:val="en-US"/>
              </w:rPr>
              <w:tab/>
              <w:t>To Administrations of Member States</w:t>
            </w:r>
            <w:r w:rsidR="00C51CBC">
              <w:rPr>
                <w:lang w:val="en-US"/>
              </w:rPr>
              <w:t xml:space="preserve"> </w:t>
            </w:r>
            <w:r w:rsidR="00C51CBC">
              <w:rPr>
                <w:lang w:val="en-US"/>
              </w:rPr>
              <w:br/>
            </w:r>
            <w:r w:rsidRPr="00C51CBC">
              <w:rPr>
                <w:lang w:val="en-US"/>
              </w:rPr>
              <w:t>of the Union</w:t>
            </w:r>
          </w:p>
          <w:p w:rsidR="00984C99" w:rsidRPr="00C51CBC" w:rsidRDefault="00984C99" w:rsidP="00C51CBC">
            <w:pPr>
              <w:tabs>
                <w:tab w:val="clear" w:pos="1191"/>
                <w:tab w:val="clear" w:pos="1588"/>
                <w:tab w:val="clear" w:pos="1985"/>
              </w:tabs>
              <w:spacing w:before="0"/>
              <w:ind w:left="142"/>
              <w:rPr>
                <w:lang w:val="en-US"/>
              </w:rPr>
            </w:pPr>
          </w:p>
          <w:p w:rsidR="00984C99" w:rsidRPr="00C51CBC" w:rsidRDefault="00984C99" w:rsidP="00C51CBC">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152BC2" w:rsidRPr="00C51CBC" w:rsidRDefault="00152BC2" w:rsidP="00C51CBC">
            <w:pPr>
              <w:tabs>
                <w:tab w:val="clear" w:pos="794"/>
                <w:tab w:val="clear" w:pos="1191"/>
                <w:tab w:val="clear" w:pos="1588"/>
                <w:tab w:val="clear" w:pos="1985"/>
                <w:tab w:val="left" w:pos="710"/>
              </w:tabs>
              <w:spacing w:before="0"/>
              <w:ind w:left="369"/>
              <w:rPr>
                <w:lang w:val="en-US"/>
              </w:rPr>
            </w:pPr>
            <w:r>
              <w:rPr>
                <w:lang w:val="en-US"/>
              </w:rPr>
              <w:t>-</w:t>
            </w:r>
            <w:r>
              <w:rPr>
                <w:lang w:val="en-US"/>
              </w:rPr>
              <w:tab/>
              <w:t>To ITU-T Academia;</w:t>
            </w:r>
          </w:p>
          <w:p w:rsidR="00984C99" w:rsidRPr="00C51CBC" w:rsidRDefault="00984C99" w:rsidP="00022CA0">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00022CA0">
              <w:rPr>
                <w:lang w:val="en-US"/>
              </w:rPr>
              <w:t>of Study Group 17</w:t>
            </w:r>
            <w:r w:rsidRPr="00C51CBC">
              <w:rPr>
                <w:lang w:val="en-US"/>
              </w:rPr>
              <w:t>;</w:t>
            </w:r>
          </w:p>
          <w:p w:rsidR="00984C99" w:rsidRPr="00FC3F81" w:rsidRDefault="00984C99" w:rsidP="00C51CBC">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C51CBC">
            <w:pPr>
              <w:tabs>
                <w:tab w:val="clear" w:pos="794"/>
                <w:tab w:val="clear" w:pos="1191"/>
                <w:tab w:val="clear" w:pos="1588"/>
                <w:tab w:val="clear" w:pos="1985"/>
                <w:tab w:val="left" w:pos="710"/>
              </w:tabs>
              <w:spacing w:before="0"/>
              <w:ind w:left="710" w:hanging="341"/>
            </w:pPr>
            <w:r w:rsidRPr="003E3553">
              <w:t>-</w:t>
            </w:r>
            <w:r w:rsidRPr="003E3553">
              <w:tab/>
              <w:t xml:space="preserve">To the Director of the </w:t>
            </w:r>
            <w:proofErr w:type="spellStart"/>
            <w:r w:rsidRPr="003E3553">
              <w:t>Radiocommunication</w:t>
            </w:r>
            <w:proofErr w:type="spellEnd"/>
            <w:r w:rsidRPr="003E3553">
              <w:t xml:space="preserve"> Bureau</w:t>
            </w:r>
          </w:p>
        </w:tc>
      </w:tr>
    </w:tbl>
    <w:p w:rsidR="00984C99" w:rsidRDefault="00984C99">
      <w:pPr>
        <w:tabs>
          <w:tab w:val="left" w:pos="4111"/>
        </w:tabs>
        <w:spacing w:before="0" w:after="300"/>
        <w:ind w:left="57"/>
      </w:pPr>
    </w:p>
    <w:p w:rsidR="00984C99" w:rsidRDefault="00984C99">
      <w:pPr>
        <w:tabs>
          <w:tab w:val="left" w:pos="4111"/>
        </w:tabs>
        <w:spacing w:before="0"/>
        <w:ind w:left="57"/>
        <w:rPr>
          <w:rFonts w:ascii="Futura Lt BT" w:hAnsi="Futura Lt BT"/>
          <w:sz w:val="20"/>
        </w:rPr>
        <w:sectPr w:rsidR="00984C99">
          <w:type w:val="continuous"/>
          <w:pgSz w:w="11907" w:h="16840" w:code="9"/>
          <w:pgMar w:top="794" w:right="454" w:bottom="1440" w:left="567" w:header="720" w:footer="510" w:gutter="0"/>
          <w:cols w:num="2" w:space="0"/>
          <w:titlePg/>
        </w:sectPr>
      </w:pPr>
    </w:p>
    <w:tbl>
      <w:tblPr>
        <w:tblW w:w="0" w:type="auto"/>
        <w:tblInd w:w="8" w:type="dxa"/>
        <w:tblLayout w:type="fixed"/>
        <w:tblCellMar>
          <w:left w:w="0" w:type="dxa"/>
          <w:right w:w="0" w:type="dxa"/>
        </w:tblCellMar>
        <w:tblLook w:val="0000" w:firstRow="0" w:lastRow="0" w:firstColumn="0" w:lastColumn="0" w:noHBand="0" w:noVBand="0"/>
      </w:tblPr>
      <w:tblGrid>
        <w:gridCol w:w="822"/>
        <w:gridCol w:w="4990"/>
      </w:tblGrid>
      <w:tr w:rsidR="00984C99" w:rsidTr="00022CA0">
        <w:trPr>
          <w:trHeight w:val="327"/>
        </w:trPr>
        <w:tc>
          <w:tcPr>
            <w:tcW w:w="822" w:type="dxa"/>
          </w:tcPr>
          <w:p w:rsidR="00984C99" w:rsidRDefault="00984C99">
            <w:pPr>
              <w:tabs>
                <w:tab w:val="left" w:pos="4111"/>
              </w:tabs>
              <w:spacing w:before="0"/>
              <w:ind w:left="57"/>
              <w:rPr>
                <w:rFonts w:ascii="Futura Lt BT" w:hAnsi="Futura Lt BT"/>
                <w:color w:val="FFFFFF"/>
                <w:sz w:val="20"/>
              </w:rPr>
            </w:pPr>
            <w:bookmarkStart w:id="4" w:name="Subject"/>
            <w:bookmarkEnd w:id="4"/>
            <w:r>
              <w:rPr>
                <w:rFonts w:ascii="Futura Lt BT" w:hAnsi="Futura Lt BT"/>
                <w:sz w:val="20"/>
              </w:rPr>
              <w:lastRenderedPageBreak/>
              <w:t>Subject</w:t>
            </w:r>
            <w:r>
              <w:rPr>
                <w:rFonts w:ascii="Futura Lt BT" w:hAnsi="Futura Lt BT"/>
                <w:sz w:val="20"/>
              </w:rPr>
              <w:tab/>
            </w:r>
          </w:p>
        </w:tc>
        <w:tc>
          <w:tcPr>
            <w:tcW w:w="4990" w:type="dxa"/>
          </w:tcPr>
          <w:p w:rsidR="00984C99" w:rsidRDefault="00F50D17" w:rsidP="00247553">
            <w:pPr>
              <w:tabs>
                <w:tab w:val="left" w:pos="4111"/>
              </w:tabs>
              <w:spacing w:before="0" w:after="120"/>
              <w:ind w:left="57"/>
              <w:rPr>
                <w:b/>
              </w:rPr>
            </w:pPr>
            <w:r>
              <w:rPr>
                <w:b/>
              </w:rPr>
              <w:t xml:space="preserve">Approval of </w:t>
            </w:r>
            <w:r w:rsidR="00984C99">
              <w:rPr>
                <w:b/>
              </w:rPr>
              <w:t>revised Question</w:t>
            </w:r>
            <w:r w:rsidR="00D22233">
              <w:rPr>
                <w:b/>
              </w:rPr>
              <w:t xml:space="preserve"> </w:t>
            </w:r>
            <w:r w:rsidR="00582188">
              <w:rPr>
                <w:b/>
              </w:rPr>
              <w:t>6</w:t>
            </w:r>
            <w:r w:rsidR="00D22233">
              <w:rPr>
                <w:b/>
              </w:rPr>
              <w:t>/17</w:t>
            </w:r>
          </w:p>
        </w:tc>
      </w:tr>
    </w:tbl>
    <w:p w:rsidR="00984C99" w:rsidRDefault="00984C99" w:rsidP="00022CA0">
      <w:bookmarkStart w:id="5" w:name="StartTyping"/>
      <w:bookmarkEnd w:id="5"/>
      <w:r>
        <w:t>Dear Sir/Madam,</w:t>
      </w:r>
    </w:p>
    <w:p w:rsidR="00984C99" w:rsidRDefault="0041046D" w:rsidP="00582188">
      <w:r>
        <w:t>1</w:t>
      </w:r>
      <w:r>
        <w:tab/>
      </w:r>
      <w:r w:rsidR="00984C99">
        <w:t xml:space="preserve">At the request of the Chairman of Study Group </w:t>
      </w:r>
      <w:r w:rsidR="00E03267">
        <w:t>17</w:t>
      </w:r>
      <w:r w:rsidR="00022CA0">
        <w:t>,</w:t>
      </w:r>
      <w:r w:rsidR="00984C99">
        <w:t xml:space="preserve"> </w:t>
      </w:r>
      <w:r w:rsidR="00E03267" w:rsidRPr="00022CA0">
        <w:rPr>
          <w:i/>
          <w:iCs/>
        </w:rPr>
        <w:t>Security</w:t>
      </w:r>
      <w:r w:rsidR="00984C99">
        <w:t>, I have the honour to inform you that, in accordance with the procedure described i</w:t>
      </w:r>
      <w:r w:rsidR="00DB16D1">
        <w:t>n Resolution 1, Section 7, § 7.2</w:t>
      </w:r>
      <w:r w:rsidR="00984C99">
        <w:t>.2, of WTSA (</w:t>
      </w:r>
      <w:r w:rsidR="00D127D5">
        <w:t>Dubai</w:t>
      </w:r>
      <w:r w:rsidR="001C5E12">
        <w:t xml:space="preserve">, </w:t>
      </w:r>
      <w:r w:rsidR="00D127D5">
        <w:t>2012</w:t>
      </w:r>
      <w:r w:rsidR="00984C99">
        <w:t xml:space="preserve">), Member States and Sector Members present at the last meeting of this Study Group which was held in Geneva from </w:t>
      </w:r>
      <w:r w:rsidR="00582188">
        <w:t>26 August</w:t>
      </w:r>
      <w:r w:rsidR="00984C99">
        <w:t xml:space="preserve"> to </w:t>
      </w:r>
      <w:r w:rsidR="00582188">
        <w:t>4 September</w:t>
      </w:r>
      <w:r w:rsidR="00E03267">
        <w:t xml:space="preserve"> 2013</w:t>
      </w:r>
      <w:r w:rsidR="00984C99">
        <w:t>, agreed by reaching cons</w:t>
      </w:r>
      <w:r w:rsidR="00F50D17">
        <w:t xml:space="preserve">ensus to approve the following </w:t>
      </w:r>
      <w:r w:rsidR="00984C99">
        <w:t>revised Question:</w:t>
      </w:r>
    </w:p>
    <w:p w:rsidR="00984C99" w:rsidRDefault="009E0EDE" w:rsidP="00582188">
      <w:pPr>
        <w:numPr>
          <w:ilvl w:val="12"/>
          <w:numId w:val="0"/>
        </w:numPr>
        <w:overflowPunct/>
        <w:autoSpaceDE/>
        <w:autoSpaceDN/>
        <w:adjustRightInd/>
        <w:textAlignment w:val="auto"/>
      </w:pPr>
      <w:r w:rsidRPr="00C17A15">
        <w:rPr>
          <w:i/>
          <w:iCs/>
        </w:rPr>
        <w:t xml:space="preserve">Question </w:t>
      </w:r>
      <w:r w:rsidR="00582188">
        <w:rPr>
          <w:i/>
          <w:iCs/>
        </w:rPr>
        <w:t>6</w:t>
      </w:r>
      <w:r w:rsidR="0077537B" w:rsidRPr="00C17A15">
        <w:rPr>
          <w:i/>
          <w:iCs/>
        </w:rPr>
        <w:t>/17</w:t>
      </w:r>
      <w:r w:rsidRPr="00C17A15">
        <w:rPr>
          <w:i/>
          <w:iCs/>
        </w:rPr>
        <w:t xml:space="preserve">, </w:t>
      </w:r>
      <w:r w:rsidR="00582188" w:rsidRPr="00582188">
        <w:rPr>
          <w:i/>
          <w:iCs/>
        </w:rPr>
        <w:t xml:space="preserve">Security aspects of ubiquitous telecommunication services </w:t>
      </w:r>
      <w:r w:rsidR="00984C99">
        <w:t xml:space="preserve">(see </w:t>
      </w:r>
      <w:r w:rsidR="00453BBE">
        <w:t>Annex</w:t>
      </w:r>
      <w:r w:rsidR="00EB5644">
        <w:t xml:space="preserve"> 1</w:t>
      </w:r>
      <w:r w:rsidR="00984C99">
        <w:t>)</w:t>
      </w:r>
    </w:p>
    <w:p w:rsidR="00984C99" w:rsidRPr="00C51CBC" w:rsidRDefault="00C51CBC" w:rsidP="00582188">
      <w:pPr>
        <w:rPr>
          <w:b/>
          <w:bCs/>
        </w:rPr>
      </w:pPr>
      <w:r>
        <w:t>2</w:t>
      </w:r>
      <w:r>
        <w:tab/>
      </w:r>
      <w:r w:rsidR="00984C99" w:rsidRPr="00C51CBC">
        <w:rPr>
          <w:b/>
          <w:bCs/>
        </w:rPr>
        <w:t xml:space="preserve">Question </w:t>
      </w:r>
      <w:r w:rsidR="00582188">
        <w:rPr>
          <w:b/>
          <w:bCs/>
        </w:rPr>
        <w:t>6</w:t>
      </w:r>
      <w:r w:rsidR="00D22233">
        <w:rPr>
          <w:b/>
          <w:bCs/>
        </w:rPr>
        <w:t>/17</w:t>
      </w:r>
      <w:r w:rsidR="009E0EDE">
        <w:rPr>
          <w:b/>
          <w:bCs/>
        </w:rPr>
        <w:t xml:space="preserve"> </w:t>
      </w:r>
      <w:r w:rsidR="00582188">
        <w:rPr>
          <w:b/>
          <w:bCs/>
        </w:rPr>
        <w:t>is</w:t>
      </w:r>
      <w:r w:rsidR="00984C99" w:rsidRPr="00C51CBC">
        <w:rPr>
          <w:b/>
          <w:bCs/>
        </w:rPr>
        <w:t xml:space="preserve"> therefore approved.</w:t>
      </w:r>
    </w:p>
    <w:p w:rsidR="00AE2E1D" w:rsidRDefault="00C51CBC" w:rsidP="00AC3FCE">
      <w:r>
        <w:t>3</w:t>
      </w:r>
      <w:r>
        <w:tab/>
      </w:r>
      <w:r w:rsidR="00AE2E1D">
        <w:t xml:space="preserve">The proposed selection of the approval process for the resulting Recommendations of revised Question 6/17 was agreed to be </w:t>
      </w:r>
      <w:r w:rsidR="00AE2E1D">
        <w:rPr>
          <w:rFonts w:eastAsia="Malgun Gothic"/>
          <w:lang w:eastAsia="ko-KR"/>
        </w:rPr>
        <w:t>the</w:t>
      </w:r>
      <w:r w:rsidR="00AE2E1D" w:rsidRPr="00597A1E">
        <w:rPr>
          <w:rFonts w:eastAsia="Malgun Gothic"/>
          <w:lang w:eastAsia="ko-KR"/>
        </w:rPr>
        <w:t xml:space="preserve"> </w:t>
      </w:r>
      <w:r w:rsidR="00AE2E1D">
        <w:t>traditional approval process (TAP)</w:t>
      </w:r>
      <w:r w:rsidR="00AE2E1D">
        <w:rPr>
          <w:rFonts w:eastAsia="Malgun Gothic"/>
          <w:lang w:eastAsia="ko-KR"/>
        </w:rPr>
        <w:t>, in accordance with Resolution 1, Section 8.2, of WTSA (Dubai, 2012).</w:t>
      </w:r>
    </w:p>
    <w:p w:rsidR="00247553" w:rsidRDefault="00247553" w:rsidP="00582188"/>
    <w:p w:rsidR="002823FF" w:rsidRDefault="00984C99" w:rsidP="00022CA0">
      <w:r>
        <w:t>Yours faithfully,</w:t>
      </w:r>
    </w:p>
    <w:p w:rsidR="00984C99" w:rsidRDefault="00A47ABB" w:rsidP="00022CA0">
      <w:pPr>
        <w:spacing w:before="1200"/>
      </w:pPr>
      <w:r w:rsidRPr="00A47ABB">
        <w:rPr>
          <w:szCs w:val="24"/>
        </w:rPr>
        <w:t>Malcolm Johnson</w:t>
      </w:r>
      <w:r w:rsidR="00984C99">
        <w:br/>
        <w:t>Director of the Telecommunication</w:t>
      </w:r>
      <w:r w:rsidR="00984C99">
        <w:br/>
        <w:t>Standardization Bureau</w:t>
      </w:r>
    </w:p>
    <w:p w:rsidR="00453BBE" w:rsidRDefault="00453BBE" w:rsidP="00022CA0">
      <w:pPr>
        <w:rPr>
          <w:b/>
          <w:bCs/>
        </w:rPr>
      </w:pPr>
      <w:r w:rsidRPr="00FB1614">
        <w:rPr>
          <w:b/>
          <w:bCs/>
        </w:rPr>
        <w:t xml:space="preserve">Annex: </w:t>
      </w:r>
      <w:r w:rsidR="00582188">
        <w:rPr>
          <w:b/>
          <w:bCs/>
        </w:rPr>
        <w:t>1</w:t>
      </w:r>
    </w:p>
    <w:p w:rsidR="00791D48" w:rsidRDefault="00791D48">
      <w:pPr>
        <w:tabs>
          <w:tab w:val="clear" w:pos="794"/>
          <w:tab w:val="clear" w:pos="1191"/>
          <w:tab w:val="clear" w:pos="1588"/>
          <w:tab w:val="clear" w:pos="1985"/>
        </w:tabs>
        <w:overflowPunct/>
        <w:autoSpaceDE/>
        <w:autoSpaceDN/>
        <w:adjustRightInd/>
        <w:spacing w:before="0"/>
        <w:textAlignment w:val="auto"/>
        <w:rPr>
          <w:bCs/>
          <w:szCs w:val="24"/>
        </w:rPr>
      </w:pPr>
      <w:r>
        <w:rPr>
          <w:b/>
          <w:bCs/>
          <w:szCs w:val="24"/>
        </w:rPr>
        <w:br w:type="page"/>
      </w:r>
    </w:p>
    <w:p w:rsidR="00E900F2" w:rsidRPr="00022CA0" w:rsidRDefault="00E900F2" w:rsidP="00582188">
      <w:pPr>
        <w:pStyle w:val="AnnexNotitle"/>
        <w:rPr>
          <w:sz w:val="24"/>
          <w:szCs w:val="24"/>
        </w:rPr>
      </w:pPr>
      <w:r w:rsidRPr="00022CA0">
        <w:rPr>
          <w:sz w:val="24"/>
          <w:szCs w:val="24"/>
        </w:rPr>
        <w:lastRenderedPageBreak/>
        <w:t>ANNEX 1</w:t>
      </w:r>
      <w:r w:rsidRPr="00022CA0">
        <w:rPr>
          <w:sz w:val="24"/>
          <w:szCs w:val="24"/>
        </w:rPr>
        <w:br/>
        <w:t xml:space="preserve">(to TSB Circular </w:t>
      </w:r>
      <w:r w:rsidR="00613DAA">
        <w:rPr>
          <w:sz w:val="24"/>
          <w:szCs w:val="24"/>
        </w:rPr>
        <w:t>54</w:t>
      </w:r>
      <w:r w:rsidRPr="00022CA0">
        <w:rPr>
          <w:sz w:val="24"/>
          <w:szCs w:val="24"/>
        </w:rPr>
        <w:t>)</w:t>
      </w:r>
    </w:p>
    <w:p w:rsidR="00E900F2" w:rsidRPr="006716BB" w:rsidRDefault="00E900F2" w:rsidP="00582188">
      <w:pPr>
        <w:pStyle w:val="AnnexNotitle"/>
        <w:rPr>
          <w:sz w:val="24"/>
          <w:szCs w:val="24"/>
        </w:rPr>
      </w:pPr>
      <w:r w:rsidRPr="006716BB">
        <w:rPr>
          <w:sz w:val="24"/>
          <w:szCs w:val="24"/>
        </w:rPr>
        <w:t xml:space="preserve">Text of </w:t>
      </w:r>
      <w:r>
        <w:rPr>
          <w:sz w:val="24"/>
          <w:szCs w:val="24"/>
        </w:rPr>
        <w:t xml:space="preserve">revised Question </w:t>
      </w:r>
      <w:r w:rsidR="00582188">
        <w:rPr>
          <w:sz w:val="24"/>
          <w:szCs w:val="24"/>
        </w:rPr>
        <w:t>6</w:t>
      </w:r>
      <w:r>
        <w:rPr>
          <w:sz w:val="24"/>
          <w:szCs w:val="24"/>
        </w:rPr>
        <w:t>/17</w:t>
      </w:r>
    </w:p>
    <w:p w:rsidR="00582188" w:rsidRPr="00597A1E" w:rsidRDefault="00582188" w:rsidP="00582188">
      <w:pPr>
        <w:spacing w:before="0"/>
        <w:rPr>
          <w:b/>
          <w:bCs/>
          <w:lang w:eastAsia="zh-CN"/>
        </w:rPr>
      </w:pPr>
      <w:r w:rsidRPr="00597A1E">
        <w:rPr>
          <w:b/>
          <w:bCs/>
          <w:lang w:eastAsia="zh-CN"/>
        </w:rPr>
        <w:t>Question 6/17 – Security aspects of ubiquitous telecommunication services</w:t>
      </w:r>
    </w:p>
    <w:p w:rsidR="00582188" w:rsidRPr="00597A1E" w:rsidRDefault="00582188" w:rsidP="00582188">
      <w:pPr>
        <w:spacing w:before="0"/>
        <w:rPr>
          <w:b/>
          <w:bCs/>
          <w:lang w:eastAsia="zh-CN"/>
        </w:rPr>
      </w:pPr>
    </w:p>
    <w:p w:rsidR="00582188" w:rsidRPr="00597A1E" w:rsidRDefault="00582188" w:rsidP="00582188">
      <w:pPr>
        <w:spacing w:before="0"/>
        <w:rPr>
          <w:lang w:eastAsia="zh-CN"/>
        </w:rPr>
      </w:pPr>
      <w:r w:rsidRPr="00597A1E">
        <w:rPr>
          <w:lang w:eastAsia="zh-CN"/>
        </w:rPr>
        <w:t>Continuation of Q6/17)</w:t>
      </w:r>
    </w:p>
    <w:p w:rsidR="00582188" w:rsidRPr="00597A1E" w:rsidRDefault="00582188" w:rsidP="00582188">
      <w:pPr>
        <w:spacing w:before="100" w:beforeAutospacing="1" w:after="100" w:afterAutospacing="1"/>
        <w:rPr>
          <w:lang w:eastAsia="zh-CN"/>
        </w:rPr>
      </w:pPr>
      <w:r w:rsidRPr="00597A1E">
        <w:rPr>
          <w:b/>
          <w:bCs/>
          <w:lang w:eastAsia="zh-CN"/>
        </w:rPr>
        <w:t>Motivation</w:t>
      </w:r>
    </w:p>
    <w:p w:rsidR="00582188" w:rsidRPr="00597A1E" w:rsidRDefault="00582188" w:rsidP="00582188">
      <w:pPr>
        <w:rPr>
          <w:lang w:eastAsia="zh-CN"/>
        </w:rPr>
      </w:pPr>
      <w:r w:rsidRPr="00597A1E">
        <w:rPr>
          <w:lang w:eastAsia="zh-CN"/>
        </w:rPr>
        <w:t>Recommendation ITU</w:t>
      </w:r>
      <w:r w:rsidRPr="00597A1E">
        <w:rPr>
          <w:lang w:eastAsia="zh-CN"/>
        </w:rPr>
        <w:noBreakHyphen/>
        <w:t>T X.1101 provides the security requirements and framework for multicast communication. Recommendations ITU</w:t>
      </w:r>
      <w:r w:rsidRPr="00597A1E">
        <w:rPr>
          <w:lang w:eastAsia="zh-CN"/>
        </w:rPr>
        <w:noBreakHyphen/>
        <w:t>T X.1111, X.1112, X.1113 and X.1114 describe the security framework for home network including the device certificate profile, authentication mechanism, and authorization framework. Recommendations ITU</w:t>
      </w:r>
      <w:r w:rsidRPr="00597A1E">
        <w:rPr>
          <w:lang w:eastAsia="zh-CN"/>
        </w:rPr>
        <w:noBreakHyphen/>
        <w:t>T X.1121, X.1122, X.1123, X.1124, and X.1125 provide a comprehensive specification on security for mobile network. Recommendations ITU</w:t>
      </w:r>
      <w:r w:rsidRPr="00597A1E">
        <w:rPr>
          <w:lang w:eastAsia="zh-CN"/>
        </w:rPr>
        <w:noBreakHyphen/>
        <w:t>T X.1171, X.1311, X.1312 and draft Recommendation ITU</w:t>
      </w:r>
      <w:r w:rsidRPr="00597A1E">
        <w:rPr>
          <w:lang w:eastAsia="zh-CN"/>
        </w:rPr>
        <w:noBreakHyphen/>
        <w:t>T X.usnsec-3 specify the privacy framework for mobile NID services, the security framework for USN (ubiquitous sensor network), USN middleware security guideline and security requirements for wireless sensor network routing, respectively. Recommendations ITU</w:t>
      </w:r>
      <w:r w:rsidRPr="00597A1E">
        <w:rPr>
          <w:lang w:eastAsia="zh-CN"/>
        </w:rPr>
        <w:noBreakHyphen/>
        <w:t>T X.1191, X.1192, X.1193, X.1194, X.1195 and draft Recommendations ITU</w:t>
      </w:r>
      <w:r w:rsidRPr="00597A1E">
        <w:rPr>
          <w:lang w:eastAsia="zh-CN"/>
        </w:rPr>
        <w:noBreakHyphen/>
        <w:t>T X.iptvsec-4, X.iptvsec-6, X.iptvsec-7 and X.iptvsec-8 describe a comprehensive set of requirements, mechanisms and framework for security of IPTV services. Draft Recommendation ITU</w:t>
      </w:r>
      <w:r w:rsidRPr="00597A1E">
        <w:rPr>
          <w:lang w:eastAsia="zh-CN"/>
        </w:rPr>
        <w:noBreakHyphen/>
        <w:t>T X.msec-6 provides security aspects of mobile phones. A continued effort to maintain and enhance these security Recommendations to satisfy the needs of emerging ubiquitous technologies and services is required.</w:t>
      </w:r>
    </w:p>
    <w:p w:rsidR="00582188" w:rsidRPr="00597A1E" w:rsidRDefault="00582188" w:rsidP="00582188">
      <w:pPr>
        <w:spacing w:before="100" w:beforeAutospacing="1" w:after="100" w:afterAutospacing="1"/>
        <w:rPr>
          <w:lang w:eastAsia="zh-CN"/>
        </w:rPr>
      </w:pPr>
      <w:r w:rsidRPr="00597A1E">
        <w:rPr>
          <w:lang w:eastAsia="zh-CN"/>
        </w:rPr>
        <w:t> The ubiquitous telecommunication service refers to the service that allows anyone to access to any desired information in a user-friendly way, anytime and anywhere using any devices. The telecommunications industry has been experiencing an exponential growth in area of mobile technology based ubiquitous telecommunication services. Specifically, security of domain-specific ubiquitous telecommunications among heterogeneous devices for the application-level technologies such as ubiquitous sensor network (including Internet of Things (</w:t>
      </w:r>
      <w:proofErr w:type="spellStart"/>
      <w:r w:rsidRPr="00597A1E">
        <w:rPr>
          <w:lang w:eastAsia="zh-CN"/>
        </w:rPr>
        <w:t>IoT</w:t>
      </w:r>
      <w:proofErr w:type="spellEnd"/>
      <w:r w:rsidRPr="00597A1E">
        <w:rPr>
          <w:lang w:eastAsia="zh-CN"/>
        </w:rPr>
        <w:t>), Machine to Machine (M2M) and Intelligent Transportation Systems), home network, smart grid, mobile network (including Near Field Communication (NFC) and smartphone), multicast network, IPTV network, etc., are crucial for the further development of the industry, network operators and service providers.</w:t>
      </w:r>
    </w:p>
    <w:p w:rsidR="00582188" w:rsidRPr="00597A1E" w:rsidRDefault="00582188" w:rsidP="00582188">
      <w:pPr>
        <w:rPr>
          <w:lang w:eastAsia="zh-CN"/>
        </w:rPr>
      </w:pPr>
      <w:r w:rsidRPr="00597A1E">
        <w:rPr>
          <w:lang w:eastAsia="zh-CN"/>
        </w:rPr>
        <w:t>Standardization of the best comprehensive security solutions is vital for the network operators and service providers that operate in a multi-vendor international ubiquitous environment. Due to some specific characteristics of the mobile telecommunications (e.g., over the air transmission, limited computing power and memory size of the small mobile devices), providing security is an especially challenging task that deserves special attentions and study.</w:t>
      </w:r>
    </w:p>
    <w:p w:rsidR="00582188" w:rsidRPr="00597A1E" w:rsidRDefault="00582188" w:rsidP="00582188">
      <w:pPr>
        <w:rPr>
          <w:lang w:eastAsia="zh-CN"/>
        </w:rPr>
      </w:pPr>
      <w:r w:rsidRPr="00597A1E">
        <w:rPr>
          <w:lang w:eastAsia="zh-CN"/>
        </w:rPr>
        <w:t>Recommendations under responsibility of this Question as of 1 December 2012: X.1101, X.1111, X.1112, X.1113, X.1114, X.1121, X.1122, X.1123, X.1124, X.1125, X.1171, X.1191, X.1192, X.1193, X.1194, X.1195, X.1196, X.1197, X.1311, X.1312, and X.1313.</w:t>
      </w:r>
    </w:p>
    <w:p w:rsidR="00582188" w:rsidRPr="00597A1E" w:rsidRDefault="00582188" w:rsidP="00582188">
      <w:pPr>
        <w:rPr>
          <w:lang w:eastAsia="zh-CN"/>
        </w:rPr>
      </w:pPr>
      <w:r w:rsidRPr="00597A1E">
        <w:rPr>
          <w:lang w:eastAsia="zh-CN"/>
        </w:rPr>
        <w:t>Texts under development: X.1126 (X.msec-6), X.iptvsec-8, X.msec-7, X.msec-8, X.sgsec-1, and X.unsec-1.</w:t>
      </w:r>
    </w:p>
    <w:p w:rsidR="00582188" w:rsidRPr="00597A1E" w:rsidRDefault="00582188" w:rsidP="00582188">
      <w:pPr>
        <w:rPr>
          <w:lang w:eastAsia="zh-CN"/>
        </w:rPr>
      </w:pPr>
      <w:r w:rsidRPr="00597A1E">
        <w:rPr>
          <w:b/>
          <w:bCs/>
          <w:lang w:eastAsia="zh-CN"/>
        </w:rPr>
        <w:t>Question</w:t>
      </w:r>
    </w:p>
    <w:p w:rsidR="00582188" w:rsidRPr="00597A1E" w:rsidRDefault="00582188" w:rsidP="00582188">
      <w:pPr>
        <w:spacing w:before="100" w:beforeAutospacing="1" w:after="100" w:afterAutospacing="1"/>
        <w:rPr>
          <w:lang w:eastAsia="zh-CN"/>
        </w:rPr>
      </w:pPr>
      <w:r w:rsidRPr="00597A1E">
        <w:rPr>
          <w:lang w:eastAsia="zh-CN"/>
        </w:rPr>
        <w:t>Study items to be considered include, but are not limited to:</w:t>
      </w:r>
    </w:p>
    <w:p w:rsidR="00582188" w:rsidRPr="00597A1E" w:rsidRDefault="00582188" w:rsidP="00582188">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lastRenderedPageBreak/>
        <w:t>How should security aspects of ubiquitous telecommunication services be identified and defined in mobile telecommunication</w:t>
      </w:r>
    </w:p>
    <w:p w:rsidR="00582188" w:rsidRPr="00597A1E" w:rsidRDefault="00582188" w:rsidP="00582188">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How should threats behind ubiquitous telecommunication services be identified and handled?</w:t>
      </w:r>
    </w:p>
    <w:p w:rsidR="00582188" w:rsidRPr="00597A1E" w:rsidRDefault="00582188" w:rsidP="00582188">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What are the security technologies for supporting ubiquitous telecommunication services?</w:t>
      </w:r>
    </w:p>
    <w:p w:rsidR="00582188" w:rsidRPr="00597A1E" w:rsidRDefault="00582188" w:rsidP="00582188">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How should secure interconnectivity between ubiquitous telecommunication services be kept and maintained?</w:t>
      </w:r>
    </w:p>
    <w:p w:rsidR="00582188" w:rsidRPr="00597A1E" w:rsidRDefault="00582188" w:rsidP="00582188">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What security techniques, mechanisms and protocols are needed for emerging ubiquitous telecommunication services, especially for emerging digital content protection services?</w:t>
      </w:r>
    </w:p>
    <w:p w:rsidR="00582188" w:rsidRPr="00597A1E" w:rsidRDefault="00582188" w:rsidP="00582188">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 xml:space="preserve">What are the global security solutions for ubiquitous telecommunication services </w:t>
      </w:r>
      <w:r w:rsidRPr="00597A1E">
        <w:rPr>
          <w:rFonts w:eastAsia="Gulim"/>
          <w:color w:val="000000"/>
          <w:u w:val="single"/>
          <w:lang w:eastAsia="ko-KR"/>
        </w:rPr>
        <w:t xml:space="preserve">(e.g. including services for </w:t>
      </w:r>
      <w:r w:rsidRPr="00597A1E">
        <w:rPr>
          <w:u w:val="single"/>
        </w:rPr>
        <w:t>smart grid and intelligent transport systems which are based on telecommunication/ICT networks</w:t>
      </w:r>
      <w:r w:rsidRPr="00597A1E">
        <w:rPr>
          <w:u w:val="single"/>
          <w:lang w:eastAsia="ko-KR"/>
        </w:rPr>
        <w:t>)</w:t>
      </w:r>
      <w:r w:rsidRPr="00597A1E">
        <w:rPr>
          <w:rFonts w:eastAsia="Gulim"/>
          <w:color w:val="000000"/>
        </w:rPr>
        <w:t xml:space="preserve"> </w:t>
      </w:r>
      <w:r w:rsidRPr="00597A1E">
        <w:rPr>
          <w:lang w:eastAsia="zh-CN"/>
        </w:rPr>
        <w:t>and their applications?</w:t>
      </w:r>
    </w:p>
    <w:p w:rsidR="00582188" w:rsidRPr="00597A1E" w:rsidRDefault="00582188" w:rsidP="00582188">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What are the best practices or guidelines for secure ubiquitous telecommunication services and their applications?</w:t>
      </w:r>
    </w:p>
    <w:p w:rsidR="00582188" w:rsidRPr="00597A1E" w:rsidRDefault="00582188" w:rsidP="00582188">
      <w:pPr>
        <w:numPr>
          <w:ilvl w:val="0"/>
          <w:numId w:val="3"/>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What enhancements to existing Recommendations under review or new Recommendations under development should be adopted to reduce impact on climate changes (e.g., energy savings, reduction of greenhouse gas emissions, implementation of monitoring systems) either directly or indirectly in telecommunication/ICT or in other industries?</w:t>
      </w:r>
    </w:p>
    <w:p w:rsidR="00582188" w:rsidRPr="00597A1E" w:rsidRDefault="00582188" w:rsidP="00582188">
      <w:pPr>
        <w:rPr>
          <w:lang w:eastAsia="zh-CN"/>
        </w:rPr>
      </w:pPr>
      <w:r w:rsidRPr="00597A1E">
        <w:rPr>
          <w:b/>
          <w:bCs/>
          <w:lang w:eastAsia="zh-CN"/>
        </w:rPr>
        <w:t>Tasks</w:t>
      </w:r>
    </w:p>
    <w:p w:rsidR="00582188" w:rsidRPr="00597A1E" w:rsidRDefault="00582188" w:rsidP="00582188">
      <w:pPr>
        <w:rPr>
          <w:lang w:eastAsia="zh-CN"/>
        </w:rPr>
      </w:pPr>
      <w:r w:rsidRPr="00597A1E">
        <w:rPr>
          <w:lang w:eastAsia="zh-CN"/>
        </w:rPr>
        <w:t>Tasks include, but are not limited to:</w:t>
      </w:r>
    </w:p>
    <w:p w:rsidR="00582188" w:rsidRPr="00597A1E" w:rsidRDefault="00582188" w:rsidP="00582188">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In collaboration with other ITU</w:t>
      </w:r>
      <w:r w:rsidRPr="00597A1E">
        <w:rPr>
          <w:lang w:eastAsia="zh-CN"/>
        </w:rPr>
        <w:noBreakHyphen/>
        <w:t>T study groups and standards development organizations, especially with IETF, ISO/IEC JTC 1/SCs 6, 25, 27 and 31, produce a set of Recommendations for providing comprehensive security solutions for secure ubiquitous telecommunication services.</w:t>
      </w:r>
    </w:p>
    <w:p w:rsidR="00582188" w:rsidRPr="00597A1E" w:rsidRDefault="00582188" w:rsidP="00582188">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Review existing Recommendations/Standards of ITU</w:t>
      </w:r>
      <w:r w:rsidRPr="00597A1E">
        <w:rPr>
          <w:lang w:eastAsia="zh-CN"/>
        </w:rPr>
        <w:noBreakHyphen/>
        <w:t xml:space="preserve">T, ISO/IEC and other standardization bodies in the area of home network, smart grid, mobile network (including smartphone security), mobile </w:t>
      </w:r>
      <w:proofErr w:type="spellStart"/>
      <w:r w:rsidRPr="00597A1E">
        <w:rPr>
          <w:lang w:eastAsia="zh-CN"/>
        </w:rPr>
        <w:t>IoT</w:t>
      </w:r>
      <w:proofErr w:type="spellEnd"/>
      <w:r w:rsidRPr="00597A1E">
        <w:rPr>
          <w:lang w:eastAsia="zh-CN"/>
        </w:rPr>
        <w:t xml:space="preserve"> service and ubiquitous sensor network to identify secure ubiquitous telecommunication services.</w:t>
      </w:r>
    </w:p>
    <w:p w:rsidR="00582188" w:rsidRPr="00597A1E" w:rsidRDefault="00582188" w:rsidP="00582188">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 xml:space="preserve">Study further to define security aspects of ubiquitous telecommunication services for a multi-vendor international ubiquitous environment, and for emerging new services </w:t>
      </w:r>
      <w:r w:rsidRPr="00597A1E">
        <w:rPr>
          <w:rFonts w:eastAsia="Gulim"/>
          <w:color w:val="000000"/>
          <w:u w:val="single"/>
          <w:lang w:eastAsia="ko-KR"/>
        </w:rPr>
        <w:t xml:space="preserve">(e.g., for those for </w:t>
      </w:r>
      <w:r w:rsidRPr="00597A1E">
        <w:rPr>
          <w:u w:val="single"/>
        </w:rPr>
        <w:t>intelligent transport systems</w:t>
      </w:r>
      <w:r w:rsidRPr="00597A1E">
        <w:rPr>
          <w:u w:val="single"/>
          <w:lang w:eastAsia="ko-KR"/>
        </w:rPr>
        <w:t xml:space="preserve"> and </w:t>
      </w:r>
      <w:r w:rsidRPr="00597A1E">
        <w:rPr>
          <w:u w:val="single"/>
        </w:rPr>
        <w:t>smart grid which are based on telecommunication/ICT networks)</w:t>
      </w:r>
      <w:r w:rsidRPr="00597A1E">
        <w:rPr>
          <w:lang w:eastAsia="zh-CN"/>
        </w:rPr>
        <w:t>.</w:t>
      </w:r>
    </w:p>
    <w:p w:rsidR="00582188" w:rsidRPr="00597A1E" w:rsidRDefault="00582188" w:rsidP="00582188">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Study and identify security issues and threats in secure ubiquitous telecommunication services.</w:t>
      </w:r>
    </w:p>
    <w:p w:rsidR="00582188" w:rsidRPr="00597A1E" w:rsidRDefault="00582188" w:rsidP="00582188">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Study and develop security mechanisms for secure ubiquitous telecommunication services.</w:t>
      </w:r>
    </w:p>
    <w:p w:rsidR="00582188" w:rsidRPr="00597A1E" w:rsidRDefault="00582188" w:rsidP="00582188">
      <w:pPr>
        <w:numPr>
          <w:ilvl w:val="0"/>
          <w:numId w:val="4"/>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Study and develop interconnectivity mechanisms for secure ubiquitous telecommunication services in a single or multi-vendor ubiquitous environment.</w:t>
      </w:r>
    </w:p>
    <w:p w:rsidR="00582188" w:rsidRPr="00597A1E" w:rsidRDefault="00582188" w:rsidP="00582188">
      <w:pPr>
        <w:rPr>
          <w:lang w:eastAsia="zh-CN"/>
        </w:rPr>
      </w:pPr>
      <w:r w:rsidRPr="00597A1E">
        <w:rPr>
          <w:b/>
          <w:bCs/>
          <w:lang w:eastAsia="zh-CN"/>
        </w:rPr>
        <w:t>Relationships</w:t>
      </w:r>
    </w:p>
    <w:p w:rsidR="00582188" w:rsidRPr="00597A1E" w:rsidRDefault="00582188" w:rsidP="00582188">
      <w:pPr>
        <w:rPr>
          <w:lang w:eastAsia="zh-CN"/>
        </w:rPr>
      </w:pPr>
      <w:r w:rsidRPr="00597A1E">
        <w:rPr>
          <w:b/>
          <w:bCs/>
          <w:lang w:eastAsia="zh-CN"/>
        </w:rPr>
        <w:t>Recommendations:</w:t>
      </w:r>
    </w:p>
    <w:p w:rsidR="00582188" w:rsidRPr="00597A1E" w:rsidRDefault="00582188" w:rsidP="00582188">
      <w:pPr>
        <w:numPr>
          <w:ilvl w:val="0"/>
          <w:numId w:val="5"/>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X-series and others related to security</w:t>
      </w:r>
    </w:p>
    <w:p w:rsidR="00582188" w:rsidRPr="00597A1E" w:rsidRDefault="00582188" w:rsidP="00582188">
      <w:pPr>
        <w:rPr>
          <w:lang w:eastAsia="zh-CN"/>
        </w:rPr>
      </w:pPr>
      <w:r w:rsidRPr="00597A1E">
        <w:rPr>
          <w:b/>
          <w:bCs/>
          <w:lang w:eastAsia="zh-CN"/>
        </w:rPr>
        <w:t>Questions:</w:t>
      </w:r>
    </w:p>
    <w:p w:rsidR="00582188" w:rsidRPr="00597A1E" w:rsidRDefault="00582188" w:rsidP="00582188">
      <w:pPr>
        <w:numPr>
          <w:ilvl w:val="0"/>
          <w:numId w:val="6"/>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ITU</w:t>
      </w:r>
      <w:r w:rsidRPr="00597A1E">
        <w:rPr>
          <w:lang w:eastAsia="zh-CN"/>
        </w:rPr>
        <w:noBreakHyphen/>
        <w:t>T Questions 1/17, 2/17, 3/17, 4/17, 5/17, 7/17, 8/17, 9/17, 10/17, 11/17, 8/13, 7/13, 13/16 and 21/16</w:t>
      </w:r>
    </w:p>
    <w:p w:rsidR="00582188" w:rsidRPr="00597A1E" w:rsidRDefault="00582188" w:rsidP="00F603D9">
      <w:pPr>
        <w:keepNext/>
        <w:keepLines/>
        <w:rPr>
          <w:lang w:eastAsia="zh-CN"/>
        </w:rPr>
      </w:pPr>
      <w:r w:rsidRPr="00597A1E">
        <w:rPr>
          <w:b/>
          <w:bCs/>
          <w:lang w:eastAsia="zh-CN"/>
        </w:rPr>
        <w:lastRenderedPageBreak/>
        <w:t>Study Groups:</w:t>
      </w:r>
    </w:p>
    <w:p w:rsidR="00582188" w:rsidRPr="00597A1E" w:rsidRDefault="00582188" w:rsidP="00F603D9">
      <w:pPr>
        <w:keepNext/>
        <w:keepLines/>
        <w:numPr>
          <w:ilvl w:val="0"/>
          <w:numId w:val="7"/>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ITU</w:t>
      </w:r>
      <w:r w:rsidRPr="00597A1E">
        <w:rPr>
          <w:lang w:eastAsia="zh-CN"/>
        </w:rPr>
        <w:noBreakHyphen/>
        <w:t>T SGs 9, 11, 13 and 16, JCA-SG&amp;HN, JCA-IPTV and JCA-</w:t>
      </w:r>
      <w:proofErr w:type="spellStart"/>
      <w:r w:rsidRPr="00597A1E">
        <w:rPr>
          <w:lang w:eastAsia="zh-CN"/>
        </w:rPr>
        <w:t>IoT</w:t>
      </w:r>
      <w:proofErr w:type="spellEnd"/>
      <w:r w:rsidRPr="00597A1E">
        <w:rPr>
          <w:lang w:eastAsia="zh-CN"/>
        </w:rPr>
        <w:t>; ITU-R</w:t>
      </w:r>
    </w:p>
    <w:p w:rsidR="00582188" w:rsidRPr="00597A1E" w:rsidRDefault="00582188" w:rsidP="00582188">
      <w:pPr>
        <w:rPr>
          <w:lang w:eastAsia="zh-CN"/>
        </w:rPr>
      </w:pPr>
      <w:r w:rsidRPr="00597A1E">
        <w:rPr>
          <w:b/>
          <w:bCs/>
          <w:lang w:eastAsia="zh-CN"/>
        </w:rPr>
        <w:t>Standardization bodies</w:t>
      </w:r>
      <w:r w:rsidRPr="00597A1E">
        <w:rPr>
          <w:lang w:eastAsia="zh-CN"/>
        </w:rPr>
        <w:t>:</w:t>
      </w:r>
    </w:p>
    <w:p w:rsidR="00582188" w:rsidRPr="00597A1E" w:rsidRDefault="00582188" w:rsidP="00582188">
      <w:pPr>
        <w:numPr>
          <w:ilvl w:val="0"/>
          <w:numId w:val="8"/>
        </w:numPr>
        <w:tabs>
          <w:tab w:val="clear" w:pos="794"/>
          <w:tab w:val="clear" w:pos="1191"/>
          <w:tab w:val="clear" w:pos="1588"/>
          <w:tab w:val="clear" w:pos="1985"/>
        </w:tabs>
        <w:overflowPunct/>
        <w:autoSpaceDE/>
        <w:autoSpaceDN/>
        <w:adjustRightInd/>
        <w:spacing w:before="100" w:beforeAutospacing="1" w:after="100" w:afterAutospacing="1"/>
        <w:textAlignment w:val="auto"/>
        <w:rPr>
          <w:lang w:eastAsia="zh-CN"/>
        </w:rPr>
      </w:pPr>
      <w:r w:rsidRPr="00597A1E">
        <w:rPr>
          <w:lang w:eastAsia="zh-CN"/>
        </w:rPr>
        <w:t>ISO/IEC JTC 1/SCs 6, 25, 27 and 31; IEC SMB WG3 and TC57; IETF; 3GPP; 3GPP2; OMA; GSMA</w:t>
      </w:r>
    </w:p>
    <w:p w:rsidR="00582188" w:rsidRPr="00597A1E" w:rsidRDefault="00582188" w:rsidP="00582188">
      <w:pPr>
        <w:rPr>
          <w:lang w:eastAsia="zh-CN"/>
        </w:rPr>
      </w:pPr>
      <w:r w:rsidRPr="00597A1E">
        <w:rPr>
          <w:b/>
          <w:bCs/>
          <w:lang w:eastAsia="zh-CN"/>
        </w:rPr>
        <w:t>Other bodies</w:t>
      </w:r>
      <w:r w:rsidRPr="00597A1E">
        <w:rPr>
          <w:lang w:eastAsia="zh-CN"/>
        </w:rPr>
        <w:t>:</w:t>
      </w:r>
    </w:p>
    <w:p w:rsidR="00E900F2" w:rsidRPr="00582188" w:rsidRDefault="00582188" w:rsidP="00582188">
      <w:pPr>
        <w:widowControl w:val="0"/>
        <w:ind w:left="360"/>
        <w:rPr>
          <w:b/>
          <w:lang w:eastAsia="ja-JP"/>
        </w:rPr>
      </w:pPr>
      <w:r w:rsidRPr="00597A1E">
        <w:rPr>
          <w:lang w:eastAsia="zh-CN"/>
        </w:rPr>
        <w:t>ETSI; ATIS; TTC; TTA; CCSA; OIPF; DVB; NFC Forum; NIST.</w:t>
      </w:r>
    </w:p>
    <w:p w:rsidR="00A432BF" w:rsidRPr="00FB1614" w:rsidRDefault="00A432BF" w:rsidP="00C17A15">
      <w:pPr>
        <w:spacing w:before="0"/>
        <w:jc w:val="center"/>
        <w:rPr>
          <w:b/>
          <w:bCs/>
        </w:rPr>
      </w:pPr>
      <w:r>
        <w:rPr>
          <w:b/>
          <w:bCs/>
        </w:rPr>
        <w:t>_______</w:t>
      </w:r>
    </w:p>
    <w:sectPr w:rsidR="00A432BF" w:rsidRPr="00FB1614" w:rsidSect="00C51CBC">
      <w:headerReference w:type="default" r:id="rId15"/>
      <w:type w:val="continuous"/>
      <w:pgSz w:w="11907" w:h="16840" w:code="9"/>
      <w:pgMar w:top="1134" w:right="1134" w:bottom="1134" w:left="1134" w:header="56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C2" w:rsidRDefault="001644C2">
      <w:r>
        <w:separator/>
      </w:r>
    </w:p>
  </w:endnote>
  <w:endnote w:type="continuationSeparator" w:id="0">
    <w:p w:rsidR="001644C2" w:rsidRDefault="0016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A0" w:rsidRPr="00022CA0" w:rsidRDefault="00022CA0" w:rsidP="00022CA0">
    <w:pPr>
      <w:tabs>
        <w:tab w:val="clear" w:pos="794"/>
        <w:tab w:val="clear" w:pos="1191"/>
        <w:tab w:val="clear" w:pos="1588"/>
        <w:tab w:val="clear" w:pos="1985"/>
        <w:tab w:val="left" w:pos="5954"/>
        <w:tab w:val="right" w:pos="9639"/>
      </w:tabs>
      <w:spacing w:before="0"/>
      <w:rPr>
        <w:caps/>
        <w:sz w:val="16"/>
        <w:lang w:val="fr-CH"/>
      </w:rPr>
    </w:pPr>
    <w:r w:rsidRPr="00022CA0">
      <w:rPr>
        <w:caps/>
        <w:sz w:val="16"/>
        <w:lang w:val="fr-CH"/>
      </w:rPr>
      <w:t>ITU-T\BUREAU\CIRC\0</w:t>
    </w:r>
    <w:r w:rsidR="00613DAA">
      <w:rPr>
        <w:caps/>
        <w:sz w:val="16"/>
        <w:lang w:val="fr-CH"/>
      </w:rPr>
      <w:t>54</w:t>
    </w:r>
    <w:r w:rsidRPr="00022CA0">
      <w:rPr>
        <w:caps/>
        <w:sz w:val="16"/>
        <w:lang w:val="fr-CH"/>
      </w:rPr>
      <w:t>E.DOC</w:t>
    </w:r>
  </w:p>
  <w:p w:rsidR="00537200" w:rsidRPr="00022CA0" w:rsidRDefault="0053720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pPr>
      <w:pBdr>
        <w:top w:val="single" w:sz="4" w:space="5" w:color="auto"/>
      </w:pBdr>
      <w:tabs>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sidR="00C51CBC">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61D8B" w:rsidRDefault="00A61D8B" w:rsidP="00C51CBC">
    <w:pPr>
      <w:tabs>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A61D8B" w:rsidRDefault="00A61D8B">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C2" w:rsidRDefault="001644C2">
      <w:r>
        <w:separator/>
      </w:r>
    </w:p>
  </w:footnote>
  <w:footnote w:type="continuationSeparator" w:id="0">
    <w:p w:rsidR="001644C2" w:rsidRDefault="0016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D127D5">
    <w:pPr>
      <w:pStyle w:val="Header"/>
      <w:jc w:val="right"/>
    </w:pPr>
    <w:r>
      <w:fldChar w:fldCharType="begin"/>
    </w:r>
    <w:r>
      <w:instrText xml:space="preserve"> PAGE  \* MERGEFORMAT </w:instrText>
    </w:r>
    <w:r>
      <w:fldChar w:fldCharType="separate"/>
    </w:r>
    <w:r w:rsidR="00C51CBC">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Pr="008C28DA" w:rsidRDefault="00A61D8B" w:rsidP="008C28DA">
    <w:pPr>
      <w:pStyle w:val="Header"/>
      <w:spacing w:before="5880"/>
      <w:jc w:val="lef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Pr="00C51CBC" w:rsidRDefault="00C51CBC" w:rsidP="00C51CBC">
    <w:pPr>
      <w:pStyle w:val="Header"/>
      <w:rPr>
        <w:lang w:val="fr-CH"/>
      </w:rPr>
    </w:pPr>
    <w:r>
      <w:rPr>
        <w:lang w:val="fr-CH"/>
      </w:rPr>
      <w:t xml:space="preserve">- </w:t>
    </w:r>
    <w:r w:rsidR="002F4530">
      <w:rPr>
        <w:rStyle w:val="PageNumber"/>
      </w:rPr>
      <w:fldChar w:fldCharType="begin"/>
    </w:r>
    <w:r>
      <w:rPr>
        <w:rStyle w:val="PageNumber"/>
      </w:rPr>
      <w:instrText xml:space="preserve"> PAGE </w:instrText>
    </w:r>
    <w:r w:rsidR="002F4530">
      <w:rPr>
        <w:rStyle w:val="PageNumber"/>
      </w:rPr>
      <w:fldChar w:fldCharType="separate"/>
    </w:r>
    <w:r w:rsidR="009170F1">
      <w:rPr>
        <w:rStyle w:val="PageNumber"/>
        <w:noProof/>
      </w:rPr>
      <w:t>3</w:t>
    </w:r>
    <w:r w:rsidR="002F453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7EAC"/>
    <w:multiLevelType w:val="multilevel"/>
    <w:tmpl w:val="CC3E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37F7B"/>
    <w:multiLevelType w:val="multilevel"/>
    <w:tmpl w:val="BE04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21156072"/>
    <w:multiLevelType w:val="multilevel"/>
    <w:tmpl w:val="92C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3607E"/>
    <w:multiLevelType w:val="multilevel"/>
    <w:tmpl w:val="1DACB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BC5B41"/>
    <w:multiLevelType w:val="multilevel"/>
    <w:tmpl w:val="418C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20C79"/>
    <w:multiLevelType w:val="multilevel"/>
    <w:tmpl w:val="3F22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947432"/>
    <w:multiLevelType w:val="hybridMultilevel"/>
    <w:tmpl w:val="D9704556"/>
    <w:lvl w:ilvl="0" w:tplc="0409000F">
      <w:start w:val="1"/>
      <w:numFmt w:val="decimal"/>
      <w:lvlText w:val="%1."/>
      <w:lvlJc w:val="left"/>
      <w:pPr>
        <w:tabs>
          <w:tab w:val="num" w:pos="720"/>
        </w:tabs>
        <w:ind w:left="720" w:hanging="360"/>
      </w:pPr>
    </w:lvl>
    <w:lvl w:ilvl="1" w:tplc="E4285BAC">
      <w:start w:val="1"/>
      <w:numFmt w:val="bullet"/>
      <w:lvlText w:val=""/>
      <w:lvlJc w:val="left"/>
      <w:pPr>
        <w:tabs>
          <w:tab w:val="num" w:pos="1440"/>
        </w:tabs>
        <w:ind w:left="1420" w:hanging="340"/>
      </w:pPr>
      <w:rPr>
        <w:rFonts w:ascii="Symbol" w:hAnsi="Symbol"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4"/>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0D"/>
    <w:rsid w:val="00002945"/>
    <w:rsid w:val="00022CA0"/>
    <w:rsid w:val="00026E6B"/>
    <w:rsid w:val="001112A1"/>
    <w:rsid w:val="0014184C"/>
    <w:rsid w:val="00152BC2"/>
    <w:rsid w:val="0016145D"/>
    <w:rsid w:val="001644C2"/>
    <w:rsid w:val="001C4E8D"/>
    <w:rsid w:val="001C5E12"/>
    <w:rsid w:val="0024606B"/>
    <w:rsid w:val="00247553"/>
    <w:rsid w:val="002823FF"/>
    <w:rsid w:val="002A7E81"/>
    <w:rsid w:val="002D1C6B"/>
    <w:rsid w:val="002F4530"/>
    <w:rsid w:val="003E3553"/>
    <w:rsid w:val="0041046D"/>
    <w:rsid w:val="004415F0"/>
    <w:rsid w:val="00453BBE"/>
    <w:rsid w:val="00460CEE"/>
    <w:rsid w:val="0049711D"/>
    <w:rsid w:val="004C26F0"/>
    <w:rsid w:val="004C5E7B"/>
    <w:rsid w:val="005152F2"/>
    <w:rsid w:val="00537200"/>
    <w:rsid w:val="00574214"/>
    <w:rsid w:val="00582188"/>
    <w:rsid w:val="005B7E76"/>
    <w:rsid w:val="00613DAA"/>
    <w:rsid w:val="00653161"/>
    <w:rsid w:val="00730DC3"/>
    <w:rsid w:val="0077537B"/>
    <w:rsid w:val="00790F7A"/>
    <w:rsid w:val="00791D48"/>
    <w:rsid w:val="007D541B"/>
    <w:rsid w:val="00804434"/>
    <w:rsid w:val="00843D21"/>
    <w:rsid w:val="0087328A"/>
    <w:rsid w:val="008C28DA"/>
    <w:rsid w:val="008D70BF"/>
    <w:rsid w:val="009170F1"/>
    <w:rsid w:val="00960257"/>
    <w:rsid w:val="0097039F"/>
    <w:rsid w:val="00984C99"/>
    <w:rsid w:val="009E0EDE"/>
    <w:rsid w:val="00A01591"/>
    <w:rsid w:val="00A432BF"/>
    <w:rsid w:val="00A47ABB"/>
    <w:rsid w:val="00A61D8B"/>
    <w:rsid w:val="00AA5521"/>
    <w:rsid w:val="00AC3FCE"/>
    <w:rsid w:val="00AE2E1D"/>
    <w:rsid w:val="00B903D4"/>
    <w:rsid w:val="00BB2162"/>
    <w:rsid w:val="00BE5B7A"/>
    <w:rsid w:val="00BF022F"/>
    <w:rsid w:val="00C17A15"/>
    <w:rsid w:val="00C27ECD"/>
    <w:rsid w:val="00C35B3D"/>
    <w:rsid w:val="00C51CBC"/>
    <w:rsid w:val="00C61405"/>
    <w:rsid w:val="00CA7324"/>
    <w:rsid w:val="00D127D5"/>
    <w:rsid w:val="00D22233"/>
    <w:rsid w:val="00D2740E"/>
    <w:rsid w:val="00D74495"/>
    <w:rsid w:val="00DB16D1"/>
    <w:rsid w:val="00DB239F"/>
    <w:rsid w:val="00E03267"/>
    <w:rsid w:val="00E07650"/>
    <w:rsid w:val="00E144CD"/>
    <w:rsid w:val="00E45D0D"/>
    <w:rsid w:val="00E900F2"/>
    <w:rsid w:val="00E9306B"/>
    <w:rsid w:val="00EB5644"/>
    <w:rsid w:val="00F50D17"/>
    <w:rsid w:val="00F603D9"/>
    <w:rsid w:val="00FB1614"/>
    <w:rsid w:val="00FB2711"/>
    <w:rsid w:val="00FB2CA2"/>
    <w:rsid w:val="00FC3F81"/>
    <w:rsid w:val="00FE0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link w:val="enumlev1Char"/>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qFormat/>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16145D"/>
    <w:pPr>
      <w:spacing w:before="0"/>
    </w:pPr>
    <w:rPr>
      <w:rFonts w:ascii="Tahoma" w:hAnsi="Tahoma" w:cs="Tahoma"/>
      <w:sz w:val="16"/>
      <w:szCs w:val="16"/>
    </w:rPr>
  </w:style>
  <w:style w:type="character" w:customStyle="1" w:styleId="BalloonTextChar">
    <w:name w:val="Balloon Text Char"/>
    <w:basedOn w:val="DefaultParagraphFont"/>
    <w:link w:val="BalloonText"/>
    <w:rsid w:val="0016145D"/>
    <w:rPr>
      <w:rFonts w:ascii="Tahoma" w:hAnsi="Tahoma" w:cs="Tahoma"/>
      <w:sz w:val="16"/>
      <w:szCs w:val="16"/>
      <w:lang w:val="en-GB" w:eastAsia="en-US"/>
    </w:rPr>
  </w:style>
  <w:style w:type="character" w:customStyle="1" w:styleId="enumlev1Char">
    <w:name w:val="enumlev1 Char"/>
    <w:link w:val="enumlev1"/>
    <w:locked/>
    <w:rsid w:val="00E900F2"/>
    <w:rPr>
      <w:sz w:val="24"/>
      <w:lang w:val="en-GB" w:eastAsia="en-US"/>
    </w:rPr>
  </w:style>
  <w:style w:type="character" w:styleId="FollowedHyperlink">
    <w:name w:val="FollowedHyperlink"/>
    <w:basedOn w:val="DefaultParagraphFont"/>
    <w:rsid w:val="009170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link w:val="enumlev1Char"/>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qFormat/>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16145D"/>
    <w:pPr>
      <w:spacing w:before="0"/>
    </w:pPr>
    <w:rPr>
      <w:rFonts w:ascii="Tahoma" w:hAnsi="Tahoma" w:cs="Tahoma"/>
      <w:sz w:val="16"/>
      <w:szCs w:val="16"/>
    </w:rPr>
  </w:style>
  <w:style w:type="character" w:customStyle="1" w:styleId="BalloonTextChar">
    <w:name w:val="Balloon Text Char"/>
    <w:basedOn w:val="DefaultParagraphFont"/>
    <w:link w:val="BalloonText"/>
    <w:rsid w:val="0016145D"/>
    <w:rPr>
      <w:rFonts w:ascii="Tahoma" w:hAnsi="Tahoma" w:cs="Tahoma"/>
      <w:sz w:val="16"/>
      <w:szCs w:val="16"/>
      <w:lang w:val="en-GB" w:eastAsia="en-US"/>
    </w:rPr>
  </w:style>
  <w:style w:type="character" w:customStyle="1" w:styleId="enumlev1Char">
    <w:name w:val="enumlev1 Char"/>
    <w:link w:val="enumlev1"/>
    <w:locked/>
    <w:rsid w:val="00E900F2"/>
    <w:rPr>
      <w:sz w:val="24"/>
      <w:lang w:val="en-GB" w:eastAsia="en-US"/>
    </w:rPr>
  </w:style>
  <w:style w:type="character" w:styleId="FollowedHyperlink">
    <w:name w:val="FollowedHyperlink"/>
    <w:basedOn w:val="DefaultParagraphFont"/>
    <w:rsid w:val="00917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2FCD-D801-486E-90CA-89E983E3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PE_TSBAPROV-QE.dot</Template>
  <TotalTime>1</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7540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creator>schifferli</dc:creator>
  <dc:description>May 1996, NT version (32 bits)</dc:description>
  <cp:lastModifiedBy>Bettini, Nadine</cp:lastModifiedBy>
  <cp:revision>2</cp:revision>
  <cp:lastPrinted>2013-09-16T09:59:00Z</cp:lastPrinted>
  <dcterms:created xsi:type="dcterms:W3CDTF">2013-09-16T13:19:00Z</dcterms:created>
  <dcterms:modified xsi:type="dcterms:W3CDTF">2013-09-16T13:19:00Z</dcterms:modified>
</cp:coreProperties>
</file>