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C34772" w:rsidRPr="0008257B" w:rsidTr="00303D62">
        <w:trPr>
          <w:cantSplit/>
        </w:trPr>
        <w:tc>
          <w:tcPr>
            <w:tcW w:w="6426" w:type="dxa"/>
            <w:vAlign w:val="center"/>
          </w:tcPr>
          <w:p w:rsidR="00C34772" w:rsidRPr="0008257B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08257B">
              <w:rPr>
                <w:rFonts w:ascii="Verdana" w:hAnsi="Verdana"/>
                <w:b/>
                <w:bCs/>
                <w:sz w:val="26"/>
                <w:szCs w:val="26"/>
              </w:rPr>
              <w:t>Oficina de Normalización</w:t>
            </w:r>
            <w:r w:rsidRPr="0008257B">
              <w:rPr>
                <w:rFonts w:ascii="Verdana" w:hAnsi="Verdana"/>
                <w:b/>
                <w:bCs/>
                <w:sz w:val="26"/>
                <w:szCs w:val="26"/>
              </w:rPr>
              <w:br/>
              <w:t>de las Telecomunicaciones</w:t>
            </w:r>
          </w:p>
        </w:tc>
        <w:tc>
          <w:tcPr>
            <w:tcW w:w="3355" w:type="dxa"/>
            <w:vAlign w:val="center"/>
          </w:tcPr>
          <w:p w:rsidR="00C34772" w:rsidRPr="0008257B" w:rsidRDefault="00C34772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 w:rsidRPr="0008257B">
              <w:rPr>
                <w:rFonts w:ascii="Verdana" w:hAnsi="Verdana"/>
                <w:b/>
                <w:bCs/>
                <w:noProof/>
                <w:color w:val="FFFFFF"/>
                <w:sz w:val="26"/>
                <w:szCs w:val="24"/>
                <w:lang w:val="en-US" w:eastAsia="zh-CN"/>
              </w:rPr>
              <w:drawing>
                <wp:inline distT="0" distB="0" distL="0" distR="0" wp14:anchorId="0E9C445B" wp14:editId="1BF708D0">
                  <wp:extent cx="1770380" cy="702310"/>
                  <wp:effectExtent l="0" t="0" r="1270" b="2540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772" w:rsidRPr="0008257B" w:rsidTr="00303D62">
        <w:trPr>
          <w:cantSplit/>
        </w:trPr>
        <w:tc>
          <w:tcPr>
            <w:tcW w:w="6426" w:type="dxa"/>
            <w:vAlign w:val="center"/>
          </w:tcPr>
          <w:p w:rsidR="00C34772" w:rsidRPr="0008257B" w:rsidRDefault="00C34772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C34772" w:rsidRPr="0008257B" w:rsidRDefault="00C34772" w:rsidP="00303D62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239BB" w:rsidRDefault="007239BB" w:rsidP="007239BB">
      <w:pPr>
        <w:tabs>
          <w:tab w:val="clear" w:pos="794"/>
          <w:tab w:val="clear" w:pos="1191"/>
          <w:tab w:val="clear" w:pos="1588"/>
          <w:tab w:val="clear" w:pos="1985"/>
          <w:tab w:val="left" w:pos="4593"/>
          <w:tab w:val="left" w:pos="4706"/>
        </w:tabs>
        <w:spacing w:before="0"/>
      </w:pPr>
    </w:p>
    <w:tbl>
      <w:tblPr>
        <w:tblW w:w="98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600"/>
        <w:gridCol w:w="5216"/>
      </w:tblGrid>
      <w:tr w:rsidR="007239BB" w:rsidRPr="0008257B" w:rsidTr="00827BE3">
        <w:trPr>
          <w:cantSplit/>
          <w:trHeight w:val="340"/>
        </w:trPr>
        <w:tc>
          <w:tcPr>
            <w:tcW w:w="993" w:type="dxa"/>
          </w:tcPr>
          <w:p w:rsidR="007239BB" w:rsidRPr="0008257B" w:rsidRDefault="007239BB" w:rsidP="00827BE3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</w:tc>
        <w:tc>
          <w:tcPr>
            <w:tcW w:w="3600" w:type="dxa"/>
          </w:tcPr>
          <w:p w:rsidR="007239BB" w:rsidRPr="0008257B" w:rsidRDefault="007239BB" w:rsidP="00827BE3">
            <w:pPr>
              <w:tabs>
                <w:tab w:val="left" w:pos="4111"/>
              </w:tabs>
              <w:spacing w:before="0"/>
              <w:ind w:left="57"/>
            </w:pPr>
          </w:p>
        </w:tc>
        <w:tc>
          <w:tcPr>
            <w:tcW w:w="5216" w:type="dxa"/>
          </w:tcPr>
          <w:p w:rsidR="007239BB" w:rsidRPr="0008257B" w:rsidRDefault="007239BB" w:rsidP="00827B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257B">
              <w:rPr>
                <w:szCs w:val="24"/>
              </w:rPr>
              <w:t xml:space="preserve">Ginebra, </w:t>
            </w:r>
            <w:r w:rsidR="00827BE3">
              <w:rPr>
                <w:szCs w:val="24"/>
              </w:rPr>
              <w:t>6</w:t>
            </w:r>
            <w:r w:rsidRPr="0008257B">
              <w:rPr>
                <w:szCs w:val="24"/>
              </w:rPr>
              <w:t xml:space="preserve"> de </w:t>
            </w:r>
            <w:r w:rsidR="00827BE3">
              <w:rPr>
                <w:szCs w:val="24"/>
              </w:rPr>
              <w:t>septiembre</w:t>
            </w:r>
            <w:r w:rsidRPr="0008257B">
              <w:rPr>
                <w:szCs w:val="24"/>
              </w:rPr>
              <w:t xml:space="preserve"> de 2013</w:t>
            </w:r>
          </w:p>
        </w:tc>
      </w:tr>
    </w:tbl>
    <w:p w:rsidR="007239BB" w:rsidRDefault="007239BB" w:rsidP="007239BB">
      <w:pPr>
        <w:spacing w:before="0"/>
      </w:pPr>
    </w:p>
    <w:tbl>
      <w:tblPr>
        <w:tblW w:w="98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600"/>
        <w:gridCol w:w="5216"/>
      </w:tblGrid>
      <w:tr w:rsidR="00C34772" w:rsidRPr="0008257B" w:rsidTr="007239BB">
        <w:trPr>
          <w:cantSplit/>
          <w:trHeight w:val="340"/>
        </w:trPr>
        <w:tc>
          <w:tcPr>
            <w:tcW w:w="993" w:type="dxa"/>
          </w:tcPr>
          <w:p w:rsidR="00C34772" w:rsidRPr="0008257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8257B">
              <w:rPr>
                <w:sz w:val="22"/>
              </w:rPr>
              <w:t>Ref.:</w:t>
            </w:r>
          </w:p>
          <w:p w:rsidR="00C34772" w:rsidRPr="0008257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Pr="0008257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  <w:p w:rsidR="00C34772" w:rsidRPr="0008257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8257B">
              <w:rPr>
                <w:sz w:val="22"/>
              </w:rPr>
              <w:t>Tel.:</w:t>
            </w:r>
            <w:r w:rsidRPr="0008257B">
              <w:rPr>
                <w:sz w:val="22"/>
              </w:rPr>
              <w:br/>
              <w:t>Fax:</w:t>
            </w:r>
          </w:p>
        </w:tc>
        <w:tc>
          <w:tcPr>
            <w:tcW w:w="3600" w:type="dxa"/>
          </w:tcPr>
          <w:p w:rsidR="00C34772" w:rsidRPr="00E85C58" w:rsidRDefault="003333CA" w:rsidP="00827BE3">
            <w:pPr>
              <w:tabs>
                <w:tab w:val="left" w:pos="4111"/>
              </w:tabs>
              <w:spacing w:before="0"/>
              <w:ind w:left="57"/>
              <w:rPr>
                <w:b/>
                <w:lang w:val="en-US"/>
              </w:rPr>
            </w:pPr>
            <w:r w:rsidRPr="00E85C58">
              <w:rPr>
                <w:b/>
                <w:lang w:val="en-US"/>
              </w:rPr>
              <w:t xml:space="preserve">Circular TSB </w:t>
            </w:r>
            <w:r w:rsidR="00827BE3">
              <w:rPr>
                <w:b/>
                <w:lang w:val="en-US"/>
              </w:rPr>
              <w:t>49</w:t>
            </w:r>
          </w:p>
          <w:p w:rsidR="00C34772" w:rsidRDefault="00C34772" w:rsidP="00303D62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</w:p>
          <w:p w:rsidR="00B12C99" w:rsidRPr="00E85C58" w:rsidRDefault="00B12C99" w:rsidP="00303D62">
            <w:pPr>
              <w:tabs>
                <w:tab w:val="left" w:pos="4111"/>
              </w:tabs>
              <w:spacing w:before="0"/>
              <w:ind w:left="57"/>
              <w:rPr>
                <w:lang w:val="en-US"/>
              </w:rPr>
            </w:pPr>
          </w:p>
          <w:p w:rsidR="00C34772" w:rsidRPr="0008257B" w:rsidRDefault="00C34772" w:rsidP="00827BE3">
            <w:pPr>
              <w:tabs>
                <w:tab w:val="left" w:pos="4111"/>
              </w:tabs>
              <w:spacing w:before="0"/>
              <w:ind w:left="57"/>
            </w:pPr>
            <w:r w:rsidRPr="0008257B">
              <w:t>+41 22 730</w:t>
            </w:r>
            <w:r w:rsidR="003333CA" w:rsidRPr="0008257B">
              <w:t xml:space="preserve"> </w:t>
            </w:r>
            <w:r w:rsidR="00827BE3">
              <w:t>6226</w:t>
            </w:r>
            <w:r w:rsidRPr="0008257B">
              <w:br/>
              <w:t>+41 22 730 5853</w:t>
            </w:r>
          </w:p>
        </w:tc>
        <w:tc>
          <w:tcPr>
            <w:tcW w:w="5216" w:type="dxa"/>
          </w:tcPr>
          <w:p w:rsidR="00C34772" w:rsidRPr="0008257B" w:rsidRDefault="003333CA" w:rsidP="003333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  <w:rPr>
                <w:rFonts w:eastAsiaTheme="minorEastAsia"/>
                <w:szCs w:val="24"/>
              </w:rPr>
            </w:pPr>
            <w:bookmarkStart w:id="1" w:name="Addressee_S"/>
            <w:bookmarkEnd w:id="1"/>
            <w:r w:rsidRPr="0008257B">
              <w:rPr>
                <w:rFonts w:eastAsiaTheme="minorEastAsia"/>
                <w:szCs w:val="24"/>
              </w:rPr>
              <w:t>–</w:t>
            </w:r>
            <w:r w:rsidRPr="0008257B">
              <w:rPr>
                <w:rFonts w:eastAsiaTheme="minorEastAsia"/>
                <w:szCs w:val="24"/>
              </w:rPr>
              <w:tab/>
            </w:r>
            <w:r w:rsidR="00C34772" w:rsidRPr="0008257B">
              <w:rPr>
                <w:rFonts w:eastAsiaTheme="minorEastAsia"/>
                <w:szCs w:val="24"/>
              </w:rPr>
              <w:t>A las Administraciones de los Estados Miembros de la Unión</w:t>
            </w:r>
            <w:r w:rsidR="007239BB">
              <w:rPr>
                <w:rFonts w:eastAsiaTheme="minorEastAsia"/>
                <w:szCs w:val="24"/>
              </w:rPr>
              <w:t>;</w:t>
            </w:r>
          </w:p>
          <w:p w:rsidR="003333CA" w:rsidRPr="0008257B" w:rsidRDefault="003333CA" w:rsidP="003333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  <w:rPr>
                <w:rFonts w:eastAsiaTheme="minorEastAsia"/>
                <w:szCs w:val="24"/>
              </w:rPr>
            </w:pPr>
            <w:r w:rsidRPr="0008257B">
              <w:rPr>
                <w:rFonts w:eastAsiaTheme="minorEastAsia"/>
                <w:szCs w:val="24"/>
              </w:rPr>
              <w:t>–</w:t>
            </w:r>
            <w:r w:rsidRPr="0008257B">
              <w:rPr>
                <w:rFonts w:eastAsiaTheme="minorEastAsia"/>
                <w:szCs w:val="24"/>
              </w:rPr>
              <w:tab/>
              <w:t>A los Miembros del Sector UIT</w:t>
            </w:r>
            <w:r w:rsidRPr="0008257B">
              <w:rPr>
                <w:rFonts w:eastAsiaTheme="minorEastAsia"/>
                <w:szCs w:val="24"/>
              </w:rPr>
              <w:noBreakHyphen/>
              <w:t>T;</w:t>
            </w:r>
          </w:p>
          <w:p w:rsidR="003333CA" w:rsidRPr="0008257B" w:rsidRDefault="003333CA" w:rsidP="003333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  <w:rPr>
                <w:rFonts w:eastAsiaTheme="minorEastAsia"/>
                <w:szCs w:val="24"/>
              </w:rPr>
            </w:pPr>
            <w:r w:rsidRPr="0008257B">
              <w:rPr>
                <w:rFonts w:eastAsiaTheme="minorEastAsia"/>
                <w:szCs w:val="24"/>
              </w:rPr>
              <w:t>–</w:t>
            </w:r>
            <w:r w:rsidRPr="0008257B">
              <w:rPr>
                <w:rFonts w:eastAsiaTheme="minorEastAsia"/>
                <w:szCs w:val="24"/>
              </w:rPr>
              <w:tab/>
              <w:t>A los Asociados del UIT</w:t>
            </w:r>
            <w:r w:rsidRPr="0008257B">
              <w:rPr>
                <w:rFonts w:eastAsiaTheme="minorEastAsia"/>
                <w:szCs w:val="24"/>
              </w:rPr>
              <w:noBreakHyphen/>
              <w:t>T;</w:t>
            </w:r>
          </w:p>
          <w:p w:rsidR="003333CA" w:rsidRPr="0008257B" w:rsidRDefault="003333CA" w:rsidP="003333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</w:pPr>
            <w:r w:rsidRPr="0008257B">
              <w:rPr>
                <w:rFonts w:eastAsiaTheme="minorEastAsia"/>
                <w:szCs w:val="24"/>
              </w:rPr>
              <w:t>–</w:t>
            </w:r>
            <w:r w:rsidRPr="0008257B">
              <w:rPr>
                <w:rFonts w:eastAsiaTheme="minorEastAsia"/>
                <w:szCs w:val="24"/>
              </w:rPr>
              <w:tab/>
              <w:t>A las Instituciones Académicas del UIT-T</w:t>
            </w:r>
          </w:p>
          <w:p w:rsidR="003333CA" w:rsidRPr="0008257B" w:rsidRDefault="003333CA" w:rsidP="003333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C34772" w:rsidRPr="0008257B" w:rsidTr="007239BB">
        <w:trPr>
          <w:cantSplit/>
        </w:trPr>
        <w:tc>
          <w:tcPr>
            <w:tcW w:w="993" w:type="dxa"/>
          </w:tcPr>
          <w:p w:rsidR="00C34772" w:rsidRPr="0008257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08257B">
              <w:rPr>
                <w:sz w:val="22"/>
              </w:rPr>
              <w:t>Correo-e:</w:t>
            </w:r>
          </w:p>
        </w:tc>
        <w:tc>
          <w:tcPr>
            <w:tcW w:w="3600" w:type="dxa"/>
          </w:tcPr>
          <w:p w:rsidR="00C34772" w:rsidRPr="0008257B" w:rsidRDefault="006C12B0" w:rsidP="00827BE3">
            <w:pPr>
              <w:tabs>
                <w:tab w:val="left" w:pos="4111"/>
              </w:tabs>
              <w:spacing w:before="0"/>
              <w:ind w:left="57"/>
            </w:pPr>
            <w:hyperlink r:id="rId10" w:history="1">
              <w:r w:rsidR="00827BE3" w:rsidRPr="0099630F">
                <w:rPr>
                  <w:rStyle w:val="Hyperlink"/>
                </w:rPr>
                <w:t>interop@itu.int</w:t>
              </w:r>
            </w:hyperlink>
          </w:p>
        </w:tc>
        <w:tc>
          <w:tcPr>
            <w:tcW w:w="5216" w:type="dxa"/>
          </w:tcPr>
          <w:p w:rsidR="00C34772" w:rsidRPr="0008257B" w:rsidRDefault="00C34772" w:rsidP="00303D62">
            <w:pPr>
              <w:tabs>
                <w:tab w:val="left" w:pos="4111"/>
              </w:tabs>
              <w:spacing w:before="0"/>
            </w:pPr>
            <w:r w:rsidRPr="0008257B">
              <w:rPr>
                <w:b/>
              </w:rPr>
              <w:t>Copia</w:t>
            </w:r>
            <w:r w:rsidRPr="0008257B">
              <w:t>:</w:t>
            </w:r>
          </w:p>
          <w:p w:rsidR="00C34772" w:rsidRPr="0008257B" w:rsidRDefault="003333CA" w:rsidP="00827B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  <w:rPr>
                <w:rFonts w:eastAsiaTheme="minorEastAsia"/>
                <w:szCs w:val="24"/>
              </w:rPr>
            </w:pPr>
            <w:r w:rsidRPr="0008257B">
              <w:rPr>
                <w:rFonts w:eastAsiaTheme="minorEastAsia"/>
                <w:szCs w:val="24"/>
              </w:rPr>
              <w:t>–</w:t>
            </w:r>
            <w:r w:rsidR="00C34772" w:rsidRPr="0008257B">
              <w:rPr>
                <w:rFonts w:eastAsiaTheme="minorEastAsia"/>
                <w:szCs w:val="24"/>
              </w:rPr>
              <w:tab/>
              <w:t xml:space="preserve">A </w:t>
            </w:r>
            <w:r w:rsidR="00827BE3">
              <w:rPr>
                <w:rFonts w:eastAsiaTheme="minorEastAsia"/>
                <w:szCs w:val="24"/>
              </w:rPr>
              <w:t xml:space="preserve">los </w:t>
            </w:r>
            <w:r w:rsidR="00C34772" w:rsidRPr="0008257B">
              <w:rPr>
                <w:rFonts w:eastAsiaTheme="minorEastAsia"/>
                <w:szCs w:val="24"/>
              </w:rPr>
              <w:t>Presidente</w:t>
            </w:r>
            <w:r w:rsidR="00827BE3">
              <w:rPr>
                <w:rFonts w:eastAsiaTheme="minorEastAsia"/>
                <w:szCs w:val="24"/>
              </w:rPr>
              <w:t>s</w:t>
            </w:r>
            <w:r w:rsidR="00C34772" w:rsidRPr="0008257B">
              <w:rPr>
                <w:rFonts w:eastAsiaTheme="minorEastAsia"/>
                <w:szCs w:val="24"/>
              </w:rPr>
              <w:t xml:space="preserve"> y Vicepresidentes de la</w:t>
            </w:r>
            <w:r w:rsidR="00AE7EFB" w:rsidRPr="0008257B">
              <w:rPr>
                <w:rFonts w:eastAsiaTheme="minorEastAsia"/>
                <w:szCs w:val="24"/>
              </w:rPr>
              <w:t>s</w:t>
            </w:r>
            <w:r w:rsidR="00C34772" w:rsidRPr="0008257B">
              <w:rPr>
                <w:rFonts w:eastAsiaTheme="minorEastAsia"/>
                <w:szCs w:val="24"/>
              </w:rPr>
              <w:br/>
            </w:r>
            <w:r w:rsidR="00AE7EFB" w:rsidRPr="0008257B">
              <w:rPr>
                <w:rFonts w:eastAsiaTheme="minorEastAsia"/>
                <w:szCs w:val="24"/>
              </w:rPr>
              <w:t>Comisio</w:t>
            </w:r>
            <w:r w:rsidR="00C34772" w:rsidRPr="0008257B">
              <w:rPr>
                <w:rFonts w:eastAsiaTheme="minorEastAsia"/>
                <w:szCs w:val="24"/>
              </w:rPr>
              <w:t>n</w:t>
            </w:r>
            <w:r w:rsidR="00AE7EFB" w:rsidRPr="0008257B">
              <w:rPr>
                <w:rFonts w:eastAsiaTheme="minorEastAsia"/>
                <w:szCs w:val="24"/>
              </w:rPr>
              <w:t>es</w:t>
            </w:r>
            <w:r w:rsidR="00C34772" w:rsidRPr="0008257B">
              <w:rPr>
                <w:rFonts w:eastAsiaTheme="minorEastAsia"/>
                <w:szCs w:val="24"/>
              </w:rPr>
              <w:t xml:space="preserve"> de Estudio </w:t>
            </w:r>
            <w:r w:rsidR="00AE7EFB" w:rsidRPr="0008257B">
              <w:rPr>
                <w:rFonts w:eastAsiaTheme="minorEastAsia"/>
                <w:szCs w:val="24"/>
              </w:rPr>
              <w:t>del UIT</w:t>
            </w:r>
            <w:r w:rsidR="00AE7EFB" w:rsidRPr="0008257B">
              <w:rPr>
                <w:rFonts w:eastAsiaTheme="minorEastAsia"/>
                <w:szCs w:val="24"/>
              </w:rPr>
              <w:noBreakHyphen/>
              <w:t>T</w:t>
            </w:r>
            <w:r w:rsidR="007239BB">
              <w:rPr>
                <w:rFonts w:eastAsiaTheme="minorEastAsia"/>
                <w:szCs w:val="24"/>
              </w:rPr>
              <w:t>;</w:t>
            </w:r>
          </w:p>
          <w:p w:rsidR="00C34772" w:rsidRPr="0008257B" w:rsidRDefault="00AE7EFB" w:rsidP="00AE7E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  <w:rPr>
                <w:rFonts w:eastAsiaTheme="minorEastAsia"/>
                <w:szCs w:val="24"/>
              </w:rPr>
            </w:pPr>
            <w:r w:rsidRPr="0008257B">
              <w:rPr>
                <w:rFonts w:eastAsiaTheme="minorEastAsia"/>
                <w:szCs w:val="24"/>
              </w:rPr>
              <w:t>–</w:t>
            </w:r>
            <w:r w:rsidRPr="0008257B">
              <w:rPr>
                <w:rFonts w:eastAsiaTheme="minorEastAsia"/>
                <w:szCs w:val="24"/>
              </w:rPr>
              <w:tab/>
            </w:r>
            <w:r w:rsidR="00C34772" w:rsidRPr="0008257B">
              <w:rPr>
                <w:rFonts w:eastAsiaTheme="minorEastAsia"/>
                <w:szCs w:val="24"/>
              </w:rPr>
              <w:t>Al Director de la Oficina de Desarrollo de las Telecomunicaciones;</w:t>
            </w:r>
          </w:p>
          <w:p w:rsidR="00827BE3" w:rsidRPr="00827BE3" w:rsidRDefault="00AE7EFB" w:rsidP="00827BE3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  <w:rPr>
                <w:rFonts w:eastAsiaTheme="minorEastAsia"/>
                <w:szCs w:val="24"/>
              </w:rPr>
            </w:pPr>
            <w:r w:rsidRPr="0008257B">
              <w:rPr>
                <w:rFonts w:eastAsiaTheme="minorEastAsia"/>
                <w:szCs w:val="24"/>
              </w:rPr>
              <w:t>–</w:t>
            </w:r>
            <w:r w:rsidRPr="0008257B">
              <w:rPr>
                <w:rFonts w:eastAsiaTheme="minorEastAsia"/>
                <w:szCs w:val="24"/>
              </w:rPr>
              <w:tab/>
            </w:r>
            <w:r w:rsidR="00C34772" w:rsidRPr="0008257B">
              <w:rPr>
                <w:rFonts w:eastAsiaTheme="minorEastAsia"/>
                <w:szCs w:val="24"/>
              </w:rPr>
              <w:t>Al Director de la Oficina de Radiocomunicaciones</w:t>
            </w:r>
            <w:r w:rsidR="00827BE3">
              <w:rPr>
                <w:rFonts w:eastAsiaTheme="minorEastAsia"/>
                <w:szCs w:val="24"/>
              </w:rPr>
              <w:t>.</w:t>
            </w:r>
          </w:p>
          <w:p w:rsidR="00AE7EFB" w:rsidRPr="0008257B" w:rsidRDefault="00AE7EFB" w:rsidP="00AE7E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/>
              <w:ind w:left="284" w:hanging="284"/>
              <w:textAlignment w:val="auto"/>
            </w:pPr>
          </w:p>
        </w:tc>
      </w:tr>
    </w:tbl>
    <w:p w:rsidR="00C34772" w:rsidRPr="0008257B" w:rsidRDefault="00C34772" w:rsidP="002C6CF6">
      <w:pPr>
        <w:spacing w:befor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7116"/>
      </w:tblGrid>
      <w:tr w:rsidR="00C34772" w:rsidRPr="0008257B" w:rsidTr="00E85C58">
        <w:trPr>
          <w:cantSplit/>
        </w:trPr>
        <w:tc>
          <w:tcPr>
            <w:tcW w:w="1247" w:type="dxa"/>
          </w:tcPr>
          <w:p w:rsidR="00C34772" w:rsidRPr="0008257B" w:rsidRDefault="00C34772" w:rsidP="00230FBD">
            <w:pPr>
              <w:overflowPunct/>
              <w:autoSpaceDE/>
              <w:autoSpaceDN/>
              <w:adjustRightInd/>
              <w:spacing w:before="0"/>
              <w:textAlignment w:val="auto"/>
              <w:rPr>
                <w:szCs w:val="24"/>
              </w:rPr>
            </w:pPr>
            <w:r w:rsidRPr="0008257B">
              <w:rPr>
                <w:rFonts w:eastAsiaTheme="minorEastAsia"/>
                <w:szCs w:val="24"/>
              </w:rPr>
              <w:t>Asunto</w:t>
            </w:r>
            <w:r w:rsidRPr="0008257B">
              <w:rPr>
                <w:szCs w:val="24"/>
              </w:rPr>
              <w:t>:</w:t>
            </w:r>
          </w:p>
        </w:tc>
        <w:tc>
          <w:tcPr>
            <w:tcW w:w="7116" w:type="dxa"/>
          </w:tcPr>
          <w:p w:rsidR="00C34772" w:rsidRPr="0008257B" w:rsidRDefault="00230FBD" w:rsidP="00827BE3">
            <w:pPr>
              <w:tabs>
                <w:tab w:val="left" w:pos="4111"/>
              </w:tabs>
              <w:spacing w:before="0"/>
              <w:rPr>
                <w:b/>
                <w:szCs w:val="24"/>
              </w:rPr>
            </w:pPr>
            <w:r w:rsidRPr="0008257B">
              <w:rPr>
                <w:b/>
                <w:szCs w:val="24"/>
              </w:rPr>
              <w:t xml:space="preserve">Evento conjunto </w:t>
            </w:r>
            <w:r w:rsidR="00827BE3">
              <w:rPr>
                <w:b/>
                <w:szCs w:val="24"/>
              </w:rPr>
              <w:t xml:space="preserve">sobre interoperabilidad UIT/Continua </w:t>
            </w:r>
            <w:proofErr w:type="spellStart"/>
            <w:r w:rsidR="00827BE3">
              <w:rPr>
                <w:b/>
                <w:szCs w:val="24"/>
              </w:rPr>
              <w:t>Health</w:t>
            </w:r>
            <w:proofErr w:type="spellEnd"/>
            <w:r w:rsidR="00827BE3">
              <w:rPr>
                <w:b/>
                <w:szCs w:val="24"/>
              </w:rPr>
              <w:t xml:space="preserve"> Alliance y demostración sobre </w:t>
            </w:r>
            <w:proofErr w:type="spellStart"/>
            <w:r w:rsidR="00827BE3">
              <w:rPr>
                <w:b/>
                <w:szCs w:val="24"/>
              </w:rPr>
              <w:t>cibersalud</w:t>
            </w:r>
            <w:proofErr w:type="spellEnd"/>
            <w:r w:rsidR="00827BE3">
              <w:rPr>
                <w:b/>
                <w:szCs w:val="24"/>
              </w:rPr>
              <w:t xml:space="preserve">; Ginebra (Suiza), del 28 al 31 de octubre de 2013 </w:t>
            </w:r>
          </w:p>
        </w:tc>
      </w:tr>
    </w:tbl>
    <w:p w:rsidR="00C34772" w:rsidRPr="0008257B" w:rsidRDefault="00C34772" w:rsidP="002C6CF6">
      <w:pPr>
        <w:spacing w:before="360"/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 w:rsidRPr="0008257B">
        <w:t>Muy Señor mío:</w:t>
      </w:r>
    </w:p>
    <w:p w:rsidR="00997535" w:rsidRPr="0008257B" w:rsidRDefault="00997535" w:rsidP="00371F2E">
      <w:pPr>
        <w:rPr>
          <w:bCs/>
        </w:rPr>
      </w:pPr>
      <w:r w:rsidRPr="0008257B">
        <w:rPr>
          <w:bCs/>
        </w:rPr>
        <w:t>1</w:t>
      </w:r>
      <w:r w:rsidRPr="0008257B">
        <w:rPr>
          <w:bCs/>
        </w:rPr>
        <w:tab/>
      </w:r>
      <w:r w:rsidR="00344B69" w:rsidRPr="0008257B">
        <w:t>Me co</w:t>
      </w:r>
      <w:r w:rsidR="00827BE3">
        <w:t>mplace informarle</w:t>
      </w:r>
      <w:r w:rsidR="00344B69" w:rsidRPr="0008257B">
        <w:t xml:space="preserve"> que</w:t>
      </w:r>
      <w:r w:rsidR="00827BE3">
        <w:t xml:space="preserve">, del 28 al 31 de octubre de 2013, </w:t>
      </w:r>
      <w:r w:rsidR="00344B69" w:rsidRPr="0008257B">
        <w:t>tendrá</w:t>
      </w:r>
      <w:r w:rsidRPr="0008257B">
        <w:t xml:space="preserve"> lugar en </w:t>
      </w:r>
      <w:r w:rsidR="00827BE3">
        <w:t xml:space="preserve">la Sede de la UIT en Ginebra (Suiza) </w:t>
      </w:r>
      <w:r w:rsidRPr="0008257B">
        <w:t xml:space="preserve">un evento </w:t>
      </w:r>
      <w:r w:rsidR="00827BE3" w:rsidRPr="00827BE3">
        <w:t xml:space="preserve">conjunto sobre interoperabilidad </w:t>
      </w:r>
      <w:r w:rsidR="00371F2E">
        <w:t xml:space="preserve">de la </w:t>
      </w:r>
      <w:r w:rsidR="00827BE3" w:rsidRPr="00827BE3">
        <w:t>UIT</w:t>
      </w:r>
      <w:r w:rsidR="00371F2E">
        <w:t xml:space="preserve"> y </w:t>
      </w:r>
      <w:r w:rsidR="00827BE3" w:rsidRPr="00827BE3">
        <w:t xml:space="preserve">Continua </w:t>
      </w:r>
      <w:proofErr w:type="spellStart"/>
      <w:r w:rsidR="00827BE3" w:rsidRPr="00827BE3">
        <w:t>Health</w:t>
      </w:r>
      <w:proofErr w:type="spellEnd"/>
      <w:r w:rsidR="00827BE3" w:rsidRPr="00827BE3">
        <w:t xml:space="preserve"> Alliance </w:t>
      </w:r>
      <w:r w:rsidR="00827BE3">
        <w:t>en el ámbito de la</w:t>
      </w:r>
      <w:r w:rsidR="00827BE3" w:rsidRPr="00827BE3">
        <w:t xml:space="preserve"> </w:t>
      </w:r>
      <w:proofErr w:type="spellStart"/>
      <w:r w:rsidR="00827BE3" w:rsidRPr="00827BE3">
        <w:t>cibersalud</w:t>
      </w:r>
      <w:proofErr w:type="spellEnd"/>
      <w:r w:rsidR="00827BE3">
        <w:t xml:space="preserve">. El componente de pruebas del evento se celebrará los días 30 y 31 de octubre, y éste irá precedido de una sesión de </w:t>
      </w:r>
      <w:r w:rsidR="00321110">
        <w:t>demostración</w:t>
      </w:r>
      <w:r w:rsidR="00827BE3">
        <w:t xml:space="preserve"> y formación </w:t>
      </w:r>
      <w:r w:rsidR="00321110">
        <w:t xml:space="preserve">sobre </w:t>
      </w:r>
      <w:proofErr w:type="spellStart"/>
      <w:r w:rsidR="00321110">
        <w:t>cibersalud</w:t>
      </w:r>
      <w:proofErr w:type="spellEnd"/>
      <w:r w:rsidR="00321110">
        <w:t xml:space="preserve"> que tendrá lugar los días 28 y 29 de octubre de 2013.</w:t>
      </w:r>
    </w:p>
    <w:p w:rsidR="00321110" w:rsidRDefault="00997535" w:rsidP="00B12C99">
      <w:pPr>
        <w:rPr>
          <w:bCs/>
        </w:rPr>
      </w:pPr>
      <w:r w:rsidRPr="0008257B">
        <w:rPr>
          <w:bCs/>
        </w:rPr>
        <w:t>2</w:t>
      </w:r>
      <w:r w:rsidRPr="0008257B">
        <w:rPr>
          <w:bCs/>
        </w:rPr>
        <w:tab/>
      </w:r>
      <w:r w:rsidR="00321110">
        <w:rPr>
          <w:bCs/>
        </w:rPr>
        <w:t xml:space="preserve">La </w:t>
      </w:r>
      <w:r w:rsidR="00321110" w:rsidRPr="00371F2E">
        <w:rPr>
          <w:b/>
        </w:rPr>
        <w:t>realización de pruebas</w:t>
      </w:r>
      <w:r w:rsidR="00321110">
        <w:rPr>
          <w:bCs/>
        </w:rPr>
        <w:t xml:space="preserve"> incluirá pruebas de conformidad y/o interoperabilidad de los aparatos, aplicaciones, servicios y plataformas tecnológicas de </w:t>
      </w:r>
      <w:proofErr w:type="spellStart"/>
      <w:r w:rsidR="00321110">
        <w:rPr>
          <w:bCs/>
        </w:rPr>
        <w:t>cibersalud</w:t>
      </w:r>
      <w:proofErr w:type="spellEnd"/>
      <w:r w:rsidR="00321110">
        <w:rPr>
          <w:bCs/>
        </w:rPr>
        <w:t xml:space="preserve"> con arreglo al proyecto d</w:t>
      </w:r>
      <w:r w:rsidR="003C25E2">
        <w:rPr>
          <w:bCs/>
        </w:rPr>
        <w:t>e Recomendación UIT-T H.IDGPHS "</w:t>
      </w:r>
      <w:r w:rsidR="00321110" w:rsidRPr="00321110">
        <w:rPr>
          <w:bCs/>
        </w:rPr>
        <w:t>Directrices para la concepción de la interoperabilidad de los sistemas de salud personal</w:t>
      </w:r>
      <w:r w:rsidR="003C25E2">
        <w:rPr>
          <w:bCs/>
        </w:rPr>
        <w:t>"</w:t>
      </w:r>
      <w:r w:rsidR="00321110">
        <w:rPr>
          <w:bCs/>
        </w:rPr>
        <w:t xml:space="preserve">, basado </w:t>
      </w:r>
      <w:r w:rsidR="00B12C99">
        <w:rPr>
          <w:bCs/>
        </w:rPr>
        <w:t xml:space="preserve">a su vez </w:t>
      </w:r>
      <w:r w:rsidR="00321110">
        <w:rPr>
          <w:bCs/>
        </w:rPr>
        <w:t xml:space="preserve">en las Directrices de diseño de </w:t>
      </w:r>
      <w:r w:rsidR="00321110" w:rsidRPr="00321110">
        <w:rPr>
          <w:bCs/>
        </w:rPr>
        <w:t xml:space="preserve">Continua </w:t>
      </w:r>
      <w:proofErr w:type="spellStart"/>
      <w:r w:rsidR="00321110" w:rsidRPr="00321110">
        <w:rPr>
          <w:bCs/>
        </w:rPr>
        <w:t>Health</w:t>
      </w:r>
      <w:proofErr w:type="spellEnd"/>
      <w:r w:rsidR="00321110" w:rsidRPr="00321110">
        <w:rPr>
          <w:bCs/>
        </w:rPr>
        <w:t xml:space="preserve"> Alliance</w:t>
      </w:r>
      <w:r w:rsidR="00321110">
        <w:rPr>
          <w:bCs/>
        </w:rPr>
        <w:t xml:space="preserve">, que pueden consultarse en la dirección: </w:t>
      </w:r>
      <w:hyperlink r:id="rId11" w:history="1">
        <w:r w:rsidR="00321110" w:rsidRPr="0099630F">
          <w:rPr>
            <w:rStyle w:val="Hyperlink"/>
            <w:bCs/>
          </w:rPr>
          <w:t>http://www.continuaalliance.org/products/design-guidelines</w:t>
        </w:r>
      </w:hyperlink>
      <w:r w:rsidR="00321110">
        <w:rPr>
          <w:bCs/>
        </w:rPr>
        <w:t xml:space="preserve">. Los participantes podrán compartir los resultados de las pruebas de interoperabilidad sobre una base bilateral, utilizando </w:t>
      </w:r>
      <w:r w:rsidR="00B12C99">
        <w:rPr>
          <w:bCs/>
        </w:rPr>
        <w:t>mecanismos</w:t>
      </w:r>
      <w:r w:rsidR="00321110">
        <w:rPr>
          <w:bCs/>
        </w:rPr>
        <w:t xml:space="preserve"> tales como </w:t>
      </w:r>
      <w:r w:rsidR="00B12C99">
        <w:rPr>
          <w:bCs/>
        </w:rPr>
        <w:t xml:space="preserve">los </w:t>
      </w:r>
      <w:r w:rsidR="00321110">
        <w:rPr>
          <w:bCs/>
        </w:rPr>
        <w:t>acuerdos de no divulgación (AND).</w:t>
      </w:r>
    </w:p>
    <w:p w:rsidR="00321110" w:rsidRDefault="00C34772" w:rsidP="00371F2E">
      <w:r w:rsidRPr="0008257B">
        <w:rPr>
          <w:bCs/>
        </w:rPr>
        <w:t>3</w:t>
      </w:r>
      <w:r w:rsidRPr="0008257B">
        <w:tab/>
      </w:r>
      <w:r w:rsidR="00321110">
        <w:t xml:space="preserve">La </w:t>
      </w:r>
      <w:r w:rsidR="00321110" w:rsidRPr="00371F2E">
        <w:rPr>
          <w:b/>
          <w:bCs/>
        </w:rPr>
        <w:t>demostración</w:t>
      </w:r>
      <w:r w:rsidR="00321110">
        <w:t xml:space="preserve"> que tendrá lugar con anterioridad, y que está abierta al público, </w:t>
      </w:r>
      <w:r w:rsidR="00321110" w:rsidRPr="00321110">
        <w:t xml:space="preserve">consistirá en una </w:t>
      </w:r>
      <w:r w:rsidR="00371F2E">
        <w:t>presentación</w:t>
      </w:r>
      <w:r w:rsidR="00371F2E" w:rsidRPr="00321110">
        <w:t xml:space="preserve"> </w:t>
      </w:r>
      <w:r w:rsidR="00321110" w:rsidRPr="00321110">
        <w:t xml:space="preserve">de nuevos productos manufacturados por los fabricantes </w:t>
      </w:r>
      <w:r w:rsidR="00371F2E">
        <w:t xml:space="preserve">que van a </w:t>
      </w:r>
      <w:r w:rsidR="00321110" w:rsidRPr="00321110">
        <w:t>particip</w:t>
      </w:r>
      <w:r w:rsidR="00371F2E">
        <w:t>ar</w:t>
      </w:r>
      <w:r w:rsidR="00321110" w:rsidRPr="00321110">
        <w:t xml:space="preserve">. Esta parte tiene como objetivo destacar </w:t>
      </w:r>
      <w:r w:rsidR="00371F2E">
        <w:t xml:space="preserve">y dar a conocer información sobre las tecnologías de </w:t>
      </w:r>
      <w:proofErr w:type="spellStart"/>
      <w:r w:rsidR="00371F2E">
        <w:t>cibersalud</w:t>
      </w:r>
      <w:proofErr w:type="spellEnd"/>
      <w:r w:rsidR="00371F2E">
        <w:t xml:space="preserve"> y </w:t>
      </w:r>
      <w:r w:rsidR="00321110" w:rsidRPr="00321110">
        <w:t xml:space="preserve">los trabajos de normalización que se están llevando a cabo en el UIT-T. </w:t>
      </w:r>
      <w:r w:rsidR="00321110">
        <w:t xml:space="preserve">También habrá cada tarde sesiones de formación sobre </w:t>
      </w:r>
      <w:proofErr w:type="spellStart"/>
      <w:r w:rsidR="00321110">
        <w:t>cibersalud</w:t>
      </w:r>
      <w:proofErr w:type="spellEnd"/>
      <w:r w:rsidR="00321110">
        <w:t xml:space="preserve"> de dos horas de duración. La información sobre las sesiones de formación estará disponible en el sitio web del evento de </w:t>
      </w:r>
      <w:proofErr w:type="spellStart"/>
      <w:r w:rsidR="00321110">
        <w:t>Interop</w:t>
      </w:r>
      <w:proofErr w:type="spellEnd"/>
      <w:r w:rsidR="00321110">
        <w:t xml:space="preserve"> de la UIT en la dirección: </w:t>
      </w:r>
      <w:hyperlink r:id="rId12" w:history="1">
        <w:r w:rsidR="00321110" w:rsidRPr="0099630F">
          <w:rPr>
            <w:rStyle w:val="Hyperlink"/>
          </w:rPr>
          <w:t>www.itu.int/interop</w:t>
        </w:r>
      </w:hyperlink>
      <w:r w:rsidR="00321110">
        <w:t>.</w:t>
      </w:r>
    </w:p>
    <w:p w:rsidR="00463513" w:rsidRDefault="00C34772" w:rsidP="00371F2E">
      <w:r w:rsidRPr="0008257B">
        <w:rPr>
          <w:bCs/>
        </w:rPr>
        <w:t>4</w:t>
      </w:r>
      <w:r w:rsidRPr="0008257B">
        <w:tab/>
      </w:r>
      <w:r w:rsidR="00321110">
        <w:t xml:space="preserve">En este evento conjunto se promoverá la interoperabilidad en el ámbito de la </w:t>
      </w:r>
      <w:proofErr w:type="spellStart"/>
      <w:r w:rsidR="00321110">
        <w:t>cibersalud</w:t>
      </w:r>
      <w:proofErr w:type="spellEnd"/>
      <w:r w:rsidR="00321110">
        <w:t xml:space="preserve">, se sensibilizará acerca de la importancia de </w:t>
      </w:r>
      <w:r w:rsidR="002E2773">
        <w:t xml:space="preserve">unas </w:t>
      </w:r>
      <w:r w:rsidR="00321110">
        <w:t>normas abiertas, mundiales</w:t>
      </w:r>
      <w:r w:rsidR="00463513">
        <w:t xml:space="preserve"> y compatibles, y se facilitará la información pertinente a las Comisiones de Estudio de la UIT con miras a futuros estudios </w:t>
      </w:r>
      <w:r w:rsidR="00371F2E">
        <w:t>destinados a</w:t>
      </w:r>
      <w:r w:rsidR="00463513">
        <w:t xml:space="preserve"> encontrar soluciones </w:t>
      </w:r>
      <w:r w:rsidR="00371F2E">
        <w:t>par</w:t>
      </w:r>
      <w:r w:rsidR="00463513">
        <w:t>a las cuestiones de interoperabilidad. Asimismo, el evento se</w:t>
      </w:r>
      <w:r w:rsidR="00371F2E">
        <w:t>rvirá para</w:t>
      </w:r>
      <w:r w:rsidR="00463513">
        <w:t xml:space="preserve"> acelerar y fomentar la comprensión del Programa de Conformidad e </w:t>
      </w:r>
      <w:r w:rsidR="00463513">
        <w:lastRenderedPageBreak/>
        <w:t>Interoperabilidad (C&amp;I) de la UIT y de las demás actividades pertinentes relativas a la capacitación  en materia de C&amp;I.</w:t>
      </w:r>
    </w:p>
    <w:p w:rsidR="00463513" w:rsidRDefault="00C34772" w:rsidP="00463513">
      <w:r w:rsidRPr="0008257B">
        <w:rPr>
          <w:bCs/>
        </w:rPr>
        <w:t>5</w:t>
      </w:r>
      <w:r w:rsidRPr="0008257B">
        <w:tab/>
      </w:r>
      <w:r w:rsidR="003D20DD" w:rsidRPr="0008257B">
        <w:t>El evento est</w:t>
      </w:r>
      <w:r w:rsidR="003B23EE" w:rsidRPr="0008257B">
        <w:t>á</w:t>
      </w:r>
      <w:r w:rsidR="003D20DD" w:rsidRPr="0008257B">
        <w:t xml:space="preserve"> abierto a la participación </w:t>
      </w:r>
      <w:r w:rsidR="003B23EE" w:rsidRPr="0008257B">
        <w:t>d</w:t>
      </w:r>
      <w:r w:rsidR="003D20DD" w:rsidRPr="0008257B">
        <w:t>e</w:t>
      </w:r>
      <w:r w:rsidR="00463513">
        <w:t xml:space="preserve"> los miembros de la UIT y de Continua. El </w:t>
      </w:r>
      <w:r w:rsidR="00463513" w:rsidRPr="00653B45">
        <w:rPr>
          <w:b/>
          <w:bCs/>
        </w:rPr>
        <w:t>precio de inscripción</w:t>
      </w:r>
      <w:r w:rsidR="00463513">
        <w:t xml:space="preserve"> para las organizaciones que participen en el evento de realización de pruebas y/o de demostraci</w:t>
      </w:r>
      <w:r w:rsidR="003C25E2">
        <w:t>ón (como expositores) será de 1.</w:t>
      </w:r>
      <w:r w:rsidR="00463513">
        <w:t xml:space="preserve">000 USD por organización (lo cual incluye la inscripción para un participante de la organización), más 150 USD por cada participante adicional de la organización. Las visitas a la exposición serán gratuitas para el público. </w:t>
      </w:r>
    </w:p>
    <w:p w:rsidR="00122D3B" w:rsidRDefault="00C34772" w:rsidP="006C12B0">
      <w:r w:rsidRPr="0008257B">
        <w:rPr>
          <w:bCs/>
        </w:rPr>
        <w:t>6</w:t>
      </w:r>
      <w:r w:rsidRPr="0008257B">
        <w:tab/>
      </w:r>
      <w:r w:rsidR="00222DD2" w:rsidRPr="0008257B">
        <w:rPr>
          <w:b/>
          <w:bCs/>
        </w:rPr>
        <w:t>Inscripció</w:t>
      </w:r>
      <w:r w:rsidR="003D20DD" w:rsidRPr="0008257B">
        <w:rPr>
          <w:b/>
          <w:bCs/>
        </w:rPr>
        <w:t>n</w:t>
      </w:r>
      <w:r w:rsidR="00222DD2" w:rsidRPr="0008257B">
        <w:t xml:space="preserve">: </w:t>
      </w:r>
      <w:r w:rsidR="006D26F1" w:rsidRPr="0008257B">
        <w:t xml:space="preserve">para </w:t>
      </w:r>
      <w:r w:rsidR="00222DD2" w:rsidRPr="0008257B">
        <w:t xml:space="preserve">que </w:t>
      </w:r>
      <w:r w:rsidR="00463513">
        <w:t xml:space="preserve">podamos adoptar </w:t>
      </w:r>
      <w:r w:rsidR="003D20DD" w:rsidRPr="0008257B">
        <w:t>las medidas necesarias ref</w:t>
      </w:r>
      <w:r w:rsidR="0016214D" w:rsidRPr="0008257B">
        <w:t>e</w:t>
      </w:r>
      <w:r w:rsidR="003D20DD" w:rsidRPr="0008257B">
        <w:t xml:space="preserve">rentes a la organización del evento, le agradecería </w:t>
      </w:r>
      <w:r w:rsidR="00222DD2" w:rsidRPr="0008257B">
        <w:t>q</w:t>
      </w:r>
      <w:r w:rsidR="003D20DD" w:rsidRPr="0008257B">
        <w:t xml:space="preserve">ue </w:t>
      </w:r>
      <w:r w:rsidR="00463513">
        <w:t xml:space="preserve">se inscribiese en la dirección </w:t>
      </w:r>
      <w:hyperlink r:id="rId13" w:history="1">
        <w:r w:rsidR="00463513" w:rsidRPr="0099630F">
          <w:rPr>
            <w:rStyle w:val="Hyperlink"/>
          </w:rPr>
          <w:t>www.itu.int/interop</w:t>
        </w:r>
      </w:hyperlink>
      <w:r w:rsidR="00463513">
        <w:t xml:space="preserve"> </w:t>
      </w:r>
      <w:r w:rsidR="003D20DD" w:rsidRPr="0008257B">
        <w:t>a la mayor brevedad posible</w:t>
      </w:r>
      <w:r w:rsidR="00371F2E">
        <w:t>,</w:t>
      </w:r>
      <w:r w:rsidR="003D20DD" w:rsidRPr="0008257B">
        <w:t xml:space="preserve"> pero </w:t>
      </w:r>
      <w:r w:rsidR="00222DD2" w:rsidRPr="0008257B">
        <w:rPr>
          <w:b/>
          <w:bCs/>
        </w:rPr>
        <w:t>a má</w:t>
      </w:r>
      <w:r w:rsidR="003D20DD" w:rsidRPr="0008257B">
        <w:rPr>
          <w:b/>
          <w:bCs/>
        </w:rPr>
        <w:t xml:space="preserve">s tardar el </w:t>
      </w:r>
      <w:r w:rsidR="00463513">
        <w:rPr>
          <w:b/>
          <w:bCs/>
        </w:rPr>
        <w:t>30</w:t>
      </w:r>
      <w:r w:rsidR="003D20DD" w:rsidRPr="0008257B">
        <w:rPr>
          <w:b/>
          <w:bCs/>
        </w:rPr>
        <w:t xml:space="preserve"> de </w:t>
      </w:r>
      <w:r w:rsidR="00463513">
        <w:rPr>
          <w:b/>
          <w:bCs/>
        </w:rPr>
        <w:t>septiembre</w:t>
      </w:r>
      <w:r w:rsidR="003D20DD" w:rsidRPr="0008257B">
        <w:rPr>
          <w:b/>
          <w:bCs/>
        </w:rPr>
        <w:t xml:space="preserve"> de 2013</w:t>
      </w:r>
      <w:r w:rsidR="00371F2E">
        <w:t>, si desea</w:t>
      </w:r>
      <w:r w:rsidR="00463513">
        <w:t xml:space="preserve"> participar </w:t>
      </w:r>
      <w:r w:rsidR="00463513" w:rsidRPr="00463513">
        <w:t>en el evento de realización de pruebas y/o de demostración (</w:t>
      </w:r>
      <w:r w:rsidR="00463513">
        <w:t>en calidad de</w:t>
      </w:r>
      <w:r w:rsidR="00463513" w:rsidRPr="00463513">
        <w:t xml:space="preserve"> expositor)</w:t>
      </w:r>
      <w:r w:rsidR="00463513">
        <w:t xml:space="preserve">, y se invita a los visitantes de la exposición a que se comuniquen  con nosotros en la dirección </w:t>
      </w:r>
      <w:hyperlink r:id="rId14" w:history="1">
        <w:r w:rsidR="006C12B0" w:rsidRPr="00A937B2">
          <w:rPr>
            <w:rStyle w:val="Hyperlink"/>
          </w:rPr>
          <w:t>interop@itu.int</w:t>
        </w:r>
      </w:hyperlink>
      <w:r w:rsidR="006C12B0">
        <w:t xml:space="preserve"> </w:t>
      </w:r>
      <w:hyperlink r:id="rId15" w:history="1"/>
      <w:r w:rsidR="00463513">
        <w:t xml:space="preserve"> </w:t>
      </w:r>
      <w:r w:rsidR="00122D3B">
        <w:t xml:space="preserve">hasta el 21 de octubre de 2013. Puede consultarse información detallada sobre el evento en el sitio web del evento </w:t>
      </w:r>
      <w:proofErr w:type="spellStart"/>
      <w:r w:rsidR="00122D3B">
        <w:t>Interop</w:t>
      </w:r>
      <w:proofErr w:type="spellEnd"/>
      <w:r w:rsidR="00122D3B">
        <w:t xml:space="preserve"> de la </w:t>
      </w:r>
      <w:r w:rsidR="00371F2E">
        <w:t>U</w:t>
      </w:r>
      <w:r w:rsidR="00122D3B">
        <w:t xml:space="preserve">IT en la dirección </w:t>
      </w:r>
      <w:hyperlink r:id="rId16" w:history="1">
        <w:r w:rsidR="00122D3B" w:rsidRPr="0099630F">
          <w:rPr>
            <w:rStyle w:val="Hyperlink"/>
          </w:rPr>
          <w:t>www.itu.int/interop</w:t>
        </w:r>
      </w:hyperlink>
      <w:r w:rsidR="00122D3B">
        <w:t>.</w:t>
      </w:r>
    </w:p>
    <w:p w:rsidR="003D20DD" w:rsidRPr="0008257B" w:rsidRDefault="00122D3B" w:rsidP="00103C5E">
      <w:pPr>
        <w:rPr>
          <w:rFonts w:eastAsiaTheme="minorEastAsia"/>
          <w:szCs w:val="24"/>
        </w:rPr>
      </w:pPr>
      <w:r>
        <w:t>A</w:t>
      </w:r>
      <w:r w:rsidR="003D20DD" w:rsidRPr="0008257B">
        <w:t>tentamente</w:t>
      </w:r>
      <w:r w:rsidR="00115497" w:rsidRPr="0008257B">
        <w:t>,</w:t>
      </w:r>
    </w:p>
    <w:p w:rsidR="002C6CF6" w:rsidRDefault="002C6CF6" w:rsidP="002C6CF6"/>
    <w:p w:rsidR="007B2454" w:rsidRDefault="007B2454" w:rsidP="002C6CF6"/>
    <w:p w:rsidR="002C6CF6" w:rsidRDefault="002C6CF6" w:rsidP="00103C5E"/>
    <w:p w:rsidR="003D20DD" w:rsidRPr="0008257B" w:rsidRDefault="003D20DD" w:rsidP="002C6CF6">
      <w:pPr>
        <w:rPr>
          <w:rFonts w:eastAsiaTheme="minorEastAsia"/>
          <w:szCs w:val="24"/>
        </w:rPr>
      </w:pPr>
      <w:r w:rsidRPr="0008257B">
        <w:t>Malcolm Johnson</w:t>
      </w:r>
      <w:r w:rsidRPr="0008257B">
        <w:rPr>
          <w:rFonts w:eastAsiaTheme="minorEastAsia"/>
          <w:szCs w:val="24"/>
        </w:rPr>
        <w:br/>
      </w:r>
      <w:r w:rsidRPr="0008257B">
        <w:t xml:space="preserve">Director de la </w:t>
      </w:r>
      <w:r w:rsidR="002C6CF6" w:rsidRPr="0008257B">
        <w:t xml:space="preserve">Oficina </w:t>
      </w:r>
      <w:r w:rsidRPr="0008257B">
        <w:t xml:space="preserve">de </w:t>
      </w:r>
      <w:r w:rsidR="00D218C0" w:rsidRPr="0008257B">
        <w:t>Normalizació</w:t>
      </w:r>
      <w:r w:rsidRPr="0008257B">
        <w:t>n</w:t>
      </w:r>
      <w:r w:rsidR="002C6CF6">
        <w:br/>
      </w:r>
      <w:r w:rsidRPr="0008257B">
        <w:t xml:space="preserve">de las </w:t>
      </w:r>
      <w:r w:rsidR="002C6CF6" w:rsidRPr="0008257B">
        <w:t>Telecomunicaciones</w:t>
      </w:r>
    </w:p>
    <w:sectPr w:rsidR="003D20DD" w:rsidRPr="0008257B" w:rsidSect="00122D3B">
      <w:headerReference w:type="default" r:id="rId17"/>
      <w:footerReference w:type="default" r:id="rId18"/>
      <w:footerReference w:type="first" r:id="rId19"/>
      <w:pgSz w:w="11907" w:h="16840" w:code="9"/>
      <w:pgMar w:top="851" w:right="1134" w:bottom="851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73" w:rsidRDefault="002E2773">
      <w:r>
        <w:separator/>
      </w:r>
    </w:p>
  </w:endnote>
  <w:endnote w:type="continuationSeparator" w:id="0">
    <w:p w:rsidR="002E2773" w:rsidRDefault="002E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54" w:rsidRPr="007B2454" w:rsidRDefault="00653B45" w:rsidP="007B2454">
    <w:pPr>
      <w:pStyle w:val="Footer"/>
      <w:rPr>
        <w:sz w:val="16"/>
        <w:lang w:val="fr-CH"/>
      </w:rPr>
    </w:pPr>
    <w:r w:rsidRPr="00653B45">
      <w:rPr>
        <w:lang w:val="fr-FR"/>
      </w:rPr>
      <w:t>itu-t\bureau\circ\049s.docx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3"/>
      <w:gridCol w:w="3121"/>
      <w:gridCol w:w="2410"/>
      <w:gridCol w:w="2229"/>
    </w:tblGrid>
    <w:tr w:rsidR="007B2454" w:rsidRPr="006C12B0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7B2454" w:rsidRDefault="007B2454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7B2454" w:rsidRDefault="007B2454" w:rsidP="003835EB">
          <w:pPr>
            <w:pStyle w:val="itu"/>
          </w:pPr>
          <w:proofErr w:type="spellStart"/>
          <w:r>
            <w:t>Teléfono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7B2454" w:rsidRDefault="007B2454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7B2454" w:rsidRDefault="007B2454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7B2454">
      <w:trPr>
        <w:cantSplit/>
      </w:trPr>
      <w:tc>
        <w:tcPr>
          <w:tcW w:w="1062" w:type="pct"/>
        </w:tcPr>
        <w:p w:rsidR="007B2454" w:rsidRDefault="007B2454">
          <w:pPr>
            <w:pStyle w:val="itu"/>
          </w:pPr>
          <w:r>
            <w:t xml:space="preserve">CH-1211 </w:t>
          </w:r>
          <w:proofErr w:type="spellStart"/>
          <w:r>
            <w:t>Ginebra</w:t>
          </w:r>
          <w:proofErr w:type="spellEnd"/>
          <w:r>
            <w:t xml:space="preserve"> 20</w:t>
          </w:r>
        </w:p>
      </w:tc>
      <w:tc>
        <w:tcPr>
          <w:tcW w:w="1584" w:type="pct"/>
        </w:tcPr>
        <w:p w:rsidR="007B2454" w:rsidRDefault="007B2454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7B2454" w:rsidRDefault="007B2454">
          <w:pPr>
            <w:pStyle w:val="itu"/>
          </w:pPr>
          <w:proofErr w:type="spellStart"/>
          <w:r>
            <w:t>Telegrama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7B2454" w:rsidRDefault="007B2454">
          <w:pPr>
            <w:pStyle w:val="itu"/>
          </w:pPr>
          <w:r>
            <w:tab/>
            <w:t>www.itu.int</w:t>
          </w:r>
        </w:p>
      </w:tc>
    </w:tr>
    <w:tr w:rsidR="007B2454">
      <w:trPr>
        <w:cantSplit/>
      </w:trPr>
      <w:tc>
        <w:tcPr>
          <w:tcW w:w="1062" w:type="pct"/>
        </w:tcPr>
        <w:p w:rsidR="007B2454" w:rsidRDefault="007B2454">
          <w:pPr>
            <w:pStyle w:val="itu"/>
          </w:pPr>
          <w:proofErr w:type="spellStart"/>
          <w:r>
            <w:t>Suiza</w:t>
          </w:r>
          <w:proofErr w:type="spellEnd"/>
        </w:p>
      </w:tc>
      <w:tc>
        <w:tcPr>
          <w:tcW w:w="1584" w:type="pct"/>
        </w:tcPr>
        <w:p w:rsidR="007B2454" w:rsidRDefault="007B2454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7B2454" w:rsidRDefault="007B2454">
          <w:pPr>
            <w:pStyle w:val="itu"/>
          </w:pPr>
        </w:p>
      </w:tc>
      <w:tc>
        <w:tcPr>
          <w:tcW w:w="1131" w:type="pct"/>
        </w:tcPr>
        <w:p w:rsidR="007B2454" w:rsidRDefault="007B2454">
          <w:pPr>
            <w:pStyle w:val="itu"/>
          </w:pPr>
        </w:p>
      </w:tc>
    </w:tr>
  </w:tbl>
  <w:p w:rsidR="007B2454" w:rsidRDefault="007B2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73" w:rsidRDefault="002E2773">
      <w:r>
        <w:t>____________________</w:t>
      </w:r>
    </w:p>
  </w:footnote>
  <w:footnote w:type="continuationSeparator" w:id="0">
    <w:p w:rsidR="002E2773" w:rsidRDefault="002E2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7361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2454" w:rsidRDefault="007B2454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2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454" w:rsidRDefault="007B2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153E"/>
    <w:multiLevelType w:val="hybridMultilevel"/>
    <w:tmpl w:val="079EAC86"/>
    <w:lvl w:ilvl="0" w:tplc="C4767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2C94375"/>
    <w:multiLevelType w:val="hybridMultilevel"/>
    <w:tmpl w:val="02EC72D8"/>
    <w:lvl w:ilvl="0" w:tplc="FE8E218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C5A0BD2"/>
    <w:multiLevelType w:val="hybridMultilevel"/>
    <w:tmpl w:val="079EAC86"/>
    <w:lvl w:ilvl="0" w:tplc="C4767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BD11DA"/>
    <w:multiLevelType w:val="hybridMultilevel"/>
    <w:tmpl w:val="5BB00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E9"/>
    <w:rsid w:val="000011F2"/>
    <w:rsid w:val="00002529"/>
    <w:rsid w:val="00034712"/>
    <w:rsid w:val="000511E9"/>
    <w:rsid w:val="0008257B"/>
    <w:rsid w:val="000A59F4"/>
    <w:rsid w:val="000A644B"/>
    <w:rsid w:val="000C382F"/>
    <w:rsid w:val="000C7BB7"/>
    <w:rsid w:val="000E6DD1"/>
    <w:rsid w:val="00103C5E"/>
    <w:rsid w:val="00115497"/>
    <w:rsid w:val="001173CC"/>
    <w:rsid w:val="00122D3B"/>
    <w:rsid w:val="0016214D"/>
    <w:rsid w:val="0019542F"/>
    <w:rsid w:val="001A54CC"/>
    <w:rsid w:val="001B44F0"/>
    <w:rsid w:val="001C4FEF"/>
    <w:rsid w:val="00222DD2"/>
    <w:rsid w:val="002278EB"/>
    <w:rsid w:val="00230FBD"/>
    <w:rsid w:val="00257FB4"/>
    <w:rsid w:val="0027032F"/>
    <w:rsid w:val="002C6CF6"/>
    <w:rsid w:val="002E2773"/>
    <w:rsid w:val="002F6DEE"/>
    <w:rsid w:val="00301F0C"/>
    <w:rsid w:val="00303D62"/>
    <w:rsid w:val="00321110"/>
    <w:rsid w:val="003333CA"/>
    <w:rsid w:val="00335367"/>
    <w:rsid w:val="00344B69"/>
    <w:rsid w:val="00370C2D"/>
    <w:rsid w:val="00371F2E"/>
    <w:rsid w:val="003835EB"/>
    <w:rsid w:val="003B23EE"/>
    <w:rsid w:val="003C25E2"/>
    <w:rsid w:val="003D1E8D"/>
    <w:rsid w:val="003D20DD"/>
    <w:rsid w:val="003D673B"/>
    <w:rsid w:val="003E54FE"/>
    <w:rsid w:val="003F2855"/>
    <w:rsid w:val="00401C20"/>
    <w:rsid w:val="00420912"/>
    <w:rsid w:val="00463513"/>
    <w:rsid w:val="00465FA6"/>
    <w:rsid w:val="004C4144"/>
    <w:rsid w:val="004C7F80"/>
    <w:rsid w:val="004D2C9F"/>
    <w:rsid w:val="004E1F35"/>
    <w:rsid w:val="0057164A"/>
    <w:rsid w:val="005B7A88"/>
    <w:rsid w:val="005D6F4B"/>
    <w:rsid w:val="005D7615"/>
    <w:rsid w:val="00633A39"/>
    <w:rsid w:val="00637FCD"/>
    <w:rsid w:val="00653B45"/>
    <w:rsid w:val="00657F32"/>
    <w:rsid w:val="006969B4"/>
    <w:rsid w:val="006A5C2B"/>
    <w:rsid w:val="006C12B0"/>
    <w:rsid w:val="006D26F1"/>
    <w:rsid w:val="00702381"/>
    <w:rsid w:val="007239BB"/>
    <w:rsid w:val="00781E2A"/>
    <w:rsid w:val="00787D06"/>
    <w:rsid w:val="007933A2"/>
    <w:rsid w:val="007A1BAB"/>
    <w:rsid w:val="007B1898"/>
    <w:rsid w:val="007B2454"/>
    <w:rsid w:val="007C733E"/>
    <w:rsid w:val="00813EF5"/>
    <w:rsid w:val="008141B6"/>
    <w:rsid w:val="00814503"/>
    <w:rsid w:val="008258C2"/>
    <w:rsid w:val="00827BE3"/>
    <w:rsid w:val="008505BD"/>
    <w:rsid w:val="00850C78"/>
    <w:rsid w:val="008C17AD"/>
    <w:rsid w:val="008D02CD"/>
    <w:rsid w:val="008E0F53"/>
    <w:rsid w:val="0094056E"/>
    <w:rsid w:val="009435F6"/>
    <w:rsid w:val="0095172A"/>
    <w:rsid w:val="009759D1"/>
    <w:rsid w:val="00997535"/>
    <w:rsid w:val="009A0BA0"/>
    <w:rsid w:val="009B7B61"/>
    <w:rsid w:val="009E037A"/>
    <w:rsid w:val="009F4024"/>
    <w:rsid w:val="00A121F9"/>
    <w:rsid w:val="00A13F2D"/>
    <w:rsid w:val="00A21CDD"/>
    <w:rsid w:val="00A54E47"/>
    <w:rsid w:val="00A83106"/>
    <w:rsid w:val="00AE4674"/>
    <w:rsid w:val="00AE7093"/>
    <w:rsid w:val="00AE7EFB"/>
    <w:rsid w:val="00B126BE"/>
    <w:rsid w:val="00B12C99"/>
    <w:rsid w:val="00B422BC"/>
    <w:rsid w:val="00B43F77"/>
    <w:rsid w:val="00B55A3E"/>
    <w:rsid w:val="00B87E9E"/>
    <w:rsid w:val="00B95F0A"/>
    <w:rsid w:val="00B96180"/>
    <w:rsid w:val="00BA08FF"/>
    <w:rsid w:val="00BD3660"/>
    <w:rsid w:val="00C17AC0"/>
    <w:rsid w:val="00C23B16"/>
    <w:rsid w:val="00C34772"/>
    <w:rsid w:val="00C5465A"/>
    <w:rsid w:val="00C816EE"/>
    <w:rsid w:val="00CF6226"/>
    <w:rsid w:val="00D218C0"/>
    <w:rsid w:val="00D35F79"/>
    <w:rsid w:val="00D43678"/>
    <w:rsid w:val="00D54642"/>
    <w:rsid w:val="00D87BA0"/>
    <w:rsid w:val="00DB71CF"/>
    <w:rsid w:val="00DC7049"/>
    <w:rsid w:val="00DC7852"/>
    <w:rsid w:val="00DD77C9"/>
    <w:rsid w:val="00DF3538"/>
    <w:rsid w:val="00E839B0"/>
    <w:rsid w:val="00E85C58"/>
    <w:rsid w:val="00E92C09"/>
    <w:rsid w:val="00E97DAD"/>
    <w:rsid w:val="00EB213F"/>
    <w:rsid w:val="00EE51FC"/>
    <w:rsid w:val="00EF77FC"/>
    <w:rsid w:val="00F14380"/>
    <w:rsid w:val="00F3007B"/>
    <w:rsid w:val="00F51DB6"/>
    <w:rsid w:val="00F6461F"/>
    <w:rsid w:val="00F746B6"/>
    <w:rsid w:val="00F947BA"/>
    <w:rsid w:val="00FC156C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  <w:uiPriority w:val="99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enumlev1Char">
    <w:name w:val="enumlev1 Char"/>
    <w:link w:val="enumlev1"/>
    <w:rsid w:val="00EF77FC"/>
    <w:rPr>
      <w:rFonts w:ascii="Times New Roman" w:hAnsi="Times New Roman"/>
      <w:sz w:val="24"/>
      <w:lang w:val="es-ES_tradnl" w:eastAsia="en-US"/>
    </w:rPr>
  </w:style>
  <w:style w:type="paragraph" w:styleId="BodyText0">
    <w:name w:val="Body Text"/>
    <w:basedOn w:val="Normal"/>
    <w:link w:val="BodyTextChar"/>
    <w:rsid w:val="003D20DD"/>
    <w:pPr>
      <w:spacing w:after="120"/>
    </w:pPr>
    <w:rPr>
      <w:lang w:val="fr-FR"/>
    </w:rPr>
  </w:style>
  <w:style w:type="character" w:customStyle="1" w:styleId="BodyTextChar">
    <w:name w:val="Body Text Char"/>
    <w:basedOn w:val="DefaultParagraphFont"/>
    <w:link w:val="BodyText0"/>
    <w:rsid w:val="003D20DD"/>
    <w:rPr>
      <w:rFonts w:ascii="Times New Roman" w:hAnsi="Times New Roman"/>
      <w:sz w:val="24"/>
      <w:lang w:val="fr-FR" w:eastAsia="en-US"/>
    </w:rPr>
  </w:style>
  <w:style w:type="paragraph" w:styleId="ListParagraph">
    <w:name w:val="List Paragraph"/>
    <w:basedOn w:val="Normal"/>
    <w:uiPriority w:val="99"/>
    <w:qFormat/>
    <w:rsid w:val="003D20DD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paragraph" w:styleId="BalloonText">
    <w:name w:val="Balloon Text"/>
    <w:basedOn w:val="Normal"/>
    <w:link w:val="BalloonTextChar"/>
    <w:rsid w:val="00F947B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7BA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  <w:uiPriority w:val="99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customStyle="1" w:styleId="enumlev1Char">
    <w:name w:val="enumlev1 Char"/>
    <w:link w:val="enumlev1"/>
    <w:rsid w:val="00EF77FC"/>
    <w:rPr>
      <w:rFonts w:ascii="Times New Roman" w:hAnsi="Times New Roman"/>
      <w:sz w:val="24"/>
      <w:lang w:val="es-ES_tradnl" w:eastAsia="en-US"/>
    </w:rPr>
  </w:style>
  <w:style w:type="paragraph" w:styleId="BodyText0">
    <w:name w:val="Body Text"/>
    <w:basedOn w:val="Normal"/>
    <w:link w:val="BodyTextChar"/>
    <w:rsid w:val="003D20DD"/>
    <w:pPr>
      <w:spacing w:after="120"/>
    </w:pPr>
    <w:rPr>
      <w:lang w:val="fr-FR"/>
    </w:rPr>
  </w:style>
  <w:style w:type="character" w:customStyle="1" w:styleId="BodyTextChar">
    <w:name w:val="Body Text Char"/>
    <w:basedOn w:val="DefaultParagraphFont"/>
    <w:link w:val="BodyText0"/>
    <w:rsid w:val="003D20DD"/>
    <w:rPr>
      <w:rFonts w:ascii="Times New Roman" w:hAnsi="Times New Roman"/>
      <w:sz w:val="24"/>
      <w:lang w:val="fr-FR" w:eastAsia="en-US"/>
    </w:rPr>
  </w:style>
  <w:style w:type="paragraph" w:styleId="ListParagraph">
    <w:name w:val="List Paragraph"/>
    <w:basedOn w:val="Normal"/>
    <w:uiPriority w:val="99"/>
    <w:qFormat/>
    <w:rsid w:val="003D20DD"/>
    <w:pPr>
      <w:overflowPunct/>
      <w:autoSpaceDE/>
      <w:autoSpaceDN/>
      <w:adjustRightInd/>
      <w:ind w:left="720"/>
      <w:contextualSpacing/>
      <w:textAlignment w:val="auto"/>
    </w:pPr>
    <w:rPr>
      <w:lang w:val="en-GB"/>
    </w:rPr>
  </w:style>
  <w:style w:type="paragraph" w:styleId="BalloonText">
    <w:name w:val="Balloon Text"/>
    <w:basedOn w:val="Normal"/>
    <w:link w:val="BalloonTextChar"/>
    <w:rsid w:val="00F947B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7BA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ntero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tu.int/intero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intero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tinuaalliance.org/products/design-guidelin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tu.int/interop" TargetMode="External"/><Relationship Id="rId10" Type="http://schemas.openxmlformats.org/officeDocument/2006/relationships/hyperlink" Target="mailto:interop@itu.int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terop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ez\Application%20Data\Microsoft\Templates\POOL%20S%20-%20ITU\PS_TSBCIRC1-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E024-AA0F-4B47-B01E-B7BCDA7B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PS_TSBCIRC1-S.dotx</Template>
  <TotalTime>1</TotalTime>
  <Pages>2</Pages>
  <Words>656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4567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Saez Grau, Ricardo</dc:creator>
  <cp:lastModifiedBy>Bettini, Nadine</cp:lastModifiedBy>
  <cp:revision>3</cp:revision>
  <cp:lastPrinted>2013-09-16T12:31:00Z</cp:lastPrinted>
  <dcterms:created xsi:type="dcterms:W3CDTF">2013-09-16T12:24:00Z</dcterms:created>
  <dcterms:modified xsi:type="dcterms:W3CDTF">2013-09-16T12:31:00Z</dcterms:modified>
</cp:coreProperties>
</file>