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D05355" w:rsidTr="00303D62">
        <w:trPr>
          <w:cantSplit/>
        </w:trPr>
        <w:tc>
          <w:tcPr>
            <w:tcW w:w="6426" w:type="dxa"/>
            <w:vAlign w:val="center"/>
          </w:tcPr>
          <w:p w:rsidR="00C34772" w:rsidRPr="00D05355" w:rsidRDefault="00C34772" w:rsidP="00840DCC">
            <w:pPr>
              <w:tabs>
                <w:tab w:val="right" w:pos="8732"/>
              </w:tabs>
              <w:spacing w:before="0"/>
              <w:rPr>
                <w:rFonts w:ascii="Verdana" w:hAnsi="Verdana"/>
                <w:b/>
                <w:bCs/>
                <w:color w:val="FFFFFF"/>
                <w:sz w:val="26"/>
                <w:szCs w:val="26"/>
              </w:rPr>
            </w:pPr>
            <w:bookmarkStart w:id="0" w:name="_GoBack"/>
            <w:bookmarkEnd w:id="0"/>
            <w:r w:rsidRPr="00D05355">
              <w:rPr>
                <w:rFonts w:ascii="Verdana" w:hAnsi="Verdana"/>
                <w:b/>
                <w:bCs/>
                <w:sz w:val="26"/>
                <w:szCs w:val="26"/>
              </w:rPr>
              <w:t>Oficina de Normalización</w:t>
            </w:r>
            <w:r w:rsidRPr="00D05355">
              <w:rPr>
                <w:rFonts w:ascii="Verdana" w:hAnsi="Verdana"/>
                <w:b/>
                <w:bCs/>
                <w:sz w:val="26"/>
                <w:szCs w:val="26"/>
              </w:rPr>
              <w:br/>
              <w:t>de las Telecomunicaciones</w:t>
            </w:r>
          </w:p>
        </w:tc>
        <w:tc>
          <w:tcPr>
            <w:tcW w:w="3355" w:type="dxa"/>
            <w:vAlign w:val="center"/>
          </w:tcPr>
          <w:p w:rsidR="00C34772" w:rsidRPr="00D05355" w:rsidRDefault="00C34772" w:rsidP="00840DCC">
            <w:pPr>
              <w:spacing w:before="0"/>
              <w:jc w:val="right"/>
              <w:rPr>
                <w:rFonts w:ascii="Verdana" w:hAnsi="Verdana"/>
                <w:color w:val="FFFFFF"/>
                <w:sz w:val="26"/>
                <w:szCs w:val="26"/>
              </w:rPr>
            </w:pPr>
            <w:r w:rsidRPr="00D05355">
              <w:rPr>
                <w:rFonts w:ascii="Verdana" w:hAnsi="Verdana"/>
                <w:b/>
                <w:bCs/>
                <w:noProof/>
                <w:color w:val="FFFFFF"/>
                <w:sz w:val="26"/>
                <w:szCs w:val="24"/>
                <w:lang w:val="en-US" w:eastAsia="zh-CN"/>
              </w:rPr>
              <w:drawing>
                <wp:inline distT="0" distB="0" distL="0" distR="0" wp14:anchorId="62B21F19" wp14:editId="665FDC85">
                  <wp:extent cx="1770380" cy="702310"/>
                  <wp:effectExtent l="0" t="0" r="1270" b="2540"/>
                  <wp:docPr id="5" name="Picture 1" descr="Description: 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D05355" w:rsidTr="00303D62">
        <w:trPr>
          <w:cantSplit/>
        </w:trPr>
        <w:tc>
          <w:tcPr>
            <w:tcW w:w="6426" w:type="dxa"/>
            <w:vAlign w:val="center"/>
          </w:tcPr>
          <w:p w:rsidR="00C34772" w:rsidRPr="00D05355" w:rsidRDefault="00C34772" w:rsidP="00840DCC">
            <w:pPr>
              <w:tabs>
                <w:tab w:val="right" w:pos="8732"/>
              </w:tabs>
              <w:spacing w:before="0"/>
              <w:rPr>
                <w:rFonts w:ascii="Verdana" w:hAnsi="Verdana"/>
                <w:b/>
                <w:bCs/>
                <w:iCs/>
                <w:sz w:val="18"/>
                <w:szCs w:val="18"/>
              </w:rPr>
            </w:pPr>
          </w:p>
        </w:tc>
        <w:tc>
          <w:tcPr>
            <w:tcW w:w="3355" w:type="dxa"/>
            <w:vAlign w:val="center"/>
          </w:tcPr>
          <w:p w:rsidR="00C34772" w:rsidRPr="00D05355" w:rsidRDefault="00C34772" w:rsidP="00840DCC">
            <w:pPr>
              <w:spacing w:before="0"/>
              <w:ind w:left="993" w:hanging="993"/>
              <w:jc w:val="right"/>
              <w:rPr>
                <w:rFonts w:ascii="Verdana" w:hAnsi="Verdana"/>
                <w:sz w:val="18"/>
                <w:szCs w:val="18"/>
              </w:rPr>
            </w:pPr>
          </w:p>
        </w:tc>
      </w:tr>
    </w:tbl>
    <w:p w:rsidR="00C34772" w:rsidRPr="00D05355" w:rsidRDefault="00C34772" w:rsidP="005576EB">
      <w:pPr>
        <w:tabs>
          <w:tab w:val="clear" w:pos="794"/>
          <w:tab w:val="clear" w:pos="1191"/>
          <w:tab w:val="clear" w:pos="1588"/>
          <w:tab w:val="clear" w:pos="1985"/>
          <w:tab w:val="left" w:pos="4962"/>
        </w:tabs>
        <w:spacing w:before="0"/>
      </w:pPr>
    </w:p>
    <w:p w:rsidR="00C34772" w:rsidRPr="00D05355" w:rsidRDefault="00C34772" w:rsidP="005576EB">
      <w:pPr>
        <w:tabs>
          <w:tab w:val="clear" w:pos="794"/>
          <w:tab w:val="clear" w:pos="1191"/>
          <w:tab w:val="clear" w:pos="1588"/>
          <w:tab w:val="clear" w:pos="1985"/>
          <w:tab w:val="left" w:pos="4962"/>
        </w:tabs>
        <w:spacing w:before="0"/>
      </w:pPr>
      <w:r w:rsidRPr="00D05355">
        <w:tab/>
        <w:t xml:space="preserve">Ginebra, </w:t>
      </w:r>
      <w:r w:rsidR="006058BE" w:rsidRPr="00D05355">
        <w:t>26</w:t>
      </w:r>
      <w:r w:rsidR="005C14B9" w:rsidRPr="00D05355">
        <w:t xml:space="preserve"> de </w:t>
      </w:r>
      <w:r w:rsidR="006058BE" w:rsidRPr="00D05355">
        <w:t>julio</w:t>
      </w:r>
      <w:r w:rsidR="005C14B9" w:rsidRPr="00D05355">
        <w:t xml:space="preserve"> de 201</w:t>
      </w:r>
      <w:r w:rsidR="00360D76" w:rsidRPr="00D05355">
        <w:t>3</w:t>
      </w:r>
    </w:p>
    <w:p w:rsidR="00C34772" w:rsidRPr="00D05355" w:rsidRDefault="00C34772" w:rsidP="005576EB">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1084"/>
        <w:gridCol w:w="3793"/>
        <w:gridCol w:w="4762"/>
      </w:tblGrid>
      <w:tr w:rsidR="00C34772" w:rsidRPr="00D05355" w:rsidTr="00303D62">
        <w:trPr>
          <w:cantSplit/>
          <w:trHeight w:val="340"/>
        </w:trPr>
        <w:tc>
          <w:tcPr>
            <w:tcW w:w="1084" w:type="dxa"/>
          </w:tcPr>
          <w:p w:rsidR="00C34772" w:rsidRPr="00D05355" w:rsidRDefault="00C34772" w:rsidP="00840DCC">
            <w:pPr>
              <w:tabs>
                <w:tab w:val="left" w:pos="4111"/>
              </w:tabs>
              <w:spacing w:before="10"/>
              <w:ind w:left="57"/>
              <w:rPr>
                <w:szCs w:val="24"/>
              </w:rPr>
            </w:pPr>
            <w:r w:rsidRPr="00D05355">
              <w:rPr>
                <w:szCs w:val="24"/>
              </w:rPr>
              <w:t>Ref.:</w:t>
            </w:r>
          </w:p>
        </w:tc>
        <w:tc>
          <w:tcPr>
            <w:tcW w:w="3793" w:type="dxa"/>
          </w:tcPr>
          <w:p w:rsidR="00C34772" w:rsidRPr="00D05355" w:rsidRDefault="00FB2243" w:rsidP="00840DCC">
            <w:pPr>
              <w:tabs>
                <w:tab w:val="left" w:pos="4111"/>
              </w:tabs>
              <w:spacing w:before="0"/>
              <w:ind w:left="57"/>
              <w:rPr>
                <w:u w:val="single"/>
              </w:rPr>
            </w:pPr>
            <w:r w:rsidRPr="00D05355">
              <w:rPr>
                <w:b/>
              </w:rPr>
              <w:t>Circular</w:t>
            </w:r>
            <w:r w:rsidR="00C34772" w:rsidRPr="00D05355">
              <w:rPr>
                <w:b/>
              </w:rPr>
              <w:t xml:space="preserve"> TSB </w:t>
            </w:r>
            <w:r w:rsidR="006058BE" w:rsidRPr="00D05355">
              <w:rPr>
                <w:b/>
              </w:rPr>
              <w:t>47</w:t>
            </w:r>
          </w:p>
          <w:p w:rsidR="00C34772" w:rsidRPr="00D05355" w:rsidRDefault="00DB2031" w:rsidP="00840DCC">
            <w:pPr>
              <w:tabs>
                <w:tab w:val="left" w:pos="4111"/>
              </w:tabs>
              <w:spacing w:before="0"/>
              <w:ind w:left="57"/>
            </w:pPr>
            <w:r w:rsidRPr="00D05355">
              <w:t>COM 5/CB</w:t>
            </w:r>
          </w:p>
          <w:p w:rsidR="00C34772" w:rsidRPr="00D05355" w:rsidRDefault="00C34772" w:rsidP="00840DCC">
            <w:pPr>
              <w:tabs>
                <w:tab w:val="left" w:pos="4111"/>
              </w:tabs>
              <w:spacing w:before="0"/>
              <w:ind w:left="57"/>
            </w:pPr>
          </w:p>
        </w:tc>
        <w:tc>
          <w:tcPr>
            <w:tcW w:w="4762" w:type="dxa"/>
          </w:tcPr>
          <w:p w:rsidR="00C34772" w:rsidRPr="00D05355" w:rsidRDefault="00C34772" w:rsidP="00840DCC">
            <w:pPr>
              <w:tabs>
                <w:tab w:val="left" w:pos="4111"/>
              </w:tabs>
              <w:spacing w:before="0"/>
              <w:ind w:left="57"/>
              <w:rPr>
                <w:b/>
              </w:rPr>
            </w:pPr>
          </w:p>
        </w:tc>
      </w:tr>
      <w:tr w:rsidR="00C34772" w:rsidRPr="00D05355" w:rsidTr="00303D62">
        <w:trPr>
          <w:cantSplit/>
        </w:trPr>
        <w:tc>
          <w:tcPr>
            <w:tcW w:w="1084" w:type="dxa"/>
          </w:tcPr>
          <w:p w:rsidR="00C34772" w:rsidRPr="00D05355" w:rsidRDefault="00C34772" w:rsidP="00840DCC">
            <w:pPr>
              <w:tabs>
                <w:tab w:val="left" w:pos="4111"/>
              </w:tabs>
              <w:spacing w:before="10"/>
              <w:ind w:left="57"/>
              <w:rPr>
                <w:szCs w:val="24"/>
              </w:rPr>
            </w:pPr>
            <w:r w:rsidRPr="00D05355">
              <w:rPr>
                <w:szCs w:val="24"/>
              </w:rPr>
              <w:t>Tel.:</w:t>
            </w:r>
          </w:p>
        </w:tc>
        <w:tc>
          <w:tcPr>
            <w:tcW w:w="3793" w:type="dxa"/>
          </w:tcPr>
          <w:p w:rsidR="00C34772" w:rsidRPr="00D05355" w:rsidRDefault="00DB2031" w:rsidP="00840DCC">
            <w:pPr>
              <w:tabs>
                <w:tab w:val="left" w:pos="4111"/>
              </w:tabs>
              <w:spacing w:before="0"/>
              <w:ind w:left="57"/>
            </w:pPr>
            <w:r w:rsidRPr="00D05355">
              <w:t>+41 22 730 6301</w:t>
            </w:r>
          </w:p>
        </w:tc>
        <w:tc>
          <w:tcPr>
            <w:tcW w:w="4762" w:type="dxa"/>
          </w:tcPr>
          <w:p w:rsidR="00C34772" w:rsidRPr="00D05355" w:rsidRDefault="00F8524F" w:rsidP="00840DCC">
            <w:pPr>
              <w:tabs>
                <w:tab w:val="left" w:pos="4111"/>
              </w:tabs>
              <w:spacing w:before="0"/>
              <w:ind w:left="57"/>
            </w:pPr>
            <w:r w:rsidRPr="00D05355">
              <w:t>A:</w:t>
            </w:r>
          </w:p>
        </w:tc>
      </w:tr>
      <w:tr w:rsidR="00C34772" w:rsidRPr="00D05355" w:rsidTr="00303D62">
        <w:trPr>
          <w:cantSplit/>
        </w:trPr>
        <w:tc>
          <w:tcPr>
            <w:tcW w:w="1084" w:type="dxa"/>
          </w:tcPr>
          <w:p w:rsidR="00C34772" w:rsidRPr="00D05355" w:rsidRDefault="00C34772" w:rsidP="00840DCC">
            <w:pPr>
              <w:tabs>
                <w:tab w:val="left" w:pos="4111"/>
              </w:tabs>
              <w:spacing w:before="0"/>
              <w:ind w:left="57"/>
              <w:rPr>
                <w:szCs w:val="24"/>
              </w:rPr>
            </w:pPr>
            <w:r w:rsidRPr="00D05355">
              <w:rPr>
                <w:szCs w:val="24"/>
              </w:rPr>
              <w:t>Fax:</w:t>
            </w:r>
          </w:p>
          <w:p w:rsidR="00C34772" w:rsidRPr="00D05355" w:rsidRDefault="00C34772" w:rsidP="00840DCC">
            <w:pPr>
              <w:tabs>
                <w:tab w:val="left" w:pos="4111"/>
              </w:tabs>
              <w:spacing w:before="10"/>
              <w:ind w:left="57"/>
              <w:rPr>
                <w:szCs w:val="24"/>
              </w:rPr>
            </w:pPr>
            <w:r w:rsidRPr="00D05355">
              <w:rPr>
                <w:szCs w:val="24"/>
              </w:rPr>
              <w:t>Correo-e:</w:t>
            </w:r>
          </w:p>
        </w:tc>
        <w:tc>
          <w:tcPr>
            <w:tcW w:w="3793" w:type="dxa"/>
          </w:tcPr>
          <w:p w:rsidR="00C34772" w:rsidRPr="00D05355" w:rsidRDefault="00C34772" w:rsidP="00840DCC">
            <w:pPr>
              <w:tabs>
                <w:tab w:val="left" w:pos="4111"/>
              </w:tabs>
              <w:spacing w:before="0"/>
              <w:ind w:left="57"/>
            </w:pPr>
            <w:r w:rsidRPr="00D05355">
              <w:t>+41 22 730 5853</w:t>
            </w:r>
          </w:p>
          <w:p w:rsidR="00C34772" w:rsidRPr="00D05355" w:rsidRDefault="00DA0FB1" w:rsidP="00840DCC">
            <w:pPr>
              <w:tabs>
                <w:tab w:val="left" w:pos="4111"/>
              </w:tabs>
              <w:spacing w:before="0"/>
              <w:ind w:left="57"/>
            </w:pPr>
            <w:hyperlink r:id="rId10" w:history="1">
              <w:r w:rsidR="006058BE" w:rsidRPr="00D05355">
                <w:rPr>
                  <w:rStyle w:val="Hyperlink"/>
                </w:rPr>
                <w:t>tsbfgswm@itu.int</w:t>
              </w:r>
            </w:hyperlink>
          </w:p>
        </w:tc>
        <w:tc>
          <w:tcPr>
            <w:tcW w:w="4762" w:type="dxa"/>
          </w:tcPr>
          <w:p w:rsidR="00F8524F" w:rsidRPr="00D05355" w:rsidRDefault="00F8524F" w:rsidP="00840DCC">
            <w:pPr>
              <w:pStyle w:val="ListParagraph"/>
              <w:numPr>
                <w:ilvl w:val="0"/>
                <w:numId w:val="5"/>
              </w:numPr>
              <w:tabs>
                <w:tab w:val="clear" w:pos="794"/>
                <w:tab w:val="clear" w:pos="1191"/>
                <w:tab w:val="left" w:pos="502"/>
                <w:tab w:val="left" w:pos="4111"/>
              </w:tabs>
              <w:spacing w:before="0"/>
              <w:ind w:left="341" w:hanging="284"/>
            </w:pPr>
            <w:r w:rsidRPr="00D05355">
              <w:t xml:space="preserve">Las </w:t>
            </w:r>
            <w:r w:rsidR="00C34772" w:rsidRPr="00D05355">
              <w:t>Administraciones de los Estados Miembros de la Unión,</w:t>
            </w:r>
          </w:p>
          <w:p w:rsidR="00F8524F" w:rsidRPr="00D05355" w:rsidRDefault="00F8524F" w:rsidP="00840DCC">
            <w:pPr>
              <w:pStyle w:val="ListParagraph"/>
              <w:numPr>
                <w:ilvl w:val="0"/>
                <w:numId w:val="5"/>
              </w:numPr>
              <w:tabs>
                <w:tab w:val="clear" w:pos="794"/>
                <w:tab w:val="clear" w:pos="1191"/>
                <w:tab w:val="left" w:pos="502"/>
                <w:tab w:val="left" w:pos="4111"/>
              </w:tabs>
              <w:spacing w:before="0"/>
              <w:ind w:left="341" w:hanging="284"/>
            </w:pPr>
            <w:r w:rsidRPr="00D05355">
              <w:t>L</w:t>
            </w:r>
            <w:r w:rsidR="00C34772" w:rsidRPr="00D05355">
              <w:t>os Miembros del Sector UIT</w:t>
            </w:r>
            <w:r w:rsidR="00C34772" w:rsidRPr="00D05355">
              <w:noBreakHyphen/>
              <w:t>T</w:t>
            </w:r>
            <w:r w:rsidR="00D75BBB" w:rsidRPr="00D05355">
              <w:t>,</w:t>
            </w:r>
          </w:p>
          <w:p w:rsidR="00F8524F" w:rsidRPr="00D05355" w:rsidRDefault="00F8524F" w:rsidP="00840DCC">
            <w:pPr>
              <w:pStyle w:val="ListParagraph"/>
              <w:numPr>
                <w:ilvl w:val="0"/>
                <w:numId w:val="5"/>
              </w:numPr>
              <w:tabs>
                <w:tab w:val="clear" w:pos="794"/>
                <w:tab w:val="clear" w:pos="1191"/>
                <w:tab w:val="left" w:pos="502"/>
                <w:tab w:val="left" w:pos="4111"/>
              </w:tabs>
              <w:spacing w:before="0"/>
              <w:ind w:left="341" w:hanging="284"/>
            </w:pPr>
            <w:r w:rsidRPr="00D05355">
              <w:t>L</w:t>
            </w:r>
            <w:r w:rsidR="00C34772" w:rsidRPr="00D05355">
              <w:t xml:space="preserve">os Asociados </w:t>
            </w:r>
            <w:r w:rsidR="00D75BBB" w:rsidRPr="00D05355">
              <w:t>del UIT-T,</w:t>
            </w:r>
          </w:p>
          <w:p w:rsidR="00C34772" w:rsidRPr="00D05355" w:rsidRDefault="00F8524F" w:rsidP="00840DCC">
            <w:pPr>
              <w:pStyle w:val="ListParagraph"/>
              <w:numPr>
                <w:ilvl w:val="0"/>
                <w:numId w:val="5"/>
              </w:numPr>
              <w:tabs>
                <w:tab w:val="clear" w:pos="794"/>
                <w:tab w:val="clear" w:pos="1191"/>
                <w:tab w:val="left" w:pos="502"/>
                <w:tab w:val="left" w:pos="4111"/>
              </w:tabs>
              <w:spacing w:before="0"/>
              <w:ind w:left="341" w:hanging="284"/>
            </w:pPr>
            <w:r w:rsidRPr="00D05355">
              <w:t>L</w:t>
            </w:r>
            <w:r w:rsidR="003D4DFE" w:rsidRPr="00D05355">
              <w:t>as Instituciones Académicas del UIT-T</w:t>
            </w:r>
          </w:p>
        </w:tc>
      </w:tr>
      <w:tr w:rsidR="005C14B9" w:rsidRPr="00D05355" w:rsidTr="00303D62">
        <w:trPr>
          <w:cantSplit/>
        </w:trPr>
        <w:tc>
          <w:tcPr>
            <w:tcW w:w="1084" w:type="dxa"/>
          </w:tcPr>
          <w:p w:rsidR="005C14B9" w:rsidRPr="00D05355" w:rsidRDefault="005C14B9" w:rsidP="00840DCC">
            <w:pPr>
              <w:tabs>
                <w:tab w:val="left" w:pos="4111"/>
              </w:tabs>
              <w:spacing w:before="10"/>
              <w:ind w:left="57"/>
              <w:rPr>
                <w:sz w:val="22"/>
              </w:rPr>
            </w:pPr>
          </w:p>
        </w:tc>
        <w:tc>
          <w:tcPr>
            <w:tcW w:w="3793" w:type="dxa"/>
          </w:tcPr>
          <w:p w:rsidR="005C14B9" w:rsidRPr="00D05355" w:rsidRDefault="005C14B9" w:rsidP="00840DCC">
            <w:pPr>
              <w:tabs>
                <w:tab w:val="left" w:pos="4111"/>
              </w:tabs>
              <w:spacing w:before="0"/>
              <w:ind w:left="57"/>
            </w:pPr>
          </w:p>
        </w:tc>
        <w:tc>
          <w:tcPr>
            <w:tcW w:w="4762" w:type="dxa"/>
          </w:tcPr>
          <w:p w:rsidR="005C14B9" w:rsidRPr="00D05355" w:rsidRDefault="005C14B9" w:rsidP="00840DCC">
            <w:pPr>
              <w:pStyle w:val="ListParagraph"/>
              <w:numPr>
                <w:ilvl w:val="0"/>
                <w:numId w:val="5"/>
              </w:numPr>
              <w:tabs>
                <w:tab w:val="clear" w:pos="794"/>
                <w:tab w:val="clear" w:pos="1191"/>
                <w:tab w:val="left" w:pos="502"/>
                <w:tab w:val="left" w:pos="4111"/>
              </w:tabs>
              <w:ind w:left="73" w:hanging="357"/>
              <w:rPr>
                <w:b/>
                <w:bCs/>
              </w:rPr>
            </w:pPr>
            <w:r w:rsidRPr="00D05355">
              <w:rPr>
                <w:b/>
                <w:bCs/>
              </w:rPr>
              <w:t>Copia:</w:t>
            </w:r>
          </w:p>
        </w:tc>
      </w:tr>
      <w:tr w:rsidR="005C14B9" w:rsidRPr="00D05355" w:rsidTr="00303D62">
        <w:trPr>
          <w:cantSplit/>
        </w:trPr>
        <w:tc>
          <w:tcPr>
            <w:tcW w:w="1084" w:type="dxa"/>
          </w:tcPr>
          <w:p w:rsidR="005C14B9" w:rsidRPr="00D05355" w:rsidRDefault="005C14B9" w:rsidP="00840DCC">
            <w:pPr>
              <w:tabs>
                <w:tab w:val="left" w:pos="4111"/>
              </w:tabs>
              <w:spacing w:before="10"/>
              <w:ind w:left="57"/>
              <w:rPr>
                <w:sz w:val="22"/>
              </w:rPr>
            </w:pPr>
          </w:p>
        </w:tc>
        <w:tc>
          <w:tcPr>
            <w:tcW w:w="3793" w:type="dxa"/>
          </w:tcPr>
          <w:p w:rsidR="005C14B9" w:rsidRPr="00D05355" w:rsidRDefault="005C14B9" w:rsidP="00840DCC">
            <w:pPr>
              <w:tabs>
                <w:tab w:val="left" w:pos="4111"/>
              </w:tabs>
              <w:spacing w:before="0"/>
              <w:ind w:left="57"/>
            </w:pPr>
          </w:p>
        </w:tc>
        <w:tc>
          <w:tcPr>
            <w:tcW w:w="4762" w:type="dxa"/>
          </w:tcPr>
          <w:p w:rsidR="005C14B9" w:rsidRPr="00D05355" w:rsidRDefault="00D75BBB" w:rsidP="00840DCC">
            <w:pPr>
              <w:pStyle w:val="ListParagraph"/>
              <w:numPr>
                <w:ilvl w:val="0"/>
                <w:numId w:val="5"/>
              </w:numPr>
              <w:tabs>
                <w:tab w:val="clear" w:pos="794"/>
                <w:tab w:val="clear" w:pos="1191"/>
                <w:tab w:val="left" w:pos="502"/>
                <w:tab w:val="left" w:pos="4111"/>
              </w:tabs>
              <w:spacing w:before="0"/>
              <w:ind w:left="341" w:hanging="284"/>
            </w:pPr>
            <w:r w:rsidRPr="00D05355">
              <w:t>A los Presidentes y Vicepresidentes de todas las Comisiones de Estudio del UIT-T,</w:t>
            </w:r>
          </w:p>
          <w:p w:rsidR="00D75BBB" w:rsidRPr="00D05355" w:rsidRDefault="00D75BBB" w:rsidP="00840DCC">
            <w:pPr>
              <w:pStyle w:val="ListParagraph"/>
              <w:numPr>
                <w:ilvl w:val="0"/>
                <w:numId w:val="5"/>
              </w:numPr>
              <w:tabs>
                <w:tab w:val="clear" w:pos="794"/>
                <w:tab w:val="clear" w:pos="1191"/>
                <w:tab w:val="left" w:pos="502"/>
                <w:tab w:val="left" w:pos="4111"/>
              </w:tabs>
              <w:spacing w:before="0"/>
              <w:ind w:left="341" w:hanging="284"/>
            </w:pPr>
            <w:r w:rsidRPr="00D05355">
              <w:t>Al Director de la Oficina de Desarrollo de las Telecomunicaciones,</w:t>
            </w:r>
          </w:p>
          <w:p w:rsidR="00D75BBB" w:rsidRPr="00D05355" w:rsidRDefault="00D75BBB" w:rsidP="00840DCC">
            <w:pPr>
              <w:pStyle w:val="ListParagraph"/>
              <w:numPr>
                <w:ilvl w:val="0"/>
                <w:numId w:val="5"/>
              </w:numPr>
              <w:tabs>
                <w:tab w:val="clear" w:pos="794"/>
                <w:tab w:val="clear" w:pos="1191"/>
                <w:tab w:val="left" w:pos="502"/>
                <w:tab w:val="left" w:pos="4111"/>
              </w:tabs>
              <w:spacing w:before="0"/>
              <w:ind w:left="341" w:hanging="284"/>
            </w:pPr>
            <w:r w:rsidRPr="00D05355">
              <w:t>Al Director de la Oficina de Radiocomunicaciones</w:t>
            </w:r>
          </w:p>
        </w:tc>
      </w:tr>
    </w:tbl>
    <w:p w:rsidR="00C34772" w:rsidRPr="00D05355" w:rsidRDefault="00C34772" w:rsidP="005576EB">
      <w:pPr>
        <w:spacing w:before="0"/>
      </w:pPr>
    </w:p>
    <w:tbl>
      <w:tblPr>
        <w:tblW w:w="10142" w:type="dxa"/>
        <w:tblInd w:w="8" w:type="dxa"/>
        <w:tblLayout w:type="fixed"/>
        <w:tblCellMar>
          <w:left w:w="0" w:type="dxa"/>
          <w:right w:w="0" w:type="dxa"/>
        </w:tblCellMar>
        <w:tblLook w:val="0000" w:firstRow="0" w:lastRow="0" w:firstColumn="0" w:lastColumn="0" w:noHBand="0" w:noVBand="0"/>
      </w:tblPr>
      <w:tblGrid>
        <w:gridCol w:w="1127"/>
        <w:gridCol w:w="9015"/>
      </w:tblGrid>
      <w:tr w:rsidR="00C34772" w:rsidRPr="00D05355" w:rsidTr="00976B00">
        <w:trPr>
          <w:cantSplit/>
          <w:trHeight w:val="680"/>
        </w:trPr>
        <w:tc>
          <w:tcPr>
            <w:tcW w:w="1127" w:type="dxa"/>
          </w:tcPr>
          <w:p w:rsidR="00C34772" w:rsidRPr="00D05355" w:rsidRDefault="00C34772" w:rsidP="00976B00">
            <w:pPr>
              <w:tabs>
                <w:tab w:val="left" w:pos="4111"/>
              </w:tabs>
              <w:spacing w:before="10"/>
              <w:rPr>
                <w:sz w:val="22"/>
              </w:rPr>
            </w:pPr>
            <w:r w:rsidRPr="00D05355">
              <w:rPr>
                <w:sz w:val="22"/>
              </w:rPr>
              <w:t>Asunto:</w:t>
            </w:r>
          </w:p>
        </w:tc>
        <w:tc>
          <w:tcPr>
            <w:tcW w:w="9015" w:type="dxa"/>
          </w:tcPr>
          <w:p w:rsidR="00360D76" w:rsidRPr="00D05355" w:rsidRDefault="00B90541" w:rsidP="001314C9">
            <w:pPr>
              <w:tabs>
                <w:tab w:val="clear" w:pos="794"/>
                <w:tab w:val="left" w:pos="4111"/>
              </w:tabs>
              <w:overflowPunct/>
              <w:autoSpaceDE/>
              <w:autoSpaceDN/>
              <w:adjustRightInd/>
              <w:spacing w:before="0"/>
              <w:textAlignment w:val="auto"/>
              <w:rPr>
                <w:b/>
                <w:bCs/>
              </w:rPr>
            </w:pPr>
            <w:r w:rsidRPr="00D05355">
              <w:rPr>
                <w:b/>
                <w:bCs/>
              </w:rPr>
              <w:t>Creación de un nuevo Grupo Temático sobre</w:t>
            </w:r>
            <w:r w:rsidR="001314C9" w:rsidRPr="00D05355">
              <w:rPr>
                <w:b/>
                <w:bCs/>
              </w:rPr>
              <w:t xml:space="preserve"> </w:t>
            </w:r>
            <w:r w:rsidR="00D97A2C" w:rsidRPr="00D05355">
              <w:rPr>
                <w:b/>
                <w:bCs/>
              </w:rPr>
              <w:t>Gestión inteligente del agua</w:t>
            </w:r>
            <w:r w:rsidR="00840DCC" w:rsidRPr="00D05355">
              <w:rPr>
                <w:b/>
                <w:bCs/>
              </w:rPr>
              <w:t xml:space="preserve"> (FG</w:t>
            </w:r>
            <w:r w:rsidR="001314C9" w:rsidRPr="00D05355">
              <w:rPr>
                <w:b/>
                <w:bCs/>
              </w:rPr>
              <w:noBreakHyphen/>
            </w:r>
            <w:r w:rsidR="00840DCC" w:rsidRPr="00D05355">
              <w:rPr>
                <w:b/>
                <w:bCs/>
              </w:rPr>
              <w:t>SWM);</w:t>
            </w:r>
          </w:p>
          <w:p w:rsidR="00C34772" w:rsidRPr="00D05355" w:rsidRDefault="00B90541" w:rsidP="00840DCC">
            <w:pPr>
              <w:tabs>
                <w:tab w:val="left" w:pos="4111"/>
              </w:tabs>
              <w:spacing w:before="0"/>
              <w:rPr>
                <w:b/>
                <w:bCs/>
              </w:rPr>
            </w:pPr>
            <w:r w:rsidRPr="00D05355">
              <w:rPr>
                <w:b/>
                <w:bCs/>
              </w:rPr>
              <w:t xml:space="preserve">Primera reunión del </w:t>
            </w:r>
            <w:r w:rsidR="00360D76" w:rsidRPr="00D05355">
              <w:rPr>
                <w:b/>
                <w:bCs/>
              </w:rPr>
              <w:t>FG-S</w:t>
            </w:r>
            <w:r w:rsidR="00840DCC" w:rsidRPr="00D05355">
              <w:rPr>
                <w:b/>
                <w:bCs/>
              </w:rPr>
              <w:t>WM</w:t>
            </w:r>
            <w:r w:rsidRPr="00D05355">
              <w:rPr>
                <w:b/>
                <w:bCs/>
              </w:rPr>
              <w:t xml:space="preserve">, </w:t>
            </w:r>
            <w:r w:rsidR="00840DCC" w:rsidRPr="00D05355">
              <w:rPr>
                <w:b/>
                <w:bCs/>
              </w:rPr>
              <w:t>Lima</w:t>
            </w:r>
            <w:r w:rsidR="00360D76" w:rsidRPr="00D05355">
              <w:rPr>
                <w:b/>
                <w:bCs/>
              </w:rPr>
              <w:t xml:space="preserve">, </w:t>
            </w:r>
            <w:r w:rsidR="00840DCC" w:rsidRPr="00D05355">
              <w:rPr>
                <w:b/>
                <w:bCs/>
              </w:rPr>
              <w:t>Perú</w:t>
            </w:r>
            <w:r w:rsidR="00360D76" w:rsidRPr="00D05355">
              <w:rPr>
                <w:b/>
                <w:bCs/>
              </w:rPr>
              <w:t xml:space="preserve">, </w:t>
            </w:r>
            <w:r w:rsidR="00840DCC" w:rsidRPr="00D05355">
              <w:rPr>
                <w:b/>
                <w:bCs/>
              </w:rPr>
              <w:t>10</w:t>
            </w:r>
            <w:r w:rsidR="00360D76" w:rsidRPr="00D05355">
              <w:rPr>
                <w:b/>
                <w:bCs/>
              </w:rPr>
              <w:t xml:space="preserve"> </w:t>
            </w:r>
            <w:r w:rsidR="004E2AF7" w:rsidRPr="00D05355">
              <w:rPr>
                <w:b/>
                <w:bCs/>
              </w:rPr>
              <w:t xml:space="preserve">de </w:t>
            </w:r>
            <w:r w:rsidR="00840DCC" w:rsidRPr="00D05355">
              <w:rPr>
                <w:b/>
                <w:bCs/>
              </w:rPr>
              <w:t>diciembre</w:t>
            </w:r>
            <w:r w:rsidR="004E2AF7" w:rsidRPr="00D05355">
              <w:rPr>
                <w:b/>
                <w:bCs/>
              </w:rPr>
              <w:t xml:space="preserve"> de</w:t>
            </w:r>
            <w:r w:rsidR="00360D76" w:rsidRPr="00D05355">
              <w:rPr>
                <w:b/>
                <w:bCs/>
              </w:rPr>
              <w:t xml:space="preserve"> 2013</w:t>
            </w:r>
          </w:p>
        </w:tc>
      </w:tr>
    </w:tbl>
    <w:p w:rsidR="00C34772" w:rsidRPr="00D05355" w:rsidRDefault="00C34772" w:rsidP="00840DCC">
      <w:pPr>
        <w:pStyle w:val="ITUintr"/>
        <w:tabs>
          <w:tab w:val="clear" w:pos="737"/>
          <w:tab w:val="clear" w:pos="1134"/>
          <w:tab w:val="left" w:pos="794"/>
        </w:tabs>
        <w:spacing w:before="120"/>
        <w:ind w:right="92"/>
        <w:rPr>
          <w:sz w:val="24"/>
        </w:rPr>
      </w:pPr>
      <w:r w:rsidRPr="00D05355">
        <w:rPr>
          <w:rFonts w:ascii="Times New Roman" w:hAnsi="Times New Roman"/>
          <w:sz w:val="24"/>
        </w:rPr>
        <w:t>Muy Señor mío</w:t>
      </w:r>
      <w:r w:rsidRPr="00D05355">
        <w:rPr>
          <w:sz w:val="24"/>
        </w:rPr>
        <w:t>:</w:t>
      </w:r>
    </w:p>
    <w:p w:rsidR="00B90541" w:rsidRPr="00D05355" w:rsidRDefault="00B90541" w:rsidP="00840DCC">
      <w:r w:rsidRPr="00D05355">
        <w:t>1</w:t>
      </w:r>
      <w:r w:rsidRPr="00D05355">
        <w:tab/>
        <w:t xml:space="preserve">Me complace informarle de la creación del Grupo Temático del UIT-T sobre </w:t>
      </w:r>
      <w:r w:rsidR="00840DCC" w:rsidRPr="00D05355">
        <w:t>Gestión inteligente del agua</w:t>
      </w:r>
      <w:r w:rsidR="00360D76" w:rsidRPr="00D05355">
        <w:t xml:space="preserve"> (FG-S</w:t>
      </w:r>
      <w:r w:rsidR="00840DCC" w:rsidRPr="00D05355">
        <w:t>WM</w:t>
      </w:r>
      <w:r w:rsidR="00360D76" w:rsidRPr="00D05355">
        <w:t>)</w:t>
      </w:r>
      <w:r w:rsidRPr="00D05355">
        <w:t xml:space="preserve"> </w:t>
      </w:r>
      <w:r w:rsidR="00D969D1" w:rsidRPr="00D05355">
        <w:t>conforme a lo acordado en la reunión d</w:t>
      </w:r>
      <w:r w:rsidRPr="00D05355">
        <w:t>el GANT del UIT-T celebrada en Ginebra</w:t>
      </w:r>
      <w:r w:rsidR="00D969D1" w:rsidRPr="00D05355">
        <w:t xml:space="preserve"> del </w:t>
      </w:r>
      <w:r w:rsidR="00840DCC" w:rsidRPr="00D05355">
        <w:t>4</w:t>
      </w:r>
      <w:r w:rsidR="00D969D1" w:rsidRPr="00D05355">
        <w:t xml:space="preserve"> al </w:t>
      </w:r>
      <w:r w:rsidR="00360D76" w:rsidRPr="00D05355">
        <w:t xml:space="preserve">7 </w:t>
      </w:r>
      <w:r w:rsidR="00D969D1" w:rsidRPr="00D05355">
        <w:t xml:space="preserve">de </w:t>
      </w:r>
      <w:r w:rsidR="00840DCC" w:rsidRPr="00D05355">
        <w:t>junio</w:t>
      </w:r>
      <w:r w:rsidR="00D969D1" w:rsidRPr="00D05355">
        <w:t xml:space="preserve"> de </w:t>
      </w:r>
      <w:r w:rsidR="00360D76" w:rsidRPr="00D05355">
        <w:t>2013</w:t>
      </w:r>
      <w:r w:rsidRPr="00D05355">
        <w:t>.</w:t>
      </w:r>
    </w:p>
    <w:p w:rsidR="00360D76" w:rsidRPr="00D05355" w:rsidRDefault="00B90541" w:rsidP="00840DCC">
      <w:pPr>
        <w:rPr>
          <w:color w:val="000000"/>
        </w:rPr>
      </w:pPr>
      <w:r w:rsidRPr="00D05355">
        <w:t>2</w:t>
      </w:r>
      <w:r w:rsidRPr="00D05355">
        <w:tab/>
        <w:t xml:space="preserve">Este Grupo Temático </w:t>
      </w:r>
      <w:r w:rsidR="00803630" w:rsidRPr="00D05355">
        <w:rPr>
          <w:color w:val="000000"/>
        </w:rPr>
        <w:t>analizará las soluciones y los proyectos de T</w:t>
      </w:r>
      <w:r w:rsidR="00360D76" w:rsidRPr="00D05355">
        <w:t xml:space="preserve">IC </w:t>
      </w:r>
      <w:r w:rsidR="00803630" w:rsidRPr="00D05355">
        <w:t xml:space="preserve">que </w:t>
      </w:r>
      <w:r w:rsidR="00A107B8" w:rsidRPr="00D05355">
        <w:t>fomenten</w:t>
      </w:r>
      <w:r w:rsidR="00803630" w:rsidRPr="00D05355">
        <w:t xml:space="preserve"> la </w:t>
      </w:r>
      <w:r w:rsidR="00840DCC" w:rsidRPr="00D05355">
        <w:t>gestión inteligente del agua</w:t>
      </w:r>
      <w:r w:rsidR="00A107B8" w:rsidRPr="00D05355">
        <w:t xml:space="preserve"> y que pueda</w:t>
      </w:r>
      <w:r w:rsidR="00803630" w:rsidRPr="00D05355">
        <w:t>n normalizarse en el marco de la CE</w:t>
      </w:r>
      <w:r w:rsidR="007D2C8B" w:rsidRPr="00D05355">
        <w:t> </w:t>
      </w:r>
      <w:r w:rsidR="00803630" w:rsidRPr="00D05355">
        <w:t>5 del UIT</w:t>
      </w:r>
      <w:r w:rsidR="007D2C8B" w:rsidRPr="00D05355">
        <w:noBreakHyphen/>
      </w:r>
      <w:r w:rsidR="00360D76" w:rsidRPr="00D05355">
        <w:t>T</w:t>
      </w:r>
      <w:r w:rsidR="00A107B8" w:rsidRPr="00D05355">
        <w:t>,</w:t>
      </w:r>
      <w:r w:rsidR="00360D76" w:rsidRPr="00D05355">
        <w:t xml:space="preserve"> </w:t>
      </w:r>
      <w:r w:rsidR="00A107B8" w:rsidRPr="00D05355">
        <w:t>y</w:t>
      </w:r>
      <w:r w:rsidR="00803630" w:rsidRPr="00D05355">
        <w:t xml:space="preserve"> </w:t>
      </w:r>
      <w:r w:rsidR="00A107B8" w:rsidRPr="00D05355">
        <w:t xml:space="preserve">determinará </w:t>
      </w:r>
      <w:r w:rsidR="00803630" w:rsidRPr="00D05355">
        <w:t xml:space="preserve">las prácticas idóneas que podrían facilitar la aplicación de tales soluciones </w:t>
      </w:r>
      <w:r w:rsidR="004E2AF7" w:rsidRPr="00D05355">
        <w:t>a</w:t>
      </w:r>
      <w:r w:rsidR="00803630" w:rsidRPr="00D05355">
        <w:t xml:space="preserve"> </w:t>
      </w:r>
      <w:r w:rsidR="00840DCC" w:rsidRPr="00D05355">
        <w:t>los países</w:t>
      </w:r>
      <w:r w:rsidR="00360D76" w:rsidRPr="00D05355">
        <w:t xml:space="preserve">. </w:t>
      </w:r>
    </w:p>
    <w:p w:rsidR="00360D76" w:rsidRPr="00D05355" w:rsidRDefault="00803630" w:rsidP="00840DCC">
      <w:r w:rsidRPr="00D05355">
        <w:t>El Grupo preparará una hoja de ruta para la normalización, teniendo en cuenta las actividades que realizan otras organizaciones y foros de normalización</w:t>
      </w:r>
      <w:r w:rsidR="00360D76" w:rsidRPr="00D05355">
        <w:t>.</w:t>
      </w:r>
    </w:p>
    <w:p w:rsidR="006058BE" w:rsidRPr="00D05355" w:rsidRDefault="00840DCC" w:rsidP="00840DCC">
      <w:r w:rsidRPr="00D05355">
        <w:t>El FG-SWM invitará también a participar a entidades no miembros del UIT-T y aprovechará el cometido del sector de las TIC para impulsar la distribución y gestión racional del agua en la irrigación y el desarrollo urbano.</w:t>
      </w:r>
    </w:p>
    <w:p w:rsidR="00360D76" w:rsidRPr="00D05355" w:rsidRDefault="00621A06" w:rsidP="00840DCC">
      <w:r w:rsidRPr="00D05355">
        <w:t xml:space="preserve">La página web del </w:t>
      </w:r>
      <w:r w:rsidR="00360D76" w:rsidRPr="00D05355">
        <w:t>FG-S</w:t>
      </w:r>
      <w:r w:rsidR="00840DCC" w:rsidRPr="00D05355">
        <w:t>WM</w:t>
      </w:r>
      <w:r w:rsidR="00360D76" w:rsidRPr="00D05355">
        <w:t xml:space="preserve"> </w:t>
      </w:r>
      <w:r w:rsidRPr="00D05355">
        <w:t xml:space="preserve">figura en </w:t>
      </w:r>
      <w:hyperlink r:id="rId11" w:history="1">
        <w:r w:rsidR="00840DCC" w:rsidRPr="00D05355">
          <w:rPr>
            <w:rStyle w:val="Hyperlink"/>
          </w:rPr>
          <w:t>http://itu.int/en/ITU-T/focusgroups/swm</w:t>
        </w:r>
      </w:hyperlink>
      <w:r w:rsidR="00360D76" w:rsidRPr="00D05355">
        <w:t>.</w:t>
      </w:r>
    </w:p>
    <w:p w:rsidR="00B90541" w:rsidRPr="00D05355" w:rsidRDefault="00B90541" w:rsidP="002B737A">
      <w:r w:rsidRPr="00D05355">
        <w:t>3</w:t>
      </w:r>
      <w:r w:rsidRPr="00D05355">
        <w:tab/>
        <w:t>El Grupo</w:t>
      </w:r>
      <w:r w:rsidR="00170CD3" w:rsidRPr="00D05355">
        <w:t xml:space="preserve"> Temático realizará</w:t>
      </w:r>
      <w:r w:rsidRPr="00D05355">
        <w:t xml:space="preserve"> sus trabajos con arreglo a los procedimientos previsto</w:t>
      </w:r>
      <w:r w:rsidR="00443CE3" w:rsidRPr="00D05355">
        <w:t>s</w:t>
      </w:r>
      <w:r w:rsidRPr="00D05355">
        <w:t xml:space="preserve"> en la Recomendación UIT-T A.7 y tendrá como grupo tutor a la Comisión de </w:t>
      </w:r>
      <w:r w:rsidR="00170CD3" w:rsidRPr="00D05355">
        <w:t xml:space="preserve">Estudio </w:t>
      </w:r>
      <w:r w:rsidR="00621A06" w:rsidRPr="00D05355">
        <w:t>5</w:t>
      </w:r>
      <w:r w:rsidRPr="00D05355">
        <w:t xml:space="preserve"> del UIT-T. En el </w:t>
      </w:r>
      <w:r w:rsidRPr="00D05355">
        <w:rPr>
          <w:b/>
          <w:bCs/>
        </w:rPr>
        <w:t>Anexo 1</w:t>
      </w:r>
      <w:r w:rsidR="00621A06" w:rsidRPr="00D05355">
        <w:rPr>
          <w:b/>
          <w:bCs/>
        </w:rPr>
        <w:t xml:space="preserve"> </w:t>
      </w:r>
      <w:r w:rsidR="00621A06" w:rsidRPr="00D05355">
        <w:t>se reproduce el mandato convenido de este FG-S</w:t>
      </w:r>
      <w:r w:rsidR="002B737A" w:rsidRPr="00D05355">
        <w:t>WM</w:t>
      </w:r>
      <w:r w:rsidR="0041729C" w:rsidRPr="00D05355">
        <w:t>.</w:t>
      </w:r>
      <w:r w:rsidR="005576EB" w:rsidRPr="00D05355">
        <w:t xml:space="preserve"> </w:t>
      </w:r>
      <w:r w:rsidRPr="00D05355">
        <w:t>Estoy convencido de que, al crear el Grupo Temático, el UIT-T cumplirá las expectati</w:t>
      </w:r>
      <w:r w:rsidR="00443CE3" w:rsidRPr="00D05355">
        <w:t>vas de sus miembros y demostrará</w:t>
      </w:r>
      <w:r w:rsidRPr="00D05355">
        <w:t xml:space="preserve"> su capacidad para abordar los temas que requieren una atención urgente.</w:t>
      </w:r>
    </w:p>
    <w:p w:rsidR="00B90541" w:rsidRPr="00D05355" w:rsidRDefault="00B90541" w:rsidP="002B737A">
      <w:r w:rsidRPr="00D05355">
        <w:t>4</w:t>
      </w:r>
      <w:r w:rsidRPr="00D05355">
        <w:tab/>
      </w:r>
      <w:r w:rsidR="002F6BA1" w:rsidRPr="00D05355">
        <w:t xml:space="preserve">Podrán participar </w:t>
      </w:r>
      <w:r w:rsidRPr="00D05355">
        <w:t xml:space="preserve">en el </w:t>
      </w:r>
      <w:r w:rsidR="00D144FD" w:rsidRPr="00D05355">
        <w:t>FG-S</w:t>
      </w:r>
      <w:r w:rsidR="002B737A" w:rsidRPr="00D05355">
        <w:t>WM</w:t>
      </w:r>
      <w:r w:rsidRPr="00D05355">
        <w:t xml:space="preserve"> los Estados Miembros, Miembros de Sector, Asociados e Instituciones </w:t>
      </w:r>
      <w:r w:rsidR="00170CD3" w:rsidRPr="00D05355">
        <w:t xml:space="preserve">Académicas </w:t>
      </w:r>
      <w:r w:rsidRPr="00D05355">
        <w:t xml:space="preserve">de la UIT, </w:t>
      </w:r>
      <w:r w:rsidR="00170CD3" w:rsidRPr="00D05355">
        <w:t>así como</w:t>
      </w:r>
      <w:r w:rsidRPr="00D05355">
        <w:t xml:space="preserve"> cualquier persona de un país Miembro de la UIT que desee contribuir a los trabajos, en particular las personas que también sean miembros o representantes de organizaciones de normalización interesadas.</w:t>
      </w:r>
    </w:p>
    <w:p w:rsidR="002B737A" w:rsidRPr="00D05355" w:rsidRDefault="00B90541" w:rsidP="002B737A">
      <w:r w:rsidRPr="00D05355">
        <w:lastRenderedPageBreak/>
        <w:t>5</w:t>
      </w:r>
      <w:r w:rsidRPr="00D05355">
        <w:tab/>
      </w:r>
      <w:r w:rsidR="002B737A" w:rsidRPr="00D05355">
        <w:t>La primera reunión del FG-SWM tendrá lugar en Lima, Perú, el 10 de diciembre de 2013 coincidiendo con otros cuatro eventos:</w:t>
      </w:r>
    </w:p>
    <w:p w:rsidR="002B737A" w:rsidRPr="00D05355" w:rsidRDefault="001314C9" w:rsidP="00EF2FA0">
      <w:pPr>
        <w:pStyle w:val="enumlev1"/>
        <w:spacing w:before="60"/>
      </w:pPr>
      <w:r w:rsidRPr="00D05355">
        <w:t>–</w:t>
      </w:r>
      <w:r w:rsidR="002B737A" w:rsidRPr="00D05355">
        <w:tab/>
        <w:t>Reunión de la comisión de Estudio 5 del UIT-T – 2-13 de diciembre de 2013.</w:t>
      </w:r>
    </w:p>
    <w:p w:rsidR="002B737A" w:rsidRPr="00D05355" w:rsidRDefault="001314C9" w:rsidP="00EF2FA0">
      <w:pPr>
        <w:pStyle w:val="enumlev1"/>
        <w:spacing w:before="60"/>
      </w:pPr>
      <w:r w:rsidRPr="00D05355">
        <w:t>–</w:t>
      </w:r>
      <w:r w:rsidR="002B737A" w:rsidRPr="00D05355">
        <w:tab/>
        <w:t>Actividad Mixta de coordinación sobre las TIC y el Cambio Climático – 5 de diciembre</w:t>
      </w:r>
      <w:r w:rsidRPr="00D05355">
        <w:t xml:space="preserve"> de 2013</w:t>
      </w:r>
      <w:r w:rsidR="002B737A" w:rsidRPr="00D05355">
        <w:t>.</w:t>
      </w:r>
    </w:p>
    <w:p w:rsidR="002B737A" w:rsidRPr="00D05355" w:rsidRDefault="001314C9" w:rsidP="00EF2FA0">
      <w:pPr>
        <w:pStyle w:val="enumlev1"/>
        <w:spacing w:before="60"/>
      </w:pPr>
      <w:r w:rsidRPr="00D05355">
        <w:t>–</w:t>
      </w:r>
      <w:r w:rsidR="002B737A" w:rsidRPr="00D05355">
        <w:tab/>
        <w:t>Taller sobre Ciudades sostenibles e inteligentes – 5 de diciembre de 2013.</w:t>
      </w:r>
    </w:p>
    <w:p w:rsidR="002B737A" w:rsidRPr="00D05355" w:rsidRDefault="001314C9" w:rsidP="00EF2FA0">
      <w:pPr>
        <w:pStyle w:val="enumlev1"/>
        <w:spacing w:before="60"/>
      </w:pPr>
      <w:r w:rsidRPr="00D05355">
        <w:t>–</w:t>
      </w:r>
      <w:r w:rsidR="002B737A" w:rsidRPr="00D05355">
        <w:tab/>
        <w:t>Reunión del Grupo Temático sobre Ciudades sostenibles e inteligentes – 6 de diciembre de</w:t>
      </w:r>
      <w:r w:rsidRPr="00D05355">
        <w:t> </w:t>
      </w:r>
      <w:r w:rsidR="002B737A" w:rsidRPr="00D05355">
        <w:t>2013.</w:t>
      </w:r>
    </w:p>
    <w:p w:rsidR="002B737A" w:rsidRPr="00D05355" w:rsidRDefault="002B737A" w:rsidP="00EF2FA0">
      <w:pPr>
        <w:spacing w:before="80"/>
      </w:pPr>
      <w:r w:rsidRPr="00D05355">
        <w:t xml:space="preserve">En las direcciones </w:t>
      </w:r>
      <w:hyperlink r:id="rId12" w:history="1">
        <w:r w:rsidRPr="00D05355">
          <w:rPr>
            <w:rStyle w:val="Hyperlink"/>
          </w:rPr>
          <w:t>http://itu.int/ITU-T/go/sg5</w:t>
        </w:r>
      </w:hyperlink>
      <w:r w:rsidRPr="00D05355">
        <w:t xml:space="preserve"> y </w:t>
      </w:r>
      <w:hyperlink r:id="rId13" w:history="1">
        <w:r w:rsidRPr="00D05355">
          <w:rPr>
            <w:rStyle w:val="Hyperlink"/>
          </w:rPr>
          <w:t>http://itu.int/en/ITU-T/climatechange/</w:t>
        </w:r>
      </w:hyperlink>
      <w:r w:rsidRPr="00D05355">
        <w:t xml:space="preserve"> figura más información al respecto.</w:t>
      </w:r>
    </w:p>
    <w:p w:rsidR="006437A5" w:rsidRPr="00D05355" w:rsidRDefault="00DB05C0" w:rsidP="00840DCC">
      <w:r w:rsidRPr="00D05355">
        <w:t>6</w:t>
      </w:r>
      <w:r w:rsidR="00A035A9" w:rsidRPr="00D05355">
        <w:tab/>
      </w:r>
      <w:r w:rsidRPr="00D05355">
        <w:t>S</w:t>
      </w:r>
      <w:r w:rsidR="00A035A9" w:rsidRPr="00D05355">
        <w:t>e posibilitará la participación a distancia</w:t>
      </w:r>
      <w:r w:rsidRPr="00D05355">
        <w:t xml:space="preserve"> en la reunión.</w:t>
      </w:r>
      <w:r w:rsidR="00A035A9" w:rsidRPr="00D05355">
        <w:t xml:space="preserve"> </w:t>
      </w:r>
      <w:r w:rsidR="007F018F" w:rsidRPr="00D05355">
        <w:t>En la página web de</w:t>
      </w:r>
      <w:r w:rsidR="003B4BFC" w:rsidRPr="00D05355">
        <w:t>l</w:t>
      </w:r>
      <w:r w:rsidR="007F018F" w:rsidRPr="00D05355">
        <w:t xml:space="preserve"> Grupo Temático s</w:t>
      </w:r>
      <w:r w:rsidR="00A035A9" w:rsidRPr="00D05355">
        <w:t>e publicará más información sobre la participación a distancia</w:t>
      </w:r>
      <w:r w:rsidR="001E0839" w:rsidRPr="00D05355">
        <w:t>.</w:t>
      </w:r>
    </w:p>
    <w:p w:rsidR="00A035A9" w:rsidRPr="00D05355" w:rsidRDefault="00DB05C0" w:rsidP="00840DCC">
      <w:r w:rsidRPr="00D05355">
        <w:t>7</w:t>
      </w:r>
      <w:r w:rsidR="00A035A9" w:rsidRPr="00D05355">
        <w:tab/>
        <w:t>Los temas de debate de la reunión se publicarán en l</w:t>
      </w:r>
      <w:r w:rsidR="007F018F" w:rsidRPr="00D05355">
        <w:t xml:space="preserve">a página web del Grupo Temático, junto con </w:t>
      </w:r>
      <w:r w:rsidR="00A035A9" w:rsidRPr="00D05355">
        <w:t xml:space="preserve">información </w:t>
      </w:r>
      <w:r w:rsidR="007F018F" w:rsidRPr="00D05355">
        <w:t>sobre</w:t>
      </w:r>
      <w:r w:rsidR="00A035A9" w:rsidRPr="00D05355">
        <w:t xml:space="preserve"> la reunión</w:t>
      </w:r>
      <w:r w:rsidRPr="00D05355">
        <w:t xml:space="preserve">, </w:t>
      </w:r>
      <w:r w:rsidR="007F018F" w:rsidRPr="00D05355">
        <w:t>el</w:t>
      </w:r>
      <w:r w:rsidRPr="00D05355">
        <w:t xml:space="preserve"> proyecto de orden del día</w:t>
      </w:r>
      <w:r w:rsidR="00A035A9" w:rsidRPr="00D05355">
        <w:t xml:space="preserve"> y las contribuciones recibidas.</w:t>
      </w:r>
    </w:p>
    <w:p w:rsidR="00A035A9" w:rsidRPr="00D05355" w:rsidRDefault="00DB05C0" w:rsidP="001314C9">
      <w:r w:rsidRPr="00D05355">
        <w:t xml:space="preserve">La reunión comenzará a las </w:t>
      </w:r>
      <w:r w:rsidR="0041729C" w:rsidRPr="00D05355">
        <w:t>18.00</w:t>
      </w:r>
      <w:r w:rsidR="00A035A9" w:rsidRPr="00D05355">
        <w:t xml:space="preserve"> horas del </w:t>
      </w:r>
      <w:r w:rsidR="0041729C" w:rsidRPr="00D05355">
        <w:t>10</w:t>
      </w:r>
      <w:r w:rsidR="00A035A9" w:rsidRPr="00D05355">
        <w:t xml:space="preserve"> de </w:t>
      </w:r>
      <w:r w:rsidR="0041729C" w:rsidRPr="00D05355">
        <w:t>diciembre</w:t>
      </w:r>
      <w:r w:rsidRPr="00D05355">
        <w:t xml:space="preserve"> </w:t>
      </w:r>
      <w:r w:rsidR="007622FC" w:rsidRPr="00D05355">
        <w:t>de 2013</w:t>
      </w:r>
      <w:r w:rsidR="00A035A9" w:rsidRPr="00D05355">
        <w:t xml:space="preserve">. La inscripción de </w:t>
      </w:r>
      <w:r w:rsidR="007622FC" w:rsidRPr="00D05355">
        <w:t xml:space="preserve">los </w:t>
      </w:r>
      <w:r w:rsidR="00A035A9" w:rsidRPr="00D05355">
        <w:t xml:space="preserve">participantes comenzará a las </w:t>
      </w:r>
      <w:r w:rsidRPr="00D05355">
        <w:t>08</w:t>
      </w:r>
      <w:r w:rsidR="002B737A" w:rsidRPr="00D05355">
        <w:t>.30 horas</w:t>
      </w:r>
      <w:r w:rsidR="00A035A9" w:rsidRPr="00D05355">
        <w:t>. No hay cuota de inscripción para participar en esta reunión.</w:t>
      </w:r>
    </w:p>
    <w:p w:rsidR="00A035A9" w:rsidRPr="00D05355" w:rsidRDefault="00A035A9" w:rsidP="00840DCC">
      <w:r w:rsidRPr="00D05355">
        <w:t>Los debates se celebrarán exclusivamente en inglés.</w:t>
      </w:r>
    </w:p>
    <w:p w:rsidR="00D144FD" w:rsidRPr="00D05355" w:rsidRDefault="00A035A9" w:rsidP="00840DCC">
      <w:r w:rsidRPr="00D05355">
        <w:t xml:space="preserve">Los documentos para esta </w:t>
      </w:r>
      <w:r w:rsidR="00C452D7" w:rsidRPr="00D05355">
        <w:t xml:space="preserve">primera </w:t>
      </w:r>
      <w:r w:rsidRPr="00D05355">
        <w:t xml:space="preserve">reunión se pondrán a disposición del público. </w:t>
      </w:r>
    </w:p>
    <w:p w:rsidR="00A035A9" w:rsidRPr="00D05355" w:rsidRDefault="00FA3AED" w:rsidP="002B737A">
      <w:r w:rsidRPr="00D05355">
        <w:t>Al preparar las contribuciones</w:t>
      </w:r>
      <w:r w:rsidR="00A035A9" w:rsidRPr="00D05355">
        <w:t>,</w:t>
      </w:r>
      <w:r w:rsidRPr="00D05355">
        <w:t xml:space="preserve"> le ruego tenga a bien utilizar</w:t>
      </w:r>
      <w:r w:rsidR="00A035A9" w:rsidRPr="00D05355">
        <w:t xml:space="preserve"> la plantilla básica para documentos de los Grupos Temáticos que encontrará en la página web del Grupo Temático. Los participantes </w:t>
      </w:r>
      <w:r w:rsidR="00550ECC" w:rsidRPr="00D05355">
        <w:t>enviarán</w:t>
      </w:r>
      <w:r w:rsidR="00A035A9" w:rsidRPr="00D05355">
        <w:t xml:space="preserve"> </w:t>
      </w:r>
      <w:r w:rsidR="00550ECC" w:rsidRPr="00D05355">
        <w:t xml:space="preserve">a la TSB </w:t>
      </w:r>
      <w:r w:rsidR="00A035A9" w:rsidRPr="00D05355">
        <w:t xml:space="preserve">sus contribuciones al Grupo Temático </w:t>
      </w:r>
      <w:r w:rsidR="001E0839" w:rsidRPr="00D05355">
        <w:t>FG-S</w:t>
      </w:r>
      <w:r w:rsidR="002B737A" w:rsidRPr="00D05355">
        <w:t>WM</w:t>
      </w:r>
      <w:r w:rsidR="00DB05C0" w:rsidRPr="00D05355">
        <w:t xml:space="preserve"> </w:t>
      </w:r>
      <w:r w:rsidR="00A035A9" w:rsidRPr="00D05355">
        <w:t>en formato electrónico</w:t>
      </w:r>
      <w:r w:rsidR="00550ECC" w:rsidRPr="00D05355">
        <w:t>, utilizando para ello la siguiente dirección de correo electrónico</w:t>
      </w:r>
      <w:r w:rsidR="001E0839" w:rsidRPr="00D05355">
        <w:t xml:space="preserve"> </w:t>
      </w:r>
      <w:hyperlink r:id="rId14" w:history="1">
        <w:r w:rsidR="002B737A" w:rsidRPr="00D05355">
          <w:rPr>
            <w:rStyle w:val="Hyperlink"/>
          </w:rPr>
          <w:t>tsbfgswm@itu.int</w:t>
        </w:r>
      </w:hyperlink>
      <w:r w:rsidR="001E0839" w:rsidRPr="00D05355">
        <w:t>.</w:t>
      </w:r>
    </w:p>
    <w:p w:rsidR="00A035A9" w:rsidRPr="00D05355" w:rsidRDefault="002B737A" w:rsidP="002B737A">
      <w:pPr>
        <w:tabs>
          <w:tab w:val="left" w:pos="1418"/>
          <w:tab w:val="left" w:pos="1702"/>
          <w:tab w:val="left" w:pos="2160"/>
        </w:tabs>
        <w:ind w:right="92"/>
      </w:pPr>
      <w:r w:rsidRPr="00D05355">
        <w:rPr>
          <w:szCs w:val="24"/>
        </w:rPr>
        <w:t>E</w:t>
      </w:r>
      <w:r w:rsidR="00A035A9" w:rsidRPr="00D05355">
        <w:rPr>
          <w:szCs w:val="24"/>
        </w:rPr>
        <w:t xml:space="preserve">l plazo </w:t>
      </w:r>
      <w:r w:rsidR="00550ECC" w:rsidRPr="00D05355">
        <w:rPr>
          <w:szCs w:val="24"/>
        </w:rPr>
        <w:t xml:space="preserve">de </w:t>
      </w:r>
      <w:r w:rsidR="00A035A9" w:rsidRPr="00D05355">
        <w:rPr>
          <w:szCs w:val="24"/>
        </w:rPr>
        <w:t xml:space="preserve">presentación de documentos </w:t>
      </w:r>
      <w:r w:rsidR="00550ECC" w:rsidRPr="00D05355">
        <w:rPr>
          <w:szCs w:val="24"/>
        </w:rPr>
        <w:t>par</w:t>
      </w:r>
      <w:r w:rsidR="00A035A9" w:rsidRPr="00D05355">
        <w:rPr>
          <w:szCs w:val="24"/>
        </w:rPr>
        <w:t xml:space="preserve">a esta primera reunión vence el </w:t>
      </w:r>
      <w:r w:rsidRPr="00D05355">
        <w:rPr>
          <w:b/>
          <w:bCs/>
          <w:szCs w:val="24"/>
        </w:rPr>
        <w:t>19</w:t>
      </w:r>
      <w:r w:rsidR="00550ECC" w:rsidRPr="00D05355">
        <w:rPr>
          <w:b/>
          <w:bCs/>
          <w:szCs w:val="24"/>
        </w:rPr>
        <w:t xml:space="preserve"> </w:t>
      </w:r>
      <w:r w:rsidR="00A035A9" w:rsidRPr="00D05355">
        <w:rPr>
          <w:b/>
          <w:bCs/>
          <w:szCs w:val="24"/>
        </w:rPr>
        <w:t xml:space="preserve">de </w:t>
      </w:r>
      <w:r w:rsidRPr="00D05355">
        <w:rPr>
          <w:b/>
          <w:bCs/>
          <w:szCs w:val="24"/>
        </w:rPr>
        <w:t>noviembre</w:t>
      </w:r>
      <w:r w:rsidR="006F21E5" w:rsidRPr="00D05355">
        <w:rPr>
          <w:b/>
          <w:bCs/>
          <w:szCs w:val="24"/>
        </w:rPr>
        <w:t xml:space="preserve"> </w:t>
      </w:r>
      <w:r w:rsidR="00A035A9" w:rsidRPr="00D05355">
        <w:rPr>
          <w:b/>
          <w:bCs/>
          <w:szCs w:val="24"/>
        </w:rPr>
        <w:t>de</w:t>
      </w:r>
      <w:r w:rsidRPr="00D05355">
        <w:rPr>
          <w:b/>
          <w:bCs/>
          <w:szCs w:val="24"/>
        </w:rPr>
        <w:t> </w:t>
      </w:r>
      <w:r w:rsidR="00A035A9" w:rsidRPr="00D05355">
        <w:rPr>
          <w:b/>
          <w:bCs/>
          <w:szCs w:val="24"/>
        </w:rPr>
        <w:t>201</w:t>
      </w:r>
      <w:r w:rsidR="00550ECC" w:rsidRPr="00D05355">
        <w:rPr>
          <w:b/>
          <w:bCs/>
          <w:szCs w:val="24"/>
        </w:rPr>
        <w:t>3</w:t>
      </w:r>
      <w:r w:rsidR="00A035A9" w:rsidRPr="00D05355">
        <w:rPr>
          <w:b/>
          <w:bCs/>
          <w:szCs w:val="24"/>
        </w:rPr>
        <w:t>.</w:t>
      </w:r>
      <w:r w:rsidR="00A035A9" w:rsidRPr="00D05355">
        <w:rPr>
          <w:szCs w:val="24"/>
        </w:rPr>
        <w:t xml:space="preserve"> </w:t>
      </w:r>
      <w:r w:rsidR="00550ECC" w:rsidRPr="00D05355">
        <w:rPr>
          <w:szCs w:val="24"/>
        </w:rPr>
        <w:t xml:space="preserve">Le ruego </w:t>
      </w:r>
      <w:r w:rsidR="00A035A9" w:rsidRPr="00D05355">
        <w:rPr>
          <w:szCs w:val="24"/>
        </w:rPr>
        <w:t>tenga presente que no se utilizarán documentos impresos durante la reunión.</w:t>
      </w:r>
    </w:p>
    <w:p w:rsidR="00A035A9" w:rsidRPr="00D05355" w:rsidRDefault="00A4661A" w:rsidP="001314C9">
      <w:r w:rsidRPr="00D05355">
        <w:t>8</w:t>
      </w:r>
      <w:r w:rsidR="00A035A9" w:rsidRPr="00D05355">
        <w:tab/>
        <w:t xml:space="preserve">A fin de que la TSB pueda tomar las disposiciones necesarias para la organización de la reunión del Grupo Temático, le </w:t>
      </w:r>
      <w:r w:rsidR="005C2D8A" w:rsidRPr="00D05355">
        <w:t>agradecería que se inscribiera</w:t>
      </w:r>
      <w:r w:rsidR="00A035A9" w:rsidRPr="00D05355">
        <w:t xml:space="preserve"> a la mayor brevedad posible por medio del formulario en línea</w:t>
      </w:r>
      <w:r w:rsidR="005C2D8A" w:rsidRPr="00D05355">
        <w:t xml:space="preserve"> disponible en </w:t>
      </w:r>
      <w:r w:rsidR="002B737A" w:rsidRPr="00D05355">
        <w:t>la dirección web del FG-SWM,</w:t>
      </w:r>
      <w:r w:rsidR="00A035A9" w:rsidRPr="00D05355">
        <w:t xml:space="preserve"> y </w:t>
      </w:r>
      <w:r w:rsidR="00A035A9" w:rsidRPr="00D05355">
        <w:rPr>
          <w:b/>
          <w:bCs/>
        </w:rPr>
        <w:t xml:space="preserve">a más tardar el </w:t>
      </w:r>
      <w:r w:rsidR="001314C9" w:rsidRPr="00D05355">
        <w:rPr>
          <w:b/>
          <w:bCs/>
        </w:rPr>
        <w:t>2</w:t>
      </w:r>
      <w:r w:rsidR="002B737A" w:rsidRPr="00D05355">
        <w:rPr>
          <w:b/>
          <w:bCs/>
        </w:rPr>
        <w:t>1</w:t>
      </w:r>
      <w:r w:rsidR="001314C9" w:rsidRPr="00D05355">
        <w:rPr>
          <w:b/>
          <w:bCs/>
        </w:rPr>
        <w:t> </w:t>
      </w:r>
      <w:r w:rsidR="00A035A9" w:rsidRPr="00D05355">
        <w:rPr>
          <w:b/>
          <w:bCs/>
        </w:rPr>
        <w:t xml:space="preserve">de </w:t>
      </w:r>
      <w:r w:rsidR="002B737A" w:rsidRPr="00D05355">
        <w:rPr>
          <w:b/>
          <w:bCs/>
        </w:rPr>
        <w:t>octubre</w:t>
      </w:r>
      <w:r w:rsidR="006F21E5" w:rsidRPr="00D05355">
        <w:rPr>
          <w:b/>
          <w:bCs/>
        </w:rPr>
        <w:t xml:space="preserve"> </w:t>
      </w:r>
      <w:r w:rsidR="00A035A9" w:rsidRPr="00D05355">
        <w:rPr>
          <w:b/>
          <w:bCs/>
        </w:rPr>
        <w:t>de 201</w:t>
      </w:r>
      <w:r w:rsidR="005C2D8A" w:rsidRPr="00D05355">
        <w:rPr>
          <w:b/>
          <w:bCs/>
        </w:rPr>
        <w:t>3</w:t>
      </w:r>
      <w:r w:rsidR="00A035A9" w:rsidRPr="00D05355">
        <w:rPr>
          <w:b/>
          <w:bCs/>
          <w:i/>
          <w:iCs/>
        </w:rPr>
        <w:t>.</w:t>
      </w:r>
      <w:r w:rsidR="00A035A9" w:rsidRPr="00D05355">
        <w:t xml:space="preserve"> </w:t>
      </w:r>
      <w:r w:rsidR="005C2D8A" w:rsidRPr="00D05355">
        <w:rPr>
          <w:b/>
          <w:bCs/>
        </w:rPr>
        <w:t>T</w:t>
      </w:r>
      <w:r w:rsidR="00A035A9" w:rsidRPr="00D05355">
        <w:rPr>
          <w:b/>
          <w:bCs/>
        </w:rPr>
        <w:t xml:space="preserve">ome nota de que la preinscripción de los participantes en la reunión se lleva a cabo exclusivamente </w:t>
      </w:r>
      <w:r w:rsidR="00A035A9" w:rsidRPr="00D05355">
        <w:rPr>
          <w:b/>
          <w:bCs/>
          <w:i/>
          <w:iCs/>
        </w:rPr>
        <w:t xml:space="preserve">en línea. </w:t>
      </w:r>
      <w:r w:rsidR="006F21E5" w:rsidRPr="00D05355">
        <w:t>Consulte periódicamente la página web del FG</w:t>
      </w:r>
      <w:r w:rsidR="005C2D8A" w:rsidRPr="00D05355">
        <w:t>-S</w:t>
      </w:r>
      <w:r w:rsidR="002B737A" w:rsidRPr="00D05355">
        <w:t xml:space="preserve">WM </w:t>
      </w:r>
      <w:r w:rsidR="006F21E5" w:rsidRPr="00D05355">
        <w:t xml:space="preserve">para </w:t>
      </w:r>
      <w:r w:rsidR="005C2D8A" w:rsidRPr="00D05355">
        <w:t xml:space="preserve">mantenerse al corriente de los últimos detalles </w:t>
      </w:r>
      <w:r w:rsidR="006F21E5" w:rsidRPr="00D05355">
        <w:t>sobre la planificación de la reunión.</w:t>
      </w:r>
    </w:p>
    <w:p w:rsidR="00A035A9" w:rsidRPr="00D05355" w:rsidRDefault="00AA1325" w:rsidP="001314C9">
      <w:r w:rsidRPr="00D05355">
        <w:t>9</w:t>
      </w:r>
      <w:r w:rsidR="00A035A9" w:rsidRPr="00D05355">
        <w:tab/>
        <w:t xml:space="preserve">Le recordamos que los ciudadanos procedentes de ciertos países necesitan visado para entrar y permanecer en </w:t>
      </w:r>
      <w:r w:rsidR="002B737A" w:rsidRPr="00D05355">
        <w:t>Perú</w:t>
      </w:r>
      <w:r w:rsidR="00A035A9" w:rsidRPr="00D05355">
        <w:t>.</w:t>
      </w:r>
      <w:r w:rsidR="00A035A9" w:rsidRPr="00D05355">
        <w:rPr>
          <w:b/>
          <w:bCs/>
        </w:rPr>
        <w:t xml:space="preserve"> Ese visado debe solicitarse antes del </w:t>
      </w:r>
      <w:r w:rsidR="002B737A" w:rsidRPr="00D05355">
        <w:rPr>
          <w:b/>
          <w:bCs/>
        </w:rPr>
        <w:t>21</w:t>
      </w:r>
      <w:r w:rsidR="00BB3B28" w:rsidRPr="00D05355">
        <w:rPr>
          <w:b/>
          <w:bCs/>
        </w:rPr>
        <w:t xml:space="preserve"> de </w:t>
      </w:r>
      <w:r w:rsidR="002B737A" w:rsidRPr="00D05355">
        <w:rPr>
          <w:b/>
          <w:bCs/>
        </w:rPr>
        <w:t>octubre</w:t>
      </w:r>
      <w:r w:rsidR="00BB3B28" w:rsidRPr="00D05355">
        <w:rPr>
          <w:b/>
          <w:bCs/>
        </w:rPr>
        <w:t xml:space="preserve"> de 2013 </w:t>
      </w:r>
      <w:r w:rsidR="00A035A9" w:rsidRPr="00D05355">
        <w:t xml:space="preserve">en la oficina (embajada o consulado) que representa a </w:t>
      </w:r>
      <w:r w:rsidR="002B737A" w:rsidRPr="00D05355">
        <w:t>Perú</w:t>
      </w:r>
      <w:r w:rsidR="00A035A9" w:rsidRPr="00D05355">
        <w:t xml:space="preserve"> en su país o, en su defecto, en la más próxima a su país de partida.</w:t>
      </w:r>
      <w:r w:rsidR="00A4661A" w:rsidRPr="00D05355">
        <w:t xml:space="preserve"> </w:t>
      </w:r>
      <w:r w:rsidR="002B737A" w:rsidRPr="00D05355">
        <w:t xml:space="preserve">Los participantes que necesiten una carta de invitación y/o una carta de apoyo a la solicitud del visado para entrar en Perú deben ponerse en contacto con la Sra. Claudia Carrasco </w:t>
      </w:r>
      <w:proofErr w:type="spellStart"/>
      <w:r w:rsidR="002B737A" w:rsidRPr="00D05355">
        <w:t>Canchari</w:t>
      </w:r>
      <w:proofErr w:type="spellEnd"/>
      <w:r w:rsidR="002B737A" w:rsidRPr="00D05355">
        <w:t>: Tel.: (51) 1 615 7479, F</w:t>
      </w:r>
      <w:r w:rsidR="002C6AAA" w:rsidRPr="00D05355">
        <w:t xml:space="preserve">ax: (51) 1 615 7814 y correo-e: </w:t>
      </w:r>
      <w:hyperlink r:id="rId15" w:history="1">
        <w:r w:rsidR="001314C9" w:rsidRPr="00D05355">
          <w:rPr>
            <w:rStyle w:val="Hyperlink"/>
          </w:rPr>
          <w:t>ccarrasco@mtc.gob.pe</w:t>
        </w:r>
      </w:hyperlink>
      <w:r w:rsidR="002C6AAA" w:rsidRPr="00D05355">
        <w:t>.</w:t>
      </w:r>
    </w:p>
    <w:p w:rsidR="00A035A9" w:rsidRDefault="00A035A9" w:rsidP="00EF2FA0">
      <w:pPr>
        <w:spacing w:before="80"/>
        <w:ind w:right="91"/>
        <w:rPr>
          <w:szCs w:val="24"/>
        </w:rPr>
      </w:pPr>
      <w:r w:rsidRPr="00D05355">
        <w:rPr>
          <w:szCs w:val="24"/>
        </w:rPr>
        <w:t>Con este motivo, lo saluda atentamente.</w:t>
      </w:r>
    </w:p>
    <w:p w:rsidR="00976B00" w:rsidRPr="00D05355" w:rsidRDefault="00976B00" w:rsidP="00EF2FA0">
      <w:pPr>
        <w:spacing w:before="80"/>
        <w:ind w:right="91"/>
      </w:pPr>
    </w:p>
    <w:p w:rsidR="00A035A9" w:rsidRPr="00D05355" w:rsidRDefault="00A035A9" w:rsidP="00EF2FA0">
      <w:pPr>
        <w:pStyle w:val="BodyText3"/>
        <w:spacing w:before="720" w:after="0"/>
        <w:rPr>
          <w:rFonts w:eastAsia="Times New Roman"/>
          <w:sz w:val="24"/>
          <w:szCs w:val="24"/>
          <w:lang w:val="es-ES_tradnl"/>
        </w:rPr>
      </w:pPr>
      <w:r w:rsidRPr="00D05355">
        <w:rPr>
          <w:rFonts w:eastAsia="Times New Roman"/>
          <w:sz w:val="24"/>
          <w:szCs w:val="24"/>
          <w:lang w:val="es-ES_tradnl"/>
        </w:rPr>
        <w:t>Malcolm Johnson</w:t>
      </w:r>
      <w:r w:rsidRPr="00D05355">
        <w:rPr>
          <w:rFonts w:eastAsia="Times New Roman"/>
          <w:sz w:val="24"/>
          <w:szCs w:val="24"/>
          <w:lang w:val="es-ES_tradnl"/>
        </w:rPr>
        <w:br/>
        <w:t>Director de la Oficina de Normalización</w:t>
      </w:r>
      <w:r w:rsidRPr="00D05355">
        <w:rPr>
          <w:rFonts w:eastAsia="Times New Roman"/>
          <w:sz w:val="24"/>
          <w:szCs w:val="24"/>
          <w:lang w:val="es-ES_tradnl"/>
        </w:rPr>
        <w:br/>
        <w:t>de las Telecomunicaciones</w:t>
      </w:r>
    </w:p>
    <w:p w:rsidR="00826D9C" w:rsidRPr="00D05355" w:rsidRDefault="00976B00" w:rsidP="00EF2FA0">
      <w:pPr>
        <w:spacing w:before="80"/>
        <w:rPr>
          <w:b/>
          <w:bCs/>
        </w:rPr>
      </w:pPr>
      <w:r>
        <w:rPr>
          <w:b/>
          <w:bCs/>
        </w:rPr>
        <w:br/>
      </w:r>
      <w:r w:rsidR="002C6AAA" w:rsidRPr="00D05355">
        <w:rPr>
          <w:b/>
          <w:bCs/>
        </w:rPr>
        <w:t>Anexo:</w:t>
      </w:r>
      <w:r w:rsidR="002C6AAA" w:rsidRPr="00D05355">
        <w:t xml:space="preserve"> 1</w:t>
      </w:r>
      <w:r w:rsidR="00826D9C" w:rsidRPr="00D05355">
        <w:br w:type="page"/>
      </w:r>
    </w:p>
    <w:p w:rsidR="00B24F81" w:rsidRPr="00D05355" w:rsidRDefault="00B24F81" w:rsidP="00840DCC">
      <w:pPr>
        <w:pStyle w:val="Annex"/>
        <w:spacing w:before="240"/>
      </w:pPr>
      <w:r w:rsidRPr="00D05355">
        <w:rPr>
          <w:b/>
          <w:bCs/>
        </w:rPr>
        <w:lastRenderedPageBreak/>
        <w:t>ANEXO 1</w:t>
      </w:r>
      <w:r w:rsidRPr="00D05355">
        <w:rPr>
          <w:b/>
          <w:bCs/>
        </w:rPr>
        <w:br/>
        <w:t>(</w:t>
      </w:r>
      <w:r w:rsidR="00537B7B" w:rsidRPr="00D05355">
        <w:rPr>
          <w:b/>
          <w:bCs/>
          <w:caps w:val="0"/>
        </w:rPr>
        <w:t xml:space="preserve">a la Circular </w:t>
      </w:r>
      <w:r w:rsidRPr="00D05355">
        <w:rPr>
          <w:b/>
          <w:bCs/>
        </w:rPr>
        <w:t xml:space="preserve">TSB </w:t>
      </w:r>
      <w:r w:rsidR="0041729C" w:rsidRPr="00D05355">
        <w:rPr>
          <w:b/>
          <w:bCs/>
        </w:rPr>
        <w:t>47</w:t>
      </w:r>
      <w:r w:rsidRPr="00D05355">
        <w:t>)</w:t>
      </w:r>
    </w:p>
    <w:p w:rsidR="00131E67" w:rsidRPr="00D05355" w:rsidRDefault="002C6AAA" w:rsidP="002C6AAA">
      <w:pPr>
        <w:pStyle w:val="AnnexNotitle"/>
      </w:pPr>
      <w:r w:rsidRPr="00D05355">
        <w:t>Mandato del Grupo Temático del UIT-T sobre</w:t>
      </w:r>
      <w:r w:rsidRPr="00D05355">
        <w:br/>
        <w:t>Gestión inteligente del agua (FG-SWM)</w:t>
      </w:r>
    </w:p>
    <w:p w:rsidR="0041729C" w:rsidRDefault="002C6AAA" w:rsidP="001314C9">
      <w:pPr>
        <w:pStyle w:val="Normalaftertitle0"/>
      </w:pPr>
      <w:r w:rsidRPr="00D05355">
        <w:t xml:space="preserve">El Grupo Temático se ha establecido de conformidad </w:t>
      </w:r>
      <w:r w:rsidR="001314C9" w:rsidRPr="00D05355">
        <w:t>co</w:t>
      </w:r>
      <w:r w:rsidRPr="00D05355">
        <w:t>n la Recomendación UIT-</w:t>
      </w:r>
      <w:r w:rsidR="001314C9" w:rsidRPr="00D05355">
        <w:t>T</w:t>
      </w:r>
      <w:r w:rsidRPr="00D05355">
        <w:t xml:space="preserve"> A.7</w:t>
      </w:r>
      <w:r w:rsidR="00EF2FA0">
        <w:t>.</w:t>
      </w:r>
    </w:p>
    <w:p w:rsidR="0070266A" w:rsidRPr="0070266A" w:rsidRDefault="0070266A" w:rsidP="0070266A"/>
    <w:p w:rsidR="00B90541" w:rsidRPr="00D05355" w:rsidRDefault="00B90541" w:rsidP="00D05355">
      <w:pPr>
        <w:pStyle w:val="Heading1"/>
        <w:tabs>
          <w:tab w:val="clear" w:pos="3261"/>
          <w:tab w:val="center" w:pos="4819"/>
        </w:tabs>
      </w:pPr>
      <w:r w:rsidRPr="00D05355">
        <w:t>1</w:t>
      </w:r>
      <w:r w:rsidRPr="00D05355">
        <w:tab/>
      </w:r>
      <w:r w:rsidR="002C6AAA" w:rsidRPr="00D05355">
        <w:t>Justificación y alcance</w:t>
      </w:r>
    </w:p>
    <w:p w:rsidR="0041729C" w:rsidRPr="00D05355" w:rsidRDefault="0041729C" w:rsidP="002C6AAA">
      <w:r w:rsidRPr="00D05355">
        <w:t>El crecimiento económico, el cambio climático y el incremento demográfico se ven afectados por la disponibilidad de recursos h</w:t>
      </w:r>
      <w:r w:rsidR="002C6AAA" w:rsidRPr="00D05355">
        <w:t>ídricos</w:t>
      </w:r>
      <w:r w:rsidRPr="00D05355">
        <w:t>. Según las estimaciones de Naciones Unidas, el 85 por ciento de la población mundial vive en las zonas más áridas del planeta; 783 millones de personas no disponen de acceso a agua potable; cerca de 2 500 millones carecen de acceso a instalaciones de saneamiento adecuadas; y entre 6 y 8 millones de personas fallecen todos los años debido a catástrofes y enfermedades relacionadas con el agua.</w:t>
      </w:r>
    </w:p>
    <w:p w:rsidR="003D6F4C" w:rsidRPr="00D05355" w:rsidRDefault="003D6F4C" w:rsidP="003D6F4C">
      <w:r w:rsidRPr="00D05355">
        <w:t>Los temas relativos a la distribución del agua se están convirtiendo en fuente de conflictos regionales e internacionales; por consiguiente, la identificación y difusión de tecnologías de gestión inteligente de los recursos hídricos es fundamental a nivel local, regional e internacional. Es necesario no sólo resolver este tema humanitario clave sino también encontrar una solución a los actuales conflictos regionales latentes en torno al agua como recurso escaso.</w:t>
      </w:r>
    </w:p>
    <w:p w:rsidR="003D6F4C" w:rsidRPr="00D05355" w:rsidRDefault="003D6F4C" w:rsidP="003D6F4C">
      <w:r w:rsidRPr="00D05355">
        <w:t>Las TIC desempeñan un cometido especial a este respecto a través de un cierto número de tecnologías que ayudan a una mejor distribución, gestión y asignación de los recursos hídricos. En la actualidad aún no se ha identificado y analizado completamente el papel que juegan las TIC en la medición, supervisión y distribución del agua como resultado de los temas medioambientales.</w:t>
      </w:r>
    </w:p>
    <w:p w:rsidR="003D6F4C" w:rsidRPr="00D05355" w:rsidRDefault="003D6F4C" w:rsidP="003D6F4C">
      <w:r w:rsidRPr="00D05355">
        <w:t>A continuación figuran algunos de los temas relativos a las TIC y la gestión del agua:</w:t>
      </w:r>
    </w:p>
    <w:p w:rsidR="003D6F4C" w:rsidRPr="00D05355" w:rsidRDefault="00823D4E" w:rsidP="001314C9">
      <w:pPr>
        <w:pStyle w:val="enumlev1"/>
      </w:pPr>
      <w:r w:rsidRPr="00D05355">
        <w:t>–</w:t>
      </w:r>
      <w:r w:rsidR="003D6F4C" w:rsidRPr="00D05355">
        <w:tab/>
        <w:t>Falta de información sobre los métodos para medir la demanda y el suministro de agua en los sectores domésticos y económicos, así como las repercusiones de las TIC en la gestión de los recursos hídricos</w:t>
      </w:r>
      <w:r w:rsidR="001314C9" w:rsidRPr="00D05355">
        <w:t>.</w:t>
      </w:r>
    </w:p>
    <w:p w:rsidR="003D6F4C" w:rsidRPr="00D05355" w:rsidRDefault="00823D4E" w:rsidP="001314C9">
      <w:pPr>
        <w:pStyle w:val="enumlev1"/>
      </w:pPr>
      <w:r w:rsidRPr="00D05355">
        <w:t>–</w:t>
      </w:r>
      <w:r w:rsidR="003D6F4C" w:rsidRPr="00D05355">
        <w:tab/>
        <w:t>Incoherencia sobre el volumen de agua que podría ahorrarse utilizando las TIC. Por tanto, es necesario establecer un método común para evaluar la repercusión de las TIC en el consumo de agua en la agricultura y en la producción de bienes</w:t>
      </w:r>
      <w:r w:rsidR="001314C9" w:rsidRPr="00D05355">
        <w:t>.</w:t>
      </w:r>
    </w:p>
    <w:p w:rsidR="003D6F4C" w:rsidRPr="00D05355" w:rsidRDefault="00823D4E" w:rsidP="001314C9">
      <w:pPr>
        <w:pStyle w:val="enumlev1"/>
      </w:pPr>
      <w:r w:rsidRPr="00D05355">
        <w:t>–</w:t>
      </w:r>
      <w:r w:rsidR="003D6F4C" w:rsidRPr="00D05355">
        <w:tab/>
        <w:t>Importancia que reviste el empleo de las TIC para mejorar la eficacia global en la utilización del agua a fin de minimizar las pérdidas en el sistema y distribuir equitativamente el agua disponible para la agricultura</w:t>
      </w:r>
      <w:r w:rsidR="001314C9" w:rsidRPr="00D05355">
        <w:t>.</w:t>
      </w:r>
    </w:p>
    <w:p w:rsidR="003D6F4C" w:rsidRPr="00D05355" w:rsidRDefault="00823D4E" w:rsidP="001314C9">
      <w:pPr>
        <w:pStyle w:val="enumlev1"/>
      </w:pPr>
      <w:r w:rsidRPr="00D05355">
        <w:t>–</w:t>
      </w:r>
      <w:r w:rsidR="003D6F4C" w:rsidRPr="00D05355">
        <w:tab/>
        <w:t>Con objeto de lograr una gestión eficaz del agua se recopila una gran cantidad de datos procedentes de varias fuentes (por ejemplo, ríos, redes de suministro, climatología, etc.) Estos datos se agrupan en un centro de operaciones inteligente</w:t>
      </w:r>
      <w:r w:rsidR="001314C9" w:rsidRPr="00D05355">
        <w:t>.</w:t>
      </w:r>
    </w:p>
    <w:p w:rsidR="003D6F4C" w:rsidRPr="00D05355" w:rsidRDefault="00823D4E" w:rsidP="001314C9">
      <w:pPr>
        <w:pStyle w:val="enumlev1"/>
      </w:pPr>
      <w:r w:rsidRPr="00D05355">
        <w:t>–</w:t>
      </w:r>
      <w:r w:rsidR="003D6F4C" w:rsidRPr="00D05355">
        <w:tab/>
        <w:t>Con la repercusión del cambio climático, es necesario que los países compartan los conocimientos sobre tecnologías de adaptación del sector hídrico a este cambio climático</w:t>
      </w:r>
      <w:r w:rsidR="001314C9" w:rsidRPr="00D05355">
        <w:t>.</w:t>
      </w:r>
    </w:p>
    <w:p w:rsidR="003D6F4C" w:rsidRPr="00D05355" w:rsidRDefault="00823D4E" w:rsidP="001314C9">
      <w:pPr>
        <w:pStyle w:val="enumlev1"/>
      </w:pPr>
      <w:r w:rsidRPr="00D05355">
        <w:t>–</w:t>
      </w:r>
      <w:r w:rsidR="003D6F4C" w:rsidRPr="00D05355">
        <w:tab/>
        <w:t xml:space="preserve">Compartición de prácticas idóneas a nivel local, regional e internacional, tanto en ciudades como en zonas rurales, así como a través de fronteras donde tecnologías tales como web de sensor semántica, sistemas de información geográfica, teledetección, agricultura adaptada al clima, tuberías inteligentes, mediciones inteligentes, </w:t>
      </w:r>
      <w:proofErr w:type="spellStart"/>
      <w:r w:rsidR="003D6F4C" w:rsidRPr="00D05355">
        <w:t>telemedidas</w:t>
      </w:r>
      <w:proofErr w:type="spellEnd"/>
      <w:r w:rsidR="003D6F4C" w:rsidRPr="00D05355">
        <w:t>, modelado geográfico en 3D de datos geoespaciales para la web y plataformas TIC en ciudades inteligentes se utilizan a</w:t>
      </w:r>
      <w:r w:rsidR="00243BDA" w:rsidRPr="00D05355">
        <w:t xml:space="preserve"> fin de</w:t>
      </w:r>
      <w:r w:rsidR="003D6F4C" w:rsidRPr="00D05355">
        <w:t xml:space="preserve"> crear oportunidades mejores y más asequibles para la gestión inteligente de </w:t>
      </w:r>
      <w:r w:rsidR="003D6F4C" w:rsidRPr="00D05355">
        <w:lastRenderedPageBreak/>
        <w:t>los recursos hídricos. Las co</w:t>
      </w:r>
      <w:r w:rsidR="001314C9" w:rsidRPr="00D05355">
        <w:t>misiones de Estudio de la UIT</w:t>
      </w:r>
      <w:r w:rsidR="00243BDA" w:rsidRPr="00D05355">
        <w:t>,</w:t>
      </w:r>
      <w:r w:rsidR="001314C9" w:rsidRPr="00D05355">
        <w:t xml:space="preserve"> </w:t>
      </w:r>
      <w:r w:rsidR="00243BDA" w:rsidRPr="00D05355">
        <w:t>y</w:t>
      </w:r>
      <w:r w:rsidR="003D6F4C" w:rsidRPr="00D05355">
        <w:t xml:space="preserve"> en particular la CE</w:t>
      </w:r>
      <w:r w:rsidR="00243BDA" w:rsidRPr="00D05355">
        <w:t xml:space="preserve"> </w:t>
      </w:r>
      <w:r w:rsidR="003D6F4C" w:rsidRPr="00D05355">
        <w:t>5 del UIT</w:t>
      </w:r>
      <w:r w:rsidR="005576EB" w:rsidRPr="00D05355">
        <w:noBreakHyphen/>
      </w:r>
      <w:r w:rsidR="003D6F4C" w:rsidRPr="00D05355">
        <w:t>T</w:t>
      </w:r>
      <w:r w:rsidR="00243BDA" w:rsidRPr="00D05355">
        <w:t>,</w:t>
      </w:r>
      <w:r w:rsidR="003D6F4C" w:rsidRPr="00D05355">
        <w:t xml:space="preserve"> desempeñar</w:t>
      </w:r>
      <w:r w:rsidR="00243BDA" w:rsidRPr="00D05355">
        <w:t>á</w:t>
      </w:r>
      <w:r w:rsidR="003D6F4C" w:rsidRPr="00D05355">
        <w:t>n un papel importante en esta área</w:t>
      </w:r>
      <w:r w:rsidR="001314C9" w:rsidRPr="00D05355">
        <w:t>.</w:t>
      </w:r>
    </w:p>
    <w:p w:rsidR="007503A8" w:rsidRPr="00D05355" w:rsidRDefault="00DA4805" w:rsidP="00243BDA">
      <w:r w:rsidRPr="00D05355">
        <w:t>La Comisión de Estudio 5 (CE</w:t>
      </w:r>
      <w:r w:rsidR="007D2C8B" w:rsidRPr="00D05355">
        <w:t> </w:t>
      </w:r>
      <w:r w:rsidRPr="00D05355">
        <w:t>5) del U</w:t>
      </w:r>
      <w:r w:rsidR="007503A8" w:rsidRPr="00D05355">
        <w:t xml:space="preserve">IT-T </w:t>
      </w:r>
      <w:r w:rsidR="00243BDA" w:rsidRPr="00D05355">
        <w:t>se ocupa de</w:t>
      </w:r>
      <w:r w:rsidRPr="00D05355">
        <w:t xml:space="preserve"> las cuestiones relativas al medio </w:t>
      </w:r>
      <w:r w:rsidR="00243BDA" w:rsidRPr="00D05355">
        <w:t>ambiente y al cambio climático</w:t>
      </w:r>
      <w:r w:rsidR="007503A8" w:rsidRPr="00D05355">
        <w:t xml:space="preserve">. </w:t>
      </w:r>
      <w:r w:rsidRPr="00D05355">
        <w:t>Habida cuenta de que el tema de la</w:t>
      </w:r>
      <w:r w:rsidR="00243BDA" w:rsidRPr="00D05355">
        <w:t xml:space="preserve"> gestión inteligente de los recursos hídricos</w:t>
      </w:r>
      <w:r w:rsidRPr="00D05355">
        <w:t xml:space="preserve"> afecta a diversos actores, este Grupo Temático será fundamental en cuanto plataforma para el intercambio de ideas</w:t>
      </w:r>
      <w:r w:rsidR="007503A8" w:rsidRPr="00D05355">
        <w:t xml:space="preserve">, </w:t>
      </w:r>
      <w:r w:rsidRPr="00D05355">
        <w:t>la preparación de diversos resultados e iniciativas ejemplares</w:t>
      </w:r>
      <w:r w:rsidR="007503A8" w:rsidRPr="00D05355">
        <w:t xml:space="preserve">, </w:t>
      </w:r>
      <w:r w:rsidRPr="00D05355">
        <w:t>proyectos, políticas y actividades de normalización</w:t>
      </w:r>
      <w:r w:rsidR="00243BDA" w:rsidRPr="00D05355">
        <w:t xml:space="preserve"> que están teniendo lugar</w:t>
      </w:r>
      <w:r w:rsidRPr="00D05355">
        <w:t xml:space="preserve"> en el ámbito de la</w:t>
      </w:r>
      <w:r w:rsidR="00243BDA" w:rsidRPr="00D05355">
        <w:t xml:space="preserve"> gestión inteligente de los recursos hídricos</w:t>
      </w:r>
      <w:r w:rsidR="007503A8" w:rsidRPr="00D05355">
        <w:t xml:space="preserve">. </w:t>
      </w:r>
    </w:p>
    <w:p w:rsidR="00A107B8" w:rsidRPr="00D05355" w:rsidRDefault="009501BC" w:rsidP="00243BDA">
      <w:pPr>
        <w:rPr>
          <w:color w:val="000000"/>
        </w:rPr>
      </w:pPr>
      <w:r w:rsidRPr="00D05355">
        <w:t xml:space="preserve">El </w:t>
      </w:r>
      <w:r w:rsidR="007503A8" w:rsidRPr="00D05355">
        <w:t>FG-S</w:t>
      </w:r>
      <w:r w:rsidR="00243BDA" w:rsidRPr="00D05355">
        <w:t>WM</w:t>
      </w:r>
      <w:r w:rsidR="007503A8" w:rsidRPr="00D05355">
        <w:t xml:space="preserve"> </w:t>
      </w:r>
      <w:r w:rsidR="00A107B8" w:rsidRPr="00D05355">
        <w:rPr>
          <w:color w:val="000000"/>
        </w:rPr>
        <w:t>analizará las soluciones y los proyectos de T</w:t>
      </w:r>
      <w:r w:rsidR="00A107B8" w:rsidRPr="00D05355">
        <w:t xml:space="preserve">IC que fomenten la </w:t>
      </w:r>
      <w:r w:rsidR="00243BDA" w:rsidRPr="00D05355">
        <w:t>gestión inteligente del agua</w:t>
      </w:r>
      <w:r w:rsidR="00A107B8" w:rsidRPr="00D05355">
        <w:t xml:space="preserve"> y que puedan normalizarse en el marco de la CE</w:t>
      </w:r>
      <w:r w:rsidR="007D2C8B" w:rsidRPr="00D05355">
        <w:t> </w:t>
      </w:r>
      <w:r w:rsidR="00A107B8" w:rsidRPr="00D05355">
        <w:t xml:space="preserve">5 del UIT-T, y determinará las prácticas idóneas que podrían facilitar la aplicación de tales soluciones </w:t>
      </w:r>
      <w:r w:rsidR="004E2AF7" w:rsidRPr="00D05355">
        <w:t>a</w:t>
      </w:r>
      <w:r w:rsidR="00A107B8" w:rsidRPr="00D05355">
        <w:t xml:space="preserve"> l</w:t>
      </w:r>
      <w:r w:rsidR="00243BDA" w:rsidRPr="00D05355">
        <w:t>o</w:t>
      </w:r>
      <w:r w:rsidR="00A107B8" w:rsidRPr="00D05355">
        <w:t xml:space="preserve">s </w:t>
      </w:r>
      <w:r w:rsidR="00243BDA" w:rsidRPr="00D05355">
        <w:t>países</w:t>
      </w:r>
      <w:r w:rsidR="00A107B8" w:rsidRPr="00D05355">
        <w:t xml:space="preserve">. </w:t>
      </w:r>
    </w:p>
    <w:p w:rsidR="00A107B8" w:rsidRPr="00D05355" w:rsidRDefault="00A107B8" w:rsidP="00840DCC">
      <w:r w:rsidRPr="00D05355">
        <w:t>El Grupo preparará una hoja de ruta para la normalización, teniendo en cuenta las actividades que realizan otras organizaciones y foros de normalización.</w:t>
      </w:r>
    </w:p>
    <w:p w:rsidR="00A107B8" w:rsidRPr="00D05355" w:rsidRDefault="00A107B8" w:rsidP="00243BDA">
      <w:r w:rsidRPr="00D05355">
        <w:t xml:space="preserve">Este </w:t>
      </w:r>
      <w:r w:rsidR="00826D9C" w:rsidRPr="00D05355">
        <w:t>"</w:t>
      </w:r>
      <w:r w:rsidRPr="00D05355">
        <w:t xml:space="preserve">Grupo Temático sobre </w:t>
      </w:r>
      <w:r w:rsidR="00243BDA" w:rsidRPr="00D05355">
        <w:t>Gestión inteligente del agua</w:t>
      </w:r>
      <w:r w:rsidRPr="00D05355">
        <w:t xml:space="preserve"> (FG-S</w:t>
      </w:r>
      <w:r w:rsidR="00243BDA" w:rsidRPr="00D05355">
        <w:t>WM</w:t>
      </w:r>
      <w:r w:rsidRPr="00D05355">
        <w:t>)</w:t>
      </w:r>
      <w:r w:rsidR="00826D9C" w:rsidRPr="00D05355">
        <w:t>"</w:t>
      </w:r>
      <w:r w:rsidRPr="00D05355">
        <w:t xml:space="preserve"> invitará a entidades no miembros del UIT-T y aprovechará el papel que desempeña el sector de las TIC para fomentar </w:t>
      </w:r>
      <w:r w:rsidR="00243BDA" w:rsidRPr="00D05355">
        <w:t>la</w:t>
      </w:r>
      <w:r w:rsidRPr="00D05355">
        <w:t xml:space="preserve"> </w:t>
      </w:r>
      <w:r w:rsidR="00243BDA" w:rsidRPr="00D05355">
        <w:t>distribución y gestión racional del agua en la irrigación y el desarrollo urbano</w:t>
      </w:r>
      <w:r w:rsidRPr="00D05355">
        <w:t>.</w:t>
      </w:r>
    </w:p>
    <w:p w:rsidR="00322791" w:rsidRPr="00D05355" w:rsidRDefault="00243BDA" w:rsidP="00243BDA">
      <w:pPr>
        <w:pStyle w:val="Headingb0"/>
      </w:pPr>
      <w:r w:rsidRPr="00D05355">
        <w:t xml:space="preserve">Grupo </w:t>
      </w:r>
      <w:r w:rsidR="00EF2FA0" w:rsidRPr="00D05355">
        <w:t xml:space="preserve">Temático </w:t>
      </w:r>
      <w:r w:rsidRPr="00D05355">
        <w:t>sobre Gestión inteligente del agua (FG-SWM)</w:t>
      </w:r>
    </w:p>
    <w:p w:rsidR="00B90541" w:rsidRPr="00D05355" w:rsidRDefault="00B90541" w:rsidP="00840DCC">
      <w:pPr>
        <w:pStyle w:val="Heading1"/>
      </w:pPr>
      <w:r w:rsidRPr="00D05355">
        <w:t>2</w:t>
      </w:r>
      <w:r w:rsidRPr="00D05355">
        <w:tab/>
        <w:t>Objetivos</w:t>
      </w:r>
    </w:p>
    <w:p w:rsidR="00B05B56" w:rsidRPr="00D05355" w:rsidRDefault="00B05B56" w:rsidP="001314C9">
      <w:r w:rsidRPr="00D05355">
        <w:t>El F</w:t>
      </w:r>
      <w:r w:rsidR="001314C9" w:rsidRPr="00D05355">
        <w:t>G</w:t>
      </w:r>
      <w:r w:rsidRPr="00D05355">
        <w:t>-SWM debe realizar las siguientes tareas:</w:t>
      </w:r>
    </w:p>
    <w:p w:rsidR="00D4202C" w:rsidRPr="00D05355" w:rsidRDefault="00823D4E" w:rsidP="00B05B56">
      <w:pPr>
        <w:pStyle w:val="enumlev1"/>
      </w:pPr>
      <w:r w:rsidRPr="00D05355">
        <w:t>–</w:t>
      </w:r>
      <w:r w:rsidR="00D4202C" w:rsidRPr="00D05355">
        <w:tab/>
      </w:r>
      <w:r w:rsidR="00243BDA" w:rsidRPr="00D05355">
        <w:t>Recopilar y desarrollar las pr</w:t>
      </w:r>
      <w:r w:rsidR="00B05B56" w:rsidRPr="00D05355">
        <w:t>á</w:t>
      </w:r>
      <w:r w:rsidR="00243BDA" w:rsidRPr="00D05355">
        <w:t>cticas idóneas relativas a la gestión inteligente de los recursos hídricos</w:t>
      </w:r>
      <w:r w:rsidR="00B05B56" w:rsidRPr="00D05355">
        <w:t>.</w:t>
      </w:r>
    </w:p>
    <w:p w:rsidR="00D4202C" w:rsidRPr="00D05355" w:rsidRDefault="00823D4E" w:rsidP="00840DCC">
      <w:pPr>
        <w:pStyle w:val="enumlev1"/>
      </w:pPr>
      <w:r w:rsidRPr="00D05355">
        <w:t>–</w:t>
      </w:r>
      <w:r w:rsidR="00D4202C" w:rsidRPr="00D05355">
        <w:tab/>
      </w:r>
      <w:r w:rsidR="00243BDA" w:rsidRPr="00D05355">
        <w:t>Difundir y compartir información y tecnologías utilizadas en la gestión inteligente del agua, especialmente en los países en desarrollo.</w:t>
      </w:r>
    </w:p>
    <w:p w:rsidR="00D4202C" w:rsidRPr="00D05355" w:rsidRDefault="00823D4E" w:rsidP="00840DCC">
      <w:pPr>
        <w:pStyle w:val="enumlev1"/>
      </w:pPr>
      <w:r w:rsidRPr="00D05355">
        <w:t>–</w:t>
      </w:r>
      <w:r w:rsidR="00D4202C" w:rsidRPr="00D05355">
        <w:tab/>
      </w:r>
      <w:r w:rsidR="00243BDA" w:rsidRPr="00D05355">
        <w:t>Invitar a las diferentes partes interesadas de las administraciones, los sectores académicos, las ONG y las multinacionales a compartir sus prácticas.</w:t>
      </w:r>
    </w:p>
    <w:p w:rsidR="00322791" w:rsidRPr="00D05355" w:rsidRDefault="00823D4E" w:rsidP="00840DCC">
      <w:pPr>
        <w:pStyle w:val="enumlev1"/>
      </w:pPr>
      <w:r w:rsidRPr="00D05355">
        <w:t>–</w:t>
      </w:r>
      <w:r w:rsidR="00322791" w:rsidRPr="00D05355">
        <w:tab/>
      </w:r>
      <w:r w:rsidR="00243BDA" w:rsidRPr="00D05355">
        <w:t>Desarrollar un conjunto de metodologías para realizar una estimación de la repercusión de las TIC en la mejo</w:t>
      </w:r>
      <w:r w:rsidR="00B05B56" w:rsidRPr="00D05355">
        <w:t xml:space="preserve">ra de la conservación del agua y en </w:t>
      </w:r>
      <w:r w:rsidR="00243BDA" w:rsidRPr="00D05355">
        <w:t>las aplicaciones y servici</w:t>
      </w:r>
      <w:r w:rsidR="00B05B56" w:rsidRPr="00D05355">
        <w:t>os de las TIC para una gestión i</w:t>
      </w:r>
      <w:r w:rsidR="00243BDA" w:rsidRPr="00D05355">
        <w:t>nteligente de los recursos hídricos a fin de garantizar la interoperabilidad y aprovechar las ventajas que reportan las economías de escala.</w:t>
      </w:r>
    </w:p>
    <w:p w:rsidR="00322791" w:rsidRPr="00D05355" w:rsidRDefault="00823D4E" w:rsidP="00840DCC">
      <w:pPr>
        <w:pStyle w:val="enumlev1"/>
      </w:pPr>
      <w:r w:rsidRPr="00D05355">
        <w:t>–</w:t>
      </w:r>
      <w:r w:rsidR="00322791" w:rsidRPr="00D05355">
        <w:tab/>
      </w:r>
      <w:r w:rsidR="00243BDA" w:rsidRPr="00D05355">
        <w:t>Establece</w:t>
      </w:r>
      <w:r w:rsidR="00B05B56" w:rsidRPr="00D05355">
        <w:t>r</w:t>
      </w:r>
      <w:r w:rsidR="00243BDA" w:rsidRPr="00D05355">
        <w:t xml:space="preserve"> una hoja de ruta de la contribución del sector de las TIC en la gestión inteligente del agua.</w:t>
      </w:r>
    </w:p>
    <w:p w:rsidR="00322791" w:rsidRPr="00D05355" w:rsidRDefault="00823D4E" w:rsidP="00B05B56">
      <w:pPr>
        <w:pStyle w:val="enumlev1"/>
      </w:pPr>
      <w:r w:rsidRPr="00D05355">
        <w:t>–</w:t>
      </w:r>
      <w:r w:rsidR="00322791" w:rsidRPr="00D05355">
        <w:tab/>
      </w:r>
      <w:r w:rsidR="00243BDA" w:rsidRPr="00D05355">
        <w:t>Proponer futuros temas de estudios para el UIT-T y actividades afines en al ámbito de la competencia de la CE</w:t>
      </w:r>
      <w:r w:rsidR="00B05B56" w:rsidRPr="00D05355">
        <w:t xml:space="preserve"> </w:t>
      </w:r>
      <w:r w:rsidR="00243BDA" w:rsidRPr="00D05355">
        <w:t>5 del UIT-T (véase el Apéndice) sobre: conceptos, cobertura, perspectivas y casos concretos de gestión inteligente de</w:t>
      </w:r>
      <w:r w:rsidR="00B05B56" w:rsidRPr="00D05355">
        <w:t>l agua</w:t>
      </w:r>
      <w:r w:rsidR="00243BDA" w:rsidRPr="00D05355">
        <w:t>, características y requisitos de esta gestión inteligente.</w:t>
      </w:r>
    </w:p>
    <w:p w:rsidR="00322791" w:rsidRPr="00D05355" w:rsidRDefault="00823D4E" w:rsidP="00243BDA">
      <w:pPr>
        <w:pStyle w:val="enumlev1"/>
      </w:pPr>
      <w:r w:rsidRPr="00D05355">
        <w:t>–</w:t>
      </w:r>
      <w:r w:rsidR="00322791" w:rsidRPr="00D05355">
        <w:tab/>
      </w:r>
      <w:r w:rsidR="00243BDA" w:rsidRPr="00D05355">
        <w:t>Identificar o definir un conjunto de indicadores fundamentales de rendimiento (KPI) que permitan evaluar la incidencia de las TIC sobre la gestión inteligente de los recursos hídricos en los países.</w:t>
      </w:r>
    </w:p>
    <w:p w:rsidR="00322791" w:rsidRPr="00D05355" w:rsidRDefault="00823D4E" w:rsidP="00B05B56">
      <w:pPr>
        <w:pStyle w:val="enumlev1"/>
      </w:pPr>
      <w:r w:rsidRPr="00D05355">
        <w:t>–</w:t>
      </w:r>
      <w:r w:rsidR="00322791" w:rsidRPr="00D05355">
        <w:tab/>
      </w:r>
      <w:r w:rsidR="00243BDA" w:rsidRPr="00D05355">
        <w:t>Fomentar el desarrollo de estrategias y pr</w:t>
      </w:r>
      <w:r w:rsidR="00B05B56" w:rsidRPr="00D05355">
        <w:t>á</w:t>
      </w:r>
      <w:r w:rsidR="00243BDA" w:rsidRPr="00D05355">
        <w:t xml:space="preserve">cticas idóneas en materia de políticas y normas para ayudar a las ciudades y </w:t>
      </w:r>
      <w:r w:rsidR="00B05B56" w:rsidRPr="00D05355">
        <w:t xml:space="preserve">a </w:t>
      </w:r>
      <w:r w:rsidR="00243BDA" w:rsidRPr="00D05355">
        <w:t>las zonas rurales, así como al gobierno nacional a ofrecer unos servicios de gestión inteligente del agua incluida la optimización del uso del agua escasa y crear una capacidad de adaptación al cambio climático a través de las fronteras nacionales.</w:t>
      </w:r>
      <w:r w:rsidR="00322791" w:rsidRPr="00D05355">
        <w:t xml:space="preserve"> </w:t>
      </w:r>
    </w:p>
    <w:p w:rsidR="00322791" w:rsidRPr="00D05355" w:rsidRDefault="00823D4E" w:rsidP="001314C9">
      <w:pPr>
        <w:pStyle w:val="enumlev1"/>
      </w:pPr>
      <w:r w:rsidRPr="00D05355">
        <w:t>–</w:t>
      </w:r>
      <w:r w:rsidR="00322791" w:rsidRPr="00D05355">
        <w:tab/>
      </w:r>
      <w:r w:rsidR="001512A2" w:rsidRPr="00D05355">
        <w:t xml:space="preserve">Determinar los posibles obstáculos a la utilización de las TIC para lograr la sostenibilidad </w:t>
      </w:r>
      <w:r w:rsidR="001314C9" w:rsidRPr="00D05355">
        <w:t>del agua</w:t>
      </w:r>
      <w:r w:rsidR="001512A2" w:rsidRPr="00D05355">
        <w:t xml:space="preserve"> en l</w:t>
      </w:r>
      <w:r w:rsidR="001314C9" w:rsidRPr="00D05355">
        <w:t>o</w:t>
      </w:r>
      <w:r w:rsidR="001512A2" w:rsidRPr="00D05355">
        <w:t xml:space="preserve">s </w:t>
      </w:r>
      <w:r w:rsidR="001314C9" w:rsidRPr="00D05355">
        <w:t>país</w:t>
      </w:r>
      <w:r w:rsidR="001512A2" w:rsidRPr="00D05355">
        <w:t>es</w:t>
      </w:r>
      <w:r w:rsidR="00322791" w:rsidRPr="00D05355">
        <w:t>.</w:t>
      </w:r>
    </w:p>
    <w:p w:rsidR="00D4202C" w:rsidRPr="00D05355" w:rsidRDefault="00823D4E" w:rsidP="00840DCC">
      <w:pPr>
        <w:pStyle w:val="enumlev1"/>
      </w:pPr>
      <w:r w:rsidRPr="00D05355">
        <w:lastRenderedPageBreak/>
        <w:t>–</w:t>
      </w:r>
      <w:r w:rsidR="00322791" w:rsidRPr="00D05355">
        <w:tab/>
      </w:r>
      <w:r w:rsidR="00B05B56" w:rsidRPr="00D05355">
        <w:t>Crear un portal global sobre las contribuciones de las TIC a la gestión inteligente de los recursos hídricos.</w:t>
      </w:r>
    </w:p>
    <w:p w:rsidR="00B90541" w:rsidRPr="00D05355" w:rsidRDefault="00B90541" w:rsidP="00840DCC">
      <w:pPr>
        <w:pStyle w:val="Heading1"/>
      </w:pPr>
      <w:r w:rsidRPr="00D05355">
        <w:t>3</w:t>
      </w:r>
      <w:r w:rsidRPr="00D05355">
        <w:tab/>
        <w:t>Estructura</w:t>
      </w:r>
    </w:p>
    <w:p w:rsidR="005E6DFB" w:rsidRPr="00D05355" w:rsidRDefault="00EA6280" w:rsidP="00B05B56">
      <w:r w:rsidRPr="00D05355">
        <w:t>El</w:t>
      </w:r>
      <w:r w:rsidR="005E6DFB" w:rsidRPr="00D05355">
        <w:t xml:space="preserve"> FG-S</w:t>
      </w:r>
      <w:r w:rsidR="00B05B56" w:rsidRPr="00D05355">
        <w:t>WM</w:t>
      </w:r>
      <w:r w:rsidR="005E6DFB" w:rsidRPr="00D05355">
        <w:t xml:space="preserve"> </w:t>
      </w:r>
      <w:r w:rsidRPr="00D05355">
        <w:t>debe crear subgrupos especializados en los tres campos siguientes, habida cuenta de los objetivos mencionados</w:t>
      </w:r>
      <w:r w:rsidR="005E6DFB" w:rsidRPr="00D05355">
        <w:t>:</w:t>
      </w:r>
    </w:p>
    <w:p w:rsidR="005E6DFB" w:rsidRPr="00D05355" w:rsidRDefault="00EF2FA0" w:rsidP="00B05B56">
      <w:pPr>
        <w:pStyle w:val="enumlev1"/>
      </w:pPr>
      <w:r>
        <w:t>–</w:t>
      </w:r>
      <w:r w:rsidR="005E6DFB" w:rsidRPr="00D05355">
        <w:tab/>
      </w:r>
      <w:r w:rsidR="00EA6280" w:rsidRPr="00D05355">
        <w:t>La función de las T</w:t>
      </w:r>
      <w:r w:rsidR="005E6DFB" w:rsidRPr="00D05355">
        <w:t xml:space="preserve">IC </w:t>
      </w:r>
      <w:r w:rsidR="00EA6280" w:rsidRPr="00D05355">
        <w:t xml:space="preserve">y </w:t>
      </w:r>
      <w:r w:rsidR="00B05B56" w:rsidRPr="00D05355">
        <w:t xml:space="preserve">la </w:t>
      </w:r>
      <w:r w:rsidR="00EA6280" w:rsidRPr="00D05355">
        <w:t xml:space="preserve">hoja de ruta para la </w:t>
      </w:r>
      <w:r w:rsidR="00B05B56" w:rsidRPr="00D05355">
        <w:t>gestión inteligente del agua</w:t>
      </w:r>
      <w:r w:rsidR="005E6DFB" w:rsidRPr="00D05355">
        <w:t>.</w:t>
      </w:r>
    </w:p>
    <w:p w:rsidR="005E6DFB" w:rsidRPr="00D05355" w:rsidRDefault="00EF2FA0" w:rsidP="00B05B56">
      <w:pPr>
        <w:pStyle w:val="enumlev1"/>
      </w:pPr>
      <w:r>
        <w:t>–</w:t>
      </w:r>
      <w:r w:rsidR="005E6DFB" w:rsidRPr="00D05355">
        <w:tab/>
      </w:r>
      <w:r w:rsidR="00EA6280" w:rsidRPr="00D05355">
        <w:t>Lagunas en la normalización</w:t>
      </w:r>
      <w:r w:rsidR="005E6DFB" w:rsidRPr="00D05355">
        <w:t>, KPI</w:t>
      </w:r>
      <w:r w:rsidR="00EA6280" w:rsidRPr="00D05355">
        <w:t>, mé</w:t>
      </w:r>
      <w:r w:rsidR="005E6DFB" w:rsidRPr="00D05355">
        <w:t>tric</w:t>
      </w:r>
      <w:r w:rsidR="00EA6280" w:rsidRPr="00D05355">
        <w:t>a</w:t>
      </w:r>
      <w:r w:rsidR="005E6DFB" w:rsidRPr="00D05355">
        <w:t xml:space="preserve"> </w:t>
      </w:r>
      <w:r w:rsidR="00EA6280" w:rsidRPr="00D05355">
        <w:t xml:space="preserve">y TIC eficientes para la </w:t>
      </w:r>
      <w:r w:rsidR="00B05B56" w:rsidRPr="00D05355">
        <w:t>gestión inteligente del agua</w:t>
      </w:r>
      <w:r w:rsidR="005E6DFB" w:rsidRPr="00D05355">
        <w:t>.</w:t>
      </w:r>
    </w:p>
    <w:p w:rsidR="00B90541" w:rsidRPr="00D05355" w:rsidRDefault="00EF2FA0" w:rsidP="00840DCC">
      <w:pPr>
        <w:pStyle w:val="enumlev1"/>
      </w:pPr>
      <w:r>
        <w:t>–</w:t>
      </w:r>
      <w:r w:rsidR="005E6DFB" w:rsidRPr="00D05355">
        <w:tab/>
        <w:t>Comunica</w:t>
      </w:r>
      <w:r w:rsidR="00EA6280" w:rsidRPr="00D05355">
        <w:t>ción y</w:t>
      </w:r>
      <w:r w:rsidR="005E6DFB" w:rsidRPr="00D05355">
        <w:t xml:space="preserve"> </w:t>
      </w:r>
      <w:r w:rsidR="00EA6280" w:rsidRPr="00D05355">
        <w:t xml:space="preserve">relaciones con los Miembros </w:t>
      </w:r>
      <w:r w:rsidR="00C75F9B" w:rsidRPr="00D05355">
        <w:t>y participación de los mismos</w:t>
      </w:r>
      <w:r w:rsidR="005E6DFB" w:rsidRPr="00D05355">
        <w:t>.</w:t>
      </w:r>
    </w:p>
    <w:p w:rsidR="00B90541" w:rsidRPr="00D05355" w:rsidRDefault="00B90541" w:rsidP="00840DCC">
      <w:pPr>
        <w:pStyle w:val="Heading1"/>
      </w:pPr>
      <w:r w:rsidRPr="00D05355">
        <w:t>4</w:t>
      </w:r>
      <w:r w:rsidRPr="00D05355">
        <w:tab/>
      </w:r>
      <w:r w:rsidR="00EC21BF" w:rsidRPr="00D05355">
        <w:t>Relaciones</w:t>
      </w:r>
    </w:p>
    <w:p w:rsidR="00131E67" w:rsidRPr="00D05355" w:rsidRDefault="00C75F9B" w:rsidP="00B05B56">
      <w:r w:rsidRPr="00D05355">
        <w:t>Este Grupo Temático trabajará en estrecha colaboración con todas las Comisiones de Estudio del U</w:t>
      </w:r>
      <w:r w:rsidR="00131E67" w:rsidRPr="00D05355">
        <w:t xml:space="preserve">IT-T, </w:t>
      </w:r>
      <w:r w:rsidRPr="00D05355">
        <w:t>especialmente con la CE</w:t>
      </w:r>
      <w:r w:rsidR="007D2C8B" w:rsidRPr="00D05355">
        <w:t> </w:t>
      </w:r>
      <w:r w:rsidR="00131E67" w:rsidRPr="00D05355">
        <w:t xml:space="preserve">11, </w:t>
      </w:r>
      <w:r w:rsidRPr="00D05355">
        <w:t>CE</w:t>
      </w:r>
      <w:r w:rsidR="007D2C8B" w:rsidRPr="00D05355">
        <w:t> </w:t>
      </w:r>
      <w:r w:rsidR="00131E67" w:rsidRPr="00D05355">
        <w:t xml:space="preserve">13, </w:t>
      </w:r>
      <w:r w:rsidRPr="00D05355">
        <w:t>CE</w:t>
      </w:r>
      <w:r w:rsidR="007D2C8B" w:rsidRPr="00D05355">
        <w:t> </w:t>
      </w:r>
      <w:r w:rsidR="00131E67" w:rsidRPr="00D05355">
        <w:t xml:space="preserve">15 </w:t>
      </w:r>
      <w:r w:rsidRPr="00D05355">
        <w:t>y CE</w:t>
      </w:r>
      <w:r w:rsidR="007D2C8B" w:rsidRPr="00D05355">
        <w:t> </w:t>
      </w:r>
      <w:r w:rsidR="00131E67" w:rsidRPr="00D05355">
        <w:t xml:space="preserve">16. </w:t>
      </w:r>
      <w:r w:rsidRPr="00D05355">
        <w:t>En el marco de la CE</w:t>
      </w:r>
      <w:r w:rsidR="007D2C8B" w:rsidRPr="00D05355">
        <w:t> </w:t>
      </w:r>
      <w:r w:rsidRPr="00D05355">
        <w:t>5 del UIT</w:t>
      </w:r>
      <w:r w:rsidR="00131E67" w:rsidRPr="00D05355">
        <w:t xml:space="preserve">-T, </w:t>
      </w:r>
      <w:r w:rsidRPr="00D05355">
        <w:t>interactuará con las siguientes Cuestiones</w:t>
      </w:r>
      <w:r w:rsidR="00131E67" w:rsidRPr="00D05355">
        <w:t>:</w:t>
      </w:r>
      <w:r w:rsidRPr="00D05355">
        <w:t xml:space="preserve"> C</w:t>
      </w:r>
      <w:r w:rsidR="00131E67" w:rsidRPr="00D05355">
        <w:t xml:space="preserve">7/5, </w:t>
      </w:r>
      <w:r w:rsidRPr="00D05355">
        <w:t>C</w:t>
      </w:r>
      <w:r w:rsidR="00131E67" w:rsidRPr="00D05355">
        <w:t xml:space="preserve">13/5, </w:t>
      </w:r>
      <w:r w:rsidRPr="00D05355">
        <w:t>C</w:t>
      </w:r>
      <w:r w:rsidR="00131E67" w:rsidRPr="00D05355">
        <w:t xml:space="preserve">14/5, </w:t>
      </w:r>
      <w:r w:rsidRPr="00D05355">
        <w:t>C</w:t>
      </w:r>
      <w:r w:rsidR="00131E67" w:rsidRPr="00D05355">
        <w:t xml:space="preserve">15/5, </w:t>
      </w:r>
      <w:r w:rsidRPr="00D05355">
        <w:t>C</w:t>
      </w:r>
      <w:r w:rsidR="00131E67" w:rsidRPr="00D05355">
        <w:t xml:space="preserve">16/5, </w:t>
      </w:r>
      <w:r w:rsidRPr="00D05355">
        <w:t>C</w:t>
      </w:r>
      <w:r w:rsidR="00131E67" w:rsidRPr="00D05355">
        <w:t xml:space="preserve">17/5, </w:t>
      </w:r>
      <w:r w:rsidRPr="00D05355">
        <w:t>C</w:t>
      </w:r>
      <w:r w:rsidR="00131E67" w:rsidRPr="00D05355">
        <w:t>18/5</w:t>
      </w:r>
      <w:r w:rsidR="00B05B56" w:rsidRPr="00D05355">
        <w:t xml:space="preserve"> y</w:t>
      </w:r>
      <w:r w:rsidR="00131E67" w:rsidRPr="00D05355">
        <w:t xml:space="preserve"> </w:t>
      </w:r>
      <w:r w:rsidRPr="00D05355">
        <w:t>C</w:t>
      </w:r>
      <w:r w:rsidR="00131E67" w:rsidRPr="00D05355">
        <w:t xml:space="preserve">19/5 </w:t>
      </w:r>
      <w:r w:rsidRPr="00D05355">
        <w:t>mediante la celebración de reuniones simultáneas siempre que sea posible</w:t>
      </w:r>
      <w:r w:rsidR="00131E67" w:rsidRPr="00D05355">
        <w:t xml:space="preserve">. </w:t>
      </w:r>
    </w:p>
    <w:p w:rsidR="00B05B56" w:rsidRPr="00D05355" w:rsidRDefault="00B05B56" w:rsidP="00B05B56">
      <w:r w:rsidRPr="00D05355">
        <w:t>La colaboración con los</w:t>
      </w:r>
      <w:r w:rsidR="00131E67" w:rsidRPr="00D05355">
        <w:t xml:space="preserve"> </w:t>
      </w:r>
      <w:r w:rsidR="00C75F9B" w:rsidRPr="00D05355">
        <w:t>organismos de normalización</w:t>
      </w:r>
      <w:r w:rsidR="00131E67" w:rsidRPr="00D05355">
        <w:t xml:space="preserve">, </w:t>
      </w:r>
      <w:r w:rsidR="00C75F9B" w:rsidRPr="00D05355">
        <w:t>foros y consorcios de la industria</w:t>
      </w:r>
      <w:r w:rsidRPr="00D05355">
        <w:t xml:space="preserve"> y el gobierno</w:t>
      </w:r>
      <w:r w:rsidR="00131E67" w:rsidRPr="00D05355">
        <w:t xml:space="preserve">, </w:t>
      </w:r>
      <w:r w:rsidR="00C75F9B" w:rsidRPr="00D05355">
        <w:t>empresas</w:t>
      </w:r>
      <w:r w:rsidR="00131E67" w:rsidRPr="00D05355">
        <w:t xml:space="preserve">, </w:t>
      </w:r>
      <w:r w:rsidR="00C75F9B" w:rsidRPr="00D05355">
        <w:t>instituciones académicas</w:t>
      </w:r>
      <w:r w:rsidR="00131E67" w:rsidRPr="00D05355">
        <w:t xml:space="preserve">, </w:t>
      </w:r>
      <w:r w:rsidR="00C75F9B" w:rsidRPr="00D05355">
        <w:t>institutos de investigación y otr</w:t>
      </w:r>
      <w:r w:rsidRPr="00D05355">
        <w:t>o</w:t>
      </w:r>
      <w:r w:rsidR="00C75F9B" w:rsidRPr="00D05355">
        <w:t>s</w:t>
      </w:r>
      <w:r w:rsidRPr="00D05355">
        <w:t xml:space="preserve"> expertos en la materia es fundamental para lograr el éxito en las actividades del Grupo Temático. Este Grupo Temático sobre Gestión inteligente del agua determinará otras entidades pertinentes con las que colaborar así como el tipo de colaboración, de conformidad con la Recomendación UIT-T A.7.</w:t>
      </w:r>
    </w:p>
    <w:p w:rsidR="00B90541" w:rsidRPr="00D05355" w:rsidRDefault="00B90541" w:rsidP="00840DCC">
      <w:pPr>
        <w:pStyle w:val="Heading1"/>
      </w:pPr>
      <w:r w:rsidRPr="00D05355">
        <w:t>5</w:t>
      </w:r>
      <w:r w:rsidRPr="00D05355">
        <w:tab/>
        <w:t>Tareas específicas y resultados</w:t>
      </w:r>
    </w:p>
    <w:p w:rsidR="005E6DFB" w:rsidRPr="00D05355" w:rsidRDefault="00823D4E" w:rsidP="00B05B56">
      <w:pPr>
        <w:pStyle w:val="enumlev1"/>
      </w:pPr>
      <w:r w:rsidRPr="00D05355">
        <w:t>–</w:t>
      </w:r>
      <w:r w:rsidR="005E6DFB" w:rsidRPr="00D05355">
        <w:tab/>
      </w:r>
      <w:r w:rsidR="00394F18" w:rsidRPr="00D05355">
        <w:t xml:space="preserve">Recabar y documentar información sobre iniciativas </w:t>
      </w:r>
      <w:r w:rsidR="00B05B56" w:rsidRPr="00D05355">
        <w:t>locales, regionales y mundiales sobre gestión inteligente del agua</w:t>
      </w:r>
      <w:r w:rsidR="00394F18" w:rsidRPr="00D05355">
        <w:t>, en relación con las actividades actuales y las especificaciones técnicas</w:t>
      </w:r>
      <w:r w:rsidR="005E6DFB" w:rsidRPr="00D05355">
        <w:t>.</w:t>
      </w:r>
    </w:p>
    <w:p w:rsidR="005E6DFB" w:rsidRPr="00D05355" w:rsidRDefault="00823D4E" w:rsidP="00823D4E">
      <w:pPr>
        <w:pStyle w:val="enumlev1"/>
      </w:pPr>
      <w:r w:rsidRPr="00D05355">
        <w:t>–</w:t>
      </w:r>
      <w:r w:rsidR="005E6DFB" w:rsidRPr="00D05355">
        <w:tab/>
      </w:r>
      <w:r w:rsidR="00394F18" w:rsidRPr="00D05355">
        <w:t xml:space="preserve">Preparar un documento sobre el papel de las TIC en la </w:t>
      </w:r>
      <w:r w:rsidRPr="00D05355">
        <w:t>gestión inteligente del agua</w:t>
      </w:r>
      <w:r w:rsidR="005E6DFB" w:rsidRPr="00D05355">
        <w:t xml:space="preserve">. </w:t>
      </w:r>
    </w:p>
    <w:p w:rsidR="005E6DFB" w:rsidRPr="00D05355" w:rsidRDefault="00823D4E" w:rsidP="00823D4E">
      <w:pPr>
        <w:pStyle w:val="enumlev1"/>
      </w:pPr>
      <w:r w:rsidRPr="00D05355">
        <w:t>–</w:t>
      </w:r>
      <w:r w:rsidR="005E6DFB" w:rsidRPr="00D05355">
        <w:tab/>
      </w:r>
      <w:r w:rsidRPr="00D05355">
        <w:t xml:space="preserve">Elaborar una lista de partes interesadas que incluya a los </w:t>
      </w:r>
      <w:r w:rsidR="00D52111" w:rsidRPr="00D05355">
        <w:t xml:space="preserve">interesados </w:t>
      </w:r>
      <w:r w:rsidRPr="00D05355">
        <w:t xml:space="preserve">fundamentales </w:t>
      </w:r>
      <w:r w:rsidR="00D52111" w:rsidRPr="00D05355">
        <w:t xml:space="preserve">en el campo de las TIC y la </w:t>
      </w:r>
      <w:r w:rsidRPr="00D05355">
        <w:t>gestión inteligente del agua</w:t>
      </w:r>
      <w:r w:rsidR="005E6DFB" w:rsidRPr="00D05355">
        <w:t>.</w:t>
      </w:r>
    </w:p>
    <w:p w:rsidR="005E6DFB" w:rsidRPr="00D05355" w:rsidRDefault="00823D4E" w:rsidP="00823D4E">
      <w:pPr>
        <w:pStyle w:val="enumlev1"/>
      </w:pPr>
      <w:r w:rsidRPr="00D05355">
        <w:t>–</w:t>
      </w:r>
      <w:r w:rsidR="005E6DFB" w:rsidRPr="00D05355">
        <w:tab/>
      </w:r>
      <w:r w:rsidR="00D52111" w:rsidRPr="00D05355">
        <w:t xml:space="preserve">Preparar un documento sobre los </w:t>
      </w:r>
      <w:r w:rsidR="005E6DFB" w:rsidRPr="00D05355">
        <w:t xml:space="preserve">KPI </w:t>
      </w:r>
      <w:r w:rsidR="00D52111" w:rsidRPr="00D05355">
        <w:t>para evaluar la incidencia de l</w:t>
      </w:r>
      <w:r w:rsidRPr="00D05355">
        <w:t>a utilización</w:t>
      </w:r>
      <w:r w:rsidR="00D52111" w:rsidRPr="00D05355">
        <w:t xml:space="preserve"> de </w:t>
      </w:r>
      <w:r w:rsidRPr="00D05355">
        <w:t xml:space="preserve">las </w:t>
      </w:r>
      <w:r w:rsidR="00D52111" w:rsidRPr="00D05355">
        <w:t>T</w:t>
      </w:r>
      <w:r w:rsidR="005E6DFB" w:rsidRPr="00D05355">
        <w:t xml:space="preserve">IC </w:t>
      </w:r>
      <w:r w:rsidR="00D52111" w:rsidRPr="00D05355">
        <w:t>en la</w:t>
      </w:r>
      <w:r w:rsidRPr="00D05355">
        <w:t xml:space="preserve"> gestión inteligente del agua</w:t>
      </w:r>
      <w:r w:rsidR="005E6DFB" w:rsidRPr="00D05355">
        <w:t>.</w:t>
      </w:r>
    </w:p>
    <w:p w:rsidR="005E6DFB" w:rsidRPr="00D05355" w:rsidRDefault="00823D4E" w:rsidP="00823D4E">
      <w:pPr>
        <w:pStyle w:val="enumlev1"/>
      </w:pPr>
      <w:r w:rsidRPr="00D05355">
        <w:t>–</w:t>
      </w:r>
      <w:r w:rsidR="005E6DFB" w:rsidRPr="00D05355">
        <w:tab/>
      </w:r>
      <w:r w:rsidRPr="00D05355">
        <w:t>Desarrollar un conjunto de metodologías para estimar la incidencia de las TIC en la mejora de la conservación del agua y en las aplicaciones y servicios</w:t>
      </w:r>
      <w:r w:rsidR="00D05355" w:rsidRPr="00D05355">
        <w:t xml:space="preserve"> de las TIC para una gestión inteligente de los recursos</w:t>
      </w:r>
      <w:r w:rsidRPr="00D05355">
        <w:t xml:space="preserve"> hídricos a fin de garantizar la interoperabilidad y aprovechar las ventajas que reportan las economías de escala</w:t>
      </w:r>
      <w:r w:rsidR="005E6DFB" w:rsidRPr="00D05355">
        <w:t>.</w:t>
      </w:r>
    </w:p>
    <w:p w:rsidR="00EB70E0" w:rsidRPr="00D05355" w:rsidRDefault="00823D4E" w:rsidP="00823D4E">
      <w:pPr>
        <w:pStyle w:val="enumlev1"/>
      </w:pPr>
      <w:r w:rsidRPr="00D05355">
        <w:t>–</w:t>
      </w:r>
      <w:r w:rsidR="00EB70E0" w:rsidRPr="00D05355">
        <w:tab/>
        <w:t xml:space="preserve">Redactar informes técnicos que describan y aborden </w:t>
      </w:r>
      <w:r w:rsidR="00D52111" w:rsidRPr="00D05355">
        <w:t>las lagunas</w:t>
      </w:r>
      <w:r w:rsidR="00EB70E0" w:rsidRPr="00D05355">
        <w:t xml:space="preserve"> e identifiquen los futuros trabajos de normalización que debe emprender </w:t>
      </w:r>
      <w:r w:rsidRPr="00D05355">
        <w:t>la CE 5 d</w:t>
      </w:r>
      <w:r w:rsidR="00EB70E0" w:rsidRPr="00D05355">
        <w:t>el UIT-T en el ca</w:t>
      </w:r>
      <w:r w:rsidR="00C60345" w:rsidRPr="00D05355">
        <w:t xml:space="preserve">mpo de </w:t>
      </w:r>
      <w:r w:rsidR="00D52111" w:rsidRPr="00D05355">
        <w:t>la</w:t>
      </w:r>
      <w:r w:rsidRPr="00D05355">
        <w:t xml:space="preserve"> gestión inteligente del agua</w:t>
      </w:r>
      <w:r w:rsidR="00C60345" w:rsidRPr="00D05355">
        <w:t>.</w:t>
      </w:r>
    </w:p>
    <w:p w:rsidR="00EB70E0" w:rsidRPr="00D05355" w:rsidRDefault="00823D4E" w:rsidP="001314C9">
      <w:pPr>
        <w:pStyle w:val="enumlev1"/>
      </w:pPr>
      <w:r w:rsidRPr="00D05355">
        <w:t>–</w:t>
      </w:r>
      <w:r w:rsidR="00EB70E0" w:rsidRPr="00D05355">
        <w:tab/>
      </w:r>
      <w:r w:rsidR="00D52111" w:rsidRPr="00D05355">
        <w:t xml:space="preserve">Remitir </w:t>
      </w:r>
      <w:r w:rsidR="00EB70E0" w:rsidRPr="00D05355">
        <w:t>los resultados finales a la Comisión de Estudio tutora</w:t>
      </w:r>
      <w:r w:rsidRPr="00D05355">
        <w:t>,</w:t>
      </w:r>
      <w:r w:rsidR="005576EB" w:rsidRPr="00D05355">
        <w:t xml:space="preserve"> </w:t>
      </w:r>
      <w:r w:rsidR="00EB70E0" w:rsidRPr="00D05355">
        <w:t>a otras Comisiones de Estu</w:t>
      </w:r>
      <w:r w:rsidR="00C60345" w:rsidRPr="00D05355">
        <w:t>dio interesadas</w:t>
      </w:r>
      <w:r w:rsidRPr="00D05355">
        <w:t>, y a otros organismo</w:t>
      </w:r>
      <w:r w:rsidR="00D05355">
        <w:t>s</w:t>
      </w:r>
      <w:r w:rsidRPr="00D05355">
        <w:t xml:space="preserve"> de normalización u organizaciones/consorcios/foros</w:t>
      </w:r>
      <w:r w:rsidR="001314C9" w:rsidRPr="00D05355">
        <w:t>, según el caso</w:t>
      </w:r>
      <w:r w:rsidR="00C60345" w:rsidRPr="00D05355">
        <w:t>.</w:t>
      </w:r>
    </w:p>
    <w:p w:rsidR="00B90541" w:rsidRPr="00D05355" w:rsidRDefault="00B54669" w:rsidP="00840DCC">
      <w:pPr>
        <w:pStyle w:val="Heading1"/>
      </w:pPr>
      <w:r w:rsidRPr="00D05355">
        <w:t>6</w:t>
      </w:r>
      <w:r w:rsidRPr="00D05355">
        <w:tab/>
        <w:t>Gru</w:t>
      </w:r>
      <w:r w:rsidR="00B90541" w:rsidRPr="00D05355">
        <w:t xml:space="preserve">po tutor </w:t>
      </w:r>
    </w:p>
    <w:p w:rsidR="00B90541" w:rsidRPr="00D05355" w:rsidRDefault="00B90541" w:rsidP="00840DCC">
      <w:r w:rsidRPr="00D05355">
        <w:t xml:space="preserve">El grupo </w:t>
      </w:r>
      <w:r w:rsidR="00B54669" w:rsidRPr="00D05355">
        <w:t xml:space="preserve">tutor </w:t>
      </w:r>
      <w:r w:rsidRPr="00D05355">
        <w:t xml:space="preserve">es la Comisión de Estudio </w:t>
      </w:r>
      <w:r w:rsidR="005E6DFB" w:rsidRPr="00D05355">
        <w:t>5</w:t>
      </w:r>
      <w:r w:rsidRPr="00D05355">
        <w:t xml:space="preserve"> del UIT-T</w:t>
      </w:r>
      <w:r w:rsidR="00B54669" w:rsidRPr="00D05355">
        <w:t>.</w:t>
      </w:r>
    </w:p>
    <w:p w:rsidR="00B90541" w:rsidRPr="00D05355" w:rsidRDefault="00B90541" w:rsidP="00840DCC">
      <w:pPr>
        <w:pStyle w:val="Heading1"/>
      </w:pPr>
      <w:r w:rsidRPr="00D05355">
        <w:lastRenderedPageBreak/>
        <w:t>7</w:t>
      </w:r>
      <w:r w:rsidRPr="00D05355">
        <w:tab/>
        <w:t>Dirección</w:t>
      </w:r>
    </w:p>
    <w:p w:rsidR="00B90541" w:rsidRPr="00D05355" w:rsidRDefault="00B90541" w:rsidP="00840DCC">
      <w:r w:rsidRPr="00D05355">
        <w:t xml:space="preserve">Véase </w:t>
      </w:r>
      <w:r w:rsidR="0039201E" w:rsidRPr="00D05355">
        <w:t>la</w:t>
      </w:r>
      <w:r w:rsidRPr="00D05355">
        <w:t xml:space="preserve"> </w:t>
      </w:r>
      <w:r w:rsidR="0039201E" w:rsidRPr="00D05355">
        <w:t xml:space="preserve">cláusula </w:t>
      </w:r>
      <w:r w:rsidRPr="00D05355">
        <w:t>2.3 de la Recomendación UIT-T A.7</w:t>
      </w:r>
      <w:r w:rsidR="00B54669" w:rsidRPr="00D05355">
        <w:t>.</w:t>
      </w:r>
    </w:p>
    <w:p w:rsidR="00B90541" w:rsidRPr="00D05355" w:rsidRDefault="00B90541" w:rsidP="00840DCC">
      <w:pPr>
        <w:pStyle w:val="Heading1"/>
      </w:pPr>
      <w:r w:rsidRPr="00D05355">
        <w:t>8</w:t>
      </w:r>
      <w:r w:rsidRPr="00D05355">
        <w:tab/>
        <w:t>Participación</w:t>
      </w:r>
    </w:p>
    <w:p w:rsidR="00B90541" w:rsidRPr="00D05355" w:rsidRDefault="00B90541" w:rsidP="00840DCC">
      <w:r w:rsidRPr="00D05355">
        <w:t xml:space="preserve">Véase </w:t>
      </w:r>
      <w:r w:rsidR="0039201E" w:rsidRPr="00D05355">
        <w:t xml:space="preserve">la cláusula </w:t>
      </w:r>
      <w:r w:rsidRPr="00D05355">
        <w:t>3 de la Recomendación UIT-T A.7. Se mantendrá a efectos de referencia una lista de participantes que se comunicar</w:t>
      </w:r>
      <w:r w:rsidR="0000516D" w:rsidRPr="00D05355">
        <w:t>á</w:t>
      </w:r>
      <w:r w:rsidRPr="00D05355">
        <w:t xml:space="preserve"> al grupo tutor.</w:t>
      </w:r>
    </w:p>
    <w:p w:rsidR="00B90541" w:rsidRPr="00D05355" w:rsidRDefault="00B90541" w:rsidP="00840DCC">
      <w:pPr>
        <w:pStyle w:val="Heading1"/>
      </w:pPr>
      <w:r w:rsidRPr="00D05355">
        <w:t>9</w:t>
      </w:r>
      <w:r w:rsidRPr="00D05355">
        <w:tab/>
        <w:t>Apoyo administrativo</w:t>
      </w:r>
    </w:p>
    <w:p w:rsidR="00B90541" w:rsidRPr="00D05355" w:rsidRDefault="00B90541" w:rsidP="00840DCC">
      <w:r w:rsidRPr="00D05355">
        <w:t xml:space="preserve">Véase </w:t>
      </w:r>
      <w:r w:rsidR="0039201E" w:rsidRPr="00D05355">
        <w:t xml:space="preserve">la cláusula </w:t>
      </w:r>
      <w:r w:rsidRPr="00D05355">
        <w:t xml:space="preserve">5 de la </w:t>
      </w:r>
      <w:r w:rsidR="00D8476B" w:rsidRPr="00D05355">
        <w:t xml:space="preserve">Recomendación </w:t>
      </w:r>
      <w:r w:rsidRPr="00D05355">
        <w:t>UIT-T A.7</w:t>
      </w:r>
      <w:r w:rsidR="0000516D" w:rsidRPr="00D05355">
        <w:t>.</w:t>
      </w:r>
    </w:p>
    <w:p w:rsidR="00B90541" w:rsidRPr="00D05355" w:rsidRDefault="00B90541" w:rsidP="00840DCC">
      <w:pPr>
        <w:pStyle w:val="Heading1"/>
      </w:pPr>
      <w:r w:rsidRPr="00D05355">
        <w:t>10</w:t>
      </w:r>
      <w:r w:rsidRPr="00D05355">
        <w:tab/>
        <w:t>Financiación general</w:t>
      </w:r>
    </w:p>
    <w:p w:rsidR="00B90541" w:rsidRPr="00D05355" w:rsidRDefault="00B90541" w:rsidP="00840DCC">
      <w:r w:rsidRPr="00D05355">
        <w:t>V</w:t>
      </w:r>
      <w:r w:rsidR="0039201E" w:rsidRPr="00D05355">
        <w:t>éanse la</w:t>
      </w:r>
      <w:r w:rsidRPr="00D05355">
        <w:t xml:space="preserve">s </w:t>
      </w:r>
      <w:r w:rsidR="0039201E" w:rsidRPr="00D05355">
        <w:t xml:space="preserve">cláusulas </w:t>
      </w:r>
      <w:r w:rsidRPr="00D05355">
        <w:t>4 y 10.2 de la Recomendación UIT-T A.7</w:t>
      </w:r>
      <w:r w:rsidR="0000516D" w:rsidRPr="00D05355">
        <w:t>.</w:t>
      </w:r>
    </w:p>
    <w:p w:rsidR="00B90541" w:rsidRPr="00D05355" w:rsidRDefault="00B90541" w:rsidP="00840DCC">
      <w:pPr>
        <w:pStyle w:val="Heading1"/>
      </w:pPr>
      <w:r w:rsidRPr="00D05355">
        <w:t>11</w:t>
      </w:r>
      <w:r w:rsidRPr="00D05355">
        <w:tab/>
        <w:t>Reuniones</w:t>
      </w:r>
    </w:p>
    <w:p w:rsidR="00B90541" w:rsidRPr="00D05355" w:rsidRDefault="00D8476B" w:rsidP="00840DCC">
      <w:r w:rsidRPr="00D05355">
        <w:t xml:space="preserve">El </w:t>
      </w:r>
      <w:r w:rsidR="00B90541" w:rsidRPr="00D05355">
        <w:t xml:space="preserve">Grupo Temático </w:t>
      </w:r>
      <w:r w:rsidRPr="00D05355">
        <w:t xml:space="preserve">determinará la frecuencia y lugar de las reuniones </w:t>
      </w:r>
      <w:r w:rsidR="00B90541" w:rsidRPr="00D05355">
        <w:t>y el calendario d</w:t>
      </w:r>
      <w:r w:rsidRPr="00D05355">
        <w:t>e reuniones general se anunciará</w:t>
      </w:r>
      <w:r w:rsidR="00B90541" w:rsidRPr="00D05355">
        <w:t xml:space="preserve"> a la mayor brevedad posible. El G</w:t>
      </w:r>
      <w:r w:rsidRPr="00D05355">
        <w:t>rupo Temático utilizará</w:t>
      </w:r>
      <w:r w:rsidR="00B90541" w:rsidRPr="00D05355">
        <w:t xml:space="preserve"> herramientas de colaboración a distancia y celebrar</w:t>
      </w:r>
      <w:r w:rsidR="0000516D" w:rsidRPr="00D05355">
        <w:t>á</w:t>
      </w:r>
      <w:r w:rsidR="00B90541" w:rsidRPr="00D05355">
        <w:t xml:space="preserve"> reuniones coincidiendo con otras en la mayor medida posib</w:t>
      </w:r>
      <w:r w:rsidR="0000516D" w:rsidRPr="00D05355">
        <w:t>le. Estas reuniones se anunciará</w:t>
      </w:r>
      <w:r w:rsidR="00B90541" w:rsidRPr="00D05355">
        <w:t>n por medios electrónicos (por ejemplo, correo-e, dirección web, etc.) al menos con cuatro semanas de antelación.</w:t>
      </w:r>
    </w:p>
    <w:p w:rsidR="00EB70E0" w:rsidRPr="00D05355" w:rsidRDefault="00CC3768" w:rsidP="00823D4E">
      <w:pPr>
        <w:keepNext/>
      </w:pPr>
      <w:r w:rsidRPr="00D05355">
        <w:t>Este grupo aprovechará otros eventos del U</w:t>
      </w:r>
      <w:r w:rsidR="00EB70E0" w:rsidRPr="00D05355">
        <w:t xml:space="preserve">IT-T </w:t>
      </w:r>
      <w:r w:rsidRPr="00D05355">
        <w:t>relativos a las T</w:t>
      </w:r>
      <w:r w:rsidR="00EB70E0" w:rsidRPr="00D05355">
        <w:t xml:space="preserve">IC, </w:t>
      </w:r>
      <w:r w:rsidRPr="00D05355">
        <w:t>el medio ambiente y el cambio climático</w:t>
      </w:r>
      <w:r w:rsidR="00823D4E" w:rsidRPr="00D05355">
        <w:t xml:space="preserve"> así como los referentes al grupo tutor (la CE 5)</w:t>
      </w:r>
      <w:r w:rsidR="00D05355" w:rsidRPr="00D05355">
        <w:t>.</w:t>
      </w:r>
    </w:p>
    <w:p w:rsidR="00B90541" w:rsidRPr="00D05355" w:rsidRDefault="00B90541" w:rsidP="00840DCC">
      <w:pPr>
        <w:pStyle w:val="Heading1"/>
      </w:pPr>
      <w:r w:rsidRPr="00D05355">
        <w:t>12</w:t>
      </w:r>
      <w:r w:rsidRPr="00D05355">
        <w:tab/>
        <w:t>Contribuciones técnicas</w:t>
      </w:r>
    </w:p>
    <w:p w:rsidR="00B90541" w:rsidRPr="00D05355" w:rsidRDefault="00B90541" w:rsidP="00840DCC">
      <w:r w:rsidRPr="00D05355">
        <w:t xml:space="preserve">Las contribuciones deben presentarse al menos diez días </w:t>
      </w:r>
      <w:r w:rsidR="00D8476B" w:rsidRPr="00D05355">
        <w:t xml:space="preserve">naturales </w:t>
      </w:r>
      <w:r w:rsidRPr="00D05355">
        <w:t xml:space="preserve">antes de que </w:t>
      </w:r>
      <w:r w:rsidR="00D8476B" w:rsidRPr="00D05355">
        <w:t xml:space="preserve">tenga lugar </w:t>
      </w:r>
      <w:r w:rsidRPr="00D05355">
        <w:t>la reunión.</w:t>
      </w:r>
    </w:p>
    <w:p w:rsidR="00B90541" w:rsidRPr="00D05355" w:rsidRDefault="00B90541" w:rsidP="00840DCC">
      <w:pPr>
        <w:pStyle w:val="Heading1"/>
      </w:pPr>
      <w:r w:rsidRPr="00D05355">
        <w:t>13</w:t>
      </w:r>
      <w:r w:rsidRPr="00D05355">
        <w:tab/>
        <w:t>Idioma de trabajo</w:t>
      </w:r>
    </w:p>
    <w:p w:rsidR="00B90541" w:rsidRPr="00D05355" w:rsidRDefault="00B90541" w:rsidP="00840DCC">
      <w:r w:rsidRPr="00D05355">
        <w:t>El idioma de trabajo será el inglés</w:t>
      </w:r>
      <w:r w:rsidR="00D8476B" w:rsidRPr="00D05355">
        <w:t>.</w:t>
      </w:r>
    </w:p>
    <w:p w:rsidR="00B90541" w:rsidRPr="00D05355" w:rsidRDefault="00B90541" w:rsidP="00840DCC">
      <w:pPr>
        <w:pStyle w:val="Heading1"/>
      </w:pPr>
      <w:r w:rsidRPr="00D05355">
        <w:t>14</w:t>
      </w:r>
      <w:r w:rsidRPr="00D05355">
        <w:tab/>
        <w:t>Aprobación de los resultados</w:t>
      </w:r>
    </w:p>
    <w:p w:rsidR="00B90541" w:rsidRPr="00D05355" w:rsidRDefault="00B90541" w:rsidP="00840DCC">
      <w:r w:rsidRPr="00D05355">
        <w:t>La aprobación de los resultados será por consenso</w:t>
      </w:r>
      <w:r w:rsidR="00D8476B" w:rsidRPr="00D05355">
        <w:t>.</w:t>
      </w:r>
    </w:p>
    <w:p w:rsidR="00CD1782" w:rsidRPr="00D05355" w:rsidRDefault="00CD1782" w:rsidP="00840DCC">
      <w:pPr>
        <w:pStyle w:val="Heading1"/>
      </w:pPr>
      <w:r w:rsidRPr="00D05355">
        <w:t>15</w:t>
      </w:r>
      <w:r w:rsidRPr="00D05355">
        <w:tab/>
        <w:t>Directrices relativas a los trabajos</w:t>
      </w:r>
    </w:p>
    <w:p w:rsidR="00CD1782" w:rsidRPr="00D05355" w:rsidRDefault="00CD1782" w:rsidP="00840DCC">
      <w:r w:rsidRPr="00D05355">
        <w:t>Los procedimientos de trabajo se ajustarán a los procedimientos de las reuniones de Relator. No se definen directrices de trabajo adicionales.</w:t>
      </w:r>
    </w:p>
    <w:p w:rsidR="00CD1782" w:rsidRPr="00D05355" w:rsidRDefault="00CD1782" w:rsidP="00840DCC">
      <w:pPr>
        <w:pStyle w:val="Heading1"/>
      </w:pPr>
      <w:r w:rsidRPr="00D05355">
        <w:t>16</w:t>
      </w:r>
      <w:r w:rsidRPr="00D05355">
        <w:tab/>
        <w:t>Informes sobre la marcha de los trabajos</w:t>
      </w:r>
    </w:p>
    <w:p w:rsidR="00CD1782" w:rsidRPr="00D05355" w:rsidRDefault="00CD1782" w:rsidP="00840DCC">
      <w:r w:rsidRPr="00D05355">
        <w:t>Véase la cláusula 11</w:t>
      </w:r>
      <w:r w:rsidR="001704B6" w:rsidRPr="00D05355">
        <w:t xml:space="preserve"> de la Recomendación UIT-T A.7.</w:t>
      </w:r>
    </w:p>
    <w:p w:rsidR="00CD1782" w:rsidRPr="00D05355" w:rsidRDefault="00CD1782" w:rsidP="00840DCC">
      <w:pPr>
        <w:pStyle w:val="Heading1"/>
      </w:pPr>
      <w:r w:rsidRPr="00D05355">
        <w:lastRenderedPageBreak/>
        <w:t>17</w:t>
      </w:r>
      <w:r w:rsidRPr="00D05355">
        <w:tab/>
        <w:t>Anuncio de constitución de Grupo Temático</w:t>
      </w:r>
    </w:p>
    <w:p w:rsidR="00CD1782" w:rsidRPr="00D05355" w:rsidRDefault="00CE0B1C" w:rsidP="00840DCC">
      <w:pPr>
        <w:jc w:val="both"/>
      </w:pPr>
      <w:r w:rsidRPr="00D05355">
        <w:t>La</w:t>
      </w:r>
      <w:r w:rsidR="00CD1782" w:rsidRPr="00D05355">
        <w:t xml:space="preserve"> constitución del Grupo Temático se anunciará a través de una Circular TSB dirigida a todos los miembros de la UIT, del </w:t>
      </w:r>
      <w:proofErr w:type="spellStart"/>
      <w:r w:rsidR="00CD1782" w:rsidRPr="00D05355">
        <w:t>Newslog</w:t>
      </w:r>
      <w:proofErr w:type="spellEnd"/>
      <w:r w:rsidR="00CD1782" w:rsidRPr="00D05355">
        <w:t xml:space="preserve"> del UIT-T y por otros medios, incluida la comunicación con otras organizaciones implicadas.</w:t>
      </w:r>
    </w:p>
    <w:p w:rsidR="00CD1782" w:rsidRPr="00D05355" w:rsidRDefault="00CD1782" w:rsidP="00840DCC">
      <w:pPr>
        <w:pStyle w:val="Heading1"/>
      </w:pPr>
      <w:r w:rsidRPr="00D05355">
        <w:t>18</w:t>
      </w:r>
      <w:r w:rsidRPr="00D05355">
        <w:tab/>
      </w:r>
      <w:r w:rsidR="00CE0B1C" w:rsidRPr="00D05355">
        <w:t>Etapas</w:t>
      </w:r>
      <w:r w:rsidRPr="00D05355">
        <w:t xml:space="preserve"> y duración del Grupo Temático</w:t>
      </w:r>
    </w:p>
    <w:p w:rsidR="00CE0B1C" w:rsidRPr="00D05355" w:rsidRDefault="00CE0B1C" w:rsidP="00823D4E">
      <w:r w:rsidRPr="00D05355">
        <w:t>La duración prevista del Grupo Temático es de un año a partir de su primera reunión</w:t>
      </w:r>
      <w:r w:rsidR="00823D4E" w:rsidRPr="00D05355">
        <w:t>,</w:t>
      </w:r>
      <w:r w:rsidR="00CC3768" w:rsidRPr="00D05355">
        <w:t xml:space="preserve"> </w:t>
      </w:r>
      <w:r w:rsidR="00823D4E" w:rsidRPr="00D05355">
        <w:t>a</w:t>
      </w:r>
      <w:r w:rsidR="00D05355" w:rsidRPr="00D05355">
        <w:t>mpli</w:t>
      </w:r>
      <w:r w:rsidR="00823D4E" w:rsidRPr="00D05355">
        <w:t>able si es necesario</w:t>
      </w:r>
      <w:r w:rsidR="00EB70E0" w:rsidRPr="00D05355">
        <w:t>.</w:t>
      </w:r>
    </w:p>
    <w:p w:rsidR="0039677E" w:rsidRPr="00D05355" w:rsidRDefault="0039677E" w:rsidP="00840DCC">
      <w:pPr>
        <w:pStyle w:val="enumlev1"/>
      </w:pPr>
      <w:r w:rsidRPr="00D05355">
        <w:t>El conjunto de etapas preliminar incluye:</w:t>
      </w:r>
    </w:p>
    <w:p w:rsidR="00E42FDF" w:rsidRPr="00D05355" w:rsidRDefault="00E42FDF" w:rsidP="00823D4E">
      <w:pPr>
        <w:pStyle w:val="enumlev1"/>
      </w:pPr>
      <w:r w:rsidRPr="00D05355">
        <w:t>–</w:t>
      </w:r>
      <w:r w:rsidRPr="00D05355">
        <w:tab/>
      </w:r>
      <w:r w:rsidR="00823D4E" w:rsidRPr="00D05355">
        <w:t>Primera reunión del Grupo Temático: En paralelo a la próxima reunión de la CE 5 (debe determinarse el lugar y la hora) o tras la reunión del Grupo Temático sobre Ciudades sostenibles e inteligentes.</w:t>
      </w:r>
    </w:p>
    <w:p w:rsidR="00826D9C" w:rsidRPr="00D05355" w:rsidRDefault="00826D9C" w:rsidP="00840DCC">
      <w:pPr>
        <w:tabs>
          <w:tab w:val="clear" w:pos="794"/>
          <w:tab w:val="clear" w:pos="1191"/>
          <w:tab w:val="clear" w:pos="1588"/>
          <w:tab w:val="clear" w:pos="1985"/>
        </w:tabs>
        <w:overflowPunct/>
        <w:autoSpaceDE/>
        <w:autoSpaceDN/>
        <w:adjustRightInd/>
        <w:spacing w:before="0"/>
        <w:textAlignment w:val="auto"/>
      </w:pPr>
      <w:r w:rsidRPr="00D05355">
        <w:br w:type="page"/>
      </w:r>
    </w:p>
    <w:p w:rsidR="003506D9" w:rsidRPr="00D05355" w:rsidRDefault="00E42FDF" w:rsidP="00D05355">
      <w:pPr>
        <w:pStyle w:val="Appendix"/>
        <w:rPr>
          <w:b/>
          <w:bCs/>
        </w:rPr>
      </w:pPr>
      <w:r w:rsidRPr="00D05355">
        <w:rPr>
          <w:b/>
          <w:bCs/>
        </w:rPr>
        <w:lastRenderedPageBreak/>
        <w:t>A</w:t>
      </w:r>
      <w:r w:rsidR="0046714A" w:rsidRPr="00D05355">
        <w:rPr>
          <w:b/>
          <w:bCs/>
          <w:caps w:val="0"/>
        </w:rPr>
        <w:t>péndice</w:t>
      </w:r>
      <w:r w:rsidRPr="00D05355">
        <w:rPr>
          <w:b/>
          <w:bCs/>
        </w:rPr>
        <w:t xml:space="preserve"> 1</w:t>
      </w:r>
      <w:r w:rsidR="00823D4E" w:rsidRPr="00D05355">
        <w:rPr>
          <w:b/>
          <w:bCs/>
        </w:rPr>
        <w:br/>
      </w:r>
      <w:r w:rsidRPr="00D05355">
        <w:rPr>
          <w:b/>
          <w:bCs/>
        </w:rPr>
        <w:t>(</w:t>
      </w:r>
      <w:r w:rsidR="003506D9" w:rsidRPr="00D05355">
        <w:rPr>
          <w:b/>
          <w:bCs/>
          <w:caps w:val="0"/>
        </w:rPr>
        <w:t xml:space="preserve">al mandato del </w:t>
      </w:r>
      <w:r w:rsidRPr="00D05355">
        <w:rPr>
          <w:b/>
          <w:bCs/>
        </w:rPr>
        <w:t>FG-S</w:t>
      </w:r>
      <w:r w:rsidR="00823D4E" w:rsidRPr="00D05355">
        <w:rPr>
          <w:b/>
          <w:bCs/>
        </w:rPr>
        <w:t>WM</w:t>
      </w:r>
      <w:r w:rsidRPr="00D05355">
        <w:rPr>
          <w:b/>
          <w:bCs/>
        </w:rPr>
        <w:t xml:space="preserve"> </w:t>
      </w:r>
      <w:r w:rsidR="003506D9" w:rsidRPr="00D05355">
        <w:rPr>
          <w:b/>
          <w:bCs/>
          <w:caps w:val="0"/>
        </w:rPr>
        <w:t>del</w:t>
      </w:r>
      <w:r w:rsidR="00874C5B" w:rsidRPr="00D05355">
        <w:rPr>
          <w:b/>
          <w:bCs/>
        </w:rPr>
        <w:t xml:space="preserve"> UIT-T</w:t>
      </w:r>
      <w:r w:rsidRPr="00D05355">
        <w:rPr>
          <w:b/>
          <w:bCs/>
        </w:rPr>
        <w:t>)</w:t>
      </w:r>
    </w:p>
    <w:p w:rsidR="00342499" w:rsidRPr="00D05355" w:rsidRDefault="00342499" w:rsidP="00D05355">
      <w:pPr>
        <w:pStyle w:val="AppendixTitle"/>
      </w:pPr>
      <w:r w:rsidRPr="00D05355">
        <w:t>Comisión de Estudio 5 – Medio ambiente y cambio climático</w:t>
      </w:r>
    </w:p>
    <w:p w:rsidR="00342499" w:rsidRPr="00D05355" w:rsidRDefault="00342499" w:rsidP="00840DCC">
      <w:pPr>
        <w:tabs>
          <w:tab w:val="clear" w:pos="794"/>
          <w:tab w:val="clear" w:pos="1191"/>
          <w:tab w:val="clear" w:pos="1588"/>
          <w:tab w:val="clear" w:pos="1985"/>
          <w:tab w:val="left" w:pos="1134"/>
          <w:tab w:val="left" w:pos="1871"/>
          <w:tab w:val="left" w:pos="2268"/>
        </w:tabs>
        <w:spacing w:before="240"/>
      </w:pPr>
      <w:r w:rsidRPr="00D05355">
        <w:t>La Comisión de Estudio 5 es responsable del estudio de los aspectos medioambientales de las TIC, los fenómenos electromagnéticos y el cambio climático.</w:t>
      </w:r>
    </w:p>
    <w:p w:rsidR="00342499" w:rsidRPr="00D05355" w:rsidRDefault="00342499" w:rsidP="00840DCC">
      <w:pPr>
        <w:tabs>
          <w:tab w:val="clear" w:pos="794"/>
          <w:tab w:val="clear" w:pos="1191"/>
          <w:tab w:val="clear" w:pos="1588"/>
          <w:tab w:val="clear" w:pos="1985"/>
          <w:tab w:val="left" w:pos="1134"/>
          <w:tab w:val="left" w:pos="1871"/>
          <w:tab w:val="left" w:pos="2268"/>
        </w:tabs>
      </w:pPr>
      <w:r w:rsidRPr="00D05355">
        <w:t>Se encarga de los estudios relativos a la protección de redes y equipos de telecomunicaciones contra las interferencias y las descargas eléctricas.</w:t>
      </w:r>
    </w:p>
    <w:p w:rsidR="00342499" w:rsidRPr="00D05355" w:rsidRDefault="00342499" w:rsidP="00840DCC">
      <w:pPr>
        <w:tabs>
          <w:tab w:val="clear" w:pos="794"/>
          <w:tab w:val="clear" w:pos="1191"/>
          <w:tab w:val="clear" w:pos="1588"/>
          <w:tab w:val="clear" w:pos="1985"/>
          <w:tab w:val="left" w:pos="1134"/>
          <w:tab w:val="left" w:pos="1871"/>
          <w:tab w:val="left" w:pos="2268"/>
        </w:tabs>
      </w:pPr>
      <w:r w:rsidRPr="00D05355">
        <w:t xml:space="preserve">También se ocupa de estudios relacionados con la compatibilidad electromagnética (EMC), la seguridad y los efectos </w:t>
      </w:r>
      <w:r w:rsidR="006B14ED" w:rsidRPr="00D05355">
        <w:t>nocivos para</w:t>
      </w:r>
      <w:r w:rsidRPr="00D05355">
        <w:t xml:space="preserve"> la salud</w:t>
      </w:r>
      <w:r w:rsidR="006B14ED" w:rsidRPr="00D05355">
        <w:t xml:space="preserve"> de </w:t>
      </w:r>
      <w:r w:rsidRPr="00D05355">
        <w:t>los campos electromagnéticos producidos por las instalaciones y dispositivos de telecomunicación, incluidos los teléfonos celulares.</w:t>
      </w:r>
    </w:p>
    <w:p w:rsidR="00342499" w:rsidRPr="00D05355" w:rsidRDefault="00342499" w:rsidP="00840DCC">
      <w:pPr>
        <w:tabs>
          <w:tab w:val="clear" w:pos="794"/>
          <w:tab w:val="clear" w:pos="1191"/>
          <w:tab w:val="clear" w:pos="1588"/>
          <w:tab w:val="clear" w:pos="1985"/>
          <w:tab w:val="left" w:pos="1134"/>
          <w:tab w:val="left" w:pos="1871"/>
          <w:tab w:val="left" w:pos="2268"/>
        </w:tabs>
      </w:pPr>
      <w:r w:rsidRPr="00D05355">
        <w:t>Es responsable de los estudios sobre la planta exterior de redes de cobre existentes y de las correspondientes instalaciones en interiores.</w:t>
      </w:r>
    </w:p>
    <w:p w:rsidR="00342499" w:rsidRPr="00D05355" w:rsidRDefault="00342499" w:rsidP="00840DCC">
      <w:pPr>
        <w:tabs>
          <w:tab w:val="clear" w:pos="794"/>
          <w:tab w:val="clear" w:pos="1191"/>
          <w:tab w:val="clear" w:pos="1588"/>
          <w:tab w:val="clear" w:pos="1985"/>
          <w:tab w:val="left" w:pos="1134"/>
          <w:tab w:val="left" w:pos="1871"/>
          <w:tab w:val="left" w:pos="2268"/>
        </w:tabs>
      </w:pPr>
      <w:bookmarkStart w:id="1" w:name="_Toc509631353"/>
      <w:bookmarkEnd w:id="1"/>
      <w:r w:rsidRPr="00D05355">
        <w:t>Es responsable de los estudios sobre los métodos de evaluación del impacto medioambiental de las TIC, la publicación de directrices sobre la utilización de las TIC de manera inocua para el medio ambiente, de abordar los problemas que plantean los residuos</w:t>
      </w:r>
      <w:r w:rsidRPr="00D05355">
        <w:noBreakHyphen/>
        <w:t>e, y el estudio sobre la eficiencia energética de los sistemas de alimentación eléctrica.</w:t>
      </w:r>
    </w:p>
    <w:p w:rsidR="00342499" w:rsidRPr="00D05355" w:rsidRDefault="00342499" w:rsidP="00840DCC">
      <w:pPr>
        <w:tabs>
          <w:tab w:val="clear" w:pos="794"/>
          <w:tab w:val="clear" w:pos="1191"/>
          <w:tab w:val="clear" w:pos="1588"/>
          <w:tab w:val="clear" w:pos="1985"/>
          <w:tab w:val="left" w:pos="1134"/>
          <w:tab w:val="left" w:pos="1871"/>
          <w:tab w:val="left" w:pos="2268"/>
        </w:tabs>
      </w:pPr>
      <w:r w:rsidRPr="00D05355" w:rsidDel="00422A92">
        <w:t>También se ocupa</w:t>
      </w:r>
      <w:r w:rsidRPr="00D05355">
        <w:t xml:space="preserve"> de los estudios sobre cómo utilizar las TIC para ayudar a los países y al sector de las TIC a adaptarse a los efectos de los problemas medioambientales, incluido el cambio climático.</w:t>
      </w:r>
    </w:p>
    <w:p w:rsidR="00E42FDF" w:rsidRPr="00D05355" w:rsidRDefault="00342499" w:rsidP="00840DCC">
      <w:r w:rsidRPr="00D05355">
        <w:t>Es también responsable de identificar las prácticas ecológicas más coherentes y normalizadas que necesita el sector de las TIC (por ejemplo, etiquetado, modalidades de adquisición, categorización ecológica de los teléfonos móviles).</w:t>
      </w:r>
    </w:p>
    <w:p w:rsidR="00342499" w:rsidRPr="00D05355" w:rsidRDefault="00342499" w:rsidP="00840DCC">
      <w:r w:rsidRPr="00D05355">
        <w:t>La Comisión de Estudio 5 es:</w:t>
      </w:r>
    </w:p>
    <w:p w:rsidR="00342499" w:rsidRPr="00D05355" w:rsidRDefault="00D05355" w:rsidP="00840DCC">
      <w:pPr>
        <w:pStyle w:val="enumlev1"/>
      </w:pPr>
      <w:r w:rsidRPr="00D05355">
        <w:t>–</w:t>
      </w:r>
      <w:r w:rsidR="00342499" w:rsidRPr="00D05355">
        <w:tab/>
        <w:t>Comisión de Estudio Rectora sobre compatibilidad electromagnética y efectos electromagnéticos</w:t>
      </w:r>
    </w:p>
    <w:p w:rsidR="00342499" w:rsidRPr="00D05355" w:rsidRDefault="00D05355" w:rsidP="00840DCC">
      <w:pPr>
        <w:pStyle w:val="enumlev1"/>
      </w:pPr>
      <w:r w:rsidRPr="00D05355">
        <w:t>–</w:t>
      </w:r>
      <w:r w:rsidR="00C27254" w:rsidRPr="00D05355">
        <w:tab/>
      </w:r>
      <w:r w:rsidR="00342499" w:rsidRPr="00D05355">
        <w:t>Comisión de Estudio Rectora sobre las TIC y el cambio climático</w:t>
      </w:r>
    </w:p>
    <w:p w:rsidR="007503A8" w:rsidRPr="00D05355" w:rsidRDefault="006B14ED" w:rsidP="00840DCC">
      <w:r w:rsidRPr="00D05355">
        <w:t>Para más información, véase</w:t>
      </w:r>
      <w:r w:rsidR="00C27254" w:rsidRPr="00D05355">
        <w:t xml:space="preserve">: </w:t>
      </w:r>
      <w:hyperlink r:id="rId16" w:history="1">
        <w:r w:rsidR="00C27254" w:rsidRPr="00D05355">
          <w:rPr>
            <w:color w:val="0000FF"/>
            <w:u w:val="single"/>
          </w:rPr>
          <w:t>http://itu.int/ITU-T/go/sg5</w:t>
        </w:r>
      </w:hyperlink>
      <w:r w:rsidR="00C27254" w:rsidRPr="00D05355">
        <w:t>.</w:t>
      </w:r>
    </w:p>
    <w:p w:rsidR="00D4202C" w:rsidRPr="00D05355" w:rsidRDefault="00D4202C" w:rsidP="00840DCC">
      <w:pPr>
        <w:pStyle w:val="Reasons"/>
        <w:rPr>
          <w:lang w:val="es-ES_tradnl"/>
        </w:rPr>
      </w:pPr>
    </w:p>
    <w:p w:rsidR="00840DCC" w:rsidRPr="00D05355" w:rsidRDefault="00D4202C" w:rsidP="00D05355">
      <w:pPr>
        <w:jc w:val="center"/>
      </w:pPr>
      <w:r w:rsidRPr="00D05355">
        <w:t>______________</w:t>
      </w:r>
    </w:p>
    <w:sectPr w:rsidR="00840DCC" w:rsidRPr="00D05355" w:rsidSect="00826D9C">
      <w:headerReference w:type="default" r:id="rId17"/>
      <w:footerReference w:type="default" r:id="rId18"/>
      <w:footerReference w:type="first" r:id="rId19"/>
      <w:type w:val="oddPage"/>
      <w:pgSz w:w="11907" w:h="16840" w:code="9"/>
      <w:pgMar w:top="1134"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0EF" w:rsidRDefault="006710EF">
      <w:r>
        <w:separator/>
      </w:r>
    </w:p>
  </w:endnote>
  <w:endnote w:type="continuationSeparator" w:id="0">
    <w:p w:rsidR="006710EF" w:rsidRDefault="00671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6EB" w:rsidRPr="009C3DF8" w:rsidRDefault="009C3DF8" w:rsidP="009C3DF8">
    <w:pPr>
      <w:pStyle w:val="Footer"/>
      <w:tabs>
        <w:tab w:val="center" w:pos="5670"/>
      </w:tabs>
      <w:rPr>
        <w:lang w:val="fr-FR"/>
      </w:rPr>
    </w:pPr>
    <w:r w:rsidRPr="0054292E">
      <w:rPr>
        <w:sz w:val="16"/>
        <w:lang w:val="fr-FR"/>
      </w:rPr>
      <w:t>ITU-T\BUREAU\CIRC\47</w:t>
    </w:r>
    <w:r>
      <w:rPr>
        <w:lang w:val="fr-FR"/>
      </w:rPr>
      <w:t>S</w:t>
    </w:r>
    <w:r w:rsidRPr="0054292E">
      <w:rPr>
        <w:sz w:val="16"/>
        <w:lang w:val="fr-FR"/>
      </w:rPr>
      <w:t>.DOCX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5" w:type="pct"/>
      <w:tblInd w:w="5" w:type="dxa"/>
      <w:tblCellMar>
        <w:left w:w="107" w:type="dxa"/>
        <w:right w:w="107" w:type="dxa"/>
      </w:tblCellMar>
      <w:tblLook w:val="0000" w:firstRow="0" w:lastRow="0" w:firstColumn="0" w:lastColumn="0" w:noHBand="0" w:noVBand="0"/>
    </w:tblPr>
    <w:tblGrid>
      <w:gridCol w:w="2090"/>
      <w:gridCol w:w="3118"/>
      <w:gridCol w:w="2408"/>
      <w:gridCol w:w="2227"/>
    </w:tblGrid>
    <w:tr w:rsidR="00124A4A" w:rsidRPr="00976B00" w:rsidTr="00CD1782">
      <w:trPr>
        <w:cantSplit/>
      </w:trPr>
      <w:tc>
        <w:tcPr>
          <w:tcW w:w="1062" w:type="pct"/>
          <w:tcBorders>
            <w:top w:val="single" w:sz="6" w:space="0" w:color="auto"/>
          </w:tcBorders>
          <w:tcMar>
            <w:top w:w="57" w:type="dxa"/>
          </w:tcMar>
        </w:tcPr>
        <w:p w:rsidR="00124A4A" w:rsidRDefault="00124A4A" w:rsidP="00CD1782">
          <w:pPr>
            <w:pStyle w:val="itu"/>
          </w:pPr>
          <w:r>
            <w:t>Place des Nations</w:t>
          </w:r>
        </w:p>
      </w:tc>
      <w:tc>
        <w:tcPr>
          <w:tcW w:w="1584" w:type="pct"/>
          <w:tcBorders>
            <w:top w:val="single" w:sz="6" w:space="0" w:color="auto"/>
          </w:tcBorders>
          <w:tcMar>
            <w:top w:w="57" w:type="dxa"/>
          </w:tcMar>
        </w:tcPr>
        <w:p w:rsidR="00124A4A" w:rsidRDefault="00124A4A" w:rsidP="00CD1782">
          <w:pPr>
            <w:pStyle w:val="itu"/>
          </w:pPr>
          <w:proofErr w:type="spellStart"/>
          <w:r>
            <w:t>Teléfono</w:t>
          </w:r>
          <w:proofErr w:type="spellEnd"/>
          <w:r>
            <w:t>:</w:t>
          </w:r>
          <w:r>
            <w:tab/>
            <w:t>+41 22 730 51 11</w:t>
          </w:r>
        </w:p>
      </w:tc>
      <w:tc>
        <w:tcPr>
          <w:tcW w:w="1223" w:type="pct"/>
          <w:tcBorders>
            <w:top w:val="single" w:sz="6" w:space="0" w:color="auto"/>
          </w:tcBorders>
          <w:tcMar>
            <w:top w:w="57" w:type="dxa"/>
          </w:tcMar>
        </w:tcPr>
        <w:p w:rsidR="00124A4A" w:rsidRDefault="00124A4A" w:rsidP="00CD1782">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124A4A" w:rsidRDefault="00124A4A" w:rsidP="00CD1782">
          <w:pPr>
            <w:pStyle w:val="itu"/>
            <w:tabs>
              <w:tab w:val="clear" w:pos="709"/>
              <w:tab w:val="clear" w:pos="1134"/>
              <w:tab w:val="right" w:pos="2012"/>
            </w:tabs>
          </w:pPr>
          <w:proofErr w:type="spellStart"/>
          <w:r>
            <w:t>Correo</w:t>
          </w:r>
          <w:proofErr w:type="spellEnd"/>
          <w:r>
            <w:t>-e:</w:t>
          </w:r>
          <w:r>
            <w:tab/>
            <w:t>itumail@itu.int</w:t>
          </w:r>
        </w:p>
      </w:tc>
    </w:tr>
    <w:tr w:rsidR="00124A4A" w:rsidTr="00CD1782">
      <w:trPr>
        <w:cantSplit/>
      </w:trPr>
      <w:tc>
        <w:tcPr>
          <w:tcW w:w="1062" w:type="pct"/>
        </w:tcPr>
        <w:p w:rsidR="00124A4A" w:rsidRDefault="00124A4A" w:rsidP="00CD1782">
          <w:pPr>
            <w:pStyle w:val="itu"/>
          </w:pPr>
          <w:r>
            <w:t xml:space="preserve">CH-1211 </w:t>
          </w:r>
          <w:proofErr w:type="spellStart"/>
          <w:r>
            <w:t>Ginebra</w:t>
          </w:r>
          <w:proofErr w:type="spellEnd"/>
          <w:r>
            <w:t xml:space="preserve"> 20</w:t>
          </w:r>
        </w:p>
      </w:tc>
      <w:tc>
        <w:tcPr>
          <w:tcW w:w="1584" w:type="pct"/>
        </w:tcPr>
        <w:p w:rsidR="00124A4A" w:rsidRDefault="00124A4A" w:rsidP="00CD1782">
          <w:pPr>
            <w:pStyle w:val="itu"/>
          </w:pPr>
          <w:r>
            <w:t>Telefax</w:t>
          </w:r>
          <w:r>
            <w:tab/>
            <w:t>Gr3:</w:t>
          </w:r>
          <w:r>
            <w:tab/>
            <w:t>+41 22 733 72 56</w:t>
          </w:r>
        </w:p>
      </w:tc>
      <w:tc>
        <w:tcPr>
          <w:tcW w:w="1223" w:type="pct"/>
        </w:tcPr>
        <w:p w:rsidR="00124A4A" w:rsidRDefault="00124A4A" w:rsidP="00CD1782">
          <w:pPr>
            <w:pStyle w:val="itu"/>
          </w:pPr>
          <w:proofErr w:type="spellStart"/>
          <w:r>
            <w:t>Telegrama</w:t>
          </w:r>
          <w:proofErr w:type="spellEnd"/>
          <w:r>
            <w:t xml:space="preserve"> ITU GENEVE</w:t>
          </w:r>
        </w:p>
      </w:tc>
      <w:tc>
        <w:tcPr>
          <w:tcW w:w="1131" w:type="pct"/>
        </w:tcPr>
        <w:p w:rsidR="00124A4A" w:rsidRDefault="00124A4A" w:rsidP="00CD1782">
          <w:pPr>
            <w:pStyle w:val="itu"/>
            <w:tabs>
              <w:tab w:val="clear" w:pos="709"/>
              <w:tab w:val="clear" w:pos="1134"/>
              <w:tab w:val="right" w:pos="2012"/>
            </w:tabs>
          </w:pPr>
          <w:r>
            <w:tab/>
            <w:t>www.itu.int</w:t>
          </w:r>
        </w:p>
      </w:tc>
    </w:tr>
    <w:tr w:rsidR="00124A4A" w:rsidTr="00CD1782">
      <w:trPr>
        <w:cantSplit/>
      </w:trPr>
      <w:tc>
        <w:tcPr>
          <w:tcW w:w="1062" w:type="pct"/>
        </w:tcPr>
        <w:p w:rsidR="00124A4A" w:rsidRDefault="00124A4A" w:rsidP="00CD1782">
          <w:pPr>
            <w:pStyle w:val="itu"/>
          </w:pPr>
          <w:proofErr w:type="spellStart"/>
          <w:r>
            <w:t>Suiza</w:t>
          </w:r>
          <w:proofErr w:type="spellEnd"/>
        </w:p>
      </w:tc>
      <w:tc>
        <w:tcPr>
          <w:tcW w:w="1584" w:type="pct"/>
        </w:tcPr>
        <w:p w:rsidR="00124A4A" w:rsidRDefault="00124A4A" w:rsidP="00CD1782">
          <w:pPr>
            <w:pStyle w:val="itu"/>
          </w:pPr>
          <w:r>
            <w:tab/>
            <w:t>Gr4:</w:t>
          </w:r>
          <w:r>
            <w:tab/>
            <w:t>+41 22 730 65 00</w:t>
          </w:r>
        </w:p>
      </w:tc>
      <w:tc>
        <w:tcPr>
          <w:tcW w:w="1223" w:type="pct"/>
        </w:tcPr>
        <w:p w:rsidR="00124A4A" w:rsidRDefault="00124A4A" w:rsidP="00CD1782">
          <w:pPr>
            <w:pStyle w:val="itu"/>
          </w:pPr>
        </w:p>
      </w:tc>
      <w:tc>
        <w:tcPr>
          <w:tcW w:w="1131" w:type="pct"/>
        </w:tcPr>
        <w:p w:rsidR="00124A4A" w:rsidRDefault="00124A4A" w:rsidP="00CD1782">
          <w:pPr>
            <w:pStyle w:val="itu"/>
            <w:tabs>
              <w:tab w:val="clear" w:pos="709"/>
              <w:tab w:val="clear" w:pos="1134"/>
              <w:tab w:val="right" w:pos="1843"/>
            </w:tabs>
          </w:pPr>
        </w:p>
      </w:tc>
    </w:tr>
  </w:tbl>
  <w:p w:rsidR="00124A4A" w:rsidRDefault="00124A4A" w:rsidP="00443C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0EF" w:rsidRDefault="006710EF">
      <w:r>
        <w:t>____________________</w:t>
      </w:r>
    </w:p>
  </w:footnote>
  <w:footnote w:type="continuationSeparator" w:id="0">
    <w:p w:rsidR="006710EF" w:rsidRDefault="00671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A4A" w:rsidRPr="00D05355" w:rsidRDefault="00D05355" w:rsidP="00D05355">
    <w:pPr>
      <w:pStyle w:val="Header"/>
      <w:rP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DA0FB1">
      <w:rPr>
        <w:rStyle w:val="PageNumber"/>
        <w:noProof/>
        <w:sz w:val="18"/>
        <w:szCs w:val="18"/>
      </w:rPr>
      <w:t>8</w:t>
    </w:r>
    <w:r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068CC2"/>
    <w:lvl w:ilvl="0">
      <w:start w:val="1"/>
      <w:numFmt w:val="decimal"/>
      <w:lvlText w:val="%1."/>
      <w:lvlJc w:val="left"/>
      <w:pPr>
        <w:tabs>
          <w:tab w:val="num" w:pos="1492"/>
        </w:tabs>
        <w:ind w:left="1492" w:hanging="360"/>
      </w:pPr>
    </w:lvl>
  </w:abstractNum>
  <w:abstractNum w:abstractNumId="1">
    <w:nsid w:val="FFFFFF7D"/>
    <w:multiLevelType w:val="singleLevel"/>
    <w:tmpl w:val="FC0296DE"/>
    <w:lvl w:ilvl="0">
      <w:start w:val="1"/>
      <w:numFmt w:val="decimal"/>
      <w:lvlText w:val="%1."/>
      <w:lvlJc w:val="left"/>
      <w:pPr>
        <w:tabs>
          <w:tab w:val="num" w:pos="1209"/>
        </w:tabs>
        <w:ind w:left="1209" w:hanging="360"/>
      </w:pPr>
    </w:lvl>
  </w:abstractNum>
  <w:abstractNum w:abstractNumId="2">
    <w:nsid w:val="FFFFFF7E"/>
    <w:multiLevelType w:val="singleLevel"/>
    <w:tmpl w:val="EFC4B096"/>
    <w:lvl w:ilvl="0">
      <w:start w:val="1"/>
      <w:numFmt w:val="decimal"/>
      <w:lvlText w:val="%1."/>
      <w:lvlJc w:val="left"/>
      <w:pPr>
        <w:tabs>
          <w:tab w:val="num" w:pos="926"/>
        </w:tabs>
        <w:ind w:left="926" w:hanging="360"/>
      </w:pPr>
    </w:lvl>
  </w:abstractNum>
  <w:abstractNum w:abstractNumId="3">
    <w:nsid w:val="FFFFFF7F"/>
    <w:multiLevelType w:val="singleLevel"/>
    <w:tmpl w:val="85322E5C"/>
    <w:lvl w:ilvl="0">
      <w:start w:val="1"/>
      <w:numFmt w:val="decimal"/>
      <w:lvlText w:val="%1."/>
      <w:lvlJc w:val="left"/>
      <w:pPr>
        <w:tabs>
          <w:tab w:val="num" w:pos="643"/>
        </w:tabs>
        <w:ind w:left="643" w:hanging="360"/>
      </w:pPr>
    </w:lvl>
  </w:abstractNum>
  <w:abstractNum w:abstractNumId="4">
    <w:nsid w:val="FFFFFF80"/>
    <w:multiLevelType w:val="singleLevel"/>
    <w:tmpl w:val="C2C2012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2B87F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7CC9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A864B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043E4E"/>
    <w:lvl w:ilvl="0">
      <w:start w:val="1"/>
      <w:numFmt w:val="decimal"/>
      <w:lvlText w:val="%1."/>
      <w:lvlJc w:val="left"/>
      <w:pPr>
        <w:tabs>
          <w:tab w:val="num" w:pos="360"/>
        </w:tabs>
        <w:ind w:left="360" w:hanging="360"/>
      </w:pPr>
    </w:lvl>
  </w:abstractNum>
  <w:abstractNum w:abstractNumId="9">
    <w:nsid w:val="FFFFFF89"/>
    <w:multiLevelType w:val="singleLevel"/>
    <w:tmpl w:val="9CEA2600"/>
    <w:lvl w:ilvl="0">
      <w:start w:val="1"/>
      <w:numFmt w:val="bullet"/>
      <w:lvlText w:val=""/>
      <w:lvlJc w:val="left"/>
      <w:pPr>
        <w:tabs>
          <w:tab w:val="num" w:pos="360"/>
        </w:tabs>
        <w:ind w:left="360" w:hanging="360"/>
      </w:pPr>
      <w:rPr>
        <w:rFonts w:ascii="Symbol" w:hAnsi="Symbol" w:hint="default"/>
      </w:rPr>
    </w:lvl>
  </w:abstractNum>
  <w:abstractNum w:abstractNumId="10">
    <w:nsid w:val="17FA7C24"/>
    <w:multiLevelType w:val="hybridMultilevel"/>
    <w:tmpl w:val="9C18B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8C5841"/>
    <w:multiLevelType w:val="hybridMultilevel"/>
    <w:tmpl w:val="E47E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
    <w:nsid w:val="5AAB1857"/>
    <w:multiLevelType w:val="hybridMultilevel"/>
    <w:tmpl w:val="1BD4DB70"/>
    <w:lvl w:ilvl="0" w:tplc="62B2D03C">
      <w:start w:val="1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5">
    <w:nsid w:val="631D104C"/>
    <w:multiLevelType w:val="hybridMultilevel"/>
    <w:tmpl w:val="C0BA1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2"/>
  </w:num>
  <w:num w:numId="2">
    <w:abstractNumId w:val="17"/>
  </w:num>
  <w:num w:numId="3">
    <w:abstractNumId w:val="16"/>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72"/>
    <w:rsid w:val="00002529"/>
    <w:rsid w:val="00002634"/>
    <w:rsid w:val="0000516D"/>
    <w:rsid w:val="00025F09"/>
    <w:rsid w:val="000336F9"/>
    <w:rsid w:val="00043D90"/>
    <w:rsid w:val="00045E95"/>
    <w:rsid w:val="00063559"/>
    <w:rsid w:val="000678BB"/>
    <w:rsid w:val="000734DD"/>
    <w:rsid w:val="00080F6C"/>
    <w:rsid w:val="00095DE4"/>
    <w:rsid w:val="000A11B6"/>
    <w:rsid w:val="000C375D"/>
    <w:rsid w:val="000C382F"/>
    <w:rsid w:val="000D6A3A"/>
    <w:rsid w:val="000F67AE"/>
    <w:rsid w:val="000F747F"/>
    <w:rsid w:val="00114963"/>
    <w:rsid w:val="001173CC"/>
    <w:rsid w:val="00124A4A"/>
    <w:rsid w:val="00126D02"/>
    <w:rsid w:val="001314C9"/>
    <w:rsid w:val="00131E67"/>
    <w:rsid w:val="001344C2"/>
    <w:rsid w:val="00136FC2"/>
    <w:rsid w:val="00141CB4"/>
    <w:rsid w:val="0015039E"/>
    <w:rsid w:val="00150B31"/>
    <w:rsid w:val="001512A2"/>
    <w:rsid w:val="001671BC"/>
    <w:rsid w:val="001704B6"/>
    <w:rsid w:val="00170CD3"/>
    <w:rsid w:val="00196C00"/>
    <w:rsid w:val="001A2905"/>
    <w:rsid w:val="001A54CC"/>
    <w:rsid w:val="001A684E"/>
    <w:rsid w:val="001C0F4E"/>
    <w:rsid w:val="001C2FAD"/>
    <w:rsid w:val="001D1BA9"/>
    <w:rsid w:val="001E0839"/>
    <w:rsid w:val="001E7FB4"/>
    <w:rsid w:val="001F0D48"/>
    <w:rsid w:val="001F46E1"/>
    <w:rsid w:val="002021BB"/>
    <w:rsid w:val="00212668"/>
    <w:rsid w:val="00221C83"/>
    <w:rsid w:val="00243BDA"/>
    <w:rsid w:val="00257FB4"/>
    <w:rsid w:val="00271D3E"/>
    <w:rsid w:val="0027571F"/>
    <w:rsid w:val="002B737A"/>
    <w:rsid w:val="002C1570"/>
    <w:rsid w:val="002C5EF9"/>
    <w:rsid w:val="002C6AAA"/>
    <w:rsid w:val="002D0F6C"/>
    <w:rsid w:val="002D4AAE"/>
    <w:rsid w:val="002F6BA1"/>
    <w:rsid w:val="00303D62"/>
    <w:rsid w:val="00313DBB"/>
    <w:rsid w:val="00322791"/>
    <w:rsid w:val="00324783"/>
    <w:rsid w:val="00327BC9"/>
    <w:rsid w:val="00335367"/>
    <w:rsid w:val="0033768F"/>
    <w:rsid w:val="00340302"/>
    <w:rsid w:val="0034233F"/>
    <w:rsid w:val="00342499"/>
    <w:rsid w:val="003506D9"/>
    <w:rsid w:val="00360A3D"/>
    <w:rsid w:val="00360D76"/>
    <w:rsid w:val="00370C2D"/>
    <w:rsid w:val="00374FDB"/>
    <w:rsid w:val="0039201E"/>
    <w:rsid w:val="003945C8"/>
    <w:rsid w:val="00394F18"/>
    <w:rsid w:val="00396389"/>
    <w:rsid w:val="0039677E"/>
    <w:rsid w:val="003A6986"/>
    <w:rsid w:val="003B4BFC"/>
    <w:rsid w:val="003C00D3"/>
    <w:rsid w:val="003C2ECD"/>
    <w:rsid w:val="003D1E8D"/>
    <w:rsid w:val="003D4DFE"/>
    <w:rsid w:val="003D673B"/>
    <w:rsid w:val="003D6F4C"/>
    <w:rsid w:val="003F0402"/>
    <w:rsid w:val="003F073D"/>
    <w:rsid w:val="003F2855"/>
    <w:rsid w:val="00401C20"/>
    <w:rsid w:val="00402B00"/>
    <w:rsid w:val="0041729C"/>
    <w:rsid w:val="00421116"/>
    <w:rsid w:val="00433821"/>
    <w:rsid w:val="00443CE3"/>
    <w:rsid w:val="00450C73"/>
    <w:rsid w:val="0046714A"/>
    <w:rsid w:val="004C1AD1"/>
    <w:rsid w:val="004C4144"/>
    <w:rsid w:val="004E2077"/>
    <w:rsid w:val="004E26E4"/>
    <w:rsid w:val="004E2AF7"/>
    <w:rsid w:val="004F0A81"/>
    <w:rsid w:val="00505119"/>
    <w:rsid w:val="0051132A"/>
    <w:rsid w:val="005267F7"/>
    <w:rsid w:val="00535F99"/>
    <w:rsid w:val="00537B7B"/>
    <w:rsid w:val="00545669"/>
    <w:rsid w:val="00545B76"/>
    <w:rsid w:val="00550ECC"/>
    <w:rsid w:val="00555E45"/>
    <w:rsid w:val="0055760C"/>
    <w:rsid w:val="005576EB"/>
    <w:rsid w:val="00560EDA"/>
    <w:rsid w:val="00567B54"/>
    <w:rsid w:val="0057186B"/>
    <w:rsid w:val="005807B0"/>
    <w:rsid w:val="00586B1D"/>
    <w:rsid w:val="00587491"/>
    <w:rsid w:val="00597EEE"/>
    <w:rsid w:val="005B4854"/>
    <w:rsid w:val="005B6711"/>
    <w:rsid w:val="005C14B9"/>
    <w:rsid w:val="005C2D8A"/>
    <w:rsid w:val="005C6183"/>
    <w:rsid w:val="005E6DFB"/>
    <w:rsid w:val="005F67E5"/>
    <w:rsid w:val="006058BE"/>
    <w:rsid w:val="00607393"/>
    <w:rsid w:val="00615285"/>
    <w:rsid w:val="00621A06"/>
    <w:rsid w:val="00622CE3"/>
    <w:rsid w:val="00635FA2"/>
    <w:rsid w:val="006400E5"/>
    <w:rsid w:val="006437A5"/>
    <w:rsid w:val="00647213"/>
    <w:rsid w:val="00653A0E"/>
    <w:rsid w:val="0067009C"/>
    <w:rsid w:val="006710EF"/>
    <w:rsid w:val="006760CF"/>
    <w:rsid w:val="006969B4"/>
    <w:rsid w:val="006A0C05"/>
    <w:rsid w:val="006A335A"/>
    <w:rsid w:val="006A7E8A"/>
    <w:rsid w:val="006B14ED"/>
    <w:rsid w:val="006B5061"/>
    <w:rsid w:val="006E24F0"/>
    <w:rsid w:val="006F21E5"/>
    <w:rsid w:val="006F6581"/>
    <w:rsid w:val="0070266A"/>
    <w:rsid w:val="007128A1"/>
    <w:rsid w:val="00715D93"/>
    <w:rsid w:val="00720BA2"/>
    <w:rsid w:val="00736172"/>
    <w:rsid w:val="007503A8"/>
    <w:rsid w:val="007622FC"/>
    <w:rsid w:val="00781E2A"/>
    <w:rsid w:val="007829C9"/>
    <w:rsid w:val="0078778D"/>
    <w:rsid w:val="007A6373"/>
    <w:rsid w:val="007B34FB"/>
    <w:rsid w:val="007D2C8B"/>
    <w:rsid w:val="007D77F1"/>
    <w:rsid w:val="007F018F"/>
    <w:rsid w:val="00803630"/>
    <w:rsid w:val="008131F2"/>
    <w:rsid w:val="008134A7"/>
    <w:rsid w:val="00823D4E"/>
    <w:rsid w:val="00823E22"/>
    <w:rsid w:val="008258C2"/>
    <w:rsid w:val="00826D9C"/>
    <w:rsid w:val="00833CCA"/>
    <w:rsid w:val="00840DCC"/>
    <w:rsid w:val="00844AE8"/>
    <w:rsid w:val="00846D89"/>
    <w:rsid w:val="008505BD"/>
    <w:rsid w:val="00850C78"/>
    <w:rsid w:val="00855B98"/>
    <w:rsid w:val="00874C5B"/>
    <w:rsid w:val="00886959"/>
    <w:rsid w:val="008C17AD"/>
    <w:rsid w:val="008C68A2"/>
    <w:rsid w:val="008D02CD"/>
    <w:rsid w:val="008F11EC"/>
    <w:rsid w:val="008F29BD"/>
    <w:rsid w:val="0091255A"/>
    <w:rsid w:val="0092198C"/>
    <w:rsid w:val="00934054"/>
    <w:rsid w:val="00935935"/>
    <w:rsid w:val="009501BC"/>
    <w:rsid w:val="0095172A"/>
    <w:rsid w:val="00963CD8"/>
    <w:rsid w:val="00970268"/>
    <w:rsid w:val="00975A06"/>
    <w:rsid w:val="00976B00"/>
    <w:rsid w:val="009859EA"/>
    <w:rsid w:val="009C3DF8"/>
    <w:rsid w:val="009D3E5C"/>
    <w:rsid w:val="009D4C42"/>
    <w:rsid w:val="009F0942"/>
    <w:rsid w:val="00A035A9"/>
    <w:rsid w:val="00A107B8"/>
    <w:rsid w:val="00A119A2"/>
    <w:rsid w:val="00A41330"/>
    <w:rsid w:val="00A42718"/>
    <w:rsid w:val="00A4353B"/>
    <w:rsid w:val="00A4661A"/>
    <w:rsid w:val="00A5129C"/>
    <w:rsid w:val="00A54E47"/>
    <w:rsid w:val="00A85283"/>
    <w:rsid w:val="00A96DEA"/>
    <w:rsid w:val="00AA1325"/>
    <w:rsid w:val="00AA30D4"/>
    <w:rsid w:val="00AD1512"/>
    <w:rsid w:val="00AD5D37"/>
    <w:rsid w:val="00AE7093"/>
    <w:rsid w:val="00AF276D"/>
    <w:rsid w:val="00B05B56"/>
    <w:rsid w:val="00B07A99"/>
    <w:rsid w:val="00B17920"/>
    <w:rsid w:val="00B24F81"/>
    <w:rsid w:val="00B321C3"/>
    <w:rsid w:val="00B422BC"/>
    <w:rsid w:val="00B43F77"/>
    <w:rsid w:val="00B44D9D"/>
    <w:rsid w:val="00B54669"/>
    <w:rsid w:val="00B616C2"/>
    <w:rsid w:val="00B64F51"/>
    <w:rsid w:val="00B90541"/>
    <w:rsid w:val="00B95F0A"/>
    <w:rsid w:val="00B96180"/>
    <w:rsid w:val="00BA3BE1"/>
    <w:rsid w:val="00BB3B28"/>
    <w:rsid w:val="00C0097C"/>
    <w:rsid w:val="00C05882"/>
    <w:rsid w:val="00C079B5"/>
    <w:rsid w:val="00C17AC0"/>
    <w:rsid w:val="00C24BFC"/>
    <w:rsid w:val="00C27254"/>
    <w:rsid w:val="00C31ED4"/>
    <w:rsid w:val="00C34772"/>
    <w:rsid w:val="00C36657"/>
    <w:rsid w:val="00C44C79"/>
    <w:rsid w:val="00C452D7"/>
    <w:rsid w:val="00C50A2D"/>
    <w:rsid w:val="00C5621D"/>
    <w:rsid w:val="00C60345"/>
    <w:rsid w:val="00C71699"/>
    <w:rsid w:val="00C717E3"/>
    <w:rsid w:val="00C75F9B"/>
    <w:rsid w:val="00C85847"/>
    <w:rsid w:val="00CA0B83"/>
    <w:rsid w:val="00CA6AB6"/>
    <w:rsid w:val="00CB3300"/>
    <w:rsid w:val="00CC1DE4"/>
    <w:rsid w:val="00CC3768"/>
    <w:rsid w:val="00CD1782"/>
    <w:rsid w:val="00CD18E3"/>
    <w:rsid w:val="00CE0B1C"/>
    <w:rsid w:val="00D027A3"/>
    <w:rsid w:val="00D05355"/>
    <w:rsid w:val="00D06E0E"/>
    <w:rsid w:val="00D119EC"/>
    <w:rsid w:val="00D144FD"/>
    <w:rsid w:val="00D277A9"/>
    <w:rsid w:val="00D4202C"/>
    <w:rsid w:val="00D51DD8"/>
    <w:rsid w:val="00D52111"/>
    <w:rsid w:val="00D75BBB"/>
    <w:rsid w:val="00D8476B"/>
    <w:rsid w:val="00D969D1"/>
    <w:rsid w:val="00D97A2C"/>
    <w:rsid w:val="00DA0FB1"/>
    <w:rsid w:val="00DA16FC"/>
    <w:rsid w:val="00DA4805"/>
    <w:rsid w:val="00DA7E46"/>
    <w:rsid w:val="00DB05C0"/>
    <w:rsid w:val="00DB2031"/>
    <w:rsid w:val="00DD4A22"/>
    <w:rsid w:val="00DD77C9"/>
    <w:rsid w:val="00DD7900"/>
    <w:rsid w:val="00DE6275"/>
    <w:rsid w:val="00DF5926"/>
    <w:rsid w:val="00DF61F3"/>
    <w:rsid w:val="00E279D6"/>
    <w:rsid w:val="00E42FDF"/>
    <w:rsid w:val="00E5040E"/>
    <w:rsid w:val="00E764E2"/>
    <w:rsid w:val="00E80841"/>
    <w:rsid w:val="00E81A56"/>
    <w:rsid w:val="00E839B0"/>
    <w:rsid w:val="00E85734"/>
    <w:rsid w:val="00E92C09"/>
    <w:rsid w:val="00EA3374"/>
    <w:rsid w:val="00EA6280"/>
    <w:rsid w:val="00EB4E19"/>
    <w:rsid w:val="00EB70E0"/>
    <w:rsid w:val="00EB7179"/>
    <w:rsid w:val="00EC21BF"/>
    <w:rsid w:val="00EF2FA0"/>
    <w:rsid w:val="00EF4FA4"/>
    <w:rsid w:val="00EF63CB"/>
    <w:rsid w:val="00F01A16"/>
    <w:rsid w:val="00F40F4E"/>
    <w:rsid w:val="00F453C5"/>
    <w:rsid w:val="00F55157"/>
    <w:rsid w:val="00F6461F"/>
    <w:rsid w:val="00F708CF"/>
    <w:rsid w:val="00F81188"/>
    <w:rsid w:val="00F8524F"/>
    <w:rsid w:val="00F85832"/>
    <w:rsid w:val="00F904D8"/>
    <w:rsid w:val="00F96ED0"/>
    <w:rsid w:val="00FA3AED"/>
    <w:rsid w:val="00FA4A45"/>
    <w:rsid w:val="00FB1841"/>
    <w:rsid w:val="00FB2243"/>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paragraph" w:styleId="BodyText3">
    <w:name w:val="Body Text 3"/>
    <w:basedOn w:val="Normal"/>
    <w:link w:val="BodyText3Char"/>
    <w:uiPriority w:val="99"/>
    <w:rsid w:val="00A035A9"/>
    <w:pPr>
      <w:spacing w:after="120"/>
    </w:pPr>
    <w:rPr>
      <w:rFonts w:eastAsia="Malgun Gothic"/>
      <w:sz w:val="16"/>
      <w:szCs w:val="16"/>
      <w:lang w:val="en-GB"/>
    </w:rPr>
  </w:style>
  <w:style w:type="character" w:customStyle="1" w:styleId="BodyText3Char">
    <w:name w:val="Body Text 3 Char"/>
    <w:basedOn w:val="DefaultParagraphFont"/>
    <w:link w:val="BodyText3"/>
    <w:uiPriority w:val="99"/>
    <w:rsid w:val="00A035A9"/>
    <w:rPr>
      <w:rFonts w:ascii="Times New Roman" w:eastAsia="Malgun Gothic" w:hAnsi="Times New Roman"/>
      <w:sz w:val="16"/>
      <w:szCs w:val="16"/>
      <w:lang w:val="en-GB" w:eastAsia="en-US"/>
    </w:rPr>
  </w:style>
  <w:style w:type="paragraph" w:styleId="BodyText0">
    <w:name w:val="Body Text"/>
    <w:basedOn w:val="Normal"/>
    <w:link w:val="BodyTextChar"/>
    <w:rsid w:val="002D0F6C"/>
    <w:pPr>
      <w:spacing w:after="120"/>
    </w:pPr>
  </w:style>
  <w:style w:type="character" w:customStyle="1" w:styleId="BodyTextChar">
    <w:name w:val="Body Text Char"/>
    <w:basedOn w:val="DefaultParagraphFont"/>
    <w:link w:val="BodyText0"/>
    <w:rsid w:val="002D0F6C"/>
    <w:rPr>
      <w:rFonts w:ascii="Times New Roman" w:hAnsi="Times New Roman"/>
      <w:sz w:val="24"/>
      <w:lang w:val="es-ES_tradnl" w:eastAsia="en-US"/>
    </w:rPr>
  </w:style>
  <w:style w:type="paragraph" w:styleId="EndnoteText">
    <w:name w:val="endnote text"/>
    <w:basedOn w:val="Normal"/>
    <w:link w:val="EndnoteTextChar"/>
    <w:rsid w:val="007503A8"/>
    <w:pPr>
      <w:spacing w:before="0"/>
    </w:pPr>
    <w:rPr>
      <w:sz w:val="20"/>
    </w:rPr>
  </w:style>
  <w:style w:type="character" w:customStyle="1" w:styleId="EndnoteTextChar">
    <w:name w:val="Endnote Text Char"/>
    <w:basedOn w:val="DefaultParagraphFont"/>
    <w:link w:val="EndnoteText"/>
    <w:rsid w:val="007503A8"/>
    <w:rPr>
      <w:rFonts w:ascii="Times New Roman" w:hAnsi="Times New Roman"/>
      <w:lang w:val="es-ES_tradnl" w:eastAsia="en-US"/>
    </w:rPr>
  </w:style>
  <w:style w:type="character" w:customStyle="1" w:styleId="enumlev1Char">
    <w:name w:val="enumlev1 Char"/>
    <w:link w:val="enumlev1"/>
    <w:rsid w:val="00322791"/>
    <w:rPr>
      <w:rFonts w:ascii="Times New Roman" w:hAnsi="Times New Roman"/>
      <w:sz w:val="24"/>
      <w:lang w:val="es-ES_tradnl" w:eastAsia="en-US"/>
    </w:rPr>
  </w:style>
  <w:style w:type="paragraph" w:customStyle="1" w:styleId="Reasons">
    <w:name w:val="Reasons"/>
    <w:basedOn w:val="Normal"/>
    <w:qFormat/>
    <w:rsid w:val="00B64F51"/>
    <w:pPr>
      <w:tabs>
        <w:tab w:val="clear" w:pos="794"/>
        <w:tab w:val="clear" w:pos="1191"/>
        <w:tab w:val="clear" w:pos="1588"/>
        <w:tab w:val="clear" w:pos="1985"/>
      </w:tabs>
      <w:overflowPunct/>
      <w:autoSpaceDE/>
      <w:autoSpaceDN/>
      <w:adjustRightInd/>
      <w:spacing w:before="0"/>
      <w:textAlignment w:val="auto"/>
    </w:pPr>
    <w:rPr>
      <w:lang w:val="en-US"/>
    </w:rPr>
  </w:style>
  <w:style w:type="paragraph" w:styleId="NormalWeb">
    <w:name w:val="Normal (Web)"/>
    <w:basedOn w:val="Normal"/>
    <w:uiPriority w:val="99"/>
    <w:rsid w:val="0041729C"/>
    <w:pPr>
      <w:tabs>
        <w:tab w:val="clear" w:pos="794"/>
        <w:tab w:val="clear" w:pos="1191"/>
        <w:tab w:val="clear" w:pos="1588"/>
        <w:tab w:val="clear" w:pos="1985"/>
      </w:tabs>
      <w:overflowPunct/>
      <w:autoSpaceDE/>
      <w:autoSpaceDN/>
      <w:adjustRightInd/>
      <w:spacing w:before="0"/>
      <w:textAlignment w:val="auto"/>
    </w:pPr>
    <w:rPr>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paragraph" w:styleId="BodyText3">
    <w:name w:val="Body Text 3"/>
    <w:basedOn w:val="Normal"/>
    <w:link w:val="BodyText3Char"/>
    <w:uiPriority w:val="99"/>
    <w:rsid w:val="00A035A9"/>
    <w:pPr>
      <w:spacing w:after="120"/>
    </w:pPr>
    <w:rPr>
      <w:rFonts w:eastAsia="Malgun Gothic"/>
      <w:sz w:val="16"/>
      <w:szCs w:val="16"/>
      <w:lang w:val="en-GB"/>
    </w:rPr>
  </w:style>
  <w:style w:type="character" w:customStyle="1" w:styleId="BodyText3Char">
    <w:name w:val="Body Text 3 Char"/>
    <w:basedOn w:val="DefaultParagraphFont"/>
    <w:link w:val="BodyText3"/>
    <w:uiPriority w:val="99"/>
    <w:rsid w:val="00A035A9"/>
    <w:rPr>
      <w:rFonts w:ascii="Times New Roman" w:eastAsia="Malgun Gothic" w:hAnsi="Times New Roman"/>
      <w:sz w:val="16"/>
      <w:szCs w:val="16"/>
      <w:lang w:val="en-GB" w:eastAsia="en-US"/>
    </w:rPr>
  </w:style>
  <w:style w:type="paragraph" w:styleId="BodyText0">
    <w:name w:val="Body Text"/>
    <w:basedOn w:val="Normal"/>
    <w:link w:val="BodyTextChar"/>
    <w:rsid w:val="002D0F6C"/>
    <w:pPr>
      <w:spacing w:after="120"/>
    </w:pPr>
  </w:style>
  <w:style w:type="character" w:customStyle="1" w:styleId="BodyTextChar">
    <w:name w:val="Body Text Char"/>
    <w:basedOn w:val="DefaultParagraphFont"/>
    <w:link w:val="BodyText0"/>
    <w:rsid w:val="002D0F6C"/>
    <w:rPr>
      <w:rFonts w:ascii="Times New Roman" w:hAnsi="Times New Roman"/>
      <w:sz w:val="24"/>
      <w:lang w:val="es-ES_tradnl" w:eastAsia="en-US"/>
    </w:rPr>
  </w:style>
  <w:style w:type="paragraph" w:styleId="EndnoteText">
    <w:name w:val="endnote text"/>
    <w:basedOn w:val="Normal"/>
    <w:link w:val="EndnoteTextChar"/>
    <w:rsid w:val="007503A8"/>
    <w:pPr>
      <w:spacing w:before="0"/>
    </w:pPr>
    <w:rPr>
      <w:sz w:val="20"/>
    </w:rPr>
  </w:style>
  <w:style w:type="character" w:customStyle="1" w:styleId="EndnoteTextChar">
    <w:name w:val="Endnote Text Char"/>
    <w:basedOn w:val="DefaultParagraphFont"/>
    <w:link w:val="EndnoteText"/>
    <w:rsid w:val="007503A8"/>
    <w:rPr>
      <w:rFonts w:ascii="Times New Roman" w:hAnsi="Times New Roman"/>
      <w:lang w:val="es-ES_tradnl" w:eastAsia="en-US"/>
    </w:rPr>
  </w:style>
  <w:style w:type="character" w:customStyle="1" w:styleId="enumlev1Char">
    <w:name w:val="enumlev1 Char"/>
    <w:link w:val="enumlev1"/>
    <w:rsid w:val="00322791"/>
    <w:rPr>
      <w:rFonts w:ascii="Times New Roman" w:hAnsi="Times New Roman"/>
      <w:sz w:val="24"/>
      <w:lang w:val="es-ES_tradnl" w:eastAsia="en-US"/>
    </w:rPr>
  </w:style>
  <w:style w:type="paragraph" w:customStyle="1" w:styleId="Reasons">
    <w:name w:val="Reasons"/>
    <w:basedOn w:val="Normal"/>
    <w:qFormat/>
    <w:rsid w:val="00B64F51"/>
    <w:pPr>
      <w:tabs>
        <w:tab w:val="clear" w:pos="794"/>
        <w:tab w:val="clear" w:pos="1191"/>
        <w:tab w:val="clear" w:pos="1588"/>
        <w:tab w:val="clear" w:pos="1985"/>
      </w:tabs>
      <w:overflowPunct/>
      <w:autoSpaceDE/>
      <w:autoSpaceDN/>
      <w:adjustRightInd/>
      <w:spacing w:before="0"/>
      <w:textAlignment w:val="auto"/>
    </w:pPr>
    <w:rPr>
      <w:lang w:val="en-US"/>
    </w:rPr>
  </w:style>
  <w:style w:type="paragraph" w:styleId="NormalWeb">
    <w:name w:val="Normal (Web)"/>
    <w:basedOn w:val="Normal"/>
    <w:uiPriority w:val="99"/>
    <w:rsid w:val="0041729C"/>
    <w:pPr>
      <w:tabs>
        <w:tab w:val="clear" w:pos="794"/>
        <w:tab w:val="clear" w:pos="1191"/>
        <w:tab w:val="clear" w:pos="1588"/>
        <w:tab w:val="clear" w:pos="1985"/>
      </w:tabs>
      <w:overflowPunct/>
      <w:autoSpaceDE/>
      <w:autoSpaceDN/>
      <w:adjustRightInd/>
      <w:spacing w:before="0"/>
      <w:textAlignment w:val="auto"/>
    </w:pPr>
    <w:rPr>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4829">
      <w:bodyDiv w:val="1"/>
      <w:marLeft w:val="0"/>
      <w:marRight w:val="0"/>
      <w:marTop w:val="0"/>
      <w:marBottom w:val="0"/>
      <w:divBdr>
        <w:top w:val="none" w:sz="0" w:space="0" w:color="auto"/>
        <w:left w:val="none" w:sz="0" w:space="0" w:color="auto"/>
        <w:bottom w:val="none" w:sz="0" w:space="0" w:color="auto"/>
        <w:right w:val="none" w:sz="0" w:space="0" w:color="auto"/>
      </w:divBdr>
    </w:div>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888760902">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en/ITU-T/climatechang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itu.int/ITU-T/go/sg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tu.int/ITU-T/go/sg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en/ITU-T/focusgroups/swm" TargetMode="External"/><Relationship Id="rId5" Type="http://schemas.openxmlformats.org/officeDocument/2006/relationships/settings" Target="settings.xml"/><Relationship Id="rId15" Type="http://schemas.openxmlformats.org/officeDocument/2006/relationships/hyperlink" Target="mailto:ccarrasco@mtc.gob.pe" TargetMode="External"/><Relationship Id="rId10" Type="http://schemas.openxmlformats.org/officeDocument/2006/relationships/hyperlink" Target="mailto:tsbfgswm@itu.int"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sbfgswm@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B7173-0B0F-4C1F-A775-75FEF6CCC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0</TotalTime>
  <Pages>8</Pages>
  <Words>2990</Words>
  <Characters>16289</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19241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Bettini, Nadine</cp:lastModifiedBy>
  <cp:revision>2</cp:revision>
  <cp:lastPrinted>2013-08-16T12:23:00Z</cp:lastPrinted>
  <dcterms:created xsi:type="dcterms:W3CDTF">2013-08-16T13:02:00Z</dcterms:created>
  <dcterms:modified xsi:type="dcterms:W3CDTF">2013-08-16T13:02:00Z</dcterms:modified>
</cp:coreProperties>
</file>