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375752" w:rsidTr="00303D62">
        <w:trPr>
          <w:cantSplit/>
        </w:trPr>
        <w:tc>
          <w:tcPr>
            <w:tcW w:w="6426" w:type="dxa"/>
            <w:vAlign w:val="center"/>
          </w:tcPr>
          <w:p w:rsidR="00C34772" w:rsidRPr="0037575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375752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375752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375752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375752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D5F1201" wp14:editId="1342700E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375752" w:rsidTr="00303D62">
        <w:trPr>
          <w:cantSplit/>
        </w:trPr>
        <w:tc>
          <w:tcPr>
            <w:tcW w:w="6426" w:type="dxa"/>
            <w:vAlign w:val="center"/>
          </w:tcPr>
          <w:p w:rsidR="00C34772" w:rsidRPr="00375752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375752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37575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75752" w:rsidRDefault="00C34772" w:rsidP="00C147A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75752">
        <w:tab/>
        <w:t xml:space="preserve">Ginebra, </w:t>
      </w:r>
      <w:r w:rsidR="00C147AF">
        <w:t>17</w:t>
      </w:r>
      <w:r w:rsidR="0087173F" w:rsidRPr="00375752">
        <w:t xml:space="preserve"> de mayo de 201</w:t>
      </w:r>
      <w:r w:rsidR="00C147AF">
        <w:t>3</w:t>
      </w:r>
    </w:p>
    <w:p w:rsidR="00C34772" w:rsidRPr="0037575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75752" w:rsidTr="00303D62">
        <w:trPr>
          <w:cantSplit/>
          <w:trHeight w:val="340"/>
        </w:trPr>
        <w:tc>
          <w:tcPr>
            <w:tcW w:w="993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Ref.:</w:t>
            </w: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Tel.:</w:t>
            </w:r>
            <w:r w:rsidRPr="00375752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375752" w:rsidRDefault="0087173F" w:rsidP="00C147A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75752">
              <w:rPr>
                <w:b/>
              </w:rPr>
              <w:t>Circular TSB 2</w:t>
            </w:r>
            <w:r w:rsidR="00C147AF">
              <w:rPr>
                <w:b/>
              </w:rPr>
              <w:t>6</w:t>
            </w:r>
          </w:p>
          <w:p w:rsidR="0087173F" w:rsidRDefault="0087173F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147AF" w:rsidRPr="00375752" w:rsidRDefault="00C147AF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375752" w:rsidRDefault="00C34772" w:rsidP="00C147AF">
            <w:pPr>
              <w:tabs>
                <w:tab w:val="left" w:pos="4111"/>
              </w:tabs>
              <w:spacing w:before="0"/>
              <w:ind w:left="57"/>
            </w:pPr>
            <w:r w:rsidRPr="00375752">
              <w:t>+41 22 730</w:t>
            </w:r>
            <w:r w:rsidR="0087173F" w:rsidRPr="00375752">
              <w:t xml:space="preserve"> </w:t>
            </w:r>
            <w:r w:rsidR="00C147AF">
              <w:t>620</w:t>
            </w:r>
            <w:r w:rsidR="0087173F" w:rsidRPr="00375752">
              <w:t>6</w:t>
            </w:r>
            <w:r w:rsidRPr="00375752">
              <w:br/>
              <w:t>+41 22 730 5853</w:t>
            </w:r>
          </w:p>
        </w:tc>
        <w:tc>
          <w:tcPr>
            <w:tcW w:w="5329" w:type="dxa"/>
          </w:tcPr>
          <w:p w:rsidR="0087173F" w:rsidRPr="00375752" w:rsidRDefault="0087173F" w:rsidP="0087173F">
            <w:pPr>
              <w:pStyle w:val="NormalBefore0pt"/>
              <w:rPr>
                <w:lang w:val="es-ES_tradnl"/>
              </w:rPr>
            </w:pPr>
            <w:bookmarkStart w:id="0" w:name="Addressee_S"/>
            <w:bookmarkEnd w:id="0"/>
            <w:r w:rsidRPr="00375752">
              <w:rPr>
                <w:lang w:val="es-ES_tradnl"/>
              </w:rPr>
              <w:t>-</w:t>
            </w:r>
            <w:r w:rsidRPr="00375752">
              <w:rPr>
                <w:lang w:val="es-ES_tradnl"/>
              </w:rPr>
              <w:tab/>
              <w:t xml:space="preserve">A las Administraciones de los Estados Miembros </w:t>
            </w:r>
            <w:r w:rsidRPr="00375752">
              <w:rPr>
                <w:lang w:val="es-ES_tradnl"/>
              </w:rPr>
              <w:br/>
              <w:t>de la Unión;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los Miembros del Sector UIT-T;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375752">
              <w:t>-</w:t>
            </w:r>
            <w:r w:rsidRPr="00375752">
              <w:tab/>
              <w:t>A los Asociados del UIT-T;</w:t>
            </w:r>
          </w:p>
          <w:p w:rsidR="00C34772" w:rsidRPr="00375752" w:rsidRDefault="0087173F" w:rsidP="009776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las Instituciones Académicas del UIT</w:t>
            </w:r>
            <w:r w:rsidRPr="00375752">
              <w:noBreakHyphen/>
              <w:t>T;</w:t>
            </w:r>
          </w:p>
          <w:p w:rsidR="00601C56" w:rsidRPr="00375752" w:rsidRDefault="00601C56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375752" w:rsidTr="00303D62">
        <w:trPr>
          <w:cantSplit/>
        </w:trPr>
        <w:tc>
          <w:tcPr>
            <w:tcW w:w="993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375752" w:rsidRDefault="004B40E4" w:rsidP="00C147AF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C147AF" w:rsidRPr="00D10EEC">
                <w:rPr>
                  <w:rStyle w:val="Hyperlink"/>
                </w:rPr>
                <w:t>tsbjcares178@itu.int</w:t>
              </w:r>
            </w:hyperlink>
            <w:r w:rsidR="00C34772" w:rsidRPr="00375752">
              <w:t xml:space="preserve"> </w:t>
            </w:r>
          </w:p>
        </w:tc>
        <w:tc>
          <w:tcPr>
            <w:tcW w:w="5329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0"/>
            </w:pPr>
            <w:r w:rsidRPr="00375752">
              <w:rPr>
                <w:b/>
              </w:rPr>
              <w:t>Copia</w:t>
            </w:r>
            <w:r w:rsidRPr="00375752">
              <w:t>: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 los Presidentes y Vicepresidentes de las Comisiones de Estudio del UIT-T;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Director de la Oficina de Desarrollo de las Telecomunicaciones;</w:t>
            </w:r>
          </w:p>
          <w:p w:rsidR="0087173F" w:rsidRPr="00375752" w:rsidRDefault="0087173F" w:rsidP="008717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375752">
              <w:t>-</w:t>
            </w:r>
            <w:r w:rsidRPr="00375752">
              <w:tab/>
              <w:t>Al Director de la Oficina de Radiocomunicaciones</w:t>
            </w:r>
          </w:p>
          <w:p w:rsidR="00C34772" w:rsidRPr="00375752" w:rsidRDefault="00C34772" w:rsidP="006049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C34772" w:rsidRPr="0037575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952"/>
      </w:tblGrid>
      <w:tr w:rsidR="00C34772" w:rsidRPr="00375752" w:rsidTr="00601C56">
        <w:trPr>
          <w:cantSplit/>
        </w:trPr>
        <w:tc>
          <w:tcPr>
            <w:tcW w:w="986" w:type="dxa"/>
          </w:tcPr>
          <w:p w:rsidR="00C34772" w:rsidRPr="0037575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75752">
              <w:rPr>
                <w:sz w:val="22"/>
              </w:rPr>
              <w:t>Asunto:</w:t>
            </w:r>
          </w:p>
        </w:tc>
        <w:tc>
          <w:tcPr>
            <w:tcW w:w="6952" w:type="dxa"/>
          </w:tcPr>
          <w:p w:rsidR="00C34772" w:rsidRPr="00375752" w:rsidRDefault="0087173F" w:rsidP="00C147AF">
            <w:pPr>
              <w:tabs>
                <w:tab w:val="clear" w:pos="794"/>
                <w:tab w:val="clear" w:pos="1191"/>
                <w:tab w:val="left" w:pos="304"/>
                <w:tab w:val="left" w:pos="4111"/>
              </w:tabs>
              <w:spacing w:before="0"/>
              <w:ind w:left="304" w:hanging="304"/>
              <w:rPr>
                <w:b/>
              </w:rPr>
            </w:pPr>
            <w:r w:rsidRPr="00375752">
              <w:rPr>
                <w:b/>
              </w:rPr>
              <w:tab/>
              <w:t xml:space="preserve">Nueva Actividad Conjunta de Coordinación sobre </w:t>
            </w:r>
            <w:r w:rsidR="00C147AF">
              <w:rPr>
                <w:b/>
              </w:rPr>
              <w:t>la aplicación de la Resolución 178 (Guadalajara, 2010) de la Co</w:t>
            </w:r>
            <w:r w:rsidR="002E1350">
              <w:rPr>
                <w:b/>
              </w:rPr>
              <w:t>nferencia de Plenipotenciarios "</w:t>
            </w:r>
            <w:r w:rsidR="00C147AF" w:rsidRPr="00C147AF">
              <w:rPr>
                <w:b/>
              </w:rPr>
              <w:t>Función de la UIT en la organización de los trabajos sobre los aspectos técnicos de las redes de telecomunicaciones para promover Internet</w:t>
            </w:r>
            <w:r w:rsidR="002E1350">
              <w:rPr>
                <w:b/>
              </w:rPr>
              <w:t>"</w:t>
            </w:r>
            <w:r w:rsidRPr="00375752">
              <w:rPr>
                <w:b/>
              </w:rPr>
              <w:t xml:space="preserve"> (JCA</w:t>
            </w:r>
            <w:r w:rsidRPr="00375752">
              <w:rPr>
                <w:b/>
              </w:rPr>
              <w:noBreakHyphen/>
            </w:r>
            <w:r w:rsidR="002E1350">
              <w:rPr>
                <w:b/>
              </w:rPr>
              <w:t>Res</w:t>
            </w:r>
            <w:r w:rsidR="00C147AF">
              <w:rPr>
                <w:b/>
              </w:rPr>
              <w:t>178</w:t>
            </w:r>
            <w:r w:rsidRPr="00375752">
              <w:rPr>
                <w:b/>
              </w:rPr>
              <w:t>)</w:t>
            </w:r>
          </w:p>
        </w:tc>
      </w:tr>
    </w:tbl>
    <w:p w:rsidR="0087173F" w:rsidRPr="00375752" w:rsidRDefault="0087173F" w:rsidP="00375752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75752">
        <w:t>Muy Señora mía/Muy Señor mío:</w:t>
      </w:r>
    </w:p>
    <w:p w:rsidR="0087173F" w:rsidRPr="00375752" w:rsidRDefault="0087173F" w:rsidP="007B500D">
      <w:r w:rsidRPr="00375752">
        <w:t>1</w:t>
      </w:r>
      <w:r w:rsidRPr="00375752">
        <w:tab/>
        <w:t>Me complace informarle que</w:t>
      </w:r>
      <w:r w:rsidR="007B500D">
        <w:t xml:space="preserve"> la Asamblea Mundial de Normalización de las Telecomunicaciones (Dubai, 20-29 de noviembre de 2012) acordó lo </w:t>
      </w:r>
      <w:r w:rsidRPr="00375752">
        <w:t>siguiente:</w:t>
      </w:r>
    </w:p>
    <w:p w:rsidR="0087173F" w:rsidRPr="00375752" w:rsidRDefault="0087173F" w:rsidP="007B500D">
      <w:pPr>
        <w:ind w:left="720"/>
      </w:pPr>
      <w:r w:rsidRPr="00375752">
        <w:t>1.1</w:t>
      </w:r>
      <w:r w:rsidRPr="00375752">
        <w:tab/>
      </w:r>
      <w:r w:rsidR="007B500D">
        <w:t>E</w:t>
      </w:r>
      <w:r w:rsidRPr="00375752">
        <w:t xml:space="preserve">l establecimiento de la Actividad Conjunta de Coordinación </w:t>
      </w:r>
      <w:r w:rsidR="007B500D" w:rsidRPr="00375752">
        <w:t>(JCA-</w:t>
      </w:r>
      <w:r w:rsidR="002E1350">
        <w:t>Res</w:t>
      </w:r>
      <w:r w:rsidR="007B500D">
        <w:t>178</w:t>
      </w:r>
      <w:r w:rsidR="007B500D" w:rsidRPr="00375752">
        <w:t>)</w:t>
      </w:r>
      <w:r w:rsidR="007B500D">
        <w:t xml:space="preserve"> </w:t>
      </w:r>
      <w:r w:rsidRPr="00375752">
        <w:t xml:space="preserve">sobre </w:t>
      </w:r>
      <w:r w:rsidR="007B500D">
        <w:t>la aplicación de la Resolución 178 de la Conferencia de Plenipotenciarios (A</w:t>
      </w:r>
      <w:r w:rsidR="007B500D" w:rsidRPr="007B500D">
        <w:t>spectos técnicos de las redes de telecomunicaciones para promover Internet</w:t>
      </w:r>
      <w:r w:rsidR="007B500D">
        <w:t xml:space="preserve">), </w:t>
      </w:r>
      <w:r w:rsidRPr="00375752">
        <w:t xml:space="preserve">con el mandato que se define en el </w:t>
      </w:r>
      <w:r w:rsidR="00C57686">
        <w:rPr>
          <w:b/>
          <w:bCs/>
        </w:rPr>
        <w:t>A</w:t>
      </w:r>
      <w:r w:rsidR="00C57686" w:rsidRPr="00375752">
        <w:rPr>
          <w:b/>
          <w:bCs/>
        </w:rPr>
        <w:t xml:space="preserve">nexo </w:t>
      </w:r>
      <w:r w:rsidRPr="00375752">
        <w:rPr>
          <w:b/>
          <w:bCs/>
        </w:rPr>
        <w:t>1</w:t>
      </w:r>
      <w:r w:rsidRPr="00375752">
        <w:t xml:space="preserve"> adjunto.</w:t>
      </w:r>
    </w:p>
    <w:p w:rsidR="007B500D" w:rsidRDefault="0087173F" w:rsidP="007B500D">
      <w:pPr>
        <w:ind w:left="720"/>
      </w:pPr>
      <w:r w:rsidRPr="00375752">
        <w:t>1.2</w:t>
      </w:r>
      <w:r w:rsidRPr="00375752">
        <w:tab/>
      </w:r>
      <w:r w:rsidR="007B500D">
        <w:t>Que la JCA-Res178 informará al GANT.</w:t>
      </w:r>
    </w:p>
    <w:p w:rsidR="0087173F" w:rsidRPr="00375752" w:rsidRDefault="007B500D" w:rsidP="007B500D">
      <w:pPr>
        <w:ind w:left="720"/>
      </w:pPr>
      <w:r>
        <w:t xml:space="preserve">1.3 </w:t>
      </w:r>
      <w:r w:rsidR="002E1350">
        <w:tab/>
      </w:r>
      <w:r w:rsidRPr="007B500D">
        <w:t xml:space="preserve">Que la JCA-Res178 </w:t>
      </w:r>
      <w:r>
        <w:t xml:space="preserve">está abierta básicamente a los representantes oficiales designados de las Comisiones de Estudio del UIT-T según se describe en el párrafo 2.2.3 de la Recomendación UIT-T A.1, así como a los representantes de los </w:t>
      </w:r>
      <w:r w:rsidR="002E1350">
        <w:t xml:space="preserve">Miembros </w:t>
      </w:r>
      <w:r>
        <w:t xml:space="preserve">del UIT-T. </w:t>
      </w:r>
    </w:p>
    <w:p w:rsidR="00256C1E" w:rsidRPr="00375752" w:rsidRDefault="0087173F" w:rsidP="00256C1E">
      <w:r w:rsidRPr="00375752">
        <w:t>2</w:t>
      </w:r>
      <w:r w:rsidRPr="00375752">
        <w:tab/>
      </w:r>
      <w:r w:rsidR="007B500D" w:rsidRPr="007B500D">
        <w:t>El ámbito de aplicación de la JCA-Res178 es la coordinación y definición de las labores del UIT-T en relación con los aspectos técnicos de las redes de telecomunicaciones a fin de promover la Internet que contribuye a promover la evolución, capacidad, continuidad, interoperabilidad y seguridad de las redes, a través de una labor basada en contribuciones; y coordinar las contribuciones del UIT-T a la implementación de la CMSI.</w:t>
      </w:r>
      <w:r w:rsidR="007B500D">
        <w:t xml:space="preserve"> </w:t>
      </w:r>
    </w:p>
    <w:p w:rsidR="00C57686" w:rsidRDefault="0087173F" w:rsidP="00256C1E">
      <w:r w:rsidRPr="00375752">
        <w:t>3</w:t>
      </w:r>
      <w:r w:rsidRPr="00375752">
        <w:tab/>
      </w:r>
      <w:r w:rsidR="00256C1E">
        <w:t>Con el fin de impulsar el logro de su primer objetivo, la JCA-Res178 tiene previsto comenzar su primera reunión por medios electrónico</w:t>
      </w:r>
      <w:r w:rsidR="002E1350">
        <w:t>s</w:t>
      </w:r>
      <w:r w:rsidR="00256C1E">
        <w:t xml:space="preserve"> para iniciar la actividad de determinación, recopilación y análisis de la actividad de normalización conexa que esté siendo objeto de estudio en el UIT-T, así como de cualquier otra actividad pertinente en el UIT-T, con el apoyo de los </w:t>
      </w:r>
    </w:p>
    <w:p w:rsidR="00C57686" w:rsidRDefault="00C576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256C1E" w:rsidRDefault="00256C1E" w:rsidP="00256C1E">
      <w:r>
        <w:lastRenderedPageBreak/>
        <w:t>representantes oficiales de todas las Comisiones de Estudio del UIT-T que se incorporen a la JCA-Res178. Esta actividad facilitará el logro de los demás objetivos de la JCA-Res178 según lo dispuesto en su mandato. Se identificará a las organizaciones de normalización y los foros pertinentes, y se les invitará a participar en la JCA-Res178 según corresponda para facilitar la coordinación de las actividades.</w:t>
      </w:r>
    </w:p>
    <w:p w:rsidR="0087173F" w:rsidRPr="00375752" w:rsidRDefault="0087173F" w:rsidP="004B40E4">
      <w:r w:rsidRPr="00375752">
        <w:t>4</w:t>
      </w:r>
      <w:r w:rsidRPr="00375752">
        <w:tab/>
        <w:t xml:space="preserve">La </w:t>
      </w:r>
      <w:r w:rsidR="00EE03F4">
        <w:t xml:space="preserve">primera reunión por medios electrónicos de la JCA-Res178 se ha programado para el día 5 de junio de 2013, de las 17:30 a las 19:30 horas. </w:t>
      </w:r>
      <w:r w:rsidR="00EE03F4" w:rsidRPr="00375752">
        <w:t>Con arreglo a los procedimientos de trabajo de este grupo, la reunión contará con el apoyo de herramientas de colaboración a distancia</w:t>
      </w:r>
      <w:r w:rsidR="00EE03F4">
        <w:t>.</w:t>
      </w:r>
      <w:r w:rsidR="00EE03F4" w:rsidRPr="00375752">
        <w:t xml:space="preserve"> Los detalles podrán consultarse en la página principal de la JCA-</w:t>
      </w:r>
      <w:r w:rsidR="00EE03F4">
        <w:t>Res178</w:t>
      </w:r>
      <w:r w:rsidR="00EE03F4" w:rsidRPr="00375752">
        <w:t xml:space="preserve"> en la dirección</w:t>
      </w:r>
      <w:r w:rsidR="00EE03F4">
        <w:t xml:space="preserve">: </w:t>
      </w:r>
      <w:hyperlink r:id="rId11" w:history="1">
        <w:r w:rsidR="00EE03F4" w:rsidRPr="00D10EEC">
          <w:rPr>
            <w:rStyle w:val="Hyperlink"/>
          </w:rPr>
          <w:t>http://www.itu.int/en/ITU-T/jca/Res178/Pages/default.aspx</w:t>
        </w:r>
      </w:hyperlink>
      <w:r w:rsidR="00EE03F4">
        <w:t>.</w:t>
      </w:r>
    </w:p>
    <w:p w:rsidR="0087173F" w:rsidRPr="00375752" w:rsidRDefault="0087173F" w:rsidP="00EE03F4">
      <w:r w:rsidRPr="00375752">
        <w:t>5</w:t>
      </w:r>
      <w:r w:rsidRPr="00375752">
        <w:tab/>
        <w:t xml:space="preserve">Confío en que </w:t>
      </w:r>
      <w:r w:rsidR="00EE03F4">
        <w:t xml:space="preserve">el UIT-T sabrá responder a las expectativas de sus Miembros para responder a los desafíos correspondientes a las actividades relacionadas con los aspectos técnicos de las redes de telecomunicaciones que sirven de soporte para Internet.  </w:t>
      </w:r>
    </w:p>
    <w:p w:rsidR="0087173F" w:rsidRPr="00375752" w:rsidRDefault="0087173F" w:rsidP="00375752">
      <w:pPr>
        <w:ind w:right="91"/>
      </w:pPr>
      <w:r w:rsidRPr="00375752">
        <w:t>Le saluda muy atentamente,</w:t>
      </w:r>
    </w:p>
    <w:p w:rsidR="0087173F" w:rsidRPr="00375752" w:rsidRDefault="0087173F" w:rsidP="00375752">
      <w:pPr>
        <w:spacing w:before="1680"/>
        <w:ind w:right="91"/>
      </w:pPr>
      <w:r w:rsidRPr="00375752">
        <w:t>Malcolm Johnson</w:t>
      </w:r>
      <w:r w:rsidRPr="00375752">
        <w:br/>
        <w:t>Director de la Oficina de</w:t>
      </w:r>
      <w:r w:rsidRPr="00375752">
        <w:br/>
        <w:t>Normalización de las Telecomunicaciones</w:t>
      </w:r>
    </w:p>
    <w:p w:rsidR="0087173F" w:rsidRPr="00375752" w:rsidRDefault="0087173F" w:rsidP="00375752">
      <w:pPr>
        <w:spacing w:before="1200"/>
        <w:ind w:right="91"/>
        <w:rPr>
          <w:b/>
          <w:bCs/>
        </w:rPr>
      </w:pPr>
      <w:r w:rsidRPr="00375752">
        <w:rPr>
          <w:b/>
          <w:bCs/>
        </w:rPr>
        <w:t>Anexo: 1</w:t>
      </w:r>
      <w:r w:rsidRPr="00375752">
        <w:rPr>
          <w:b/>
          <w:bCs/>
        </w:rPr>
        <w:br w:type="page"/>
      </w:r>
    </w:p>
    <w:p w:rsidR="0087173F" w:rsidRDefault="0087173F" w:rsidP="00F54731">
      <w:pPr>
        <w:pStyle w:val="Title4"/>
        <w:rPr>
          <w:b w:val="0"/>
          <w:bCs/>
          <w:sz w:val="24"/>
          <w:szCs w:val="24"/>
        </w:rPr>
      </w:pPr>
      <w:r w:rsidRPr="00375752">
        <w:rPr>
          <w:b w:val="0"/>
          <w:bCs/>
          <w:sz w:val="24"/>
          <w:szCs w:val="24"/>
        </w:rPr>
        <w:lastRenderedPageBreak/>
        <w:t>ANEXO 1</w:t>
      </w:r>
      <w:r w:rsidRPr="00375752">
        <w:rPr>
          <w:b w:val="0"/>
          <w:bCs/>
          <w:sz w:val="24"/>
          <w:szCs w:val="24"/>
        </w:rPr>
        <w:br/>
        <w:t>(a la Circular TSB 2</w:t>
      </w:r>
      <w:r w:rsidR="00F54731">
        <w:rPr>
          <w:b w:val="0"/>
          <w:bCs/>
          <w:sz w:val="24"/>
          <w:szCs w:val="24"/>
        </w:rPr>
        <w:t>6</w:t>
      </w:r>
      <w:r w:rsidRPr="00375752">
        <w:rPr>
          <w:b w:val="0"/>
          <w:bCs/>
          <w:sz w:val="24"/>
          <w:szCs w:val="24"/>
        </w:rPr>
        <w:t>)</w:t>
      </w:r>
    </w:p>
    <w:p w:rsidR="00F54731" w:rsidRPr="002E1350" w:rsidRDefault="00F54731" w:rsidP="00F54731">
      <w:pPr>
        <w:pStyle w:val="Heading1"/>
        <w:jc w:val="center"/>
        <w:rPr>
          <w:i/>
          <w:iCs/>
          <w:sz w:val="28"/>
          <w:szCs w:val="28"/>
        </w:rPr>
      </w:pPr>
      <w:r w:rsidRPr="002E1350">
        <w:rPr>
          <w:i/>
          <w:iCs/>
          <w:sz w:val="28"/>
          <w:szCs w:val="28"/>
        </w:rPr>
        <w:t>JCA-Res178</w:t>
      </w:r>
    </w:p>
    <w:p w:rsidR="00F54731" w:rsidRPr="00F54731" w:rsidRDefault="00F54731" w:rsidP="00F54731">
      <w:pPr>
        <w:jc w:val="center"/>
      </w:pPr>
      <w:r>
        <w:t>(Aspectos técnicos de las redes de telecomunicaciones para promover la Internet)</w:t>
      </w:r>
      <w:r w:rsidR="004B40E4">
        <w:rPr>
          <w:rStyle w:val="FootnoteReference"/>
        </w:rPr>
        <w:footnoteReference w:id="1"/>
      </w:r>
    </w:p>
    <w:p w:rsidR="0087173F" w:rsidRPr="00375752" w:rsidRDefault="0087173F" w:rsidP="00375752">
      <w:pPr>
        <w:keepNext/>
        <w:spacing w:line="240" w:lineRule="atLeast"/>
        <w:jc w:val="center"/>
        <w:rPr>
          <w:b/>
          <w:bCs/>
          <w:szCs w:val="24"/>
        </w:rPr>
      </w:pPr>
    </w:p>
    <w:p w:rsidR="00F54731" w:rsidRPr="00F54731" w:rsidRDefault="00F54731" w:rsidP="002E135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/>
        <w:jc w:val="center"/>
        <w:rPr>
          <w:rFonts w:ascii="Times New Roman Bold" w:hAnsi="Times New Roman Bold"/>
          <w:b/>
          <w:sz w:val="28"/>
        </w:rPr>
      </w:pPr>
      <w:r>
        <w:rPr>
          <w:rFonts w:ascii="Times New Roman Bold" w:hAnsi="Times New Roman Bold"/>
          <w:b/>
          <w:sz w:val="28"/>
        </w:rPr>
        <w:t>A</w:t>
      </w:r>
      <w:r w:rsidRPr="00F54731">
        <w:rPr>
          <w:rFonts w:ascii="Times New Roman Bold" w:hAnsi="Times New Roman Bold"/>
          <w:b/>
          <w:sz w:val="28"/>
        </w:rPr>
        <w:t xml:space="preserve">ctividad de </w:t>
      </w:r>
      <w:r w:rsidR="002E1350" w:rsidRPr="00F54731">
        <w:rPr>
          <w:rFonts w:ascii="Times New Roman Bold" w:hAnsi="Times New Roman Bold"/>
          <w:b/>
          <w:i/>
          <w:iCs/>
          <w:sz w:val="28"/>
        </w:rPr>
        <w:t>Coordinación</w:t>
      </w:r>
      <w:r w:rsidR="002E1350" w:rsidRPr="00F54731">
        <w:rPr>
          <w:rFonts w:ascii="Times New Roman Bold" w:hAnsi="Times New Roman Bold"/>
          <w:b/>
          <w:sz w:val="28"/>
        </w:rPr>
        <w:t xml:space="preserve"> </w:t>
      </w:r>
      <w:r w:rsidRPr="00F54731">
        <w:rPr>
          <w:rFonts w:ascii="Times New Roman Bold" w:hAnsi="Times New Roman Bold"/>
          <w:b/>
          <w:sz w:val="28"/>
        </w:rPr>
        <w:t xml:space="preserve">conjunta sobre </w:t>
      </w:r>
      <w:r>
        <w:rPr>
          <w:rFonts w:ascii="Times New Roman Bold" w:hAnsi="Times New Roman Bold"/>
          <w:b/>
          <w:sz w:val="28"/>
        </w:rPr>
        <w:t xml:space="preserve">la puesta en práctica de la </w:t>
      </w:r>
      <w:r w:rsidRPr="00F54731">
        <w:rPr>
          <w:rFonts w:ascii="Times New Roman Bold" w:hAnsi="Times New Roman Bold"/>
          <w:b/>
          <w:sz w:val="28"/>
        </w:rPr>
        <w:t>Resolución</w:t>
      </w:r>
      <w:r w:rsidR="002E1350">
        <w:rPr>
          <w:rFonts w:ascii="Times New Roman Bold" w:hAnsi="Times New Roman Bold"/>
          <w:b/>
          <w:sz w:val="28"/>
        </w:rPr>
        <w:t> </w:t>
      </w:r>
      <w:r w:rsidRPr="00F54731">
        <w:rPr>
          <w:rFonts w:ascii="Times New Roman Bold" w:hAnsi="Times New Roman Bold"/>
          <w:b/>
          <w:sz w:val="28"/>
        </w:rPr>
        <w:t xml:space="preserve">178 (Guadalajara, 2010) de la Conferencia de Plenipotenciarios </w:t>
      </w:r>
      <w:r w:rsidR="002E1350">
        <w:rPr>
          <w:rFonts w:ascii="Times New Roman Bold" w:hAnsi="Times New Roman Bold"/>
          <w:b/>
          <w:sz w:val="28"/>
        </w:rPr>
        <w:t>"</w:t>
      </w:r>
      <w:r w:rsidRPr="00F54731">
        <w:rPr>
          <w:rFonts w:ascii="Times New Roman Bold" w:hAnsi="Times New Roman Bold"/>
          <w:b/>
          <w:i/>
          <w:iCs/>
          <w:sz w:val="28"/>
        </w:rPr>
        <w:t>Función de la UIT en la organización de los trabajos sobre los aspectos técnicos de las redes de telecomunicaciones para promover Internet</w:t>
      </w:r>
      <w:r w:rsidR="002E1350">
        <w:rPr>
          <w:rFonts w:ascii="Times New Roman Bold" w:hAnsi="Times New Roman Bold"/>
          <w:b/>
          <w:sz w:val="28"/>
        </w:rPr>
        <w:t>"</w:t>
      </w:r>
    </w:p>
    <w:p w:rsidR="00F54731" w:rsidRPr="00F54731" w:rsidRDefault="00F54731" w:rsidP="00F54731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/>
        <w:rPr>
          <w:rFonts w:ascii="Times" w:hAnsi="Times"/>
          <w:bCs/>
        </w:rPr>
      </w:pPr>
      <w:r w:rsidRPr="00F54731">
        <w:rPr>
          <w:rFonts w:ascii="Times" w:hAnsi="Times"/>
          <w:bCs/>
        </w:rPr>
        <w:t>Convocantes:</w:t>
      </w:r>
      <w:r w:rsidRPr="00F54731">
        <w:rPr>
          <w:rFonts w:ascii="Times" w:hAnsi="Times"/>
          <w:bCs/>
        </w:rPr>
        <w:tab/>
      </w:r>
    </w:p>
    <w:p w:rsidR="00F54731" w:rsidRPr="00F54731" w:rsidRDefault="00F54731" w:rsidP="00F54731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/>
        <w:rPr>
          <w:rFonts w:ascii="Times" w:hAnsi="Times"/>
          <w:bCs/>
        </w:rPr>
      </w:pPr>
      <w:r w:rsidRPr="00F54731">
        <w:rPr>
          <w:rFonts w:ascii="Times" w:hAnsi="Times"/>
          <w:bCs/>
        </w:rPr>
        <w:t>Sherif Guinena (Egipto)</w:t>
      </w:r>
      <w:r w:rsidRPr="00F54731">
        <w:rPr>
          <w:rFonts w:ascii="Times" w:hAnsi="Times"/>
          <w:bCs/>
        </w:rPr>
        <w:br/>
        <w:t>Phil Rushton (Reino Unido)</w:t>
      </w:r>
    </w:p>
    <w:p w:rsidR="00F54731" w:rsidRPr="00F54731" w:rsidRDefault="002E1350" w:rsidP="00F54731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/>
        <w:rPr>
          <w:rFonts w:ascii="Times" w:hAnsi="Times"/>
          <w:b/>
        </w:rPr>
      </w:pPr>
      <w:r>
        <w:rPr>
          <w:rFonts w:ascii="Times" w:hAnsi="Times"/>
          <w:b/>
        </w:rPr>
        <w:t>1</w:t>
      </w:r>
      <w:r w:rsidR="00F54731">
        <w:rPr>
          <w:rFonts w:ascii="Times" w:hAnsi="Times"/>
          <w:b/>
        </w:rPr>
        <w:tab/>
      </w:r>
      <w:r w:rsidR="00F54731" w:rsidRPr="00F54731">
        <w:rPr>
          <w:rFonts w:ascii="Times" w:hAnsi="Times"/>
          <w:b/>
        </w:rPr>
        <w:t>Ámbito de aplicación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54731">
        <w:t>El ámbito de aplicación de la JCA-Res178 (Aspectos técnicos de las redes de telecomunicaciones para promover la Internet) es la coordinación y definición de las labores del UIT-T en relación con los aspectos técnicos de las redes de telecomunicaciones a fin de promover la Internet que contribuye a promover la evolución, capacidad, continuidad, interoperabilidad y seguridad de las redes, a través de una labor basada en contribuciones; y coordinar las contribuciones del UIT-T a la implementación de la CMSI.</w:t>
      </w:r>
    </w:p>
    <w:p w:rsidR="00F54731" w:rsidRPr="00F54731" w:rsidRDefault="00F54731" w:rsidP="00F54731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/>
        <w:rPr>
          <w:rFonts w:ascii="Times" w:hAnsi="Times"/>
          <w:b/>
        </w:rPr>
      </w:pPr>
      <w:r>
        <w:rPr>
          <w:rFonts w:ascii="Times" w:hAnsi="Times"/>
          <w:b/>
        </w:rPr>
        <w:t>2</w:t>
      </w:r>
      <w:r>
        <w:rPr>
          <w:rFonts w:ascii="Times" w:hAnsi="Times"/>
          <w:b/>
        </w:rPr>
        <w:tab/>
      </w:r>
      <w:r w:rsidRPr="00F54731">
        <w:rPr>
          <w:rFonts w:ascii="Times" w:hAnsi="Times"/>
          <w:b/>
        </w:rPr>
        <w:t>Mandato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ab/>
        <w:t>2.1</w:t>
      </w:r>
      <w:r w:rsidRPr="00F54731">
        <w:tab/>
        <w:t xml:space="preserve">Identificar, recopilar y analizar la labor técnica de normalización relacionada </w:t>
      </w:r>
      <w:r>
        <w:tab/>
      </w:r>
      <w:r w:rsidRPr="00F54731">
        <w:t xml:space="preserve">que está siendo actualmente objeto de estudio en el UIT-T, y cualquier otra </w:t>
      </w:r>
      <w:r>
        <w:tab/>
      </w:r>
      <w:r w:rsidRPr="00F54731">
        <w:t>actividad pertinente en el UIT-T.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ab/>
        <w:t>2.2</w:t>
      </w:r>
      <w:r>
        <w:tab/>
      </w:r>
      <w:r w:rsidRPr="00F54731">
        <w:t>Propiciar la coordinación con organizaciones de normalización y foros.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ab/>
        <w:t>2.3</w:t>
      </w:r>
      <w:r w:rsidRPr="00F54731">
        <w:tab/>
        <w:t xml:space="preserve">Determinar los temas de estudio que se propondrán a las Comisiones de Estudio, </w:t>
      </w:r>
      <w:r>
        <w:tab/>
      </w:r>
      <w:r w:rsidRPr="00F54731">
        <w:t xml:space="preserve">dentro de su ámbito de competencias, para mejorar el desarrollo de los aspectos </w:t>
      </w:r>
      <w:r>
        <w:tab/>
      </w:r>
      <w:r w:rsidRPr="00F54731">
        <w:t xml:space="preserve">técnicos de las redes de telecomunicaciones para promover Internet, a fin de </w:t>
      </w:r>
      <w:r>
        <w:tab/>
      </w:r>
      <w:r w:rsidRPr="00F54731">
        <w:t xml:space="preserve">contribuir a la evolución, capacidad, continuidad, compatibilidad y seguridad de </w:t>
      </w:r>
      <w:r>
        <w:tab/>
      </w:r>
      <w:r w:rsidRPr="00F54731">
        <w:t>las redes, mediante trabajos basados en contribuciones.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</w:pPr>
      <w:r>
        <w:tab/>
        <w:t>2.4</w:t>
      </w:r>
      <w:r w:rsidRPr="00F54731">
        <w:tab/>
        <w:t xml:space="preserve">Proponer, según proceda, la creación de Grupos de Trabajo Mixtos o grupos de </w:t>
      </w:r>
      <w:r>
        <w:tab/>
      </w:r>
      <w:r w:rsidRPr="00F54731">
        <w:t>otro tipo.</w:t>
      </w:r>
    </w:p>
    <w:p w:rsidR="00F54731" w:rsidRPr="00F54731" w:rsidRDefault="00F54731" w:rsidP="00F54731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60"/>
        <w:rPr>
          <w:rFonts w:ascii="Times" w:hAnsi="Times"/>
          <w:b/>
        </w:rPr>
      </w:pPr>
      <w:r>
        <w:rPr>
          <w:rFonts w:ascii="Times" w:hAnsi="Times"/>
          <w:b/>
        </w:rPr>
        <w:t>3</w:t>
      </w:r>
      <w:r>
        <w:rPr>
          <w:rFonts w:ascii="Times" w:hAnsi="Times"/>
          <w:b/>
        </w:rPr>
        <w:tab/>
      </w:r>
      <w:r w:rsidRPr="00F54731">
        <w:rPr>
          <w:rFonts w:ascii="Times" w:hAnsi="Times"/>
          <w:b/>
        </w:rPr>
        <w:t>Método de trabajo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54731">
        <w:t>La JCA-Res178 desarrollará sus actividades principalmente por medios electrónicos, utilizando teleconferencias y correos electrónicos, facilitadas con reuniones presenciales intermitentes cuando resulten absolutamente necesarias; cualquier reunión presencial tendrá lugar normalmente en el contexto de otras reuniones pertinentes del UIT-T, y garantizará la disponibilidad de medios de conferencia electrónica para la participación a distancia.</w:t>
      </w:r>
    </w:p>
    <w:p w:rsidR="00F54731" w:rsidRPr="00F54731" w:rsidRDefault="00F54731" w:rsidP="00F5473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F54731">
        <w:t>La JCA informará al GANT.</w:t>
      </w:r>
    </w:p>
    <w:p w:rsidR="00334D0E" w:rsidRDefault="00F54731" w:rsidP="004B40E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</w:pPr>
      <w:r w:rsidRPr="00F54731">
        <w:t>______________</w:t>
      </w:r>
    </w:p>
    <w:sectPr w:rsidR="00334D0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9E" w:rsidRDefault="00AB049E">
      <w:r>
        <w:separator/>
      </w:r>
    </w:p>
  </w:endnote>
  <w:endnote w:type="continuationSeparator" w:id="0">
    <w:p w:rsidR="00AB049E" w:rsidRDefault="00A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86" w:rsidRPr="00C57686" w:rsidRDefault="00675CCE">
    <w:pPr>
      <w:pStyle w:val="Footer"/>
      <w:rPr>
        <w:sz w:val="16"/>
        <w:lang w:val="fr-CH"/>
      </w:rPr>
    </w:pPr>
    <w:r w:rsidRPr="00675CCE">
      <w:rPr>
        <w:lang w:val="fr-FR"/>
      </w:rPr>
      <w:t>ITU-T\BUREAU\CIRC\026S.DOCX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B049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B049E" w:rsidRDefault="00AB049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B049E">
      <w:tc>
        <w:tcPr>
          <w:tcW w:w="1985" w:type="dxa"/>
        </w:tcPr>
        <w:p w:rsidR="00AB049E" w:rsidRDefault="00AB04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B049E" w:rsidRDefault="00AB049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B049E" w:rsidRDefault="00AB04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B049E" w:rsidRDefault="00AB049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B049E" w:rsidRPr="004069E8">
      <w:tc>
        <w:tcPr>
          <w:tcW w:w="1985" w:type="dxa"/>
        </w:tcPr>
        <w:p w:rsidR="00AB049E" w:rsidRDefault="00AB049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B049E" w:rsidRPr="00FC45CF" w:rsidRDefault="00AB049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fr-CH"/>
            </w:rPr>
          </w:pPr>
          <w:r w:rsidRPr="00FC45CF">
            <w:rPr>
              <w:rFonts w:ascii="Futura Lt BT" w:hAnsi="Futura Lt BT"/>
              <w:lang w:val="fr-CH"/>
            </w:rPr>
            <w:tab/>
            <w:t>Gr4:</w:t>
          </w:r>
          <w:r w:rsidRPr="00FC45CF">
            <w:rPr>
              <w:rFonts w:ascii="Futura Lt BT" w:hAnsi="Futura Lt BT"/>
              <w:lang w:val="fr-CH"/>
            </w:rPr>
            <w:tab/>
          </w:r>
          <w:r>
            <w:rPr>
              <w:rFonts w:ascii="Futura Lt BT" w:hAnsi="Futura Lt BT"/>
              <w:lang w:val="fr-CH"/>
            </w:rPr>
            <w:tab/>
          </w:r>
          <w:r w:rsidRPr="00FC45CF">
            <w:rPr>
              <w:rFonts w:ascii="Futura Lt BT" w:hAnsi="Futura Lt BT"/>
              <w:lang w:val="fr-CH"/>
            </w:rPr>
            <w:t>+41 22 730 65 00</w:t>
          </w:r>
        </w:p>
      </w:tc>
      <w:tc>
        <w:tcPr>
          <w:tcW w:w="2374" w:type="dxa"/>
        </w:tcPr>
        <w:p w:rsidR="00AB049E" w:rsidRPr="00FC45CF" w:rsidRDefault="00AB049E">
          <w:pPr>
            <w:pStyle w:val="FirstFooter"/>
            <w:rPr>
              <w:rFonts w:ascii="Futura Lt BT" w:hAnsi="Futura Lt BT"/>
              <w:lang w:val="fr-CH"/>
            </w:rPr>
          </w:pPr>
        </w:p>
      </w:tc>
      <w:tc>
        <w:tcPr>
          <w:tcW w:w="2304" w:type="dxa"/>
        </w:tcPr>
        <w:p w:rsidR="00AB049E" w:rsidRPr="00FC45CF" w:rsidRDefault="00AB049E">
          <w:pPr>
            <w:pStyle w:val="FirstFooter"/>
            <w:rPr>
              <w:rFonts w:ascii="Futura Lt BT" w:hAnsi="Futura Lt BT"/>
              <w:lang w:val="fr-CH"/>
            </w:rPr>
          </w:pPr>
        </w:p>
      </w:tc>
    </w:tr>
  </w:tbl>
  <w:p w:rsidR="00AB049E" w:rsidRPr="00FC45CF" w:rsidRDefault="00AB049E" w:rsidP="008505B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9E" w:rsidRDefault="00AB049E">
      <w:r>
        <w:t>____________________</w:t>
      </w:r>
    </w:p>
  </w:footnote>
  <w:footnote w:type="continuationSeparator" w:id="0">
    <w:p w:rsidR="00AB049E" w:rsidRDefault="00AB049E">
      <w:r>
        <w:continuationSeparator/>
      </w:r>
    </w:p>
  </w:footnote>
  <w:footnote w:id="1">
    <w:p w:rsidR="004B40E4" w:rsidRPr="004B40E4" w:rsidRDefault="004B40E4" w:rsidP="004B40E4">
      <w:pPr>
        <w:pStyle w:val="FootnoteText"/>
        <w:rPr>
          <w:lang w:val="es-ES"/>
        </w:rPr>
      </w:pPr>
      <w:bookmarkStart w:id="4" w:name="_GoBack"/>
      <w:bookmarkEnd w:id="4"/>
      <w:r>
        <w:rPr>
          <w:rStyle w:val="FootnoteReference"/>
        </w:rPr>
        <w:footnoteRef/>
      </w:r>
      <w:r w:rsidRPr="004B40E4">
        <w:rPr>
          <w:lang w:val="es-ES"/>
        </w:rPr>
        <w:tab/>
      </w:r>
      <w:r w:rsidRPr="004B40E4">
        <w:rPr>
          <w:b/>
          <w:bCs/>
          <w:i/>
          <w:iCs/>
          <w:szCs w:val="24"/>
          <w:lang w:val="es-ES"/>
        </w:rPr>
        <w:t>R</w:t>
      </w:r>
      <w:r w:rsidRPr="004B40E4">
        <w:rPr>
          <w:b/>
          <w:bCs/>
          <w:i/>
          <w:iCs/>
          <w:szCs w:val="24"/>
          <w:lang w:val="es-ES"/>
        </w:rPr>
        <w:t>eferencia</w:t>
      </w:r>
      <w:r w:rsidRPr="004B40E4">
        <w:rPr>
          <w:b/>
          <w:bCs/>
          <w:szCs w:val="24"/>
          <w:lang w:val="es-ES"/>
        </w:rPr>
        <w:t xml:space="preserve">: </w:t>
      </w:r>
      <w:hyperlink r:id="rId1" w:history="1">
        <w:r w:rsidRPr="004B40E4">
          <w:rPr>
            <w:rStyle w:val="Hyperlink"/>
            <w:szCs w:val="24"/>
            <w:lang w:val="es-ES"/>
          </w:rPr>
          <w:t>T09-WTSA.12-C-0114</w:t>
        </w:r>
      </w:hyperlink>
      <w:r w:rsidRPr="004B40E4">
        <w:rPr>
          <w:szCs w:val="24"/>
          <w:lang w:val="es-ES"/>
        </w:rPr>
        <w:t xml:space="preserve">, </w:t>
      </w:r>
      <w:hyperlink r:id="rId2" w:history="1">
        <w:r w:rsidRPr="004B40E4">
          <w:rPr>
            <w:rStyle w:val="Hyperlink"/>
            <w:szCs w:val="24"/>
            <w:lang w:val="es-ES"/>
          </w:rPr>
          <w:t>T09-WTSA.12-C-0125</w:t>
        </w:r>
      </w:hyperlink>
      <w:r w:rsidRPr="004B40E4">
        <w:rPr>
          <w:szCs w:val="24"/>
          <w:lang w:val="es-ES"/>
        </w:rPr>
        <w:t xml:space="preserve"> </w:t>
      </w:r>
      <w:r w:rsidRPr="004B40E4">
        <w:rPr>
          <w:i/>
          <w:iCs/>
          <w:szCs w:val="24"/>
          <w:lang w:val="es-ES"/>
        </w:rPr>
        <w:t>p</w:t>
      </w:r>
      <w:r>
        <w:rPr>
          <w:i/>
          <w:iCs/>
          <w:szCs w:val="24"/>
          <w:lang w:val="es-ES"/>
        </w:rPr>
        <w:t>á</w:t>
      </w:r>
      <w:r w:rsidRPr="004B40E4">
        <w:rPr>
          <w:i/>
          <w:iCs/>
          <w:szCs w:val="24"/>
          <w:lang w:val="es-ES"/>
        </w:rPr>
        <w:t>r</w:t>
      </w:r>
      <w:r>
        <w:rPr>
          <w:i/>
          <w:iCs/>
          <w:szCs w:val="24"/>
          <w:lang w:val="es-ES"/>
        </w:rPr>
        <w:t>r</w:t>
      </w:r>
      <w:r w:rsidRPr="004B40E4">
        <w:rPr>
          <w:i/>
          <w:iCs/>
          <w:szCs w:val="24"/>
          <w:lang w:val="es-ES"/>
        </w:rPr>
        <w:t>a</w:t>
      </w:r>
      <w:r w:rsidRPr="004B40E4">
        <w:rPr>
          <w:i/>
          <w:iCs/>
          <w:szCs w:val="24"/>
          <w:lang w:val="es-ES"/>
        </w:rPr>
        <w:t>fo</w:t>
      </w:r>
      <w:r w:rsidRPr="004B40E4">
        <w:rPr>
          <w:i/>
          <w:iCs/>
          <w:szCs w:val="24"/>
          <w:lang w:val="es-ES"/>
        </w:rPr>
        <w:t>7.4.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9E" w:rsidRPr="00303D62" w:rsidRDefault="00AB049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B40E4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9"/>
    <w:rsid w:val="00002529"/>
    <w:rsid w:val="000A663C"/>
    <w:rsid w:val="000C382F"/>
    <w:rsid w:val="001173CC"/>
    <w:rsid w:val="001A54CC"/>
    <w:rsid w:val="002004EE"/>
    <w:rsid w:val="00216130"/>
    <w:rsid w:val="002321F9"/>
    <w:rsid w:val="00256C1E"/>
    <w:rsid w:val="00257FB4"/>
    <w:rsid w:val="002E1350"/>
    <w:rsid w:val="00302F8D"/>
    <w:rsid w:val="00303D62"/>
    <w:rsid w:val="00334D0E"/>
    <w:rsid w:val="00335367"/>
    <w:rsid w:val="00370C2D"/>
    <w:rsid w:val="00375752"/>
    <w:rsid w:val="003D1E8D"/>
    <w:rsid w:val="003D673B"/>
    <w:rsid w:val="003F2855"/>
    <w:rsid w:val="00401C20"/>
    <w:rsid w:val="004069E8"/>
    <w:rsid w:val="004B40E4"/>
    <w:rsid w:val="004C4144"/>
    <w:rsid w:val="00531DCD"/>
    <w:rsid w:val="005401BA"/>
    <w:rsid w:val="00551469"/>
    <w:rsid w:val="00575359"/>
    <w:rsid w:val="005F60F8"/>
    <w:rsid w:val="00601C56"/>
    <w:rsid w:val="00604979"/>
    <w:rsid w:val="00675CCE"/>
    <w:rsid w:val="006969B4"/>
    <w:rsid w:val="006F0242"/>
    <w:rsid w:val="007070EC"/>
    <w:rsid w:val="00716588"/>
    <w:rsid w:val="00781E2A"/>
    <w:rsid w:val="007B500D"/>
    <w:rsid w:val="008258C2"/>
    <w:rsid w:val="008400C9"/>
    <w:rsid w:val="008505BD"/>
    <w:rsid w:val="00850C78"/>
    <w:rsid w:val="0087173F"/>
    <w:rsid w:val="008C17AD"/>
    <w:rsid w:val="008D02CD"/>
    <w:rsid w:val="0095172A"/>
    <w:rsid w:val="00977690"/>
    <w:rsid w:val="009A0BA0"/>
    <w:rsid w:val="009F282C"/>
    <w:rsid w:val="00A04D5A"/>
    <w:rsid w:val="00A54E47"/>
    <w:rsid w:val="00AB049E"/>
    <w:rsid w:val="00AE7093"/>
    <w:rsid w:val="00B422BC"/>
    <w:rsid w:val="00B43F77"/>
    <w:rsid w:val="00B55A3E"/>
    <w:rsid w:val="00B95F0A"/>
    <w:rsid w:val="00B96180"/>
    <w:rsid w:val="00C147AF"/>
    <w:rsid w:val="00C17AC0"/>
    <w:rsid w:val="00C34772"/>
    <w:rsid w:val="00C5465A"/>
    <w:rsid w:val="00C57686"/>
    <w:rsid w:val="00C86322"/>
    <w:rsid w:val="00CE221D"/>
    <w:rsid w:val="00D10FF4"/>
    <w:rsid w:val="00D54642"/>
    <w:rsid w:val="00DD77C9"/>
    <w:rsid w:val="00DE3BD2"/>
    <w:rsid w:val="00DF0874"/>
    <w:rsid w:val="00DF7FEA"/>
    <w:rsid w:val="00E839B0"/>
    <w:rsid w:val="00E92C09"/>
    <w:rsid w:val="00EE03F4"/>
    <w:rsid w:val="00F54731"/>
    <w:rsid w:val="00F6461F"/>
    <w:rsid w:val="00FC45C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87173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customStyle="1" w:styleId="Reasons">
    <w:name w:val="Reasons"/>
    <w:basedOn w:val="Normal"/>
    <w:qFormat/>
    <w:rsid w:val="00334D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514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46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5473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B40E4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87173F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paragraph" w:customStyle="1" w:styleId="Reasons">
    <w:name w:val="Reasons"/>
    <w:basedOn w:val="Normal"/>
    <w:qFormat/>
    <w:rsid w:val="00334D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5514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46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5473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B40E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Res178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jcares178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T09-WTSA.12-C-0125/en" TargetMode="External"/><Relationship Id="rId1" Type="http://schemas.openxmlformats.org/officeDocument/2006/relationships/hyperlink" Target="http://www.itu.int/md/T09-WTSA.12-C-011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F35B-1169-413F-A85E-E548FDA6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6037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2013-05-21T08:01:00Z</cp:lastPrinted>
  <dcterms:created xsi:type="dcterms:W3CDTF">2013-05-30T08:13:00Z</dcterms:created>
  <dcterms:modified xsi:type="dcterms:W3CDTF">2013-05-30T08:13:00Z</dcterms:modified>
</cp:coreProperties>
</file>