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A74465">
      <w:pPr>
        <w:pStyle w:val="Index1"/>
        <w:tabs>
          <w:tab w:val="clear" w:pos="794"/>
          <w:tab w:val="clear" w:pos="1191"/>
          <w:tab w:val="clear" w:pos="1588"/>
          <w:tab w:val="clear" w:pos="1985"/>
          <w:tab w:val="left" w:pos="5387"/>
        </w:tabs>
      </w:pPr>
      <w:r>
        <w:tab/>
        <w:t xml:space="preserve">Geneva, </w:t>
      </w:r>
      <w:r w:rsidR="00A74465">
        <w:t>17</w:t>
      </w:r>
      <w:r w:rsidR="00D56663">
        <w:t xml:space="preserve"> May 2013</w:t>
      </w:r>
    </w:p>
    <w:p w:rsidR="00957FE8" w:rsidRDefault="00957FE8"/>
    <w:tbl>
      <w:tblPr>
        <w:tblW w:w="9865" w:type="dxa"/>
        <w:tblInd w:w="8" w:type="dxa"/>
        <w:tblLayout w:type="fixed"/>
        <w:tblCellMar>
          <w:left w:w="0" w:type="dxa"/>
          <w:right w:w="0" w:type="dxa"/>
        </w:tblCellMar>
        <w:tblLook w:val="0000" w:firstRow="0" w:lastRow="0" w:firstColumn="0" w:lastColumn="0" w:noHBand="0" w:noVBand="0"/>
      </w:tblPr>
      <w:tblGrid>
        <w:gridCol w:w="985"/>
        <w:gridCol w:w="4444"/>
        <w:gridCol w:w="4436"/>
      </w:tblGrid>
      <w:tr w:rsidR="00957FE8" w:rsidTr="00CD5C07">
        <w:trPr>
          <w:cantSplit/>
        </w:trPr>
        <w:tc>
          <w:tcPr>
            <w:tcW w:w="985"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44" w:type="dxa"/>
          </w:tcPr>
          <w:p w:rsidR="00957FE8" w:rsidRDefault="00957FE8" w:rsidP="0039373B">
            <w:pPr>
              <w:tabs>
                <w:tab w:val="left" w:pos="4111"/>
              </w:tabs>
              <w:spacing w:before="0"/>
              <w:rPr>
                <w:b/>
              </w:rPr>
            </w:pPr>
            <w:r>
              <w:rPr>
                <w:b/>
              </w:rPr>
              <w:t xml:space="preserve">TSB Circular </w:t>
            </w:r>
            <w:r w:rsidR="0039373B">
              <w:rPr>
                <w:b/>
              </w:rPr>
              <w:t>26</w:t>
            </w:r>
          </w:p>
          <w:p w:rsidR="00CD5C07" w:rsidRDefault="00CD5C07">
            <w:pPr>
              <w:tabs>
                <w:tab w:val="left" w:pos="4111"/>
              </w:tabs>
              <w:spacing w:before="0"/>
            </w:pPr>
          </w:p>
          <w:p w:rsidR="00957FE8" w:rsidRDefault="00957FE8">
            <w:pPr>
              <w:tabs>
                <w:tab w:val="left" w:pos="4111"/>
              </w:tabs>
              <w:spacing w:before="0"/>
            </w:pPr>
            <w:r>
              <w:br/>
              <w:t xml:space="preserve">+41 22 730 </w:t>
            </w:r>
            <w:r w:rsidR="00CD5C07">
              <w:t>6206</w:t>
            </w:r>
            <w:r>
              <w:b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rsidTr="00CD5C07">
        <w:trPr>
          <w:cantSplit/>
        </w:trPr>
        <w:tc>
          <w:tcPr>
            <w:tcW w:w="985" w:type="dxa"/>
          </w:tcPr>
          <w:p w:rsidR="00957FE8" w:rsidRDefault="00957FE8">
            <w:pPr>
              <w:spacing w:before="10"/>
            </w:pPr>
          </w:p>
          <w:p w:rsidR="00957FE8" w:rsidRDefault="00957FE8">
            <w:pPr>
              <w:spacing w:before="10"/>
            </w:pPr>
            <w:r>
              <w:t>E-mail:</w:t>
            </w:r>
          </w:p>
        </w:tc>
        <w:tc>
          <w:tcPr>
            <w:tcW w:w="4444" w:type="dxa"/>
          </w:tcPr>
          <w:p w:rsidR="00957FE8" w:rsidRDefault="00957FE8">
            <w:pPr>
              <w:tabs>
                <w:tab w:val="left" w:pos="4111"/>
              </w:tabs>
              <w:spacing w:before="0"/>
            </w:pPr>
          </w:p>
          <w:p w:rsidR="00957FE8" w:rsidRDefault="006C0F93" w:rsidP="00CD5C07">
            <w:pPr>
              <w:tabs>
                <w:tab w:val="left" w:pos="4111"/>
              </w:tabs>
              <w:spacing w:before="0"/>
            </w:pPr>
            <w:hyperlink r:id="rId9" w:history="1">
              <w:r w:rsidR="00D56663">
                <w:rPr>
                  <w:rStyle w:val="Hyperlink"/>
                </w:rPr>
                <w:t>tsbjcares178@itu.int</w:t>
              </w:r>
            </w:hyperlink>
          </w:p>
        </w:tc>
        <w:tc>
          <w:tcPr>
            <w:tcW w:w="4436" w:type="dxa"/>
          </w:tcPr>
          <w:p w:rsidR="00957FE8" w:rsidRDefault="00957FE8">
            <w:pPr>
              <w:tabs>
                <w:tab w:val="left" w:pos="4111"/>
              </w:tabs>
              <w:spacing w:before="0"/>
              <w:rPr>
                <w:b/>
              </w:rPr>
            </w:pPr>
            <w:r>
              <w:rPr>
                <w:b/>
              </w:rPr>
              <w:t>Copy:</w:t>
            </w:r>
          </w:p>
          <w:p w:rsidR="00957FE8" w:rsidRDefault="00957FE8" w:rsidP="0067275D">
            <w:pPr>
              <w:tabs>
                <w:tab w:val="clear" w:pos="794"/>
                <w:tab w:val="left" w:pos="233"/>
                <w:tab w:val="left" w:pos="4111"/>
              </w:tabs>
              <w:spacing w:before="0"/>
              <w:ind w:left="233" w:hanging="233"/>
              <w:rPr>
                <w:b/>
              </w:rPr>
            </w:pPr>
            <w:r>
              <w:t>-</w:t>
            </w:r>
            <w:r w:rsidR="00D65862">
              <w:tab/>
            </w:r>
            <w:r>
              <w:t>To the Chairm</w:t>
            </w:r>
            <w:r w:rsidR="0067275D">
              <w:t>e</w:t>
            </w:r>
            <w:r>
              <w:t xml:space="preserve">n and Vice-Chairmen of </w:t>
            </w:r>
            <w:r w:rsidR="00BA102A">
              <w:t xml:space="preserve">ITU-T </w:t>
            </w:r>
            <w:r>
              <w:t>Study Group</w:t>
            </w:r>
            <w:r w:rsidR="0039373B">
              <w:t>s</w:t>
            </w:r>
            <w:r>
              <w:t>;</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 xml:space="preserve">To the Director of the </w:t>
            </w:r>
            <w:proofErr w:type="spellStart"/>
            <w:r>
              <w:t>Radiocommunication</w:t>
            </w:r>
            <w:proofErr w:type="spellEnd"/>
            <w:r>
              <w:t xml:space="preserve"> Bureau</w:t>
            </w:r>
          </w:p>
          <w:p w:rsidR="00957FE8" w:rsidRDefault="00957FE8">
            <w:pPr>
              <w:tabs>
                <w:tab w:val="clear" w:pos="794"/>
                <w:tab w:val="clear" w:pos="1191"/>
                <w:tab w:val="clear" w:pos="1588"/>
                <w:tab w:val="clear" w:pos="1985"/>
                <w:tab w:val="left" w:pos="284"/>
              </w:tabs>
              <w:spacing w:before="0"/>
              <w:ind w:left="284" w:hanging="284"/>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957FE8" w:rsidTr="000E3AB9">
        <w:trPr>
          <w:cantSplit/>
        </w:trPr>
        <w:tc>
          <w:tcPr>
            <w:tcW w:w="1100" w:type="dxa"/>
          </w:tcPr>
          <w:p w:rsidR="00957FE8" w:rsidRDefault="00957FE8">
            <w:pPr>
              <w:tabs>
                <w:tab w:val="left" w:pos="4111"/>
              </w:tabs>
              <w:spacing w:before="10"/>
              <w:ind w:left="57"/>
              <w:rPr>
                <w:sz w:val="22"/>
              </w:rPr>
            </w:pPr>
            <w:r>
              <w:rPr>
                <w:sz w:val="22"/>
              </w:rPr>
              <w:t>Subject:</w:t>
            </w:r>
          </w:p>
        </w:tc>
        <w:tc>
          <w:tcPr>
            <w:tcW w:w="7087" w:type="dxa"/>
          </w:tcPr>
          <w:p w:rsidR="00957FE8" w:rsidRDefault="00CD5C07">
            <w:pPr>
              <w:tabs>
                <w:tab w:val="left" w:pos="4111"/>
              </w:tabs>
              <w:spacing w:before="0"/>
              <w:ind w:left="57" w:right="28"/>
            </w:pPr>
            <w:r w:rsidRPr="00CD5C07">
              <w:rPr>
                <w:b/>
              </w:rPr>
              <w:t>New Joint Coordination Activity (JCA-Res178)</w:t>
            </w:r>
            <w:r>
              <w:rPr>
                <w:b/>
              </w:rPr>
              <w:t xml:space="preserve"> </w:t>
            </w:r>
            <w:r w:rsidRPr="00CD5C07">
              <w:rPr>
                <w:b/>
              </w:rPr>
              <w:t xml:space="preserve">on the implementation of </w:t>
            </w:r>
            <w:r>
              <w:rPr>
                <w:b/>
              </w:rPr>
              <w:t xml:space="preserve">ITU </w:t>
            </w:r>
            <w:r w:rsidRPr="00CD5C07">
              <w:rPr>
                <w:b/>
              </w:rPr>
              <w:t>Plenipotentiary</w:t>
            </w:r>
            <w:r>
              <w:rPr>
                <w:b/>
              </w:rPr>
              <w:t xml:space="preserve"> </w:t>
            </w:r>
            <w:r w:rsidRPr="00CD5C07">
              <w:rPr>
                <w:b/>
              </w:rPr>
              <w:t xml:space="preserve"> Resolution 178 </w:t>
            </w:r>
            <w:r w:rsidR="0039373B">
              <w:rPr>
                <w:b/>
              </w:rPr>
              <w:t>(Guadalajara, 2010</w:t>
            </w:r>
            <w:r w:rsidR="0039373B" w:rsidRPr="00CD5C07">
              <w:rPr>
                <w:b/>
              </w:rPr>
              <w:t>)</w:t>
            </w:r>
            <w:r w:rsidR="0039373B">
              <w:rPr>
                <w:b/>
              </w:rPr>
              <w:t xml:space="preserve"> </w:t>
            </w:r>
            <w:r>
              <w:rPr>
                <w:b/>
              </w:rPr>
              <w:t>‘</w:t>
            </w:r>
            <w:r w:rsidRPr="00CD5C07">
              <w:rPr>
                <w:b/>
              </w:rPr>
              <w:t>Technical Aspects of Telecommunication Networks to Support the Internet</w:t>
            </w:r>
            <w:r>
              <w:rPr>
                <w:b/>
              </w:rPr>
              <w:t xml:space="preserve">’ </w:t>
            </w:r>
          </w:p>
        </w:tc>
      </w:tr>
    </w:tbl>
    <w:p w:rsidR="00957FE8" w:rsidRDefault="00957FE8">
      <w:pPr>
        <w:spacing w:before="160"/>
        <w:ind w:left="-198"/>
        <w:rPr>
          <w:rFonts w:ascii="Century Gothic" w:hAnsi="Century Gothic"/>
          <w:sz w:val="16"/>
        </w:rPr>
      </w:pPr>
    </w:p>
    <w:p w:rsidR="00957FE8" w:rsidRDefault="00957FE8" w:rsidP="00A71BB6">
      <w:bookmarkStart w:id="3" w:name="StartTyping_E"/>
      <w:bookmarkEnd w:id="3"/>
      <w:r>
        <w:t>Dear Sir/Madam,</w:t>
      </w:r>
    </w:p>
    <w:p w:rsidR="00CD5C07" w:rsidRPr="008B58EB" w:rsidRDefault="00CD5C07" w:rsidP="008941E8">
      <w:pPr>
        <w:tabs>
          <w:tab w:val="clear" w:pos="794"/>
          <w:tab w:val="clear" w:pos="1191"/>
          <w:tab w:val="clear" w:pos="1588"/>
          <w:tab w:val="clear" w:pos="1985"/>
        </w:tabs>
        <w:spacing w:after="120"/>
        <w:ind w:right="-170"/>
        <w:rPr>
          <w:rFonts w:asciiTheme="majorBidi" w:hAnsiTheme="majorBidi" w:cstheme="majorBidi"/>
        </w:rPr>
      </w:pPr>
      <w:bookmarkStart w:id="4" w:name="suitetext"/>
      <w:bookmarkStart w:id="5" w:name="text"/>
      <w:bookmarkEnd w:id="4"/>
      <w:bookmarkEnd w:id="5"/>
      <w:r>
        <w:rPr>
          <w:rFonts w:asciiTheme="majorBidi" w:hAnsiTheme="majorBidi" w:cstheme="majorBidi"/>
        </w:rPr>
        <w:t>1</w:t>
      </w:r>
      <w:r>
        <w:rPr>
          <w:rFonts w:asciiTheme="majorBidi" w:hAnsiTheme="majorBidi" w:cstheme="majorBidi"/>
        </w:rPr>
        <w:tab/>
      </w:r>
      <w:r w:rsidRPr="008B58EB">
        <w:rPr>
          <w:rFonts w:asciiTheme="majorBidi" w:hAnsiTheme="majorBidi" w:cstheme="majorBidi"/>
        </w:rPr>
        <w:t xml:space="preserve">It is my pleasure to inform you that </w:t>
      </w:r>
      <w:r w:rsidR="0039373B">
        <w:rPr>
          <w:rFonts w:asciiTheme="majorBidi" w:hAnsiTheme="majorBidi" w:cstheme="majorBidi"/>
        </w:rPr>
        <w:t xml:space="preserve">the </w:t>
      </w:r>
      <w:r>
        <w:rPr>
          <w:rFonts w:asciiTheme="majorBidi" w:hAnsiTheme="majorBidi" w:cstheme="majorBidi"/>
        </w:rPr>
        <w:t>World Telecommunication Standardization Assembly</w:t>
      </w:r>
      <w:r w:rsidRPr="008B58EB">
        <w:rPr>
          <w:rFonts w:asciiTheme="majorBidi" w:hAnsiTheme="majorBidi" w:cstheme="majorBidi"/>
        </w:rPr>
        <w:t xml:space="preserve"> (Dubai, 20-29 November 2012) agreed to the following: </w:t>
      </w:r>
    </w:p>
    <w:p w:rsidR="00CD5C07" w:rsidRPr="008B58EB" w:rsidRDefault="00CD5C07" w:rsidP="008941E8">
      <w:pPr>
        <w:tabs>
          <w:tab w:val="clear" w:pos="794"/>
          <w:tab w:val="clear" w:pos="1191"/>
          <w:tab w:val="clear" w:pos="1588"/>
          <w:tab w:val="clear" w:pos="1985"/>
        </w:tabs>
        <w:ind w:left="567"/>
        <w:jc w:val="both"/>
        <w:rPr>
          <w:rFonts w:asciiTheme="majorBidi" w:hAnsiTheme="majorBidi" w:cstheme="majorBidi"/>
        </w:rPr>
      </w:pPr>
      <w:r w:rsidRPr="008B58EB">
        <w:rPr>
          <w:rFonts w:asciiTheme="majorBidi" w:hAnsiTheme="majorBidi" w:cstheme="majorBidi"/>
        </w:rPr>
        <w:t>1.1</w:t>
      </w:r>
      <w:r w:rsidRPr="008B58EB">
        <w:rPr>
          <w:rFonts w:asciiTheme="majorBidi" w:hAnsiTheme="majorBidi" w:cstheme="majorBidi"/>
        </w:rPr>
        <w:tab/>
        <w:t xml:space="preserve">The establishment of the Joint Coordination Activity (JCA-Res178) on the implementation of the Plenipotentiary Resolution 178 </w:t>
      </w:r>
      <w:r w:rsidRPr="008B58EB">
        <w:rPr>
          <w:rFonts w:asciiTheme="majorBidi" w:hAnsiTheme="majorBidi" w:cstheme="majorBidi"/>
          <w:szCs w:val="24"/>
        </w:rPr>
        <w:t>(Technical Aspects of Telecommunication Networks to Support the Internet</w:t>
      </w:r>
      <w:r>
        <w:rPr>
          <w:rFonts w:asciiTheme="majorBidi" w:hAnsiTheme="majorBidi" w:cstheme="majorBidi"/>
          <w:szCs w:val="24"/>
        </w:rPr>
        <w:t>)</w:t>
      </w:r>
      <w:r w:rsidRPr="008B58EB">
        <w:rPr>
          <w:rFonts w:asciiTheme="majorBidi" w:hAnsiTheme="majorBidi" w:cstheme="majorBidi"/>
          <w:szCs w:val="24"/>
        </w:rPr>
        <w:t xml:space="preserve">, </w:t>
      </w:r>
      <w:r w:rsidRPr="008B58EB">
        <w:rPr>
          <w:rFonts w:asciiTheme="majorBidi" w:hAnsiTheme="majorBidi" w:cstheme="majorBidi"/>
        </w:rPr>
        <w:t xml:space="preserve">with the Terms of References set forth in the attached </w:t>
      </w:r>
      <w:r w:rsidRPr="008B58EB">
        <w:rPr>
          <w:rFonts w:asciiTheme="majorBidi" w:hAnsiTheme="majorBidi" w:cstheme="majorBidi"/>
          <w:b/>
          <w:bCs/>
        </w:rPr>
        <w:t>Annex 1</w:t>
      </w:r>
      <w:r>
        <w:rPr>
          <w:rFonts w:asciiTheme="majorBidi" w:hAnsiTheme="majorBidi" w:cstheme="majorBidi"/>
        </w:rPr>
        <w:t>;</w:t>
      </w:r>
      <w:r w:rsidRPr="008B58EB">
        <w:rPr>
          <w:rFonts w:asciiTheme="majorBidi" w:hAnsiTheme="majorBidi" w:cstheme="majorBidi"/>
        </w:rPr>
        <w:t xml:space="preserve"> </w:t>
      </w:r>
    </w:p>
    <w:p w:rsidR="00CD5C07" w:rsidRPr="008B58EB" w:rsidRDefault="00CD5C07" w:rsidP="008941E8">
      <w:pPr>
        <w:tabs>
          <w:tab w:val="clear" w:pos="794"/>
          <w:tab w:val="clear" w:pos="1191"/>
          <w:tab w:val="clear" w:pos="1588"/>
          <w:tab w:val="clear" w:pos="1985"/>
        </w:tabs>
        <w:ind w:left="567"/>
        <w:jc w:val="both"/>
        <w:rPr>
          <w:rFonts w:asciiTheme="majorBidi" w:hAnsiTheme="majorBidi" w:cstheme="majorBidi"/>
        </w:rPr>
      </w:pPr>
      <w:r w:rsidRPr="008B58EB">
        <w:rPr>
          <w:rFonts w:asciiTheme="majorBidi" w:hAnsiTheme="majorBidi" w:cstheme="majorBidi"/>
        </w:rPr>
        <w:t>1.2</w:t>
      </w:r>
      <w:r w:rsidRPr="008B58EB">
        <w:rPr>
          <w:rFonts w:asciiTheme="majorBidi" w:hAnsiTheme="majorBidi" w:cstheme="majorBidi"/>
        </w:rPr>
        <w:tab/>
        <w:t>That the JCA-Res178 shall report to TSAG</w:t>
      </w:r>
      <w:r>
        <w:rPr>
          <w:rFonts w:asciiTheme="majorBidi" w:hAnsiTheme="majorBidi" w:cstheme="majorBidi"/>
        </w:rPr>
        <w:t>;</w:t>
      </w:r>
      <w:r w:rsidRPr="008B58EB">
        <w:rPr>
          <w:rFonts w:asciiTheme="majorBidi" w:hAnsiTheme="majorBidi" w:cstheme="majorBidi"/>
        </w:rPr>
        <w:t xml:space="preserve"> </w:t>
      </w:r>
    </w:p>
    <w:p w:rsidR="00CD5C07" w:rsidRPr="008B58EB" w:rsidRDefault="00CD5C07" w:rsidP="008941E8">
      <w:pPr>
        <w:tabs>
          <w:tab w:val="clear" w:pos="794"/>
          <w:tab w:val="clear" w:pos="1191"/>
          <w:tab w:val="clear" w:pos="1588"/>
          <w:tab w:val="clear" w:pos="1985"/>
        </w:tabs>
        <w:ind w:left="567"/>
        <w:jc w:val="both"/>
        <w:rPr>
          <w:rFonts w:asciiTheme="majorBidi" w:hAnsiTheme="majorBidi" w:cstheme="majorBidi"/>
        </w:rPr>
      </w:pPr>
      <w:r w:rsidRPr="008B58EB">
        <w:rPr>
          <w:rFonts w:asciiTheme="majorBidi" w:hAnsiTheme="majorBidi" w:cstheme="majorBidi"/>
        </w:rPr>
        <w:t>1.3</w:t>
      </w:r>
      <w:r w:rsidRPr="008B58EB">
        <w:rPr>
          <w:rFonts w:asciiTheme="majorBidi" w:hAnsiTheme="majorBidi" w:cstheme="majorBidi"/>
        </w:rPr>
        <w:tab/>
        <w:t xml:space="preserve">The JCA-Res178 is open primarily for designated official representatives of ITU-T Study Groups as described </w:t>
      </w:r>
      <w:r w:rsidRPr="008B58EB">
        <w:rPr>
          <w:rFonts w:asciiTheme="majorBidi" w:eastAsia="Malgun Gothic" w:hAnsiTheme="majorBidi" w:cstheme="majorBidi"/>
        </w:rPr>
        <w:t xml:space="preserve">by 2.2.3 of Recommendation ITU-T A.1, together with representatives from the </w:t>
      </w:r>
      <w:r w:rsidR="0039373B">
        <w:rPr>
          <w:rFonts w:asciiTheme="majorBidi" w:eastAsia="Malgun Gothic" w:hAnsiTheme="majorBidi" w:cstheme="majorBidi"/>
        </w:rPr>
        <w:t>M</w:t>
      </w:r>
      <w:r w:rsidR="0039373B" w:rsidRPr="008B58EB">
        <w:rPr>
          <w:rFonts w:asciiTheme="majorBidi" w:eastAsia="Malgun Gothic" w:hAnsiTheme="majorBidi" w:cstheme="majorBidi"/>
        </w:rPr>
        <w:t xml:space="preserve">embers </w:t>
      </w:r>
      <w:r w:rsidRPr="008B58EB">
        <w:rPr>
          <w:rFonts w:asciiTheme="majorBidi" w:eastAsia="Malgun Gothic" w:hAnsiTheme="majorBidi" w:cstheme="majorBidi"/>
        </w:rPr>
        <w:t>of the ITU-T.</w:t>
      </w:r>
      <w:r w:rsidRPr="008B58EB">
        <w:rPr>
          <w:rFonts w:asciiTheme="majorBidi" w:hAnsiTheme="majorBidi" w:cstheme="majorBidi"/>
        </w:rPr>
        <w:t xml:space="preserve"> </w:t>
      </w:r>
    </w:p>
    <w:p w:rsidR="00CD5C07" w:rsidRPr="008B58EB" w:rsidRDefault="00CD5C07" w:rsidP="008941E8">
      <w:pPr>
        <w:tabs>
          <w:tab w:val="clear" w:pos="794"/>
          <w:tab w:val="clear" w:pos="1191"/>
          <w:tab w:val="clear" w:pos="1588"/>
          <w:tab w:val="clear" w:pos="1985"/>
        </w:tabs>
        <w:jc w:val="both"/>
        <w:rPr>
          <w:rFonts w:asciiTheme="majorBidi" w:hAnsiTheme="majorBidi" w:cstheme="majorBidi"/>
        </w:rPr>
      </w:pPr>
      <w:r w:rsidRPr="008B58EB">
        <w:rPr>
          <w:rFonts w:asciiTheme="majorBidi" w:hAnsiTheme="majorBidi" w:cstheme="majorBidi"/>
        </w:rPr>
        <w:t>2</w:t>
      </w:r>
      <w:r w:rsidRPr="008B58EB">
        <w:rPr>
          <w:rFonts w:asciiTheme="majorBidi" w:hAnsiTheme="majorBidi" w:cstheme="majorBidi"/>
        </w:rPr>
        <w:tab/>
        <w:t>The scope of JCA-Res178 is</w:t>
      </w:r>
      <w:r w:rsidRPr="008B58EB">
        <w:rPr>
          <w:rFonts w:asciiTheme="majorBidi" w:hAnsiTheme="majorBidi" w:cstheme="majorBidi"/>
          <w:szCs w:val="24"/>
        </w:rPr>
        <w:t xml:space="preserve"> to coordinate and identify ITU-T work on aspects of telecommunication networks to support the Internet that help advance network evolution, capacity, continuity, interoperability and security, through contribution-based work; and to coordinate ITU-T contributions to the implementation of WSIS.</w:t>
      </w:r>
    </w:p>
    <w:p w:rsidR="00CD5C07" w:rsidRPr="008B58EB" w:rsidRDefault="00CD5C07" w:rsidP="008941E8">
      <w:pPr>
        <w:tabs>
          <w:tab w:val="clear" w:pos="794"/>
          <w:tab w:val="clear" w:pos="1191"/>
          <w:tab w:val="clear" w:pos="1588"/>
          <w:tab w:val="clear" w:pos="1985"/>
        </w:tabs>
        <w:jc w:val="both"/>
        <w:rPr>
          <w:rFonts w:asciiTheme="majorBidi" w:hAnsiTheme="majorBidi" w:cstheme="majorBidi"/>
        </w:rPr>
      </w:pPr>
      <w:r w:rsidRPr="008B58EB">
        <w:rPr>
          <w:rFonts w:asciiTheme="majorBidi" w:hAnsiTheme="majorBidi" w:cstheme="majorBidi"/>
        </w:rPr>
        <w:t>3</w:t>
      </w:r>
      <w:r w:rsidRPr="008B58EB">
        <w:rPr>
          <w:rFonts w:asciiTheme="majorBidi" w:hAnsiTheme="majorBidi" w:cstheme="majorBidi"/>
        </w:rPr>
        <w:tab/>
        <w:t xml:space="preserve">To gain momentum in achieving its first objective, the JCA-Res178 is planning to start its first e-meeting to initiate the activity of identifying, collecting and </w:t>
      </w:r>
      <w:proofErr w:type="spellStart"/>
      <w:r w:rsidRPr="008B58EB">
        <w:rPr>
          <w:rFonts w:asciiTheme="majorBidi" w:hAnsiTheme="majorBidi" w:cstheme="majorBidi"/>
        </w:rPr>
        <w:t>analyzing</w:t>
      </w:r>
      <w:proofErr w:type="spellEnd"/>
      <w:r w:rsidRPr="008B58EB">
        <w:rPr>
          <w:rFonts w:asciiTheme="majorBidi" w:hAnsiTheme="majorBidi" w:cstheme="majorBidi"/>
        </w:rPr>
        <w:t xml:space="preserve"> the related technical standardization that is currently being</w:t>
      </w:r>
      <w:r>
        <w:rPr>
          <w:rFonts w:asciiTheme="majorBidi" w:hAnsiTheme="majorBidi" w:cstheme="majorBidi"/>
        </w:rPr>
        <w:t xml:space="preserve"> studied in the ITU-T </w:t>
      </w:r>
      <w:r w:rsidRPr="008B58EB">
        <w:rPr>
          <w:rFonts w:asciiTheme="majorBidi" w:hAnsiTheme="majorBidi" w:cstheme="majorBidi"/>
        </w:rPr>
        <w:t xml:space="preserve">and any other relevant activity in the ITU-T, with the support of the designated officials joining the JCA-Res178 from all ITU-T Study Groups. This activity will facilitate attaining subsequent objectives of the JCA-Res178 as articulated </w:t>
      </w:r>
      <w:r w:rsidRPr="008B58EB">
        <w:rPr>
          <w:rFonts w:asciiTheme="majorBidi" w:hAnsiTheme="majorBidi" w:cstheme="majorBidi"/>
        </w:rPr>
        <w:lastRenderedPageBreak/>
        <w:t>in its T</w:t>
      </w:r>
      <w:r w:rsidR="00690A75">
        <w:rPr>
          <w:rFonts w:asciiTheme="majorBidi" w:hAnsiTheme="majorBidi" w:cstheme="majorBidi"/>
        </w:rPr>
        <w:t xml:space="preserve">erms </w:t>
      </w:r>
      <w:r w:rsidRPr="008B58EB">
        <w:rPr>
          <w:rFonts w:asciiTheme="majorBidi" w:hAnsiTheme="majorBidi" w:cstheme="majorBidi"/>
        </w:rPr>
        <w:t>o</w:t>
      </w:r>
      <w:r w:rsidR="00690A75">
        <w:rPr>
          <w:rFonts w:asciiTheme="majorBidi" w:hAnsiTheme="majorBidi" w:cstheme="majorBidi"/>
        </w:rPr>
        <w:t xml:space="preserve">f </w:t>
      </w:r>
      <w:r w:rsidRPr="008B58EB">
        <w:rPr>
          <w:rFonts w:asciiTheme="majorBidi" w:hAnsiTheme="majorBidi" w:cstheme="majorBidi"/>
        </w:rPr>
        <w:t>R</w:t>
      </w:r>
      <w:r w:rsidR="00690A75">
        <w:rPr>
          <w:rFonts w:asciiTheme="majorBidi" w:hAnsiTheme="majorBidi" w:cstheme="majorBidi"/>
        </w:rPr>
        <w:t>eference</w:t>
      </w:r>
      <w:r w:rsidRPr="008B58EB">
        <w:rPr>
          <w:rFonts w:asciiTheme="majorBidi" w:hAnsiTheme="majorBidi" w:cstheme="majorBidi"/>
        </w:rPr>
        <w:t>. Relevant SDOs and forums will be identified and invited to participate in the JCA-Res178 as appropriate to facilitate co-ordination of activities.</w:t>
      </w:r>
    </w:p>
    <w:p w:rsidR="00CD5C07" w:rsidRDefault="00CD5C07" w:rsidP="008941E8">
      <w:pPr>
        <w:jc w:val="both"/>
      </w:pPr>
      <w:r>
        <w:rPr>
          <w:rFonts w:asciiTheme="majorBidi" w:hAnsiTheme="majorBidi" w:cstheme="majorBidi"/>
        </w:rPr>
        <w:t>4</w:t>
      </w:r>
      <w:r w:rsidRPr="008B58EB">
        <w:rPr>
          <w:rFonts w:asciiTheme="majorBidi" w:hAnsiTheme="majorBidi" w:cstheme="majorBidi"/>
        </w:rPr>
        <w:tab/>
        <w:t xml:space="preserve">The first e-meeting of JCA-Res178 is scheduled to take place on </w:t>
      </w:r>
      <w:r w:rsidR="008941E8">
        <w:rPr>
          <w:rFonts w:asciiTheme="majorBidi" w:hAnsiTheme="majorBidi" w:cstheme="majorBidi"/>
        </w:rPr>
        <w:t>5 June 2013 from</w:t>
      </w:r>
      <w:r w:rsidRPr="00CD5C07">
        <w:rPr>
          <w:rFonts w:asciiTheme="majorBidi" w:hAnsiTheme="majorBidi" w:cstheme="majorBidi"/>
        </w:rPr>
        <w:t xml:space="preserve"> 17:30 </w:t>
      </w:r>
      <w:r w:rsidR="008941E8">
        <w:rPr>
          <w:rFonts w:asciiTheme="majorBidi" w:hAnsiTheme="majorBidi" w:cstheme="majorBidi"/>
        </w:rPr>
        <w:t xml:space="preserve">to </w:t>
      </w:r>
      <w:r w:rsidRPr="00CD5C07">
        <w:rPr>
          <w:rFonts w:asciiTheme="majorBidi" w:hAnsiTheme="majorBidi" w:cstheme="majorBidi"/>
        </w:rPr>
        <w:t>19:30.</w:t>
      </w:r>
      <w:r w:rsidRPr="008B58EB">
        <w:rPr>
          <w:rFonts w:asciiTheme="majorBidi" w:hAnsiTheme="majorBidi" w:cstheme="majorBidi"/>
        </w:rPr>
        <w:t xml:space="preserve"> Per the working procedures of this group, the meeting will be supported by </w:t>
      </w:r>
      <w:r w:rsidR="008941E8">
        <w:rPr>
          <w:rFonts w:asciiTheme="majorBidi" w:hAnsiTheme="majorBidi" w:cstheme="majorBidi"/>
        </w:rPr>
        <w:t>remote collaboration tools.</w:t>
      </w:r>
      <w:r w:rsidRPr="008B58EB">
        <w:rPr>
          <w:rFonts w:asciiTheme="majorBidi" w:hAnsiTheme="majorBidi" w:cstheme="majorBidi"/>
        </w:rPr>
        <w:t xml:space="preserve"> </w:t>
      </w:r>
      <w:r w:rsidR="008941E8">
        <w:rPr>
          <w:rFonts w:asciiTheme="majorBidi" w:hAnsiTheme="majorBidi" w:cstheme="majorBidi"/>
        </w:rPr>
        <w:t>D</w:t>
      </w:r>
      <w:r w:rsidRPr="008B58EB">
        <w:rPr>
          <w:rFonts w:asciiTheme="majorBidi" w:hAnsiTheme="majorBidi" w:cstheme="majorBidi"/>
        </w:rPr>
        <w:t>etails are available on the JCA-Res178 homepage</w:t>
      </w:r>
      <w:r w:rsidR="008941E8">
        <w:rPr>
          <w:rFonts w:asciiTheme="majorBidi" w:hAnsiTheme="majorBidi" w:cstheme="majorBidi"/>
        </w:rPr>
        <w:t>:</w:t>
      </w:r>
      <w:r w:rsidRPr="008B58EB">
        <w:rPr>
          <w:rFonts w:asciiTheme="majorBidi" w:hAnsiTheme="majorBidi" w:cstheme="majorBidi"/>
        </w:rPr>
        <w:t xml:space="preserve"> </w:t>
      </w:r>
      <w:hyperlink r:id="rId10" w:history="1">
        <w:r>
          <w:rPr>
            <w:rStyle w:val="Hyperlink"/>
          </w:rPr>
          <w:t>http://www.itu.int/en/ITU-T/jca/Res178/Pages/default.aspx</w:t>
        </w:r>
      </w:hyperlink>
      <w:r>
        <w:t>.</w:t>
      </w:r>
    </w:p>
    <w:p w:rsidR="00CD5C07" w:rsidRPr="008B58EB" w:rsidRDefault="00CD5C07">
      <w:pPr>
        <w:jc w:val="both"/>
        <w:rPr>
          <w:rFonts w:asciiTheme="majorBidi" w:hAnsiTheme="majorBidi" w:cstheme="majorBidi"/>
        </w:rPr>
      </w:pPr>
      <w:r>
        <w:rPr>
          <w:rFonts w:asciiTheme="majorBidi" w:hAnsiTheme="majorBidi" w:cstheme="majorBidi"/>
        </w:rPr>
        <w:t>5</w:t>
      </w:r>
      <w:r w:rsidRPr="008B58EB">
        <w:rPr>
          <w:rFonts w:asciiTheme="majorBidi" w:hAnsiTheme="majorBidi" w:cstheme="majorBidi"/>
        </w:rPr>
        <w:tab/>
        <w:t xml:space="preserve">I am confident that ITU-T will meet the expectations of its </w:t>
      </w:r>
      <w:r w:rsidR="0039373B">
        <w:rPr>
          <w:rFonts w:asciiTheme="majorBidi" w:hAnsiTheme="majorBidi" w:cstheme="majorBidi"/>
        </w:rPr>
        <w:t>M</w:t>
      </w:r>
      <w:r w:rsidR="0039373B" w:rsidRPr="008B58EB">
        <w:rPr>
          <w:rFonts w:asciiTheme="majorBidi" w:hAnsiTheme="majorBidi" w:cstheme="majorBidi"/>
        </w:rPr>
        <w:t xml:space="preserve">embers </w:t>
      </w:r>
      <w:r w:rsidRPr="008B58EB">
        <w:rPr>
          <w:rFonts w:asciiTheme="majorBidi" w:hAnsiTheme="majorBidi" w:cstheme="majorBidi"/>
        </w:rPr>
        <w:t xml:space="preserve">to tackle the challenges on activities related to the </w:t>
      </w:r>
      <w:r w:rsidRPr="008B58EB">
        <w:rPr>
          <w:rFonts w:asciiTheme="majorBidi" w:hAnsiTheme="majorBidi" w:cstheme="majorBidi"/>
          <w:szCs w:val="24"/>
        </w:rPr>
        <w:t>technical aspects of telecommunication networks that support the Internet</w:t>
      </w:r>
      <w:r w:rsidRPr="008B58EB">
        <w:rPr>
          <w:rFonts w:asciiTheme="majorBidi" w:hAnsiTheme="majorBidi" w:cstheme="majorBidi"/>
        </w:rPr>
        <w:t xml:space="preserve">. </w:t>
      </w:r>
    </w:p>
    <w:p w:rsidR="00957FE8" w:rsidRDefault="00957FE8">
      <w:pPr>
        <w:spacing w:before="480"/>
        <w:ind w:right="92"/>
      </w:pPr>
      <w:r>
        <w:t>Yours faithfully,</w:t>
      </w:r>
    </w:p>
    <w:p w:rsidR="00957FE8" w:rsidRDefault="0094379E" w:rsidP="00690A75">
      <w:pPr>
        <w:pStyle w:val="BodyText3"/>
        <w:spacing w:before="1200"/>
      </w:pPr>
      <w:r w:rsidRPr="0094379E">
        <w:rPr>
          <w:lang w:val="en-US"/>
        </w:rPr>
        <w:t>Malcolm Johnson</w:t>
      </w:r>
      <w:r w:rsidR="00957FE8">
        <w:br/>
        <w:t>Director of the Telecommunication</w:t>
      </w:r>
      <w:r w:rsidR="00957FE8">
        <w:br/>
        <w:t>Standardization Bureau</w:t>
      </w:r>
    </w:p>
    <w:p w:rsidR="00957FE8" w:rsidRPr="00AD6650" w:rsidRDefault="00A271F0">
      <w:pPr>
        <w:spacing w:before="720"/>
        <w:ind w:right="92"/>
        <w:rPr>
          <w:lang w:val="en-US"/>
        </w:rPr>
      </w:pPr>
      <w:r w:rsidRPr="00A271F0">
        <w:rPr>
          <w:b/>
          <w:lang w:val="en-US"/>
        </w:rPr>
        <w:t>Annex:</w:t>
      </w:r>
      <w:r w:rsidR="00D56663">
        <w:rPr>
          <w:b/>
          <w:lang w:val="en-US"/>
        </w:rPr>
        <w:t xml:space="preserve"> </w:t>
      </w:r>
      <w:r w:rsidR="00CD5C07">
        <w:rPr>
          <w:b/>
          <w:lang w:val="en-US"/>
        </w:rPr>
        <w:t>1</w:t>
      </w:r>
    </w:p>
    <w:p w:rsidR="00957FE8" w:rsidRDefault="00A271F0" w:rsidP="00CD5C07">
      <w:pPr>
        <w:pStyle w:val="LetterStart"/>
        <w:tabs>
          <w:tab w:val="clear" w:pos="1361"/>
          <w:tab w:val="clear" w:pos="1758"/>
          <w:tab w:val="clear" w:pos="2155"/>
          <w:tab w:val="clear" w:pos="2552"/>
          <w:tab w:val="center" w:pos="4962"/>
        </w:tabs>
        <w:spacing w:before="120" w:line="240" w:lineRule="atLeast"/>
      </w:pPr>
      <w:r w:rsidRPr="00A271F0">
        <w:rPr>
          <w:lang w:val="en-US"/>
        </w:rPr>
        <w:br w:type="page"/>
      </w:r>
      <w:bookmarkStart w:id="6" w:name="Duties"/>
      <w:bookmarkEnd w:id="6"/>
      <w:r w:rsidRPr="00A271F0">
        <w:rPr>
          <w:lang w:val="en-US"/>
        </w:rPr>
        <w:lastRenderedPageBreak/>
        <w:tab/>
      </w:r>
    </w:p>
    <w:p w:rsidR="00CD5C07" w:rsidRPr="00FC5A72" w:rsidRDefault="00CD5C07">
      <w:pPr>
        <w:jc w:val="center"/>
      </w:pPr>
      <w:r>
        <w:t>ANNEX 1</w:t>
      </w:r>
      <w:r>
        <w:br/>
      </w:r>
      <w:r w:rsidRPr="00FC5A72">
        <w:t xml:space="preserve">(to TSB Circular </w:t>
      </w:r>
      <w:r w:rsidR="0039373B">
        <w:t>26</w:t>
      </w:r>
      <w:r w:rsidRPr="00FC5A72">
        <w:t>)</w:t>
      </w:r>
    </w:p>
    <w:p w:rsidR="00CD5C07" w:rsidRDefault="00CD5C07" w:rsidP="00CD5C07">
      <w:pPr>
        <w:jc w:val="center"/>
        <w:rPr>
          <w:b/>
          <w:bCs/>
          <w:i/>
          <w:iCs/>
          <w:sz w:val="32"/>
          <w:szCs w:val="32"/>
        </w:rPr>
      </w:pPr>
      <w:r>
        <w:rPr>
          <w:b/>
          <w:bCs/>
          <w:i/>
          <w:iCs/>
          <w:sz w:val="32"/>
          <w:szCs w:val="32"/>
        </w:rPr>
        <w:t>JCA-Res178</w:t>
      </w:r>
    </w:p>
    <w:p w:rsidR="00CD5C07" w:rsidRDefault="00CD5C07" w:rsidP="00CD5C07">
      <w:pPr>
        <w:jc w:val="center"/>
        <w:rPr>
          <w:b/>
          <w:bCs/>
          <w:i/>
          <w:iCs/>
          <w:sz w:val="32"/>
          <w:szCs w:val="32"/>
        </w:rPr>
      </w:pPr>
      <w:r w:rsidRPr="00263821">
        <w:rPr>
          <w:szCs w:val="24"/>
        </w:rPr>
        <w:t>(Technical Aspects of Telecommunication Networks to Support the Internet)</w:t>
      </w:r>
      <w:r w:rsidRPr="00263821">
        <w:rPr>
          <w:rStyle w:val="FootnoteReference"/>
          <w:szCs w:val="24"/>
        </w:rPr>
        <w:footnoteReference w:id="1"/>
      </w:r>
    </w:p>
    <w:p w:rsidR="00CD5C07" w:rsidRDefault="00CD5C07" w:rsidP="00CD5C07">
      <w:pPr>
        <w:jc w:val="center"/>
        <w:rPr>
          <w:b/>
          <w:bCs/>
        </w:rPr>
      </w:pPr>
      <w:r>
        <w:rPr>
          <w:b/>
          <w:bCs/>
        </w:rPr>
        <w:t xml:space="preserve">Joint </w:t>
      </w:r>
      <w:r>
        <w:rPr>
          <w:b/>
          <w:bCs/>
          <w:i/>
          <w:iCs/>
        </w:rPr>
        <w:t>Coordination</w:t>
      </w:r>
      <w:r>
        <w:rPr>
          <w:b/>
          <w:bCs/>
        </w:rPr>
        <w:t xml:space="preserve"> Activity on the implementation of Resolution 178 of the Plenipotentiary Conference (Guadalajara, 2010) </w:t>
      </w:r>
      <w:r>
        <w:rPr>
          <w:b/>
          <w:bCs/>
          <w:i/>
          <w:iCs/>
        </w:rPr>
        <w:t>“ITU role in organizing the work on technical aspects of telecommunication networks to support the Internet”</w:t>
      </w:r>
    </w:p>
    <w:p w:rsidR="00CD5C07" w:rsidRDefault="00CD5C07" w:rsidP="00CD5C07">
      <w:r>
        <w:rPr>
          <w:b/>
          <w:bCs/>
        </w:rPr>
        <w:t xml:space="preserve">  </w:t>
      </w:r>
    </w:p>
    <w:p w:rsidR="00CD5C07" w:rsidRDefault="00CD5C07" w:rsidP="00CD5C07">
      <w:pPr>
        <w:pStyle w:val="Heading3"/>
        <w:rPr>
          <w:bCs/>
        </w:rPr>
      </w:pPr>
      <w:r>
        <w:rPr>
          <w:b w:val="0"/>
        </w:rPr>
        <w:t>Convenors:</w:t>
      </w:r>
      <w:r>
        <w:rPr>
          <w:b w:val="0"/>
        </w:rPr>
        <w:tab/>
      </w:r>
      <w:r>
        <w:rPr>
          <w:b w:val="0"/>
          <w:bCs/>
        </w:rPr>
        <w:tab/>
      </w:r>
    </w:p>
    <w:p w:rsidR="00CD5C07" w:rsidRPr="00D56663" w:rsidRDefault="00CD5C07" w:rsidP="00CD5C07">
      <w:pPr>
        <w:pStyle w:val="ListParagraph"/>
        <w:spacing w:before="60"/>
        <w:ind w:left="360"/>
        <w:rPr>
          <w:rFonts w:ascii="Times New Roman" w:hAnsi="Times New Roman" w:cs="Times New Roman"/>
        </w:rPr>
      </w:pPr>
      <w:r w:rsidRPr="00D56663">
        <w:rPr>
          <w:rFonts w:ascii="Times New Roman" w:hAnsi="Times New Roman" w:cs="Times New Roman"/>
          <w:lang w:val="en-GB"/>
        </w:rPr>
        <w:t xml:space="preserve">Sherif </w:t>
      </w:r>
      <w:proofErr w:type="spellStart"/>
      <w:r w:rsidRPr="00D56663">
        <w:rPr>
          <w:rFonts w:ascii="Times New Roman" w:hAnsi="Times New Roman" w:cs="Times New Roman"/>
          <w:lang w:val="en-GB"/>
        </w:rPr>
        <w:t>Guinena</w:t>
      </w:r>
      <w:proofErr w:type="spellEnd"/>
      <w:r w:rsidRPr="00D56663">
        <w:rPr>
          <w:rFonts w:ascii="Times New Roman" w:hAnsi="Times New Roman" w:cs="Times New Roman"/>
          <w:lang w:val="en-GB"/>
        </w:rPr>
        <w:t xml:space="preserve"> (Egypt)</w:t>
      </w:r>
      <w:r w:rsidRPr="00D56663">
        <w:rPr>
          <w:rFonts w:ascii="Times New Roman" w:hAnsi="Times New Roman" w:cs="Times New Roman"/>
          <w:lang w:val="en-GB"/>
        </w:rPr>
        <w:br/>
        <w:t>Philip Rushton (UK)</w:t>
      </w:r>
    </w:p>
    <w:p w:rsidR="00CD5C07" w:rsidRDefault="00CD5C07" w:rsidP="00CD5C07">
      <w:pPr>
        <w:pStyle w:val="Heading3"/>
        <w:numPr>
          <w:ilvl w:val="0"/>
          <w:numId w:val="3"/>
        </w:num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jc w:val="both"/>
      </w:pPr>
      <w:r>
        <w:rPr>
          <w:b w:val="0"/>
        </w:rPr>
        <w:t>Scope</w:t>
      </w:r>
    </w:p>
    <w:p w:rsidR="00CD5C07" w:rsidRPr="00263821" w:rsidRDefault="00CD5C07" w:rsidP="00CD5C07">
      <w:pPr>
        <w:pStyle w:val="ListParagraph"/>
        <w:spacing w:before="60"/>
        <w:ind w:left="360"/>
        <w:jc w:val="both"/>
        <w:rPr>
          <w:rFonts w:ascii="Times New Roman" w:hAnsi="Times New Roman" w:cs="Times New Roman"/>
          <w:szCs w:val="24"/>
        </w:rPr>
      </w:pPr>
      <w:r w:rsidRPr="00263821">
        <w:rPr>
          <w:rFonts w:ascii="Times New Roman" w:hAnsi="Times New Roman" w:cs="Times New Roman"/>
          <w:szCs w:val="24"/>
        </w:rPr>
        <w:t>The scope of the JCA-Res 178 (Technical Aspects of Telecommunication Networks to support the Internet) is to coordinate and identify ITU-T work on aspects of telecommunication networks to support the Internet that help advance network evolution, capacity, continuity, interoperability and security, through contribution-based work; and to coordinate ITU-T contributions to the implementation of WSIS.</w:t>
      </w:r>
    </w:p>
    <w:p w:rsidR="00CD5C07" w:rsidRDefault="00CD5C07" w:rsidP="00CD5C07">
      <w:pPr>
        <w:pStyle w:val="Heading3"/>
        <w:numPr>
          <w:ilvl w:val="0"/>
          <w:numId w:val="3"/>
        </w:num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jc w:val="both"/>
      </w:pPr>
      <w:r>
        <w:rPr>
          <w:b w:val="0"/>
        </w:rPr>
        <w:t>Terms of Reference</w:t>
      </w:r>
    </w:p>
    <w:p w:rsidR="00CD5C07" w:rsidRPr="00263821" w:rsidRDefault="00CD5C07" w:rsidP="00CD5C07">
      <w:pPr>
        <w:pStyle w:val="ListParagraph"/>
        <w:numPr>
          <w:ilvl w:val="1"/>
          <w:numId w:val="3"/>
        </w:numPr>
        <w:spacing w:before="60"/>
        <w:jc w:val="both"/>
        <w:rPr>
          <w:rFonts w:ascii="Times New Roman" w:hAnsi="Times New Roman" w:cs="Times New Roman"/>
        </w:rPr>
      </w:pPr>
      <w:r w:rsidRPr="00263821">
        <w:rPr>
          <w:rFonts w:ascii="Times New Roman" w:hAnsi="Times New Roman" w:cs="Times New Roman"/>
        </w:rPr>
        <w:t>To identify, collect and analyze the related technical standardization that is currently being studied in the ITU-T; and any other relevant activity in ITU-T.</w:t>
      </w:r>
    </w:p>
    <w:p w:rsidR="00CD5C07" w:rsidRPr="00263821" w:rsidRDefault="00CD5C07" w:rsidP="00CD5C07">
      <w:pPr>
        <w:pStyle w:val="ListParagraph"/>
        <w:numPr>
          <w:ilvl w:val="1"/>
          <w:numId w:val="3"/>
        </w:numPr>
        <w:jc w:val="both"/>
        <w:rPr>
          <w:rFonts w:ascii="Times New Roman" w:hAnsi="Times New Roman" w:cs="Times New Roman"/>
        </w:rPr>
      </w:pPr>
      <w:r w:rsidRPr="00263821">
        <w:rPr>
          <w:rFonts w:ascii="Times New Roman" w:hAnsi="Times New Roman" w:cs="Times New Roman"/>
        </w:rPr>
        <w:t xml:space="preserve">To facilitate co-ordination with relevant SDOs and forums. </w:t>
      </w:r>
    </w:p>
    <w:p w:rsidR="00CD5C07" w:rsidRPr="00263821" w:rsidRDefault="00CD5C07" w:rsidP="00CD5C07">
      <w:pPr>
        <w:pStyle w:val="ListParagraph"/>
        <w:numPr>
          <w:ilvl w:val="1"/>
          <w:numId w:val="3"/>
        </w:numPr>
        <w:jc w:val="both"/>
        <w:rPr>
          <w:rFonts w:ascii="Times New Roman" w:hAnsi="Times New Roman" w:cs="Times New Roman"/>
          <w:lang w:eastAsia="zh-CN"/>
        </w:rPr>
      </w:pPr>
      <w:r w:rsidRPr="00263821">
        <w:rPr>
          <w:rFonts w:ascii="Times New Roman" w:hAnsi="Times New Roman" w:cs="Times New Roman"/>
          <w:lang w:eastAsia="zh-CN"/>
        </w:rPr>
        <w:t>To identify topics to be proposed for Study Groups to consider within their remit to enhance the development of the technical aspects of telecommunication networks for supporting the Internet, in order to help advance network evolution, capacity, continuity, interoperability and security, through contribution-based work.</w:t>
      </w:r>
    </w:p>
    <w:p w:rsidR="00CD5C07" w:rsidRPr="00263821" w:rsidRDefault="00CD5C07" w:rsidP="00CD5C07">
      <w:pPr>
        <w:pStyle w:val="ListParagraph"/>
        <w:numPr>
          <w:ilvl w:val="1"/>
          <w:numId w:val="3"/>
        </w:numPr>
        <w:jc w:val="both"/>
        <w:rPr>
          <w:rFonts w:ascii="Times New Roman" w:hAnsi="Times New Roman" w:cs="Times New Roman"/>
        </w:rPr>
      </w:pPr>
      <w:r w:rsidRPr="00263821">
        <w:rPr>
          <w:rFonts w:ascii="Times New Roman" w:hAnsi="Times New Roman" w:cs="Times New Roman"/>
        </w:rPr>
        <w:t>As appropriate, to propose creation of joint working parties or other groups</w:t>
      </w:r>
    </w:p>
    <w:p w:rsidR="00CD5C07" w:rsidRDefault="00CD5C07" w:rsidP="00CD5C07">
      <w:pPr>
        <w:pStyle w:val="Heading3"/>
        <w:numPr>
          <w:ilvl w:val="0"/>
          <w:numId w:val="3"/>
        </w:numPr>
        <w:tabs>
          <w:tab w:val="clear" w:pos="2127"/>
          <w:tab w:val="clear" w:pos="2410"/>
          <w:tab w:val="clear" w:pos="2921"/>
          <w:tab w:val="clear" w:pos="3261"/>
          <w:tab w:val="left" w:pos="1191"/>
          <w:tab w:val="left" w:pos="1588"/>
          <w:tab w:val="left" w:pos="1985"/>
        </w:tabs>
        <w:overflowPunct w:val="0"/>
        <w:autoSpaceDE w:val="0"/>
        <w:autoSpaceDN w:val="0"/>
        <w:adjustRightInd w:val="0"/>
        <w:spacing w:beforeLines="150" w:before="360"/>
        <w:jc w:val="both"/>
      </w:pPr>
      <w:r>
        <w:rPr>
          <w:b w:val="0"/>
        </w:rPr>
        <w:t>Method of Working</w:t>
      </w:r>
    </w:p>
    <w:p w:rsidR="00CD5C07" w:rsidRPr="00263821" w:rsidRDefault="00CD5C07" w:rsidP="00CD5C07">
      <w:pPr>
        <w:pStyle w:val="ListParagraph"/>
        <w:spacing w:before="60" w:after="0"/>
        <w:ind w:left="360"/>
        <w:jc w:val="both"/>
        <w:rPr>
          <w:rFonts w:ascii="Times New Roman" w:hAnsi="Times New Roman" w:cs="Times New Roman"/>
          <w:color w:val="000000"/>
          <w:szCs w:val="24"/>
        </w:rPr>
      </w:pPr>
      <w:r w:rsidRPr="00263821">
        <w:rPr>
          <w:rFonts w:ascii="Times New Roman" w:hAnsi="Times New Roman" w:cs="Times New Roman"/>
          <w:szCs w:val="24"/>
        </w:rPr>
        <w:t xml:space="preserve">The JCA-Res178 will primarily work electronically, utilizing conference calls and emails, facilitated with intermittent face-to-face meetings when </w:t>
      </w:r>
      <w:r w:rsidRPr="00263821">
        <w:rPr>
          <w:rFonts w:ascii="Times New Roman" w:hAnsi="Times New Roman" w:cs="Times New Roman"/>
          <w:color w:val="000000"/>
          <w:szCs w:val="24"/>
        </w:rPr>
        <w:t>absolutely necessary required; any face-to-face meetings would normally take place within the context of other relevant ITU-T meetings, and would also assure availability of electronic conferencing means for remote participation.</w:t>
      </w:r>
    </w:p>
    <w:p w:rsidR="00CD5C07" w:rsidRPr="00263821" w:rsidRDefault="00CD5C07" w:rsidP="00CD5C07">
      <w:pPr>
        <w:pStyle w:val="ListParagraph"/>
        <w:ind w:left="360"/>
        <w:rPr>
          <w:rFonts w:ascii="Times New Roman" w:hAnsi="Times New Roman" w:cs="Times New Roman"/>
          <w:color w:val="000000"/>
          <w:szCs w:val="24"/>
        </w:rPr>
      </w:pPr>
    </w:p>
    <w:p w:rsidR="00957FE8" w:rsidRDefault="00CD5C07" w:rsidP="00CD5C07">
      <w:pPr>
        <w:spacing w:before="0" w:line="240" w:lineRule="atLeast"/>
        <w:ind w:left="360" w:right="453"/>
      </w:pPr>
      <w:r w:rsidRPr="00263821">
        <w:rPr>
          <w:color w:val="000000"/>
          <w:szCs w:val="24"/>
        </w:rPr>
        <w:t xml:space="preserve">The JCA shall </w:t>
      </w:r>
      <w:r w:rsidRPr="00263821">
        <w:rPr>
          <w:szCs w:val="24"/>
        </w:rPr>
        <w:t>report to TSAG</w:t>
      </w:r>
      <w:r>
        <w:rPr>
          <w:szCs w:val="24"/>
        </w:rPr>
        <w:t xml:space="preserve">. </w:t>
      </w:r>
      <w:r w:rsidRPr="00263821">
        <w:rPr>
          <w:szCs w:val="24"/>
        </w:rPr>
        <w:br/>
      </w:r>
    </w:p>
    <w:p w:rsidR="0039373B" w:rsidRDefault="0039373B" w:rsidP="00CD5C07">
      <w:pPr>
        <w:spacing w:before="0" w:line="240" w:lineRule="atLeast"/>
        <w:ind w:left="360" w:right="453"/>
      </w:pPr>
    </w:p>
    <w:p w:rsidR="0039373B" w:rsidRPr="00CD5C07" w:rsidRDefault="0039373B" w:rsidP="00D56663">
      <w:pPr>
        <w:spacing w:before="0" w:line="240" w:lineRule="atLeast"/>
        <w:ind w:left="360" w:right="453"/>
        <w:jc w:val="center"/>
      </w:pPr>
      <w:r>
        <w:t>______________</w:t>
      </w:r>
    </w:p>
    <w:sectPr w:rsidR="0039373B" w:rsidRPr="00CD5C07" w:rsidSect="00690A75">
      <w:headerReference w:type="default" r:id="rId11"/>
      <w:footerReference w:type="default" r:id="rId12"/>
      <w:footerReference w:type="first" r:id="rId13"/>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32" w:rsidRDefault="00DE6A32">
      <w:r>
        <w:separator/>
      </w:r>
    </w:p>
  </w:endnote>
  <w:endnote w:type="continuationSeparator" w:id="0">
    <w:p w:rsidR="00DE6A32" w:rsidRDefault="00DE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FE8" w:rsidRPr="00D210B7" w:rsidRDefault="000203F8" w:rsidP="00A74465">
    <w:pPr>
      <w:pStyle w:val="Footer"/>
    </w:pPr>
    <w:r>
      <w:t>ITU-T\BUREAU\CIRC</w:t>
    </w:r>
    <w:r w:rsidR="0039373B">
      <w:t>\26</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C4" w:rsidRDefault="00AE03C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0294274" r:id="rId2">
          <o:FieldCodes>\s</o:FieldCodes>
        </o:OLEObject>
      </w:object>
    </w:r>
  </w:p>
  <w:p w:rsidR="00AE03C4" w:rsidRPr="00AE03C4" w:rsidRDefault="00AE03C4"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32" w:rsidRDefault="00DE6A32">
      <w:r>
        <w:t>____________________</w:t>
      </w:r>
    </w:p>
  </w:footnote>
  <w:footnote w:type="continuationSeparator" w:id="0">
    <w:p w:rsidR="00DE6A32" w:rsidRDefault="00DE6A32">
      <w:r>
        <w:continuationSeparator/>
      </w:r>
    </w:p>
  </w:footnote>
  <w:footnote w:id="1">
    <w:p w:rsidR="00CD5C07" w:rsidRPr="00A74465" w:rsidRDefault="00CD5C07" w:rsidP="0039373B">
      <w:pPr>
        <w:pStyle w:val="FootnoteText"/>
        <w:rPr>
          <w:sz w:val="22"/>
          <w:szCs w:val="22"/>
          <w:lang w:val="fr-FR"/>
        </w:rPr>
      </w:pPr>
      <w:r w:rsidRPr="00A74465">
        <w:rPr>
          <w:rStyle w:val="FootnoteReference"/>
          <w:sz w:val="20"/>
        </w:rPr>
        <w:footnoteRef/>
      </w:r>
      <w:r w:rsidRPr="00A74465">
        <w:rPr>
          <w:sz w:val="20"/>
          <w:lang w:val="fr-FR"/>
        </w:rPr>
        <w:t xml:space="preserve"> </w:t>
      </w:r>
      <w:proofErr w:type="spellStart"/>
      <w:r w:rsidRPr="00A74465">
        <w:rPr>
          <w:b/>
          <w:bCs/>
          <w:i/>
          <w:iCs/>
          <w:sz w:val="22"/>
          <w:szCs w:val="22"/>
          <w:lang w:val="fr-FR"/>
        </w:rPr>
        <w:t>References</w:t>
      </w:r>
      <w:proofErr w:type="spellEnd"/>
      <w:r w:rsidRPr="00A74465">
        <w:rPr>
          <w:b/>
          <w:bCs/>
          <w:i/>
          <w:iCs/>
          <w:sz w:val="22"/>
          <w:szCs w:val="22"/>
          <w:lang w:val="fr-FR"/>
        </w:rPr>
        <w:t xml:space="preserve"> </w:t>
      </w:r>
      <w:proofErr w:type="gramStart"/>
      <w:r w:rsidRPr="00A74465">
        <w:rPr>
          <w:b/>
          <w:bCs/>
          <w:i/>
          <w:iCs/>
          <w:sz w:val="22"/>
          <w:szCs w:val="22"/>
          <w:lang w:val="fr-FR"/>
        </w:rPr>
        <w:t>:</w:t>
      </w:r>
      <w:r w:rsidRPr="00A74465">
        <w:rPr>
          <w:b/>
          <w:bCs/>
          <w:sz w:val="20"/>
          <w:lang w:val="fr-FR"/>
        </w:rPr>
        <w:t xml:space="preserve">  </w:t>
      </w:r>
      <w:proofErr w:type="gramEnd"/>
      <w:r w:rsidR="006C0F93">
        <w:fldChar w:fldCharType="begin"/>
      </w:r>
      <w:r w:rsidR="006C0F93" w:rsidRPr="006C0F93">
        <w:rPr>
          <w:lang w:val="fr-FR"/>
        </w:rPr>
        <w:instrText xml:space="preserve"> HYPERLINK "http://www.itu.int/md/T09-WTSA.12-C-0114/en" </w:instrText>
      </w:r>
      <w:r w:rsidR="006C0F93">
        <w:fldChar w:fldCharType="separate"/>
      </w:r>
      <w:r w:rsidRPr="00A74465">
        <w:rPr>
          <w:rStyle w:val="Hyperlink"/>
          <w:sz w:val="20"/>
          <w:lang w:val="fr-FR"/>
        </w:rPr>
        <w:t>T09-WTSA.12-C-0114</w:t>
      </w:r>
      <w:r w:rsidR="006C0F93">
        <w:rPr>
          <w:rStyle w:val="Hyperlink"/>
          <w:sz w:val="20"/>
          <w:lang w:val="fr-FR"/>
        </w:rPr>
        <w:fldChar w:fldCharType="end"/>
      </w:r>
      <w:r w:rsidRPr="00A74465">
        <w:rPr>
          <w:sz w:val="20"/>
          <w:lang w:val="fr-FR"/>
        </w:rPr>
        <w:t xml:space="preserve">,  </w:t>
      </w:r>
      <w:r w:rsidR="006C0F93">
        <w:fldChar w:fldCharType="begin"/>
      </w:r>
      <w:r w:rsidR="006C0F93" w:rsidRPr="006C0F93">
        <w:rPr>
          <w:lang w:val="fr-FR"/>
        </w:rPr>
        <w:instrText xml:space="preserve"> HYPERLINK "http://www.itu.int/md/T09-WTSA.12-C-0125/en" </w:instrText>
      </w:r>
      <w:r w:rsidR="006C0F93">
        <w:fldChar w:fldCharType="separate"/>
      </w:r>
      <w:r w:rsidRPr="00A74465">
        <w:rPr>
          <w:rStyle w:val="Hyperlink"/>
          <w:sz w:val="20"/>
          <w:lang w:val="fr-FR"/>
        </w:rPr>
        <w:t>T09-WTSA.12-C-0125</w:t>
      </w:r>
      <w:r w:rsidR="006C0F93">
        <w:rPr>
          <w:rStyle w:val="Hyperlink"/>
          <w:sz w:val="20"/>
          <w:lang w:val="fr-FR"/>
        </w:rPr>
        <w:fldChar w:fldCharType="end"/>
      </w:r>
      <w:r w:rsidRPr="00A74465">
        <w:rPr>
          <w:sz w:val="20"/>
          <w:lang w:val="fr-FR"/>
        </w:rPr>
        <w:t xml:space="preserve"> </w:t>
      </w:r>
      <w:proofErr w:type="spellStart"/>
      <w:r w:rsidRPr="00A74465">
        <w:rPr>
          <w:i/>
          <w:iCs/>
          <w:sz w:val="22"/>
          <w:szCs w:val="22"/>
          <w:lang w:val="fr-FR"/>
        </w:rPr>
        <w:t>paragraph</w:t>
      </w:r>
      <w:proofErr w:type="spellEnd"/>
      <w:r w:rsidRPr="00A74465">
        <w:rPr>
          <w:i/>
          <w:iCs/>
          <w:sz w:val="22"/>
          <w:szCs w:val="22"/>
          <w:lang w:val="fr-FR"/>
        </w:rPr>
        <w:t xml:space="preserve">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C4" w:rsidRDefault="00AE03C4" w:rsidP="00AE03C4">
    <w:pPr>
      <w:pStyle w:val="Header"/>
    </w:pPr>
    <w:r>
      <w:t xml:space="preserve">- </w:t>
    </w:r>
    <w:r w:rsidR="00BB7AB5">
      <w:fldChar w:fldCharType="begin"/>
    </w:r>
    <w:r w:rsidR="00BB7AB5">
      <w:instrText>PAGE</w:instrText>
    </w:r>
    <w:r w:rsidR="00BB7AB5">
      <w:fldChar w:fldCharType="separate"/>
    </w:r>
    <w:r w:rsidR="006C0F93">
      <w:rPr>
        <w:noProof/>
      </w:rPr>
      <w:t>3</w:t>
    </w:r>
    <w:r w:rsidR="00BB7AB5">
      <w:rPr>
        <w:noProof/>
      </w:rPr>
      <w:fldChar w:fldCharType="end"/>
    </w:r>
    <w:r>
      <w:t xml:space="preserve"> -</w:t>
    </w:r>
  </w:p>
  <w:p w:rsidR="00AE03C4" w:rsidRPr="00AE03C4" w:rsidRDefault="00AE03C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184E82"/>
    <w:multiLevelType w:val="multilevel"/>
    <w:tmpl w:val="59BE42D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306FA"/>
    <w:rsid w:val="000A5C7A"/>
    <w:rsid w:val="000E3AB9"/>
    <w:rsid w:val="00175B33"/>
    <w:rsid w:val="001D0E99"/>
    <w:rsid w:val="001F5A0A"/>
    <w:rsid w:val="00203E8E"/>
    <w:rsid w:val="00231600"/>
    <w:rsid w:val="002748D1"/>
    <w:rsid w:val="002B3EBC"/>
    <w:rsid w:val="00324733"/>
    <w:rsid w:val="00353FD6"/>
    <w:rsid w:val="0039373B"/>
    <w:rsid w:val="003F4C91"/>
    <w:rsid w:val="004331A5"/>
    <w:rsid w:val="004458C6"/>
    <w:rsid w:val="00542F1F"/>
    <w:rsid w:val="005C3BC8"/>
    <w:rsid w:val="00614EB6"/>
    <w:rsid w:val="00630399"/>
    <w:rsid w:val="0067275D"/>
    <w:rsid w:val="00690A75"/>
    <w:rsid w:val="00691E1A"/>
    <w:rsid w:val="006A4665"/>
    <w:rsid w:val="006C0F93"/>
    <w:rsid w:val="00724BF9"/>
    <w:rsid w:val="00755140"/>
    <w:rsid w:val="007823D7"/>
    <w:rsid w:val="0078643B"/>
    <w:rsid w:val="00817F1B"/>
    <w:rsid w:val="008733CD"/>
    <w:rsid w:val="008941E8"/>
    <w:rsid w:val="008A7DE3"/>
    <w:rsid w:val="008B1814"/>
    <w:rsid w:val="009346DD"/>
    <w:rsid w:val="0094379E"/>
    <w:rsid w:val="00957C6D"/>
    <w:rsid w:val="00957FE8"/>
    <w:rsid w:val="00983E4F"/>
    <w:rsid w:val="00A068B2"/>
    <w:rsid w:val="00A26BA7"/>
    <w:rsid w:val="00A271F0"/>
    <w:rsid w:val="00A41CDD"/>
    <w:rsid w:val="00A706B6"/>
    <w:rsid w:val="00A71BB6"/>
    <w:rsid w:val="00A74465"/>
    <w:rsid w:val="00AD6650"/>
    <w:rsid w:val="00AE03C4"/>
    <w:rsid w:val="00B47ED0"/>
    <w:rsid w:val="00BA102A"/>
    <w:rsid w:val="00BB7AB5"/>
    <w:rsid w:val="00BE6F29"/>
    <w:rsid w:val="00C135BF"/>
    <w:rsid w:val="00C67AB9"/>
    <w:rsid w:val="00C72170"/>
    <w:rsid w:val="00C91490"/>
    <w:rsid w:val="00C92C20"/>
    <w:rsid w:val="00CA303D"/>
    <w:rsid w:val="00CD5C07"/>
    <w:rsid w:val="00D210B7"/>
    <w:rsid w:val="00D52ABF"/>
    <w:rsid w:val="00D56663"/>
    <w:rsid w:val="00D65862"/>
    <w:rsid w:val="00DE6A32"/>
    <w:rsid w:val="00E00CF3"/>
    <w:rsid w:val="00E20C97"/>
    <w:rsid w:val="00EF7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542F1F"/>
    <w:rPr>
      <w:position w:val="6"/>
      <w:sz w:val="16"/>
    </w:rPr>
  </w:style>
  <w:style w:type="paragraph" w:styleId="FootnoteText">
    <w:name w:val="footnote text"/>
    <w:basedOn w:val="Normal"/>
    <w:link w:val="FootnoteTextChar"/>
    <w:uiPriority w:val="99"/>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paragraph" w:styleId="ListParagraph">
    <w:name w:val="List Paragraph"/>
    <w:basedOn w:val="Normal"/>
    <w:uiPriority w:val="34"/>
    <w:qFormat/>
    <w:rsid w:val="00CD5C07"/>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rPr>
  </w:style>
  <w:style w:type="character" w:customStyle="1" w:styleId="FootnoteTextChar">
    <w:name w:val="Footnote Text Char"/>
    <w:basedOn w:val="DefaultParagraphFont"/>
    <w:link w:val="FootnoteText"/>
    <w:uiPriority w:val="99"/>
    <w:semiHidden/>
    <w:rsid w:val="00CD5C07"/>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542F1F"/>
    <w:rPr>
      <w:position w:val="6"/>
      <w:sz w:val="16"/>
    </w:rPr>
  </w:style>
  <w:style w:type="paragraph" w:styleId="FootnoteText">
    <w:name w:val="footnote text"/>
    <w:basedOn w:val="Normal"/>
    <w:link w:val="FootnoteTextChar"/>
    <w:uiPriority w:val="99"/>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paragraph" w:styleId="ListParagraph">
    <w:name w:val="List Paragraph"/>
    <w:basedOn w:val="Normal"/>
    <w:uiPriority w:val="34"/>
    <w:qFormat/>
    <w:rsid w:val="00CD5C07"/>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rPr>
  </w:style>
  <w:style w:type="character" w:customStyle="1" w:styleId="FootnoteTextChar">
    <w:name w:val="Footnote Text Char"/>
    <w:basedOn w:val="DefaultParagraphFont"/>
    <w:link w:val="FootnoteText"/>
    <w:uiPriority w:val="99"/>
    <w:semiHidden/>
    <w:rsid w:val="00CD5C0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T/jca/Res178/Pages/default.aspx" TargetMode="External"/><Relationship Id="rId4" Type="http://schemas.openxmlformats.org/officeDocument/2006/relationships/settings" Target="settings.xml"/><Relationship Id="rId9" Type="http://schemas.openxmlformats.org/officeDocument/2006/relationships/hyperlink" Target="mailto:tsbjcares178@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4990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2013-05-17T08:05:00Z</cp:lastPrinted>
  <dcterms:created xsi:type="dcterms:W3CDTF">2013-05-17T09:12:00Z</dcterms:created>
  <dcterms:modified xsi:type="dcterms:W3CDTF">2013-05-17T09:12:00Z</dcterms:modified>
</cp:coreProperties>
</file>