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517A03" w:rsidRPr="00F50108" w:rsidTr="009D51FA">
        <w:trPr>
          <w:cantSplit/>
        </w:trPr>
        <w:tc>
          <w:tcPr>
            <w:tcW w:w="6426" w:type="dxa"/>
            <w:vAlign w:val="center"/>
          </w:tcPr>
          <w:p w:rsidR="00517A03" w:rsidRPr="00E329A5" w:rsidRDefault="00517A03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517A03" w:rsidRPr="00F50108" w:rsidRDefault="001026FD" w:rsidP="00A5280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2" name="Picture 2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03" w:rsidRPr="006A675E" w:rsidTr="009D51FA">
        <w:trPr>
          <w:cantSplit/>
        </w:trPr>
        <w:tc>
          <w:tcPr>
            <w:tcW w:w="6426" w:type="dxa"/>
            <w:vAlign w:val="center"/>
          </w:tcPr>
          <w:p w:rsidR="00517A03" w:rsidRPr="00F50108" w:rsidRDefault="00517A03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517A03" w:rsidRPr="006A675E" w:rsidRDefault="00517A03" w:rsidP="00A5280F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17A03" w:rsidRDefault="00517A03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>
        <w:tab/>
        <w:t xml:space="preserve">Genève, le </w:t>
      </w:r>
      <w:r w:rsidR="00EF31C7">
        <w:t>3 mai 2013</w:t>
      </w:r>
    </w:p>
    <w:p w:rsidR="00517A03" w:rsidRPr="006427A1" w:rsidRDefault="00517A03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 w:val="10"/>
          <w:szCs w:val="10"/>
        </w:rPr>
      </w:pPr>
    </w:p>
    <w:p w:rsidR="00517A03" w:rsidRDefault="00517A03" w:rsidP="00A5280F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517A03" w:rsidTr="009D51FA">
        <w:trPr>
          <w:cantSplit/>
          <w:trHeight w:val="340"/>
        </w:trPr>
        <w:tc>
          <w:tcPr>
            <w:tcW w:w="822" w:type="dxa"/>
          </w:tcPr>
          <w:p w:rsidR="00517A03" w:rsidRDefault="00517A03" w:rsidP="00A5280F">
            <w:pPr>
              <w:tabs>
                <w:tab w:val="left" w:pos="4111"/>
              </w:tabs>
              <w:spacing w:before="10"/>
              <w:ind w:left="57"/>
            </w:pPr>
            <w:r>
              <w:t>Réf.:</w:t>
            </w:r>
          </w:p>
          <w:p w:rsidR="00517A03" w:rsidRDefault="00517A03" w:rsidP="00A5280F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A5280F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A5280F">
            <w:pPr>
              <w:tabs>
                <w:tab w:val="left" w:pos="4111"/>
              </w:tabs>
              <w:spacing w:before="10"/>
              <w:ind w:left="57"/>
            </w:pPr>
            <w:r>
              <w:t>Tél.:</w:t>
            </w:r>
            <w:r>
              <w:br/>
              <w:t>Fax:</w:t>
            </w:r>
            <w:r>
              <w:br/>
              <w:t>E-mail:</w:t>
            </w:r>
          </w:p>
        </w:tc>
        <w:tc>
          <w:tcPr>
            <w:tcW w:w="4055" w:type="dxa"/>
          </w:tcPr>
          <w:p w:rsidR="00517A03" w:rsidRDefault="00EF31C7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rPr>
                <w:b/>
              </w:rPr>
              <w:t>Circulaire TSB 24</w:t>
            </w:r>
          </w:p>
          <w:p w:rsidR="00517A03" w:rsidRDefault="00517A03" w:rsidP="00EF31C7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t xml:space="preserve">COM </w:t>
            </w:r>
            <w:r w:rsidR="00EF31C7">
              <w:t>17/MEU</w:t>
            </w:r>
          </w:p>
          <w:p w:rsidR="00517A03" w:rsidRDefault="00517A03" w:rsidP="00A5280F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EF31C7">
            <w:pPr>
              <w:tabs>
                <w:tab w:val="left" w:pos="4111"/>
              </w:tabs>
              <w:spacing w:before="10"/>
              <w:ind w:left="57"/>
            </w:pPr>
            <w:r>
              <w:t xml:space="preserve">+41 22 730 </w:t>
            </w:r>
            <w:proofErr w:type="gramStart"/>
            <w:r w:rsidR="00EF31C7">
              <w:t>5866</w:t>
            </w:r>
            <w:r>
              <w:br/>
              <w:t>+41 22 730 5853</w:t>
            </w:r>
            <w:r>
              <w:br/>
            </w:r>
            <w:hyperlink r:id="rId10" w:history="1">
              <w:r w:rsidR="00EF31C7" w:rsidRPr="00C65D14">
                <w:rPr>
                  <w:rStyle w:val="Hyperlink"/>
                </w:rPr>
                <w:t>tsbsg17@itu.int</w:t>
              </w:r>
              <w:proofErr w:type="gramEnd"/>
            </w:hyperlink>
          </w:p>
        </w:tc>
        <w:tc>
          <w:tcPr>
            <w:tcW w:w="5046" w:type="dxa"/>
          </w:tcPr>
          <w:p w:rsidR="00517A03" w:rsidRDefault="00517A03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>
              <w:t>-</w:t>
            </w:r>
            <w:r>
              <w:tab/>
              <w:t>Aux administrations des Etats Membres de l</w:t>
            </w:r>
            <w:r w:rsidR="00194499">
              <w:t>'</w:t>
            </w:r>
            <w:r>
              <w:t>Union</w:t>
            </w:r>
          </w:p>
        </w:tc>
      </w:tr>
      <w:tr w:rsidR="00517A03" w:rsidTr="009D51FA">
        <w:trPr>
          <w:cantSplit/>
        </w:trPr>
        <w:tc>
          <w:tcPr>
            <w:tcW w:w="822" w:type="dxa"/>
          </w:tcPr>
          <w:p w:rsidR="00517A03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</w:p>
        </w:tc>
        <w:tc>
          <w:tcPr>
            <w:tcW w:w="4055" w:type="dxa"/>
          </w:tcPr>
          <w:p w:rsidR="00517A03" w:rsidRDefault="00517A03" w:rsidP="00A5280F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</w:tcPr>
          <w:p w:rsidR="00517A03" w:rsidRDefault="00517A03" w:rsidP="00A5280F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517A03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517A03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Associés de l</w:t>
            </w:r>
            <w:r w:rsidR="00194499">
              <w:t>'</w:t>
            </w:r>
            <w:r>
              <w:t>UIT-T;</w:t>
            </w:r>
          </w:p>
          <w:p w:rsidR="00517A03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="000C56BE">
              <w:t>Aux établissements universitaires participant aux travaux de l</w:t>
            </w:r>
            <w:r w:rsidR="00194499">
              <w:t>'</w:t>
            </w:r>
            <w:r w:rsidR="000C56BE">
              <w:t>UIT-T;</w:t>
            </w:r>
          </w:p>
          <w:p w:rsidR="00517A03" w:rsidRDefault="00517A03" w:rsidP="00EF31C7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Aux Président et Vice-Présidents de la Commission d</w:t>
            </w:r>
            <w:r w:rsidR="00194499">
              <w:t>'</w:t>
            </w:r>
            <w:r>
              <w:t xml:space="preserve">études </w:t>
            </w:r>
            <w:r w:rsidR="00EF31C7">
              <w:t>17</w:t>
            </w:r>
            <w:r>
              <w:t>;</w:t>
            </w:r>
          </w:p>
          <w:p w:rsidR="00517A03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517A03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des</w:t>
            </w:r>
            <w:r>
              <w:br/>
              <w:t>radiocommunications</w:t>
            </w:r>
          </w:p>
        </w:tc>
      </w:tr>
    </w:tbl>
    <w:p w:rsidR="00517A03" w:rsidRDefault="00517A03" w:rsidP="00A5280F">
      <w:pPr>
        <w:tabs>
          <w:tab w:val="left" w:pos="4111"/>
        </w:tabs>
        <w:spacing w:before="0"/>
        <w:ind w:left="5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6825"/>
      </w:tblGrid>
      <w:tr w:rsidR="00517A03" w:rsidTr="002D5A18">
        <w:trPr>
          <w:cantSplit/>
          <w:trHeight w:val="680"/>
        </w:trPr>
        <w:tc>
          <w:tcPr>
            <w:tcW w:w="822" w:type="dxa"/>
          </w:tcPr>
          <w:p w:rsidR="00517A03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6825" w:type="dxa"/>
          </w:tcPr>
          <w:p w:rsidR="00EF31C7" w:rsidRPr="006F23D1" w:rsidRDefault="00EF31C7" w:rsidP="002D5A18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6F23D1">
              <w:rPr>
                <w:b/>
              </w:rPr>
              <w:t>Réunion de la Commission d</w:t>
            </w:r>
            <w:r w:rsidR="00194499">
              <w:rPr>
                <w:b/>
              </w:rPr>
              <w:t>'</w:t>
            </w:r>
            <w:r w:rsidRPr="006F23D1">
              <w:rPr>
                <w:b/>
              </w:rPr>
              <w:t>études 17 en vue d</w:t>
            </w:r>
            <w:r w:rsidR="00194499">
              <w:rPr>
                <w:b/>
              </w:rPr>
              <w:t>'</w:t>
            </w:r>
            <w:r w:rsidRPr="006F23D1">
              <w:rPr>
                <w:b/>
              </w:rPr>
              <w:t>approuver les projets de nouvelle Recommandation UIT-T X.1208 et X.1255 conformément aux dispositions de la Section 9 de la Résolution 1 de l</w:t>
            </w:r>
            <w:r w:rsidR="00194499">
              <w:rPr>
                <w:b/>
              </w:rPr>
              <w:t>'</w:t>
            </w:r>
            <w:r w:rsidRPr="006F23D1">
              <w:rPr>
                <w:b/>
              </w:rPr>
              <w:t>AMNT (Dubaï, 2012),</w:t>
            </w:r>
          </w:p>
          <w:p w:rsidR="00517A03" w:rsidRDefault="00EF31C7" w:rsidP="00EF31C7">
            <w:pPr>
              <w:tabs>
                <w:tab w:val="left" w:pos="4111"/>
              </w:tabs>
              <w:spacing w:before="0"/>
              <w:ind w:left="57"/>
            </w:pPr>
            <w:r w:rsidRPr="006F23D1">
              <w:rPr>
                <w:b/>
              </w:rPr>
              <w:t>Genève, le 4 septembre 2013</w:t>
            </w:r>
          </w:p>
        </w:tc>
      </w:tr>
    </w:tbl>
    <w:p w:rsidR="00517A03" w:rsidRDefault="00517A03" w:rsidP="00EF31C7">
      <w:pPr>
        <w:pStyle w:val="Normalaftertitle"/>
      </w:pPr>
      <w:bookmarkStart w:id="1" w:name="StartTyping_F"/>
      <w:bookmarkEnd w:id="1"/>
      <w:r>
        <w:t>Madame, Monsieur,</w:t>
      </w:r>
    </w:p>
    <w:p w:rsidR="00EF31C7" w:rsidRPr="00553CD1" w:rsidRDefault="00EF31C7" w:rsidP="002D5A18">
      <w:r w:rsidRPr="00553CD1">
        <w:rPr>
          <w:bCs/>
        </w:rPr>
        <w:t>1</w:t>
      </w:r>
      <w:r w:rsidRPr="00553CD1">
        <w:tab/>
        <w:t>A la demande du Président de la Commission d</w:t>
      </w:r>
      <w:r w:rsidR="00194499">
        <w:t>'</w:t>
      </w:r>
      <w:r w:rsidRPr="00553CD1">
        <w:t>études 17</w:t>
      </w:r>
      <w:r w:rsidR="002D5A18">
        <w:t>,</w:t>
      </w:r>
      <w:r w:rsidRPr="00553CD1">
        <w:t xml:space="preserve"> </w:t>
      </w:r>
      <w:r w:rsidRPr="00EF31C7">
        <w:rPr>
          <w:i/>
        </w:rPr>
        <w:t>Sécurité</w:t>
      </w:r>
      <w:r w:rsidRPr="00553CD1">
        <w:t>, j</w:t>
      </w:r>
      <w:r w:rsidR="00194499">
        <w:t>'</w:t>
      </w:r>
      <w:r w:rsidRPr="00553CD1">
        <w:t>ai l</w:t>
      </w:r>
      <w:r w:rsidR="00194499">
        <w:t>'</w:t>
      </w:r>
      <w:r w:rsidRPr="00553CD1">
        <w:t>honneur de vous informer que ladite Commission d</w:t>
      </w:r>
      <w:r w:rsidR="00194499">
        <w:t>'</w:t>
      </w:r>
      <w:r w:rsidRPr="00553CD1">
        <w:t>études, qui se réunira du 26 août au 4 septembre 2013, a l</w:t>
      </w:r>
      <w:r w:rsidR="00194499">
        <w:t>'</w:t>
      </w:r>
      <w:r w:rsidRPr="00553CD1">
        <w:t>intention d</w:t>
      </w:r>
      <w:r w:rsidR="00194499">
        <w:t>'</w:t>
      </w:r>
      <w:r w:rsidRPr="00553CD1">
        <w:t>appliquer la procédure décrite dans la Section 9 de la Résolution 1 de l</w:t>
      </w:r>
      <w:r w:rsidR="00194499">
        <w:t>'</w:t>
      </w:r>
      <w:r w:rsidRPr="00553CD1">
        <w:t>AMNT (Dubaï, 2012) pour l</w:t>
      </w:r>
      <w:r w:rsidR="00194499">
        <w:t>'</w:t>
      </w:r>
      <w:r w:rsidRPr="00553CD1">
        <w:t>approbation des projets de nouvelle Recommandation mentionnés ci-dessus.</w:t>
      </w:r>
    </w:p>
    <w:p w:rsidR="00517A03" w:rsidRDefault="00EF31C7" w:rsidP="00EF31C7">
      <w:r w:rsidRPr="00553CD1">
        <w:rPr>
          <w:bCs/>
        </w:rPr>
        <w:t>2</w:t>
      </w:r>
      <w:r w:rsidRPr="00553CD1">
        <w:tab/>
        <w:t>Vous trouverez dans l</w:t>
      </w:r>
      <w:r w:rsidR="00194499">
        <w:t>'</w:t>
      </w:r>
      <w:r w:rsidRPr="00553CD1">
        <w:rPr>
          <w:b/>
        </w:rPr>
        <w:t>Annexe 1</w:t>
      </w:r>
      <w:r w:rsidRPr="00553CD1">
        <w:t xml:space="preserve"> le titre, le résumé et la localisation des projets de nouvelle Recommandation UIT-T proposés pour approbation.</w:t>
      </w:r>
    </w:p>
    <w:p w:rsidR="00EF31C7" w:rsidRDefault="00EF31C7" w:rsidP="00EF31C7">
      <w:r w:rsidRPr="00553CD1">
        <w:rPr>
          <w:bCs/>
        </w:rPr>
        <w:t>3</w:t>
      </w:r>
      <w:r w:rsidRPr="00553CD1">
        <w:tab/>
        <w:t>Tout Etat Membre, Membre de Secteur, Associé de l</w:t>
      </w:r>
      <w:r w:rsidR="00194499">
        <w:t>'</w:t>
      </w:r>
      <w:r w:rsidRPr="00553CD1">
        <w:t>UIT ou établissement universitaire participant aux travaux de l</w:t>
      </w:r>
      <w:r w:rsidR="00194499">
        <w:t>'</w:t>
      </w:r>
      <w:r w:rsidRPr="00553CD1">
        <w:t>UIT constatant qu</w:t>
      </w:r>
      <w:r w:rsidR="00194499">
        <w:t>'</w:t>
      </w:r>
      <w:r w:rsidRPr="00553CD1">
        <w:t xml:space="preserve">un brevet, dont lui ou une autre organisation est </w:t>
      </w:r>
      <w:proofErr w:type="gramStart"/>
      <w:r w:rsidRPr="00553CD1">
        <w:t>titulaire</w:t>
      </w:r>
      <w:proofErr w:type="gramEnd"/>
      <w:r w:rsidRPr="00553CD1">
        <w:t>, couvre peut-être, en totalité ou en partie, des éléments des projets de Recommandation qu</w:t>
      </w:r>
      <w:r w:rsidR="00194499">
        <w:t>'</w:t>
      </w:r>
      <w:r w:rsidRPr="00553CD1">
        <w:t>il est proposé d</w:t>
      </w:r>
      <w:r w:rsidR="00194499">
        <w:t>'</w:t>
      </w:r>
      <w:r w:rsidRPr="00553CD1">
        <w:t>approuver est invité à communiquer ces renseignements au TSB, conformément à la politique commune de l</w:t>
      </w:r>
      <w:r w:rsidR="00194499">
        <w:t>'</w:t>
      </w:r>
      <w:r w:rsidRPr="00553CD1">
        <w:t>UIT-T, l</w:t>
      </w:r>
      <w:r w:rsidR="00194499">
        <w:t>'</w:t>
      </w:r>
      <w:r w:rsidRPr="00553CD1">
        <w:t>UIT-R, l</w:t>
      </w:r>
      <w:r w:rsidR="00194499">
        <w:t>'</w:t>
      </w:r>
      <w:r w:rsidRPr="00553CD1">
        <w:t>ISO et la CEI en matière de brevets.</w:t>
      </w:r>
    </w:p>
    <w:p w:rsidR="00EF31C7" w:rsidRPr="00811447" w:rsidRDefault="00EF31C7" w:rsidP="00EF31C7">
      <w:pPr>
        <w:rPr>
          <w:szCs w:val="24"/>
        </w:rPr>
      </w:pPr>
      <w:r w:rsidRPr="00553CD1">
        <w:t>Les renseignements existants sur les brevets sont accessibles en ligne sur le site web de l</w:t>
      </w:r>
      <w:r w:rsidR="00194499">
        <w:t>'</w:t>
      </w:r>
      <w:r w:rsidRPr="00553CD1">
        <w:t>UIT</w:t>
      </w:r>
      <w:r w:rsidRPr="00553CD1">
        <w:noBreakHyphen/>
        <w:t xml:space="preserve">T </w:t>
      </w:r>
      <w:r w:rsidRPr="00811447">
        <w:rPr>
          <w:szCs w:val="24"/>
        </w:rPr>
        <w:t>(</w:t>
      </w:r>
      <w:hyperlink r:id="rId11" w:history="1">
        <w:r w:rsidRPr="00811447">
          <w:rPr>
            <w:rStyle w:val="Hyperlink"/>
            <w:szCs w:val="24"/>
          </w:rPr>
          <w:t>www.itu.int/ITU-T/ipr/</w:t>
        </w:r>
      </w:hyperlink>
      <w:r w:rsidRPr="00811447">
        <w:rPr>
          <w:szCs w:val="24"/>
        </w:rPr>
        <w:t>).</w:t>
      </w:r>
    </w:p>
    <w:p w:rsidR="00EF31C7" w:rsidRDefault="00EF31C7" w:rsidP="00EF31C7">
      <w:r w:rsidRPr="00553CD1">
        <w:rPr>
          <w:bCs/>
        </w:rPr>
        <w:t>4</w:t>
      </w:r>
      <w:r w:rsidRPr="00553CD1">
        <w:tab/>
        <w:t>Compte tenu des dispositions de la</w:t>
      </w:r>
      <w:r w:rsidRPr="00553CD1">
        <w:rPr>
          <w:b/>
        </w:rPr>
        <w:t xml:space="preserve"> </w:t>
      </w:r>
      <w:r w:rsidRPr="00553CD1">
        <w:rPr>
          <w:bCs/>
        </w:rPr>
        <w:t>Section 9 de la Résolution 1,</w:t>
      </w:r>
      <w:r w:rsidRPr="00553CD1">
        <w:t xml:space="preserve"> je vous serais reconnaissant de bien vouloir me faire savoir au plus tard </w:t>
      </w:r>
      <w:r w:rsidRPr="00553CD1">
        <w:rPr>
          <w:b/>
        </w:rPr>
        <w:t xml:space="preserve">le 15 août 2013 </w:t>
      </w:r>
      <w:r w:rsidRPr="00553CD1">
        <w:t>à 24 heures UTC si votre Administration autorise la Commission d</w:t>
      </w:r>
      <w:r w:rsidR="00194499">
        <w:t>'</w:t>
      </w:r>
      <w:r w:rsidRPr="00553CD1">
        <w:t>études 17 à examiner, lors de sa réunion, lesdits projets de nouvelle Recommandation en vue</w:t>
      </w:r>
      <w:r>
        <w:t xml:space="preserve"> </w:t>
      </w:r>
      <w:r w:rsidRPr="00553CD1">
        <w:t>de leur approbation.</w:t>
      </w:r>
    </w:p>
    <w:p w:rsidR="006427A1" w:rsidRDefault="006427A1" w:rsidP="00A5280F">
      <w:pPr>
        <w:sectPr w:rsidR="006427A1" w:rsidSect="00A15179">
          <w:headerReference w:type="default" r:id="rId12"/>
          <w:footerReference w:type="default" r:id="rId13"/>
          <w:footerReference w:type="first" r:id="rId14"/>
          <w:pgSz w:w="11907" w:h="16840" w:code="9"/>
          <w:pgMar w:top="1134" w:right="1089" w:bottom="1134" w:left="1089" w:header="567" w:footer="510" w:gutter="0"/>
          <w:paperSrc w:first="15" w:other="15"/>
          <w:cols w:space="720"/>
          <w:titlePg/>
        </w:sectPr>
      </w:pPr>
    </w:p>
    <w:p w:rsidR="00EF31C7" w:rsidRPr="00553CD1" w:rsidRDefault="00EF31C7" w:rsidP="00EF31C7">
      <w:r w:rsidRPr="00553CD1">
        <w:lastRenderedPageBreak/>
        <w:t>Si des Etats Membres estiment que la procédure d</w:t>
      </w:r>
      <w:r w:rsidR="00194499">
        <w:t>'</w:t>
      </w:r>
      <w:r w:rsidRPr="00553CD1">
        <w:t>approbation ne doit pas se poursuivre, ils sont invités à faire connaître les raisons de leur désaccord et à proposer les modifications susceptibles de permettre la reprise des procédures d</w:t>
      </w:r>
      <w:r w:rsidR="00194499">
        <w:t>'</w:t>
      </w:r>
      <w:r w:rsidRPr="00553CD1">
        <w:t>examen et d</w:t>
      </w:r>
      <w:r w:rsidR="00194499">
        <w:t>'</w:t>
      </w:r>
      <w:r w:rsidRPr="00553CD1">
        <w:t>approbation des projets de nouvelle Recommandation.</w:t>
      </w:r>
    </w:p>
    <w:p w:rsidR="00EF31C7" w:rsidRPr="00553CD1" w:rsidRDefault="00EF31C7" w:rsidP="00EF31C7">
      <w:r w:rsidRPr="00553CD1">
        <w:rPr>
          <w:bCs/>
        </w:rPr>
        <w:t>5</w:t>
      </w:r>
      <w:r w:rsidRPr="00553CD1">
        <w:tab/>
        <w:t>Si au moins 70% des réponses des Etats Membres sont en faveur de l</w:t>
      </w:r>
      <w:r w:rsidR="00194499">
        <w:t>'</w:t>
      </w:r>
      <w:r w:rsidRPr="00553CD1">
        <w:t>examen, aux fins d</w:t>
      </w:r>
      <w:r w:rsidR="00194499">
        <w:t>'</w:t>
      </w:r>
      <w:r w:rsidRPr="00553CD1">
        <w:t>approbation, de ces projets de nouvelle Recommandation lors de la réunion de la Commission d</w:t>
      </w:r>
      <w:r w:rsidR="00194499">
        <w:t>'</w:t>
      </w:r>
      <w:r w:rsidRPr="00553CD1">
        <w:t xml:space="preserve">études, </w:t>
      </w:r>
      <w:r w:rsidRPr="00553CD1">
        <w:rPr>
          <w:bCs/>
        </w:rPr>
        <w:t>une séance plénière se tiendra</w:t>
      </w:r>
      <w:r w:rsidRPr="00553CD1">
        <w:rPr>
          <w:b/>
        </w:rPr>
        <w:t xml:space="preserve"> le 4 septembre 2013</w:t>
      </w:r>
      <w:r w:rsidRPr="00553CD1">
        <w:t xml:space="preserve"> pour appliquer la procédure d</w:t>
      </w:r>
      <w:r w:rsidR="00194499">
        <w:t>'</w:t>
      </w:r>
      <w:r w:rsidRPr="00553CD1">
        <w:t>approbation.</w:t>
      </w:r>
    </w:p>
    <w:p w:rsidR="00EF31C7" w:rsidRPr="00553CD1" w:rsidRDefault="00EF31C7" w:rsidP="00EF31C7">
      <w:r w:rsidRPr="00553CD1">
        <w:t>En conséquence, j</w:t>
      </w:r>
      <w:r w:rsidR="00194499">
        <w:t>'</w:t>
      </w:r>
      <w:r w:rsidRPr="00553CD1">
        <w:t xml:space="preserve">invite votre Administration à se faire représenter à cette réunion. Les </w:t>
      </w:r>
      <w:r w:rsidRPr="00553CD1">
        <w:rPr>
          <w:b/>
        </w:rPr>
        <w:t>Administrations des Etats Membres de l</w:t>
      </w:r>
      <w:r w:rsidR="00194499">
        <w:rPr>
          <w:b/>
        </w:rPr>
        <w:t>'</w:t>
      </w:r>
      <w:r w:rsidRPr="00553CD1">
        <w:rPr>
          <w:b/>
        </w:rPr>
        <w:t>Union</w:t>
      </w:r>
      <w:r w:rsidRPr="00553CD1">
        <w:t xml:space="preserve"> sont invitées à communiquer le nom du Chef de leur délégation. Si votre Administration souhaite se faire représenter à cette réunion par une exploitation reconnue, un organisme scientifique ou industriel, ou une autre entité s</w:t>
      </w:r>
      <w:r w:rsidR="00194499">
        <w:t>'</w:t>
      </w:r>
      <w:r w:rsidRPr="00553CD1">
        <w:t>occupant de questions de télécommunications, le Directeur doit en être informé, conformément à l</w:t>
      </w:r>
      <w:r w:rsidR="00194499">
        <w:t>'</w:t>
      </w:r>
      <w:r w:rsidRPr="00553CD1">
        <w:t>article 19, numéro 239, de la Convention de l</w:t>
      </w:r>
      <w:r w:rsidR="00194499">
        <w:t>'</w:t>
      </w:r>
      <w:r w:rsidRPr="00553CD1">
        <w:t>UIT.</w:t>
      </w:r>
    </w:p>
    <w:p w:rsidR="00EF31C7" w:rsidRPr="00553CD1" w:rsidRDefault="00EF31C7" w:rsidP="00194499">
      <w:r w:rsidRPr="00553CD1">
        <w:rPr>
          <w:bCs/>
        </w:rPr>
        <w:t>6</w:t>
      </w:r>
      <w:r w:rsidRPr="00553CD1">
        <w:tab/>
        <w:t>L</w:t>
      </w:r>
      <w:r w:rsidR="00194499">
        <w:t>'</w:t>
      </w:r>
      <w:r w:rsidRPr="00553CD1">
        <w:t>ordre du jour ainsi que tous les renseignements pertinents concernant la réunion de la Commission d</w:t>
      </w:r>
      <w:r w:rsidR="00194499">
        <w:t>'études </w:t>
      </w:r>
      <w:r w:rsidRPr="00553CD1">
        <w:t>17 seront disponibles dans la Lettre collective qui sera publiée ultérieurement.</w:t>
      </w:r>
    </w:p>
    <w:p w:rsidR="00EF31C7" w:rsidRPr="00553CD1" w:rsidRDefault="00EF31C7" w:rsidP="00EF31C7">
      <w:r w:rsidRPr="00553CD1">
        <w:rPr>
          <w:bCs/>
        </w:rPr>
        <w:t>7</w:t>
      </w:r>
      <w:r w:rsidRPr="00553CD1">
        <w:tab/>
        <w:t>Après la réunion, le Directeur du TSB fera connaître, par voie de circulaire, la décision prise au sujet de ces Recommandations. Cette information sera également publiée dans le Bulletin d</w:t>
      </w:r>
      <w:r w:rsidR="00194499">
        <w:t>'</w:t>
      </w:r>
      <w:r w:rsidRPr="00553CD1">
        <w:t>exploitation de l</w:t>
      </w:r>
      <w:r w:rsidR="00194499">
        <w:t>'</w:t>
      </w:r>
      <w:r w:rsidRPr="00553CD1">
        <w:t>UIT.</w:t>
      </w:r>
    </w:p>
    <w:p w:rsidR="00517A03" w:rsidRDefault="00EF31C7" w:rsidP="00194499">
      <w:r w:rsidRPr="00553CD1">
        <w:t>Veuillez agréer, Madame, Monsieur, l</w:t>
      </w:r>
      <w:r w:rsidR="00194499">
        <w:t>'</w:t>
      </w:r>
      <w:r w:rsidRPr="00553CD1">
        <w:t>assurance de ma haute considération.</w:t>
      </w:r>
    </w:p>
    <w:p w:rsidR="00517A03" w:rsidRDefault="00517A03" w:rsidP="00194499">
      <w:pPr>
        <w:spacing w:before="1440"/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p w:rsidR="00EF31C7" w:rsidRDefault="00517A03" w:rsidP="00173738">
      <w:pPr>
        <w:spacing w:before="1440"/>
        <w:ind w:right="-284"/>
        <w:rPr>
          <w:b/>
        </w:rPr>
      </w:pPr>
      <w:r>
        <w:rPr>
          <w:b/>
        </w:rPr>
        <w:t>Annexe</w:t>
      </w:r>
      <w:r w:rsidRPr="00517A03">
        <w:rPr>
          <w:bCs/>
        </w:rPr>
        <w:t>:</w:t>
      </w:r>
      <w:r>
        <w:rPr>
          <w:b/>
        </w:rPr>
        <w:t xml:space="preserve"> </w:t>
      </w:r>
      <w:r w:rsidR="00EF31C7" w:rsidRPr="002D5A18">
        <w:rPr>
          <w:bCs/>
        </w:rPr>
        <w:t>1</w:t>
      </w:r>
      <w:r w:rsidR="00EF31C7">
        <w:rPr>
          <w:b/>
        </w:rPr>
        <w:br w:type="page"/>
      </w:r>
    </w:p>
    <w:p w:rsidR="00EF31C7" w:rsidRPr="00191A34" w:rsidRDefault="00EF31C7" w:rsidP="005C0FB0">
      <w:pPr>
        <w:pStyle w:val="Annex"/>
        <w:rPr>
          <w:b/>
          <w:bCs/>
          <w:lang w:val="fr-CH"/>
        </w:rPr>
      </w:pPr>
      <w:r w:rsidRPr="00191A34">
        <w:rPr>
          <w:b/>
          <w:bCs/>
          <w:lang w:val="fr-CH"/>
        </w:rPr>
        <w:lastRenderedPageBreak/>
        <w:t>ANNEXE 1</w:t>
      </w:r>
    </w:p>
    <w:p w:rsidR="00EF31C7" w:rsidRPr="00191A34" w:rsidRDefault="00EF31C7" w:rsidP="00EF31C7">
      <w:pPr>
        <w:pStyle w:val="AnnexRef"/>
        <w:spacing w:before="0"/>
        <w:rPr>
          <w:b/>
          <w:bCs/>
          <w:sz w:val="28"/>
          <w:szCs w:val="22"/>
        </w:rPr>
      </w:pPr>
      <w:r w:rsidRPr="00191A34">
        <w:rPr>
          <w:b/>
          <w:bCs/>
          <w:lang w:val="fr-CH"/>
        </w:rPr>
        <w:t>(</w:t>
      </w:r>
      <w:proofErr w:type="gramStart"/>
      <w:r w:rsidRPr="00191A34">
        <w:rPr>
          <w:b/>
          <w:bCs/>
          <w:lang w:val="fr-CH"/>
        </w:rPr>
        <w:t>de</w:t>
      </w:r>
      <w:proofErr w:type="gramEnd"/>
      <w:r w:rsidRPr="00191A34">
        <w:rPr>
          <w:b/>
          <w:bCs/>
          <w:lang w:val="fr-CH"/>
        </w:rPr>
        <w:t xml:space="preserve"> la Circulaire TSB 24)</w:t>
      </w:r>
    </w:p>
    <w:p w:rsidR="00EF31C7" w:rsidRPr="005C0FB0" w:rsidRDefault="00EF31C7" w:rsidP="005C0FB0">
      <w:pPr>
        <w:pStyle w:val="AnnexTitle"/>
      </w:pPr>
      <w:bookmarkStart w:id="2" w:name="_GoBack"/>
      <w:bookmarkEnd w:id="2"/>
      <w:r w:rsidRPr="005C0FB0">
        <w:t>Résumé et localisation des textes</w:t>
      </w:r>
    </w:p>
    <w:p w:rsidR="00EF31C7" w:rsidRPr="00EF31C7" w:rsidRDefault="00EF31C7" w:rsidP="00EF31C7">
      <w:pPr>
        <w:pStyle w:val="RecNo"/>
        <w:spacing w:before="720"/>
        <w:rPr>
          <w:bCs/>
          <w:sz w:val="28"/>
          <w:szCs w:val="28"/>
          <w:lang w:val="fr-FR"/>
        </w:rPr>
      </w:pPr>
      <w:r w:rsidRPr="002D5A18">
        <w:rPr>
          <w:lang w:val="fr-CH"/>
        </w:rPr>
        <w:t>Projet de nouvelle Recommandation UIT-T X.1208 (</w:t>
      </w:r>
      <w:proofErr w:type="spellStart"/>
      <w:r w:rsidRPr="002D5A18">
        <w:rPr>
          <w:lang w:val="fr-CH"/>
        </w:rPr>
        <w:t>X.csi</w:t>
      </w:r>
      <w:proofErr w:type="spellEnd"/>
      <w:r w:rsidRPr="002D5A18">
        <w:rPr>
          <w:lang w:val="fr-CH"/>
        </w:rPr>
        <w:t>), Lignes directrices relatives à l</w:t>
      </w:r>
      <w:r w:rsidR="00194499" w:rsidRPr="002D5A18">
        <w:rPr>
          <w:lang w:val="fr-CH"/>
        </w:rPr>
        <w:t>'</w:t>
      </w:r>
      <w:r w:rsidRPr="002D5A18">
        <w:rPr>
          <w:lang w:val="fr-CH"/>
        </w:rPr>
        <w:t xml:space="preserve">indice de </w:t>
      </w:r>
      <w:proofErr w:type="spellStart"/>
      <w:r w:rsidRPr="002D5A18">
        <w:rPr>
          <w:lang w:val="fr-CH"/>
        </w:rPr>
        <w:t>cybersécurité</w:t>
      </w:r>
      <w:proofErr w:type="spellEnd"/>
      <w:r w:rsidRPr="002D5A18">
        <w:rPr>
          <w:lang w:val="fr-CH"/>
        </w:rPr>
        <w:t xml:space="preserve"> </w:t>
      </w:r>
      <w:r w:rsidRPr="002D5A18">
        <w:rPr>
          <w:lang w:val="fr-CH"/>
        </w:rPr>
        <w:br/>
        <w:t>COM 17-R</w:t>
      </w:r>
      <w:r w:rsidRPr="00553CD1">
        <w:rPr>
          <w:bCs/>
          <w:sz w:val="28"/>
          <w:szCs w:val="28"/>
          <w:lang w:val="fr-FR"/>
        </w:rPr>
        <w:t xml:space="preserve"> 4</w:t>
      </w:r>
    </w:p>
    <w:p w:rsidR="00EF31C7" w:rsidRPr="00553CD1" w:rsidRDefault="00EF31C7" w:rsidP="00EF31C7">
      <w:pPr>
        <w:pStyle w:val="headingb"/>
      </w:pPr>
      <w:r w:rsidRPr="00553CD1">
        <w:t>Résumé</w:t>
      </w:r>
    </w:p>
    <w:p w:rsidR="00EF31C7" w:rsidRPr="00553CD1" w:rsidRDefault="00EF31C7" w:rsidP="002D5A18">
      <w:pPr>
        <w:rPr>
          <w:lang w:eastAsia="zh-CN"/>
        </w:rPr>
      </w:pPr>
      <w:r w:rsidRPr="00553CD1">
        <w:rPr>
          <w:lang w:eastAsia="zh-CN"/>
        </w:rPr>
        <w:t>L</w:t>
      </w:r>
      <w:r w:rsidR="00194499">
        <w:rPr>
          <w:lang w:eastAsia="zh-CN"/>
        </w:rPr>
        <w:t>'</w:t>
      </w:r>
      <w:r w:rsidRPr="00553CD1">
        <w:rPr>
          <w:lang w:eastAsia="zh-CN"/>
        </w:rPr>
        <w:t xml:space="preserve">indice de </w:t>
      </w:r>
      <w:proofErr w:type="spellStart"/>
      <w:r w:rsidRPr="00553CD1">
        <w:rPr>
          <w:lang w:eastAsia="zh-CN"/>
        </w:rPr>
        <w:t>cybersécurité</w:t>
      </w:r>
      <w:proofErr w:type="spellEnd"/>
      <w:r w:rsidRPr="00553CD1">
        <w:rPr>
          <w:lang w:eastAsia="zh-CN"/>
        </w:rPr>
        <w:t xml:space="preserve"> vise à mesurer le niveau de compétence d</w:t>
      </w:r>
      <w:r w:rsidR="00194499">
        <w:rPr>
          <w:lang w:eastAsia="zh-CN"/>
        </w:rPr>
        <w:t>'</w:t>
      </w:r>
      <w:r w:rsidRPr="00553CD1">
        <w:rPr>
          <w:lang w:eastAsia="zh-CN"/>
        </w:rPr>
        <w:t>une organisation, d</w:t>
      </w:r>
      <w:r w:rsidR="00194499">
        <w:rPr>
          <w:lang w:eastAsia="zh-CN"/>
        </w:rPr>
        <w:t>'</w:t>
      </w:r>
      <w:r w:rsidRPr="00553CD1">
        <w:rPr>
          <w:lang w:eastAsia="zh-CN"/>
        </w:rPr>
        <w:t>un groupe ou d</w:t>
      </w:r>
      <w:r w:rsidR="00194499">
        <w:rPr>
          <w:lang w:eastAsia="zh-CN"/>
        </w:rPr>
        <w:t>'</w:t>
      </w:r>
      <w:r w:rsidRPr="00553CD1">
        <w:rPr>
          <w:lang w:eastAsia="zh-CN"/>
        </w:rPr>
        <w:t xml:space="preserve">un pays en matière de </w:t>
      </w:r>
      <w:proofErr w:type="spellStart"/>
      <w:r w:rsidRPr="00553CD1">
        <w:rPr>
          <w:lang w:eastAsia="zh-CN"/>
        </w:rPr>
        <w:t>cybersécurité</w:t>
      </w:r>
      <w:proofErr w:type="spellEnd"/>
      <w:r w:rsidRPr="00553CD1">
        <w:rPr>
          <w:lang w:eastAsia="zh-CN"/>
        </w:rPr>
        <w:t xml:space="preserve"> ainsi que l</w:t>
      </w:r>
      <w:r w:rsidR="00194499">
        <w:rPr>
          <w:lang w:eastAsia="zh-CN"/>
        </w:rPr>
        <w:t>'</w:t>
      </w:r>
      <w:r w:rsidRPr="00553CD1">
        <w:rPr>
          <w:lang w:eastAsia="zh-CN"/>
        </w:rPr>
        <w:t xml:space="preserve">évolution au fil du temps de ses programmes de </w:t>
      </w:r>
      <w:proofErr w:type="spellStart"/>
      <w:r w:rsidRPr="00553CD1">
        <w:rPr>
          <w:lang w:eastAsia="zh-CN"/>
        </w:rPr>
        <w:t>cybersécurité</w:t>
      </w:r>
      <w:proofErr w:type="spellEnd"/>
      <w:r w:rsidRPr="00553CD1">
        <w:rPr>
          <w:lang w:eastAsia="zh-CN"/>
        </w:rPr>
        <w:t>.</w:t>
      </w:r>
    </w:p>
    <w:p w:rsidR="00EF31C7" w:rsidRPr="00553CD1" w:rsidRDefault="00EF31C7" w:rsidP="002D5A18">
      <w:pPr>
        <w:rPr>
          <w:lang w:eastAsia="zh-CN"/>
        </w:rPr>
      </w:pPr>
      <w:r w:rsidRPr="00553CD1">
        <w:rPr>
          <w:lang w:eastAsia="zh-CN"/>
        </w:rPr>
        <w:t xml:space="preserve">La Recommandation UIT-T X.1208 fournit des lignes directrices en vue de </w:t>
      </w:r>
      <w:r>
        <w:rPr>
          <w:lang w:eastAsia="zh-CN"/>
        </w:rPr>
        <w:t>faciliter</w:t>
      </w:r>
      <w:r w:rsidRPr="00553CD1">
        <w:rPr>
          <w:lang w:eastAsia="zh-CN"/>
        </w:rPr>
        <w:t xml:space="preserve"> l</w:t>
      </w:r>
      <w:r w:rsidR="00194499">
        <w:rPr>
          <w:lang w:eastAsia="zh-CN"/>
        </w:rPr>
        <w:t>'</w:t>
      </w:r>
      <w:r w:rsidRPr="00553CD1">
        <w:rPr>
          <w:lang w:eastAsia="zh-CN"/>
        </w:rPr>
        <w:t xml:space="preserve">élaboration, </w:t>
      </w:r>
      <w:r>
        <w:rPr>
          <w:lang w:eastAsia="zh-CN"/>
        </w:rPr>
        <w:t>le</w:t>
      </w:r>
      <w:r w:rsidRPr="00553CD1">
        <w:rPr>
          <w:lang w:eastAsia="zh-CN"/>
        </w:rPr>
        <w:t xml:space="preserve"> choix et la mise en </w:t>
      </w:r>
      <w:proofErr w:type="spellStart"/>
      <w:r>
        <w:rPr>
          <w:lang w:eastAsia="zh-CN"/>
        </w:rPr>
        <w:t>oe</w:t>
      </w:r>
      <w:r w:rsidRPr="00553CD1">
        <w:rPr>
          <w:lang w:eastAsia="zh-CN"/>
        </w:rPr>
        <w:t>uvre</w:t>
      </w:r>
      <w:proofErr w:type="spellEnd"/>
      <w:r w:rsidRPr="00553CD1">
        <w:rPr>
          <w:lang w:eastAsia="zh-CN"/>
        </w:rPr>
        <w:t xml:space="preserve"> des mesures ou des indicateurs </w:t>
      </w:r>
      <w:r>
        <w:rPr>
          <w:lang w:eastAsia="zh-CN"/>
        </w:rPr>
        <w:t>utilisés pour</w:t>
      </w:r>
      <w:r w:rsidRPr="00553CD1">
        <w:rPr>
          <w:lang w:eastAsia="zh-CN"/>
        </w:rPr>
        <w:t xml:space="preserve"> calcul</w:t>
      </w:r>
      <w:r>
        <w:rPr>
          <w:lang w:eastAsia="zh-CN"/>
        </w:rPr>
        <w:t>er</w:t>
      </w:r>
      <w:r w:rsidRPr="00553CD1">
        <w:rPr>
          <w:lang w:eastAsia="zh-CN"/>
        </w:rPr>
        <w:t xml:space="preserve"> l</w:t>
      </w:r>
      <w:r w:rsidR="00194499">
        <w:rPr>
          <w:lang w:eastAsia="zh-CN"/>
        </w:rPr>
        <w:t>'</w:t>
      </w:r>
      <w:r w:rsidRPr="00553CD1">
        <w:rPr>
          <w:lang w:eastAsia="zh-CN"/>
        </w:rPr>
        <w:t xml:space="preserve">indice de </w:t>
      </w:r>
      <w:proofErr w:type="spellStart"/>
      <w:r w:rsidRPr="00553CD1">
        <w:rPr>
          <w:lang w:eastAsia="zh-CN"/>
        </w:rPr>
        <w:t>cybersécurité</w:t>
      </w:r>
      <w:proofErr w:type="spellEnd"/>
      <w:r w:rsidRPr="00553CD1">
        <w:rPr>
          <w:lang w:eastAsia="zh-CN"/>
        </w:rPr>
        <w:t xml:space="preserve"> (CSI). A cette fin, </w:t>
      </w:r>
      <w:r>
        <w:rPr>
          <w:lang w:eastAsia="zh-CN"/>
        </w:rPr>
        <w:t>elle</w:t>
      </w:r>
      <w:r w:rsidRPr="00553CD1">
        <w:rPr>
          <w:lang w:eastAsia="zh-CN"/>
        </w:rPr>
        <w:t xml:space="preserve"> dresse une liste d</w:t>
      </w:r>
      <w:r w:rsidR="00194499">
        <w:rPr>
          <w:lang w:eastAsia="zh-CN"/>
        </w:rPr>
        <w:t>'</w:t>
      </w:r>
      <w:r w:rsidRPr="00553CD1">
        <w:rPr>
          <w:lang w:eastAsia="zh-CN"/>
        </w:rPr>
        <w:t>indicateurs potentiels et décrit les différentes étapes d</w:t>
      </w:r>
      <w:r w:rsidR="00194499">
        <w:rPr>
          <w:lang w:eastAsia="zh-CN"/>
        </w:rPr>
        <w:t>'</w:t>
      </w:r>
      <w:r w:rsidRPr="00553CD1">
        <w:rPr>
          <w:lang w:eastAsia="zh-CN"/>
        </w:rPr>
        <w:t>une méthode utilisée pour le calcul du CSI sur la base d</w:t>
      </w:r>
      <w:r w:rsidR="00194499">
        <w:rPr>
          <w:lang w:eastAsia="zh-CN"/>
        </w:rPr>
        <w:t>'</w:t>
      </w:r>
      <w:r w:rsidRPr="00553CD1">
        <w:rPr>
          <w:lang w:eastAsia="zh-CN"/>
        </w:rPr>
        <w:t>indicateurs.</w:t>
      </w:r>
    </w:p>
    <w:p w:rsidR="00EF31C7" w:rsidRPr="002D5A18" w:rsidRDefault="00EF31C7" w:rsidP="00EF31C7">
      <w:pPr>
        <w:pStyle w:val="RecNo"/>
        <w:spacing w:before="720"/>
        <w:rPr>
          <w:lang w:val="fr-CH"/>
        </w:rPr>
      </w:pPr>
      <w:r w:rsidRPr="002D5A18">
        <w:rPr>
          <w:lang w:val="fr-CH"/>
        </w:rPr>
        <w:t>Projet de nouvelle Recommandation UIT-T X.1255 (</w:t>
      </w:r>
      <w:proofErr w:type="spellStart"/>
      <w:r w:rsidRPr="002D5A18">
        <w:rPr>
          <w:lang w:val="fr-CH"/>
        </w:rPr>
        <w:t>X.discovery</w:t>
      </w:r>
      <w:proofErr w:type="spellEnd"/>
      <w:r w:rsidRPr="002D5A18">
        <w:rPr>
          <w:lang w:val="fr-CH"/>
        </w:rPr>
        <w:t>), Cadre pour la découverte des informations relatives à la gestion d</w:t>
      </w:r>
      <w:r w:rsidR="00194499" w:rsidRPr="002D5A18">
        <w:rPr>
          <w:lang w:val="fr-CH"/>
        </w:rPr>
        <w:t>'</w:t>
      </w:r>
      <w:r w:rsidRPr="002D5A18">
        <w:rPr>
          <w:lang w:val="fr-CH"/>
        </w:rPr>
        <w:t>identité</w:t>
      </w:r>
      <w:r w:rsidRPr="002D5A18">
        <w:rPr>
          <w:lang w:val="fr-CH"/>
        </w:rPr>
        <w:br/>
        <w:t xml:space="preserve">COM 17 – R 6 </w:t>
      </w:r>
      <w:r w:rsidRPr="00CD0292">
        <w:rPr>
          <w:b w:val="0"/>
          <w:bCs/>
          <w:lang w:val="fr-CH"/>
        </w:rPr>
        <w:t>(</w:t>
      </w:r>
      <w:r w:rsidRPr="005C0FB0">
        <w:rPr>
          <w:rFonts w:ascii="Times New Roman" w:hAnsi="Times New Roman" w:cs="Times New Roman"/>
          <w:b w:val="0"/>
          <w:i/>
          <w:iCs/>
          <w:sz w:val="24"/>
          <w:lang w:val="fr-FR"/>
        </w:rPr>
        <w:t>bientôt disponible sur le web</w:t>
      </w:r>
      <w:r w:rsidRPr="00CD0292">
        <w:rPr>
          <w:b w:val="0"/>
          <w:bCs/>
          <w:lang w:val="fr-CH"/>
        </w:rPr>
        <w:t>)</w:t>
      </w:r>
    </w:p>
    <w:p w:rsidR="00EF31C7" w:rsidRPr="00553CD1" w:rsidRDefault="00EF31C7" w:rsidP="00EF31C7">
      <w:pPr>
        <w:pStyle w:val="headingb"/>
      </w:pPr>
      <w:r w:rsidRPr="00553CD1">
        <w:t>Résumé</w:t>
      </w:r>
    </w:p>
    <w:p w:rsidR="00EF31C7" w:rsidRPr="00194499" w:rsidRDefault="00EF31C7" w:rsidP="002D5A18">
      <w:r w:rsidRPr="00EF31C7">
        <w:t>La Recommandation UIT-T X.1255 a pour objet de définir un cadre d</w:t>
      </w:r>
      <w:r w:rsidR="00194499">
        <w:t>'</w:t>
      </w:r>
      <w:r w:rsidRPr="00EF31C7">
        <w:t xml:space="preserve">architecture ouverte dans lequel il est possible de découvrir </w:t>
      </w:r>
      <w:r>
        <w:t>d</w:t>
      </w:r>
      <w:r w:rsidRPr="00EF31C7">
        <w:t>es informations relatives à la gestion d</w:t>
      </w:r>
      <w:r w:rsidR="00194499">
        <w:t>'</w:t>
      </w:r>
      <w:r w:rsidRPr="00EF31C7">
        <w:t>identité (</w:t>
      </w:r>
      <w:proofErr w:type="spellStart"/>
      <w:r w:rsidRPr="00EF31C7">
        <w:t>IdM</w:t>
      </w:r>
      <w:proofErr w:type="spellEnd"/>
      <w:r w:rsidRPr="00EF31C7">
        <w:t xml:space="preserve">). </w:t>
      </w:r>
      <w:r w:rsidRPr="00194499">
        <w:t>Ces informations seront nécessairement représentées de différentes manières et seront prises en charge par divers cadres de confiance ou d</w:t>
      </w:r>
      <w:r w:rsidR="00194499" w:rsidRPr="00194499">
        <w:t>'</w:t>
      </w:r>
      <w:r w:rsidRPr="00194499">
        <w:t xml:space="preserve">autres systèmes </w:t>
      </w:r>
      <w:proofErr w:type="spellStart"/>
      <w:r w:rsidRPr="00194499">
        <w:t>IdM</w:t>
      </w:r>
      <w:proofErr w:type="spellEnd"/>
      <w:r w:rsidRPr="00194499">
        <w:t xml:space="preserve"> utilisant différents schémas de métadonnées. Ce cadre permettra par exemple à des entités fonctionnant dans le contexte d</w:t>
      </w:r>
      <w:r w:rsidR="00194499" w:rsidRPr="00194499">
        <w:t>'</w:t>
      </w:r>
      <w:r w:rsidRPr="00194499">
        <w:t xml:space="preserve">un système </w:t>
      </w:r>
      <w:proofErr w:type="spellStart"/>
      <w:r w:rsidRPr="00194499">
        <w:t>IdM</w:t>
      </w:r>
      <w:proofErr w:type="spellEnd"/>
      <w:r w:rsidRPr="00194499">
        <w:t xml:space="preserve"> de résoudre avec précision des identificateurs provenant d</w:t>
      </w:r>
      <w:r w:rsidR="00194499" w:rsidRPr="00194499">
        <w:t>'</w:t>
      </w:r>
      <w:r w:rsidRPr="00194499">
        <w:t xml:space="preserve">autres systèmes </w:t>
      </w:r>
      <w:proofErr w:type="spellStart"/>
      <w:r w:rsidRPr="00194499">
        <w:t>IdM</w:t>
      </w:r>
      <w:proofErr w:type="spellEnd"/>
      <w:r w:rsidRPr="00194499">
        <w:t xml:space="preserve">. </w:t>
      </w:r>
      <w:r w:rsidRPr="00EF31C7">
        <w:t>Les utilisateurs ou les organisations (ou les programmes exploités pour leur compte) qui ne sont pas en mesure de découvrir ces informations n</w:t>
      </w:r>
      <w:r w:rsidR="00194499">
        <w:t>'</w:t>
      </w:r>
      <w:r w:rsidRPr="00EF31C7">
        <w:t>ont d</w:t>
      </w:r>
      <w:r w:rsidR="00194499">
        <w:t>'</w:t>
      </w:r>
      <w:r w:rsidRPr="00EF31C7">
        <w:t>autre choix que de déterminer la meilleure façon d</w:t>
      </w:r>
      <w:r w:rsidR="00194499">
        <w:t>'</w:t>
      </w:r>
      <w:r w:rsidRPr="00EF31C7">
        <w:t>établir la crédibilité et de vérifier l</w:t>
      </w:r>
      <w:r w:rsidR="00194499">
        <w:t>'</w:t>
      </w:r>
      <w:r w:rsidRPr="00EF31C7">
        <w:t>authenticité d</w:t>
      </w:r>
      <w:r w:rsidR="00194499">
        <w:t>'</w:t>
      </w:r>
      <w:r w:rsidRPr="00EF31C7">
        <w:t>une identité adéquate, que ce soit pour un utilisateur, une ressource de système, une entité d</w:t>
      </w:r>
      <w:r w:rsidR="00194499">
        <w:t>'</w:t>
      </w:r>
      <w:r w:rsidRPr="00EF31C7">
        <w:t>information, etc. A la lumière de ces informations, il revient à l</w:t>
      </w:r>
      <w:r w:rsidR="00194499">
        <w:t>'</w:t>
      </w:r>
      <w:r w:rsidRPr="00EF31C7">
        <w:t>utilisateur ou à l</w:t>
      </w:r>
      <w:r w:rsidR="00194499">
        <w:t>'</w:t>
      </w:r>
      <w:r w:rsidRPr="00EF31C7">
        <w:t xml:space="preserve">organisation de déterminer si, </w:t>
      </w:r>
      <w:r>
        <w:t>aux fins considéré</w:t>
      </w:r>
      <w:r w:rsidR="002D5A18">
        <w:t>e</w:t>
      </w:r>
      <w:r>
        <w:t>s</w:t>
      </w:r>
      <w:r w:rsidRPr="00EF31C7">
        <w:t xml:space="preserve">, il peut ou non se fier à un cadre de confiance donné ou à un autre système </w:t>
      </w:r>
      <w:proofErr w:type="spellStart"/>
      <w:r w:rsidRPr="00EF31C7">
        <w:t>IdM</w:t>
      </w:r>
      <w:proofErr w:type="spellEnd"/>
      <w:r w:rsidRPr="00EF31C7">
        <w:t xml:space="preserve">. </w:t>
      </w:r>
      <w:r w:rsidRPr="00194499">
        <w:t>Les éléments principaux du cadre présenté dans cette Recommandation sont notamment: 1) un modèle de données d</w:t>
      </w:r>
      <w:r w:rsidR="00194499">
        <w:t>'</w:t>
      </w:r>
      <w:r w:rsidRPr="00194499">
        <w:t>un objet numérique</w:t>
      </w:r>
      <w:r w:rsidR="002D5A18">
        <w:t>;</w:t>
      </w:r>
      <w:r w:rsidRPr="00194499">
        <w:t xml:space="preserve"> 2) un protocole d</w:t>
      </w:r>
      <w:r w:rsidR="00194499">
        <w:t>'</w:t>
      </w:r>
      <w:r w:rsidRPr="00194499">
        <w:t>interface d</w:t>
      </w:r>
      <w:r w:rsidR="00194499">
        <w:t>'</w:t>
      </w:r>
      <w:r w:rsidRPr="00194499">
        <w:t>un objet numérique</w:t>
      </w:r>
      <w:r w:rsidR="002D5A18">
        <w:t>;</w:t>
      </w:r>
      <w:r w:rsidRPr="00194499">
        <w:t xml:space="preserve"> 3) un ou plusieurs système(s) de résolution/d</w:t>
      </w:r>
      <w:r w:rsidR="00194499">
        <w:t>'</w:t>
      </w:r>
      <w:r w:rsidRPr="00194499">
        <w:t>identificateur</w:t>
      </w:r>
      <w:r w:rsidR="002D5A18">
        <w:t>;</w:t>
      </w:r>
      <w:r w:rsidRPr="00194499">
        <w:t xml:space="preserve"> et 4) un ou plusieurs registres de métadonnées. Ces éléments constituent la base du cadre de l</w:t>
      </w:r>
      <w:r w:rsidR="00194499" w:rsidRPr="00194499">
        <w:t>'</w:t>
      </w:r>
      <w:r w:rsidRPr="00194499">
        <w:t>architecture ouverte.</w:t>
      </w:r>
    </w:p>
    <w:p w:rsidR="00EF31C7" w:rsidRDefault="00EF31C7" w:rsidP="00EF31C7"/>
    <w:p w:rsidR="00EF31C7" w:rsidRDefault="00EF31C7">
      <w:pPr>
        <w:jc w:val="center"/>
      </w:pPr>
      <w:r>
        <w:t>______________</w:t>
      </w:r>
    </w:p>
    <w:p w:rsidR="00517A03" w:rsidRPr="00EF31C7" w:rsidRDefault="00517A03" w:rsidP="00EF31C7"/>
    <w:sectPr w:rsidR="00517A03" w:rsidRPr="00EF31C7" w:rsidSect="00A15179">
      <w:headerReference w:type="first" r:id="rId15"/>
      <w:footerReference w:type="first" r:id="rId16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E3" w:rsidRDefault="007916E3">
      <w:r>
        <w:separator/>
      </w:r>
    </w:p>
  </w:endnote>
  <w:endnote w:type="continuationSeparator" w:id="0">
    <w:p w:rsidR="007916E3" w:rsidRDefault="0079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7A1" w:rsidRPr="00191A34" w:rsidRDefault="00191A34" w:rsidP="00191A34">
    <w:pPr>
      <w:pStyle w:val="Footer"/>
      <w:rPr>
        <w:sz w:val="16"/>
        <w:lang w:val="fr-CH"/>
      </w:rPr>
    </w:pPr>
    <w:r>
      <w:rPr>
        <w:sz w:val="16"/>
        <w:lang w:val="fr-CH"/>
      </w:rPr>
      <w:t>ITU-T\BUREAU\CIRC\024</w:t>
    </w:r>
    <w:r>
      <w:rPr>
        <w:sz w:val="16"/>
        <w:lang w:val="fr-CH"/>
      </w:rPr>
      <w:t>F</w:t>
    </w:r>
    <w:r>
      <w:rPr>
        <w:sz w:val="16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6427A1" w:rsidRPr="00191A3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6427A1" w:rsidRDefault="006427A1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6427A1" w:rsidRDefault="006427A1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6427A1" w:rsidRDefault="006427A1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6427A1" w:rsidRDefault="006427A1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6427A1">
      <w:trPr>
        <w:cantSplit/>
      </w:trPr>
      <w:tc>
        <w:tcPr>
          <w:tcW w:w="1062" w:type="pct"/>
        </w:tcPr>
        <w:p w:rsidR="006427A1" w:rsidRDefault="006427A1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6427A1" w:rsidRDefault="006427A1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6427A1" w:rsidRDefault="006427A1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6427A1" w:rsidRDefault="006427A1">
          <w:pPr>
            <w:pStyle w:val="itu"/>
          </w:pPr>
          <w:r>
            <w:tab/>
            <w:t>www.itu.int</w:t>
          </w:r>
        </w:p>
      </w:tc>
    </w:tr>
    <w:tr w:rsidR="006427A1">
      <w:trPr>
        <w:cantSplit/>
      </w:trPr>
      <w:tc>
        <w:tcPr>
          <w:tcW w:w="1062" w:type="pct"/>
        </w:tcPr>
        <w:p w:rsidR="006427A1" w:rsidRDefault="006427A1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6427A1" w:rsidRDefault="006427A1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6427A1" w:rsidRDefault="006427A1">
          <w:pPr>
            <w:pStyle w:val="itu"/>
          </w:pPr>
        </w:p>
      </w:tc>
      <w:tc>
        <w:tcPr>
          <w:tcW w:w="1131" w:type="pct"/>
        </w:tcPr>
        <w:p w:rsidR="006427A1" w:rsidRDefault="006427A1">
          <w:pPr>
            <w:pStyle w:val="itu"/>
          </w:pPr>
        </w:p>
      </w:tc>
    </w:tr>
  </w:tbl>
  <w:p w:rsidR="008C465A" w:rsidRPr="006427A1" w:rsidRDefault="008C465A" w:rsidP="006427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7A1" w:rsidRPr="00191A34" w:rsidRDefault="00191A34" w:rsidP="00191A34">
    <w:pPr>
      <w:pStyle w:val="Footer"/>
      <w:rPr>
        <w:sz w:val="16"/>
        <w:lang w:val="fr-CH"/>
      </w:rPr>
    </w:pPr>
    <w:r>
      <w:rPr>
        <w:sz w:val="16"/>
        <w:lang w:val="fr-CH"/>
      </w:rPr>
      <w:t>ITU-T\BUREAU\CIRC\024</w:t>
    </w:r>
    <w:r>
      <w:rPr>
        <w:sz w:val="16"/>
        <w:lang w:val="fr-CH"/>
      </w:rPr>
      <w:t>F</w:t>
    </w:r>
    <w:r>
      <w:rPr>
        <w:sz w:val="16"/>
        <w:lang w:val="fr-CH"/>
      </w:rPr>
      <w:t>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E3" w:rsidRDefault="007916E3">
      <w:r>
        <w:t>____________________</w:t>
      </w:r>
    </w:p>
  </w:footnote>
  <w:footnote w:type="continuationSeparator" w:id="0">
    <w:p w:rsidR="007916E3" w:rsidRDefault="0079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62882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6427A1" w:rsidRPr="006427A1" w:rsidRDefault="00191A34">
        <w:pPr>
          <w:pStyle w:val="Header"/>
          <w:rPr>
            <w:sz w:val="18"/>
            <w:szCs w:val="18"/>
          </w:rPr>
        </w:pPr>
        <w:r>
          <w:t xml:space="preserve">- </w:t>
        </w:r>
        <w:r w:rsidR="003131F0" w:rsidRPr="006427A1">
          <w:rPr>
            <w:sz w:val="18"/>
            <w:szCs w:val="18"/>
          </w:rPr>
          <w:fldChar w:fldCharType="begin"/>
        </w:r>
        <w:r w:rsidR="006427A1" w:rsidRPr="006427A1">
          <w:rPr>
            <w:sz w:val="18"/>
            <w:szCs w:val="18"/>
          </w:rPr>
          <w:instrText xml:space="preserve"> PAGE   \* MERGEFORMAT </w:instrText>
        </w:r>
        <w:r w:rsidR="003131F0" w:rsidRPr="006427A1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</w:t>
        </w:r>
        <w:r w:rsidR="003131F0" w:rsidRPr="006427A1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</w:p>
    </w:sdtContent>
  </w:sdt>
  <w:p w:rsidR="006427A1" w:rsidRPr="006427A1" w:rsidRDefault="006427A1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277905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6427A1" w:rsidRPr="006427A1" w:rsidRDefault="003131F0">
        <w:pPr>
          <w:pStyle w:val="Header"/>
          <w:rPr>
            <w:sz w:val="18"/>
            <w:szCs w:val="18"/>
          </w:rPr>
        </w:pPr>
        <w:r w:rsidRPr="006427A1">
          <w:rPr>
            <w:sz w:val="18"/>
            <w:szCs w:val="18"/>
          </w:rPr>
          <w:fldChar w:fldCharType="begin"/>
        </w:r>
        <w:r w:rsidR="006427A1" w:rsidRPr="006427A1">
          <w:rPr>
            <w:sz w:val="18"/>
            <w:szCs w:val="18"/>
          </w:rPr>
          <w:instrText xml:space="preserve"> PAGE   \* MERGEFORMAT </w:instrText>
        </w:r>
        <w:r w:rsidRPr="006427A1">
          <w:rPr>
            <w:sz w:val="18"/>
            <w:szCs w:val="18"/>
          </w:rPr>
          <w:fldChar w:fldCharType="separate"/>
        </w:r>
        <w:r w:rsidR="00191A34">
          <w:rPr>
            <w:noProof/>
            <w:sz w:val="18"/>
            <w:szCs w:val="18"/>
          </w:rPr>
          <w:t>2</w:t>
        </w:r>
        <w:r w:rsidRPr="006427A1">
          <w:rPr>
            <w:noProof/>
            <w:sz w:val="18"/>
            <w:szCs w:val="18"/>
          </w:rPr>
          <w:fldChar w:fldCharType="end"/>
        </w:r>
      </w:p>
    </w:sdtContent>
  </w:sdt>
  <w:p w:rsidR="006427A1" w:rsidRPr="006427A1" w:rsidRDefault="006427A1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E3"/>
    <w:rsid w:val="000039EE"/>
    <w:rsid w:val="00005622"/>
    <w:rsid w:val="0002519E"/>
    <w:rsid w:val="00035B43"/>
    <w:rsid w:val="000758B3"/>
    <w:rsid w:val="000B0D96"/>
    <w:rsid w:val="000B59D8"/>
    <w:rsid w:val="000C56BE"/>
    <w:rsid w:val="001026FD"/>
    <w:rsid w:val="001064CE"/>
    <w:rsid w:val="001077FD"/>
    <w:rsid w:val="00115DD7"/>
    <w:rsid w:val="00167472"/>
    <w:rsid w:val="00167F92"/>
    <w:rsid w:val="00173738"/>
    <w:rsid w:val="00191A34"/>
    <w:rsid w:val="00194499"/>
    <w:rsid w:val="001B569E"/>
    <w:rsid w:val="001B79A3"/>
    <w:rsid w:val="002152A3"/>
    <w:rsid w:val="002D5A18"/>
    <w:rsid w:val="003131F0"/>
    <w:rsid w:val="00333A80"/>
    <w:rsid w:val="00364E95"/>
    <w:rsid w:val="00372875"/>
    <w:rsid w:val="003B1E80"/>
    <w:rsid w:val="003B66E8"/>
    <w:rsid w:val="004033F1"/>
    <w:rsid w:val="00414B0C"/>
    <w:rsid w:val="004257AC"/>
    <w:rsid w:val="0043711B"/>
    <w:rsid w:val="004B732E"/>
    <w:rsid w:val="004D51F4"/>
    <w:rsid w:val="004D64E0"/>
    <w:rsid w:val="0051210D"/>
    <w:rsid w:val="005136D2"/>
    <w:rsid w:val="00517A03"/>
    <w:rsid w:val="005A3DD9"/>
    <w:rsid w:val="005B1DFC"/>
    <w:rsid w:val="005C0FB0"/>
    <w:rsid w:val="00601682"/>
    <w:rsid w:val="00625E79"/>
    <w:rsid w:val="006333F7"/>
    <w:rsid w:val="006427A1"/>
    <w:rsid w:val="00644741"/>
    <w:rsid w:val="006A6FFE"/>
    <w:rsid w:val="006C5A91"/>
    <w:rsid w:val="00716BBC"/>
    <w:rsid w:val="007321BC"/>
    <w:rsid w:val="00760063"/>
    <w:rsid w:val="00775E4B"/>
    <w:rsid w:val="007916E3"/>
    <w:rsid w:val="0079553B"/>
    <w:rsid w:val="007A40FE"/>
    <w:rsid w:val="00810105"/>
    <w:rsid w:val="00811447"/>
    <w:rsid w:val="008157E0"/>
    <w:rsid w:val="00854E1D"/>
    <w:rsid w:val="00887FA6"/>
    <w:rsid w:val="008C4397"/>
    <w:rsid w:val="008C465A"/>
    <w:rsid w:val="008F2C9B"/>
    <w:rsid w:val="00923CD6"/>
    <w:rsid w:val="00935AA8"/>
    <w:rsid w:val="00965DF8"/>
    <w:rsid w:val="00971C9A"/>
    <w:rsid w:val="009D51FA"/>
    <w:rsid w:val="009F1E23"/>
    <w:rsid w:val="00A15179"/>
    <w:rsid w:val="00A51537"/>
    <w:rsid w:val="00A5280F"/>
    <w:rsid w:val="00A60FC1"/>
    <w:rsid w:val="00A97C37"/>
    <w:rsid w:val="00AC37B5"/>
    <w:rsid w:val="00AD752F"/>
    <w:rsid w:val="00B27B41"/>
    <w:rsid w:val="00B8573E"/>
    <w:rsid w:val="00BB24C0"/>
    <w:rsid w:val="00C26F2E"/>
    <w:rsid w:val="00C45376"/>
    <w:rsid w:val="00C9028F"/>
    <w:rsid w:val="00CA0416"/>
    <w:rsid w:val="00CB1125"/>
    <w:rsid w:val="00CD0292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31C7"/>
    <w:rsid w:val="00F346CE"/>
    <w:rsid w:val="00F34F98"/>
    <w:rsid w:val="00F40540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CommentReference">
    <w:name w:val="annotation reference"/>
    <w:basedOn w:val="DefaultParagraphFont"/>
    <w:rsid w:val="00EF31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1C7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F31C7"/>
    <w:rPr>
      <w:rFonts w:ascii="Times New Roman" w:hAnsi="Times New Roman"/>
      <w:lang w:val="en-GB" w:eastAsia="en-US"/>
    </w:rPr>
  </w:style>
  <w:style w:type="paragraph" w:customStyle="1" w:styleId="RecNo">
    <w:name w:val="Rec_No"/>
    <w:basedOn w:val="Normal"/>
    <w:next w:val="Normal"/>
    <w:rsid w:val="00EF31C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="Times New Roman Bold" w:hAnsi="Times New Roman Bold" w:cs="Times New Roman Bold"/>
      <w:b/>
      <w:sz w:val="26"/>
      <w:lang w:val="en-GB"/>
    </w:rPr>
  </w:style>
  <w:style w:type="paragraph" w:styleId="Revision">
    <w:name w:val="Revision"/>
    <w:hidden/>
    <w:uiPriority w:val="99"/>
    <w:semiHidden/>
    <w:rsid w:val="00EF31C7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rsid w:val="00EF31C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31C7"/>
    <w:rPr>
      <w:rFonts w:ascii="Tahoma" w:hAnsi="Tahoma" w:cs="Tahoma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EF31C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191A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CommentReference">
    <w:name w:val="annotation reference"/>
    <w:basedOn w:val="DefaultParagraphFont"/>
    <w:rsid w:val="00EF31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1C7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F31C7"/>
    <w:rPr>
      <w:rFonts w:ascii="Times New Roman" w:hAnsi="Times New Roman"/>
      <w:lang w:val="en-GB" w:eastAsia="en-US"/>
    </w:rPr>
  </w:style>
  <w:style w:type="paragraph" w:customStyle="1" w:styleId="RecNo">
    <w:name w:val="Rec_No"/>
    <w:basedOn w:val="Normal"/>
    <w:next w:val="Normal"/>
    <w:rsid w:val="00EF31C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="Times New Roman Bold" w:hAnsi="Times New Roman Bold" w:cs="Times New Roman Bold"/>
      <w:b/>
      <w:sz w:val="26"/>
      <w:lang w:val="en-GB"/>
    </w:rPr>
  </w:style>
  <w:style w:type="paragraph" w:styleId="Revision">
    <w:name w:val="Revision"/>
    <w:hidden/>
    <w:uiPriority w:val="99"/>
    <w:semiHidden/>
    <w:rsid w:val="00EF31C7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rsid w:val="00EF31C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31C7"/>
    <w:rPr>
      <w:rFonts w:ascii="Tahoma" w:hAnsi="Tahoma" w:cs="Tahoma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EF31C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191A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pr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tsbsg17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ouiller\Application%20Data\Microsoft\Templates\POOL%20F%20-%20ITU\PF_TSBCIRC1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D0C8-803D-474A-828E-0684EB8C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PF_TSBCIRC1-F.dotx</Template>
  <TotalTime>29</TotalTime>
  <Pages>3</Pages>
  <Words>971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6481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Drouiller, Isabelle</dc:creator>
  <cp:lastModifiedBy>Norton Viard, Emma</cp:lastModifiedBy>
  <cp:revision>9</cp:revision>
  <cp:lastPrinted>2013-05-08T14:00:00Z</cp:lastPrinted>
  <dcterms:created xsi:type="dcterms:W3CDTF">2013-05-08T13:25:00Z</dcterms:created>
  <dcterms:modified xsi:type="dcterms:W3CDTF">2013-05-10T08:51:00Z</dcterms:modified>
</cp:coreProperties>
</file>