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4289"/>
        <w:gridCol w:w="4394"/>
      </w:tblGrid>
      <w:tr w:rsidR="00C12F3C" w:rsidRPr="002E66CE" w:rsidTr="00C638F7">
        <w:trPr>
          <w:cantSplit/>
          <w:trHeight w:val="15"/>
        </w:trPr>
        <w:tc>
          <w:tcPr>
            <w:tcW w:w="5387" w:type="dxa"/>
            <w:gridSpan w:val="2"/>
            <w:vAlign w:val="center"/>
          </w:tcPr>
          <w:p w:rsidR="00C12F3C" w:rsidRPr="002E66CE" w:rsidRDefault="00C12F3C" w:rsidP="00C638F7">
            <w:pPr>
              <w:pStyle w:val="Tabletext"/>
            </w:pPr>
            <w:r w:rsidRPr="002E66CE">
              <w:rPr>
                <w:b/>
                <w:bCs/>
                <w:iCs/>
                <w:sz w:val="32"/>
                <w:szCs w:val="32"/>
              </w:rPr>
              <w:t>Telecommunication Standardization</w:t>
            </w:r>
            <w:r w:rsidRPr="002E66CE">
              <w:rPr>
                <w:b/>
                <w:bCs/>
                <w:iCs/>
                <w:sz w:val="32"/>
                <w:szCs w:val="32"/>
              </w:rPr>
              <w:br/>
              <w:t>Bureau</w:t>
            </w:r>
          </w:p>
        </w:tc>
        <w:tc>
          <w:tcPr>
            <w:tcW w:w="4394" w:type="dxa"/>
            <w:vAlign w:val="center"/>
          </w:tcPr>
          <w:p w:rsidR="00C12F3C" w:rsidRPr="00F50108" w:rsidRDefault="00D27F83" w:rsidP="00C638F7">
            <w:pPr>
              <w:spacing w:before="0"/>
              <w:jc w:val="right"/>
              <w:rPr>
                <w:rFonts w:ascii="Verdana" w:hAnsi="Verdana"/>
                <w:color w:val="FFFFFF"/>
                <w:sz w:val="26"/>
                <w:szCs w:val="26"/>
              </w:rPr>
            </w:pPr>
            <w:bookmarkStart w:id="0" w:name="ditulogo"/>
            <w:r>
              <w:rPr>
                <w:rFonts w:ascii="Verdana" w:hAnsi="Verdana"/>
                <w:noProof/>
                <w:color w:val="FFFFFF"/>
                <w:sz w:val="26"/>
                <w:szCs w:val="26"/>
                <w:lang w:eastAsia="en-GB"/>
              </w:rPr>
              <w:drawing>
                <wp:inline distT="0" distB="0" distL="0" distR="0">
                  <wp:extent cx="1762125" cy="742950"/>
                  <wp:effectExtent l="0" t="0" r="9525" b="0"/>
                  <wp:docPr id="1" name="Picture 1"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bookmarkEnd w:id="0"/>
          </w:p>
        </w:tc>
      </w:tr>
      <w:tr w:rsidR="00C12F3C" w:rsidRPr="002E66CE" w:rsidTr="00C638F7">
        <w:trPr>
          <w:cantSplit/>
          <w:trHeight w:val="254"/>
        </w:trPr>
        <w:tc>
          <w:tcPr>
            <w:tcW w:w="5387" w:type="dxa"/>
            <w:gridSpan w:val="2"/>
            <w:vAlign w:val="center"/>
          </w:tcPr>
          <w:p w:rsidR="00C12F3C" w:rsidRPr="002E66CE" w:rsidRDefault="00C12F3C" w:rsidP="00C638F7">
            <w:pPr>
              <w:pStyle w:val="Tabletext"/>
              <w:jc w:val="right"/>
            </w:pPr>
          </w:p>
        </w:tc>
        <w:tc>
          <w:tcPr>
            <w:tcW w:w="4394" w:type="dxa"/>
            <w:vAlign w:val="center"/>
          </w:tcPr>
          <w:p w:rsidR="00C12F3C" w:rsidRPr="002E66CE" w:rsidRDefault="00C67258" w:rsidP="00246D3B">
            <w:pPr>
              <w:pStyle w:val="Tabletext"/>
              <w:spacing w:before="480" w:after="120"/>
            </w:pPr>
            <w:r>
              <w:t>Geneva, 19</w:t>
            </w:r>
            <w:r w:rsidR="00C12F3C" w:rsidRPr="002E66CE">
              <w:t xml:space="preserve"> August 2014</w:t>
            </w:r>
          </w:p>
        </w:tc>
      </w:tr>
      <w:tr w:rsidR="00EC4DED" w:rsidRPr="002E66CE" w:rsidTr="00C638F7">
        <w:trPr>
          <w:cantSplit/>
          <w:trHeight w:val="123"/>
        </w:trPr>
        <w:tc>
          <w:tcPr>
            <w:tcW w:w="1098" w:type="dxa"/>
          </w:tcPr>
          <w:p w:rsidR="00EC4DED" w:rsidRPr="00F36AC4" w:rsidRDefault="00EC4DED" w:rsidP="00C638F7">
            <w:pPr>
              <w:pStyle w:val="Tabletext"/>
              <w:rPr>
                <w:rFonts w:ascii="Futura Lt BT" w:hAnsi="Futura Lt BT"/>
              </w:rPr>
            </w:pPr>
            <w:bookmarkStart w:id="1" w:name="Adress_E" w:colFirst="2" w:colLast="2"/>
            <w:r w:rsidRPr="002E66CE">
              <w:t>Ref:</w:t>
            </w:r>
          </w:p>
        </w:tc>
        <w:tc>
          <w:tcPr>
            <w:tcW w:w="4289" w:type="dxa"/>
          </w:tcPr>
          <w:p w:rsidR="00EC4DED" w:rsidRPr="002E66CE" w:rsidRDefault="00EC4DED" w:rsidP="00C638F7">
            <w:pPr>
              <w:pStyle w:val="Tabletext"/>
            </w:pPr>
            <w:r w:rsidRPr="002E66CE">
              <w:rPr>
                <w:b/>
              </w:rPr>
              <w:t>TSB Collective letter 2/SG5 RG-AMR</w:t>
            </w:r>
          </w:p>
        </w:tc>
        <w:tc>
          <w:tcPr>
            <w:tcW w:w="4394" w:type="dxa"/>
            <w:vMerge w:val="restart"/>
          </w:tcPr>
          <w:p w:rsidR="00EC4DED" w:rsidRPr="002E66CE" w:rsidRDefault="00EC4DED" w:rsidP="00C638F7">
            <w:pPr>
              <w:pStyle w:val="Tabletext"/>
              <w:ind w:left="283" w:hanging="283"/>
            </w:pPr>
            <w:r w:rsidRPr="002E66CE">
              <w:t>-</w:t>
            </w:r>
            <w:r w:rsidRPr="002E66CE">
              <w:tab/>
              <w:t xml:space="preserve">To Administrations of Member States of the Union; </w:t>
            </w:r>
          </w:p>
          <w:p w:rsidR="00EC4DED" w:rsidRPr="002E66CE" w:rsidRDefault="00EC4DED" w:rsidP="00C638F7">
            <w:pPr>
              <w:pStyle w:val="Tabletext"/>
              <w:ind w:left="283" w:hanging="283"/>
            </w:pPr>
            <w:r w:rsidRPr="002E66CE">
              <w:t>-</w:t>
            </w:r>
            <w:r w:rsidRPr="002E66CE">
              <w:tab/>
              <w:t>To ITU</w:t>
            </w:r>
            <w:r w:rsidRPr="002E66CE">
              <w:noBreakHyphen/>
              <w:t>T Sector Members;</w:t>
            </w:r>
          </w:p>
          <w:p w:rsidR="00EC4DED" w:rsidRPr="002E66CE" w:rsidRDefault="00EC4DED" w:rsidP="00C638F7">
            <w:pPr>
              <w:pStyle w:val="Tabletext"/>
              <w:ind w:left="283" w:hanging="283"/>
            </w:pPr>
            <w:r w:rsidRPr="002E66CE">
              <w:t>-</w:t>
            </w:r>
            <w:r w:rsidRPr="002E66CE">
              <w:tab/>
              <w:t>To ITU</w:t>
            </w:r>
            <w:r w:rsidRPr="002E66CE">
              <w:noBreakHyphen/>
              <w:t>T Associates from the American countries participating in the work of Study Group 5 RG-AMR;</w:t>
            </w:r>
          </w:p>
          <w:p w:rsidR="00EC4DED" w:rsidRPr="002E66CE" w:rsidRDefault="00EC4DED" w:rsidP="00C638F7">
            <w:pPr>
              <w:pStyle w:val="Tabletext"/>
              <w:ind w:left="283" w:hanging="283"/>
            </w:pPr>
            <w:r w:rsidRPr="002E66CE">
              <w:t>-</w:t>
            </w:r>
            <w:r w:rsidRPr="002E66CE">
              <w:tab/>
              <w:t>To ITU</w:t>
            </w:r>
            <w:r w:rsidRPr="002E66CE">
              <w:noBreakHyphen/>
              <w:t>T Academia;</w:t>
            </w:r>
          </w:p>
          <w:p w:rsidR="00EC4DED" w:rsidRPr="002E66CE" w:rsidRDefault="00EC4DED" w:rsidP="00C638F7">
            <w:pPr>
              <w:pStyle w:val="Tabletext"/>
              <w:ind w:left="283" w:hanging="283"/>
            </w:pPr>
            <w:r w:rsidRPr="002E66CE">
              <w:t>-</w:t>
            </w:r>
            <w:r w:rsidRPr="002E66CE">
              <w:tab/>
              <w:t>To ITU Regional Office for Americas Region;</w:t>
            </w:r>
          </w:p>
          <w:p w:rsidR="00EC4DED" w:rsidRPr="002E66CE" w:rsidRDefault="00EC4DED" w:rsidP="00C638F7">
            <w:pPr>
              <w:pStyle w:val="Tabletext"/>
              <w:ind w:left="283" w:hanging="283"/>
            </w:pPr>
            <w:r w:rsidRPr="002E66CE">
              <w:t>-</w:t>
            </w:r>
            <w:r w:rsidRPr="002E66CE">
              <w:tab/>
              <w:t>To ITU Area Office, Barbados;</w:t>
            </w:r>
          </w:p>
          <w:p w:rsidR="00EC4DED" w:rsidRPr="002E66CE" w:rsidRDefault="00EC4DED" w:rsidP="00C638F7">
            <w:pPr>
              <w:pStyle w:val="Tabletext"/>
              <w:ind w:left="283" w:hanging="283"/>
            </w:pPr>
            <w:r w:rsidRPr="002E66CE">
              <w:t>-</w:t>
            </w:r>
            <w:r w:rsidRPr="002E66CE">
              <w:tab/>
              <w:t>To ITU Area Office, Chile and</w:t>
            </w:r>
          </w:p>
          <w:p w:rsidR="00EC4DED" w:rsidRPr="002E66CE" w:rsidRDefault="00EC4DED" w:rsidP="00C638F7">
            <w:pPr>
              <w:pStyle w:val="Tabletext"/>
              <w:ind w:left="283" w:hanging="283"/>
            </w:pPr>
            <w:r w:rsidRPr="002E66CE">
              <w:t>-</w:t>
            </w:r>
            <w:r w:rsidRPr="002E66CE">
              <w:tab/>
              <w:t>To ITU Area Office, Honduras</w:t>
            </w:r>
          </w:p>
        </w:tc>
      </w:tr>
      <w:bookmarkEnd w:id="1"/>
      <w:tr w:rsidR="00EC4DED" w:rsidRPr="002E66CE" w:rsidTr="00C638F7">
        <w:trPr>
          <w:cantSplit/>
          <w:trHeight w:val="281"/>
        </w:trPr>
        <w:tc>
          <w:tcPr>
            <w:tcW w:w="1098" w:type="dxa"/>
          </w:tcPr>
          <w:p w:rsidR="00EC4DED" w:rsidRPr="002E66CE" w:rsidRDefault="00EC4DED" w:rsidP="00C638F7">
            <w:pPr>
              <w:pStyle w:val="Tabletext"/>
            </w:pPr>
          </w:p>
        </w:tc>
        <w:tc>
          <w:tcPr>
            <w:tcW w:w="4289" w:type="dxa"/>
          </w:tcPr>
          <w:p w:rsidR="00EC4DED" w:rsidRPr="002E66CE" w:rsidRDefault="00EC4DED" w:rsidP="00C638F7">
            <w:pPr>
              <w:pStyle w:val="Tabletext"/>
              <w:rPr>
                <w:bCs/>
              </w:rPr>
            </w:pPr>
          </w:p>
        </w:tc>
        <w:tc>
          <w:tcPr>
            <w:tcW w:w="4394" w:type="dxa"/>
            <w:vMerge/>
          </w:tcPr>
          <w:p w:rsidR="00EC4DED" w:rsidRPr="002E66CE" w:rsidRDefault="00EC4DED" w:rsidP="00C638F7">
            <w:pPr>
              <w:pStyle w:val="Tabletext"/>
              <w:ind w:left="142" w:hanging="142"/>
            </w:pPr>
          </w:p>
        </w:tc>
      </w:tr>
      <w:tr w:rsidR="00EC4DED" w:rsidRPr="002E66CE" w:rsidTr="00C638F7">
        <w:trPr>
          <w:cantSplit/>
          <w:trHeight w:val="221"/>
        </w:trPr>
        <w:tc>
          <w:tcPr>
            <w:tcW w:w="1098" w:type="dxa"/>
          </w:tcPr>
          <w:p w:rsidR="00EC4DED" w:rsidRPr="002E66CE" w:rsidRDefault="00EC4DED" w:rsidP="00C638F7">
            <w:pPr>
              <w:pStyle w:val="Tabletext"/>
            </w:pPr>
            <w:r w:rsidRPr="002E66CE">
              <w:t>Tel:</w:t>
            </w:r>
          </w:p>
        </w:tc>
        <w:tc>
          <w:tcPr>
            <w:tcW w:w="4289" w:type="dxa"/>
          </w:tcPr>
          <w:p w:rsidR="00EC4DED" w:rsidRPr="002E66CE" w:rsidRDefault="00EC4DED" w:rsidP="00C638F7">
            <w:pPr>
              <w:pStyle w:val="Tabletext"/>
              <w:rPr>
                <w:b/>
              </w:rPr>
            </w:pPr>
            <w:r w:rsidRPr="002E66CE">
              <w:t>+41 22 730 6301</w:t>
            </w:r>
          </w:p>
        </w:tc>
        <w:tc>
          <w:tcPr>
            <w:tcW w:w="4394" w:type="dxa"/>
            <w:vMerge/>
          </w:tcPr>
          <w:p w:rsidR="00EC4DED" w:rsidRPr="002E66CE" w:rsidRDefault="00EC4DED" w:rsidP="00C638F7">
            <w:pPr>
              <w:pStyle w:val="Tabletext"/>
              <w:ind w:left="142" w:hanging="142"/>
            </w:pPr>
          </w:p>
        </w:tc>
      </w:tr>
      <w:tr w:rsidR="00EC4DED" w:rsidRPr="002E66CE" w:rsidTr="00C638F7">
        <w:trPr>
          <w:cantSplit/>
          <w:trHeight w:val="282"/>
        </w:trPr>
        <w:tc>
          <w:tcPr>
            <w:tcW w:w="1098" w:type="dxa"/>
          </w:tcPr>
          <w:p w:rsidR="00EC4DED" w:rsidRPr="002E66CE" w:rsidRDefault="00EC4DED" w:rsidP="00C638F7">
            <w:pPr>
              <w:pStyle w:val="Tabletext"/>
            </w:pPr>
            <w:r w:rsidRPr="002E66CE">
              <w:t>Fax:</w:t>
            </w:r>
          </w:p>
        </w:tc>
        <w:tc>
          <w:tcPr>
            <w:tcW w:w="4289" w:type="dxa"/>
          </w:tcPr>
          <w:p w:rsidR="00EC4DED" w:rsidRPr="002E66CE" w:rsidRDefault="00EC4DED" w:rsidP="00C638F7">
            <w:pPr>
              <w:pStyle w:val="Tabletext"/>
              <w:rPr>
                <w:b/>
              </w:rPr>
            </w:pPr>
            <w:r w:rsidRPr="002E66CE">
              <w:t>+41 22 730 5853</w:t>
            </w:r>
          </w:p>
        </w:tc>
        <w:tc>
          <w:tcPr>
            <w:tcW w:w="4394" w:type="dxa"/>
            <w:vMerge/>
          </w:tcPr>
          <w:p w:rsidR="00EC4DED" w:rsidRPr="002E66CE" w:rsidRDefault="00EC4DED" w:rsidP="00C638F7">
            <w:pPr>
              <w:pStyle w:val="Tabletext"/>
              <w:ind w:left="142" w:hanging="142"/>
            </w:pPr>
          </w:p>
        </w:tc>
      </w:tr>
      <w:tr w:rsidR="00EC4DED" w:rsidRPr="002E66CE" w:rsidTr="00C638F7">
        <w:trPr>
          <w:cantSplit/>
          <w:trHeight w:val="282"/>
        </w:trPr>
        <w:tc>
          <w:tcPr>
            <w:tcW w:w="1098" w:type="dxa"/>
          </w:tcPr>
          <w:p w:rsidR="00EC4DED" w:rsidRPr="002E66CE" w:rsidRDefault="00EC4DED" w:rsidP="00EC4DED">
            <w:pPr>
              <w:pStyle w:val="Tabletext"/>
            </w:pPr>
            <w:r w:rsidRPr="002E66CE">
              <w:t>E-mail:</w:t>
            </w:r>
          </w:p>
        </w:tc>
        <w:tc>
          <w:tcPr>
            <w:tcW w:w="4289" w:type="dxa"/>
          </w:tcPr>
          <w:p w:rsidR="00EC4DED" w:rsidRPr="002E66CE" w:rsidRDefault="00D27F83" w:rsidP="00EC4DED">
            <w:pPr>
              <w:pStyle w:val="Tabletext"/>
            </w:pPr>
            <w:hyperlink r:id="rId8" w:history="1">
              <w:r w:rsidR="00EC4DED" w:rsidRPr="002E66CE">
                <w:rPr>
                  <w:rStyle w:val="Hyperlink"/>
                  <w:szCs w:val="22"/>
                </w:rPr>
                <w:t>tsbsg5@itu.int</w:t>
              </w:r>
            </w:hyperlink>
            <w:r w:rsidR="00EC4DED" w:rsidRPr="002E66CE">
              <w:t xml:space="preserve"> </w:t>
            </w:r>
          </w:p>
        </w:tc>
        <w:tc>
          <w:tcPr>
            <w:tcW w:w="4394" w:type="dxa"/>
            <w:vMerge/>
          </w:tcPr>
          <w:p w:rsidR="00EC4DED" w:rsidRPr="002E66CE" w:rsidRDefault="00EC4DED" w:rsidP="00EC4DED">
            <w:pPr>
              <w:pStyle w:val="Tabletext"/>
              <w:ind w:left="142" w:hanging="142"/>
            </w:pPr>
          </w:p>
        </w:tc>
      </w:tr>
      <w:tr w:rsidR="00EC4DED" w:rsidRPr="002E66CE" w:rsidTr="00C638F7">
        <w:trPr>
          <w:cantSplit/>
          <w:trHeight w:val="80"/>
        </w:trPr>
        <w:tc>
          <w:tcPr>
            <w:tcW w:w="1098" w:type="dxa"/>
          </w:tcPr>
          <w:p w:rsidR="00EC4DED" w:rsidRPr="002E66CE" w:rsidRDefault="00EC4DED" w:rsidP="00EC4DED">
            <w:pPr>
              <w:pStyle w:val="Tabletext"/>
            </w:pPr>
            <w:r w:rsidRPr="002E66CE">
              <w:t>Subject:</w:t>
            </w:r>
          </w:p>
        </w:tc>
        <w:tc>
          <w:tcPr>
            <w:tcW w:w="8683" w:type="dxa"/>
            <w:gridSpan w:val="2"/>
          </w:tcPr>
          <w:p w:rsidR="00EC4DED" w:rsidRPr="002E66CE" w:rsidRDefault="00EC4DED" w:rsidP="00EC4DED">
            <w:pPr>
              <w:pStyle w:val="Tabletext"/>
            </w:pPr>
            <w:bookmarkStart w:id="2" w:name="_GoBack"/>
            <w:r w:rsidRPr="002E66CE">
              <w:rPr>
                <w:b/>
                <w:bCs/>
              </w:rPr>
              <w:t>Second meeting of ITU-T Study Group 5 Regional Group for the Americas</w:t>
            </w:r>
            <w:r w:rsidR="003F40CC">
              <w:rPr>
                <w:b/>
                <w:bCs/>
              </w:rPr>
              <w:t>;</w:t>
            </w:r>
            <w:r w:rsidRPr="002E66CE">
              <w:rPr>
                <w:b/>
                <w:bCs/>
              </w:rPr>
              <w:br/>
              <w:t>Merida</w:t>
            </w:r>
            <w:r>
              <w:rPr>
                <w:b/>
                <w:bCs/>
              </w:rPr>
              <w:t xml:space="preserve"> city</w:t>
            </w:r>
            <w:r w:rsidRPr="002E66CE">
              <w:rPr>
                <w:b/>
                <w:bCs/>
              </w:rPr>
              <w:t>, Mexico, 1 October 2014</w:t>
            </w:r>
            <w:bookmarkEnd w:id="2"/>
          </w:p>
        </w:tc>
      </w:tr>
    </w:tbl>
    <w:p w:rsidR="00C12F3C" w:rsidRPr="005A4F9A" w:rsidRDefault="00C12F3C" w:rsidP="005A4F9A">
      <w:pPr>
        <w:spacing w:before="720"/>
        <w:rPr>
          <w:szCs w:val="24"/>
        </w:rPr>
      </w:pPr>
      <w:bookmarkStart w:id="3" w:name="StartTyping_E"/>
      <w:bookmarkEnd w:id="3"/>
      <w:r w:rsidRPr="005A4F9A">
        <w:rPr>
          <w:szCs w:val="24"/>
        </w:rPr>
        <w:t>Dear Sir/Madam,</w:t>
      </w:r>
      <w:r w:rsidRPr="005A4F9A">
        <w:rPr>
          <w:szCs w:val="24"/>
        </w:rPr>
        <w:tab/>
      </w:r>
    </w:p>
    <w:p w:rsidR="00C12F3C" w:rsidRPr="005A4F9A" w:rsidRDefault="00C12F3C" w:rsidP="005A4F9A">
      <w:pPr>
        <w:spacing w:before="240"/>
        <w:rPr>
          <w:szCs w:val="24"/>
        </w:rPr>
      </w:pPr>
      <w:r w:rsidRPr="005A4F9A">
        <w:rPr>
          <w:szCs w:val="24"/>
        </w:rPr>
        <w:t>We are pleased to inform you that, at the kind invitation of the government of Mexico, ITU-T Study Group 5 Regional Group for the Americas (SG5 RG-AMR) will hold a meeting in Merida</w:t>
      </w:r>
      <w:r>
        <w:rPr>
          <w:szCs w:val="24"/>
        </w:rPr>
        <w:t xml:space="preserve"> city</w:t>
      </w:r>
      <w:r w:rsidRPr="005A4F9A">
        <w:rPr>
          <w:szCs w:val="24"/>
        </w:rPr>
        <w:t>, Mexico, on 1 October 2014.</w:t>
      </w:r>
    </w:p>
    <w:p w:rsidR="00C12F3C" w:rsidRPr="005A4F9A" w:rsidRDefault="00C12F3C" w:rsidP="005A4F9A">
      <w:pPr>
        <w:spacing w:before="240"/>
        <w:rPr>
          <w:szCs w:val="24"/>
        </w:rPr>
      </w:pPr>
      <w:r w:rsidRPr="005A4F9A">
        <w:rPr>
          <w:szCs w:val="24"/>
        </w:rPr>
        <w:t>This meeting will be held in conjunction with the Permanent Consultative Committee II (PCC.II): Radiocommunications, of the Inter-American Telecommunication Commission (CITEL) which will take place from 29 September to 3 October 2014.</w:t>
      </w:r>
    </w:p>
    <w:p w:rsidR="00C12F3C" w:rsidRPr="005A4F9A" w:rsidRDefault="00C12F3C" w:rsidP="005A4F9A">
      <w:pPr>
        <w:spacing w:before="240"/>
        <w:ind w:right="-193"/>
        <w:rPr>
          <w:b/>
          <w:bCs/>
          <w:szCs w:val="24"/>
        </w:rPr>
      </w:pPr>
      <w:r w:rsidRPr="005A4F9A">
        <w:rPr>
          <w:szCs w:val="24"/>
        </w:rPr>
        <w:t xml:space="preserve">We should like to inform you that the meeting will be held from 15:15 to 18:00 hours. Additional information about the meeting is set forth in </w:t>
      </w:r>
      <w:r w:rsidRPr="005A4F9A">
        <w:rPr>
          <w:b/>
          <w:bCs/>
          <w:szCs w:val="24"/>
        </w:rPr>
        <w:t xml:space="preserve">Annex A. </w:t>
      </w:r>
      <w:r w:rsidRPr="005A4F9A">
        <w:rPr>
          <w:szCs w:val="24"/>
        </w:rPr>
        <w:t xml:space="preserve">The draft </w:t>
      </w:r>
      <w:r w:rsidRPr="005A4F9A">
        <w:rPr>
          <w:b/>
          <w:bCs/>
          <w:szCs w:val="24"/>
        </w:rPr>
        <w:t xml:space="preserve">Agenda </w:t>
      </w:r>
      <w:r w:rsidRPr="005A4F9A">
        <w:rPr>
          <w:szCs w:val="24"/>
        </w:rPr>
        <w:t xml:space="preserve">of the meeting, as prepared by the Chairman of SG5 RG-AMR, is set out in </w:t>
      </w:r>
      <w:r w:rsidRPr="005A4F9A">
        <w:rPr>
          <w:b/>
          <w:bCs/>
          <w:szCs w:val="24"/>
        </w:rPr>
        <w:t>Annex B</w:t>
      </w:r>
      <w:r w:rsidRPr="005A4F9A">
        <w:rPr>
          <w:szCs w:val="24"/>
        </w:rPr>
        <w:t xml:space="preserve">. </w:t>
      </w:r>
    </w:p>
    <w:p w:rsidR="00C12F3C" w:rsidRPr="005A4F9A" w:rsidRDefault="00C12F3C" w:rsidP="005A4F9A">
      <w:pPr>
        <w:spacing w:before="240"/>
        <w:rPr>
          <w:b/>
          <w:bCs/>
          <w:szCs w:val="24"/>
        </w:rPr>
      </w:pPr>
      <w:r w:rsidRPr="005A4F9A">
        <w:rPr>
          <w:szCs w:val="24"/>
        </w:rPr>
        <w:t>Participant registration will begin at 8:30 hours at the venue. Detailed information concerning the meeting rooms will be displayed at the entrances of the venue. Participants of this event who would like to attend the PCC.II meeting and have not registered on the CITEL website, please contact the Secretariat of CITEL (</w:t>
      </w:r>
      <w:hyperlink r:id="rId9" w:history="1">
        <w:r w:rsidRPr="005A4F9A">
          <w:rPr>
            <w:rStyle w:val="Hyperlink"/>
            <w:szCs w:val="24"/>
          </w:rPr>
          <w:t>citel@oas.org</w:t>
        </w:r>
      </w:hyperlink>
      <w:r w:rsidRPr="005A4F9A">
        <w:rPr>
          <w:szCs w:val="24"/>
        </w:rPr>
        <w:t>).</w:t>
      </w:r>
    </w:p>
    <w:p w:rsidR="00C12F3C" w:rsidRPr="005A4F9A" w:rsidRDefault="00C12F3C" w:rsidP="005A4F9A">
      <w:pPr>
        <w:spacing w:before="240"/>
        <w:rPr>
          <w:szCs w:val="24"/>
        </w:rPr>
      </w:pPr>
      <w:r w:rsidRPr="005A4F9A">
        <w:rPr>
          <w:szCs w:val="24"/>
        </w:rPr>
        <w:t>Practical information relating to the venue will be provided at a later stage by CITEL. Detailed logistics information will be posted at the Study Group 5 Regional Group for the Americas</w:t>
      </w:r>
      <w:r w:rsidRPr="005A4F9A">
        <w:rPr>
          <w:b/>
          <w:bCs/>
          <w:szCs w:val="24"/>
        </w:rPr>
        <w:t xml:space="preserve"> </w:t>
      </w:r>
      <w:r w:rsidRPr="005A4F9A">
        <w:rPr>
          <w:szCs w:val="24"/>
        </w:rPr>
        <w:t>website:</w:t>
      </w:r>
      <w:r w:rsidRPr="005A4F9A">
        <w:rPr>
          <w:szCs w:val="24"/>
        </w:rPr>
        <w:br/>
      </w:r>
      <w:hyperlink r:id="rId10" w:history="1">
        <w:r w:rsidRPr="005A4F9A">
          <w:rPr>
            <w:rStyle w:val="Hyperlink"/>
            <w:szCs w:val="24"/>
          </w:rPr>
          <w:t>http://www.itu.int/en/ITU-T/studygroups/2013-2016/05/sg5rgamr/Pages/default.aspx</w:t>
        </w:r>
      </w:hyperlink>
    </w:p>
    <w:p w:rsidR="00C12F3C" w:rsidRPr="005A4F9A" w:rsidRDefault="00C12F3C" w:rsidP="005A4F9A">
      <w:pPr>
        <w:keepNext/>
        <w:keepLines/>
        <w:rPr>
          <w:szCs w:val="24"/>
        </w:rPr>
      </w:pPr>
      <w:r w:rsidRPr="005A4F9A">
        <w:rPr>
          <w:szCs w:val="24"/>
        </w:rPr>
        <w:lastRenderedPageBreak/>
        <w:t>I wish you a productive and enjoyable meeting.</w:t>
      </w:r>
    </w:p>
    <w:p w:rsidR="00C12F3C" w:rsidRPr="005A4F9A" w:rsidRDefault="00C12F3C" w:rsidP="005A4F9A">
      <w:pPr>
        <w:keepNext/>
        <w:keepLines/>
        <w:spacing w:before="480"/>
        <w:rPr>
          <w:szCs w:val="24"/>
        </w:rPr>
      </w:pPr>
      <w:r w:rsidRPr="005A4F9A">
        <w:rPr>
          <w:szCs w:val="24"/>
        </w:rPr>
        <w:t>Yours faithfully,</w:t>
      </w:r>
    </w:p>
    <w:p w:rsidR="00C12F3C" w:rsidRPr="005A4F9A" w:rsidRDefault="00C12F3C" w:rsidP="005A4F9A">
      <w:pPr>
        <w:keepNext/>
        <w:keepLines/>
        <w:spacing w:before="1560"/>
        <w:rPr>
          <w:szCs w:val="24"/>
        </w:rPr>
      </w:pPr>
      <w:r w:rsidRPr="005A4F9A">
        <w:rPr>
          <w:szCs w:val="24"/>
        </w:rPr>
        <w:t>Malcolm Johnson</w:t>
      </w:r>
      <w:r w:rsidRPr="005A4F9A">
        <w:rPr>
          <w:szCs w:val="24"/>
        </w:rPr>
        <w:br/>
        <w:t>Director of the Telecommunication</w:t>
      </w:r>
      <w:r w:rsidRPr="005A4F9A">
        <w:rPr>
          <w:szCs w:val="24"/>
        </w:rPr>
        <w:br/>
        <w:t>Standardization Bureau</w:t>
      </w:r>
    </w:p>
    <w:p w:rsidR="00C12F3C" w:rsidRPr="005A4F9A" w:rsidRDefault="00C12F3C" w:rsidP="005A4F9A">
      <w:pPr>
        <w:keepNext/>
        <w:keepLines/>
        <w:spacing w:before="1560"/>
        <w:rPr>
          <w:szCs w:val="24"/>
        </w:rPr>
      </w:pPr>
      <w:r w:rsidRPr="005A4F9A">
        <w:rPr>
          <w:b/>
          <w:bCs/>
          <w:szCs w:val="24"/>
        </w:rPr>
        <w:t>Annexes</w:t>
      </w:r>
      <w:r w:rsidRPr="005A4F9A">
        <w:rPr>
          <w:szCs w:val="24"/>
        </w:rPr>
        <w:t>: 2</w:t>
      </w:r>
    </w:p>
    <w:p w:rsidR="00C12F3C" w:rsidRPr="005A4F9A" w:rsidRDefault="00C12F3C">
      <w:pPr>
        <w:tabs>
          <w:tab w:val="clear" w:pos="794"/>
          <w:tab w:val="clear" w:pos="1191"/>
          <w:tab w:val="clear" w:pos="1588"/>
          <w:tab w:val="clear" w:pos="1985"/>
        </w:tabs>
        <w:overflowPunct/>
        <w:autoSpaceDE/>
        <w:autoSpaceDN/>
        <w:adjustRightInd/>
        <w:spacing w:before="0"/>
        <w:textAlignment w:val="auto"/>
        <w:rPr>
          <w:szCs w:val="24"/>
        </w:rPr>
      </w:pPr>
      <w:r w:rsidRPr="005A4F9A">
        <w:rPr>
          <w:szCs w:val="24"/>
        </w:rPr>
        <w:br w:type="page"/>
      </w:r>
    </w:p>
    <w:p w:rsidR="00C12F3C" w:rsidRPr="005A4F9A" w:rsidRDefault="00C12F3C" w:rsidP="00384E5D">
      <w:pPr>
        <w:ind w:right="-194"/>
        <w:jc w:val="center"/>
        <w:rPr>
          <w:bCs/>
          <w:szCs w:val="24"/>
        </w:rPr>
      </w:pPr>
      <w:r w:rsidRPr="005A4F9A">
        <w:rPr>
          <w:b/>
          <w:bCs/>
          <w:szCs w:val="24"/>
        </w:rPr>
        <w:t>ANNEX A</w:t>
      </w:r>
      <w:r w:rsidRPr="005A4F9A">
        <w:rPr>
          <w:b/>
          <w:bCs/>
          <w:szCs w:val="24"/>
        </w:rPr>
        <w:br/>
      </w:r>
      <w:r w:rsidRPr="005A4F9A">
        <w:rPr>
          <w:bCs/>
          <w:szCs w:val="24"/>
        </w:rPr>
        <w:t>(to TSB Collective letter 2/SG5 RG-AMR)</w:t>
      </w:r>
    </w:p>
    <w:p w:rsidR="00C12F3C" w:rsidRPr="005A4F9A" w:rsidRDefault="00C12F3C" w:rsidP="00442EB1">
      <w:pPr>
        <w:spacing w:before="240"/>
        <w:ind w:right="-193"/>
        <w:jc w:val="center"/>
        <w:rPr>
          <w:szCs w:val="24"/>
        </w:rPr>
      </w:pPr>
      <w:r w:rsidRPr="005A4F9A">
        <w:rPr>
          <w:b/>
          <w:bCs/>
          <w:szCs w:val="24"/>
        </w:rPr>
        <w:t>MAKING CONTRIBUTIONS</w:t>
      </w:r>
    </w:p>
    <w:p w:rsidR="00C12F3C" w:rsidRPr="005A4F9A" w:rsidRDefault="00C12F3C" w:rsidP="00912622">
      <w:pPr>
        <w:pStyle w:val="Normalaftertitle0"/>
        <w:jc w:val="both"/>
        <w:rPr>
          <w:szCs w:val="24"/>
        </w:rPr>
      </w:pPr>
      <w:r w:rsidRPr="005A4F9A">
        <w:rPr>
          <w:b/>
          <w:bCs/>
          <w:szCs w:val="24"/>
        </w:rPr>
        <w:t xml:space="preserve">DEADLINES FOR CONTRIBUTIONS: </w:t>
      </w:r>
      <w:r w:rsidRPr="005A4F9A">
        <w:rPr>
          <w:szCs w:val="24"/>
        </w:rPr>
        <w:t xml:space="preserve">We invite you to submit your contributions by electronic mail to the following address </w:t>
      </w:r>
      <w:hyperlink r:id="rId11" w:history="1">
        <w:r w:rsidRPr="005A4F9A">
          <w:rPr>
            <w:rStyle w:val="Hyperlink"/>
            <w:szCs w:val="24"/>
          </w:rPr>
          <w:t>tsbsg5@itu.int</w:t>
        </w:r>
      </w:hyperlink>
      <w:r w:rsidRPr="005A4F9A">
        <w:rPr>
          <w:szCs w:val="24"/>
        </w:rPr>
        <w:t xml:space="preserve">. The deadline for contributions is 12 (twelve) calendar days before the meeting. Such contributions will be published on the Study Group 5 RG-AMR website and must therefore be received by TSB </w:t>
      </w:r>
      <w:r w:rsidRPr="005A4F9A">
        <w:rPr>
          <w:b/>
          <w:szCs w:val="24"/>
        </w:rPr>
        <w:t xml:space="preserve">not later than 18 September 2014. </w:t>
      </w:r>
    </w:p>
    <w:p w:rsidR="00C12F3C" w:rsidRPr="005A4F9A" w:rsidRDefault="00C12F3C" w:rsidP="00912622">
      <w:pPr>
        <w:spacing w:before="100" w:beforeAutospacing="1" w:after="120"/>
        <w:jc w:val="both"/>
        <w:rPr>
          <w:szCs w:val="24"/>
        </w:rPr>
      </w:pPr>
      <w:r w:rsidRPr="005A4F9A">
        <w:rPr>
          <w:b/>
          <w:bCs/>
          <w:szCs w:val="24"/>
        </w:rPr>
        <w:t>TEMPLATES:</w:t>
      </w:r>
      <w:r w:rsidRPr="005A4F9A">
        <w:rPr>
          <w:szCs w:val="24"/>
        </w:rPr>
        <w:t xml:space="preserve"> Please use the provided set of templates to prepare your meeting documents.  The templates are accessible from each ITU</w:t>
      </w:r>
      <w:r w:rsidRPr="005A4F9A">
        <w:rPr>
          <w:szCs w:val="24"/>
        </w:rPr>
        <w:noBreakHyphen/>
        <w:t>T study group web page, under “Delegate resources” (</w:t>
      </w:r>
      <w:hyperlink r:id="rId12" w:history="1">
        <w:r w:rsidRPr="005A4F9A">
          <w:rPr>
            <w:rStyle w:val="Hyperlink"/>
            <w:szCs w:val="24"/>
          </w:rPr>
          <w:t>http://itu.int/ITU-T/studygroups/templates</w:t>
        </w:r>
      </w:hyperlink>
      <w:r w:rsidRPr="005A4F9A">
        <w:rPr>
          <w:szCs w:val="24"/>
        </w:rPr>
        <w:t>).  The name, fax and telephone numbers and e-mail address of the person to be contacted about the contribution should be indicated on the cover page of all documents.</w:t>
      </w:r>
    </w:p>
    <w:p w:rsidR="00C12F3C" w:rsidRPr="005A4F9A" w:rsidRDefault="00C12F3C" w:rsidP="0087539F">
      <w:pPr>
        <w:tabs>
          <w:tab w:val="left" w:pos="1418"/>
          <w:tab w:val="left" w:pos="1702"/>
          <w:tab w:val="left" w:pos="2160"/>
        </w:tabs>
        <w:spacing w:before="480" w:after="120"/>
        <w:ind w:right="91"/>
        <w:jc w:val="center"/>
        <w:rPr>
          <w:b/>
          <w:bCs/>
          <w:szCs w:val="24"/>
        </w:rPr>
      </w:pPr>
      <w:r w:rsidRPr="005A4F9A">
        <w:rPr>
          <w:b/>
          <w:bCs/>
          <w:szCs w:val="24"/>
        </w:rPr>
        <w:t>WORK METHODS AND FACILITIES</w:t>
      </w:r>
    </w:p>
    <w:p w:rsidR="00C12F3C" w:rsidRPr="005A4F9A" w:rsidRDefault="00C12F3C" w:rsidP="00912622">
      <w:pPr>
        <w:jc w:val="both"/>
        <w:rPr>
          <w:szCs w:val="24"/>
        </w:rPr>
      </w:pPr>
      <w:r w:rsidRPr="005A4F9A">
        <w:rPr>
          <w:b/>
          <w:bCs/>
          <w:szCs w:val="24"/>
        </w:rPr>
        <w:t xml:space="preserve">INTERPRETATION: </w:t>
      </w:r>
      <w:r w:rsidRPr="005A4F9A">
        <w:rPr>
          <w:szCs w:val="24"/>
        </w:rPr>
        <w:t>As agreed with the Chairman of the Group, the working languages of the meeting will be English and Spanish.</w:t>
      </w:r>
    </w:p>
    <w:p w:rsidR="00C12F3C" w:rsidRPr="005A4F9A" w:rsidRDefault="00C12F3C" w:rsidP="00912622">
      <w:pPr>
        <w:jc w:val="both"/>
        <w:rPr>
          <w:rFonts w:eastAsia="SimSun"/>
          <w:szCs w:val="24"/>
          <w:lang w:eastAsia="zh-CN"/>
        </w:rPr>
      </w:pPr>
      <w:r w:rsidRPr="005A4F9A">
        <w:rPr>
          <w:rFonts w:eastAsia="SimSun"/>
          <w:b/>
          <w:bCs/>
          <w:szCs w:val="24"/>
          <w:lang w:eastAsia="zh-CN"/>
        </w:rPr>
        <w:t xml:space="preserve">PAPERLESS MEETINGS: </w:t>
      </w:r>
      <w:r w:rsidRPr="005A4F9A">
        <w:rPr>
          <w:rFonts w:eastAsia="SimSun"/>
          <w:szCs w:val="24"/>
          <w:lang w:eastAsia="zh-CN"/>
        </w:rPr>
        <w:t xml:space="preserve"> In agreement with its Chairman, Study Group 5 RG-AMR will take further steps towards working in a fully electronic environment. The meeting will therefore be run paperless. </w:t>
      </w:r>
    </w:p>
    <w:p w:rsidR="00C12F3C" w:rsidRPr="005A4F9A" w:rsidRDefault="00C12F3C" w:rsidP="00912622">
      <w:pPr>
        <w:jc w:val="both"/>
        <w:rPr>
          <w:szCs w:val="24"/>
        </w:rPr>
      </w:pPr>
      <w:r w:rsidRPr="005A4F9A">
        <w:rPr>
          <w:b/>
          <w:bCs/>
          <w:szCs w:val="24"/>
        </w:rPr>
        <w:t>WIRELESS LAN</w:t>
      </w:r>
      <w:r w:rsidRPr="005A4F9A">
        <w:rPr>
          <w:szCs w:val="24"/>
        </w:rPr>
        <w:t>: Facilities and Internet access will be available at the venue of the event.</w:t>
      </w:r>
    </w:p>
    <w:p w:rsidR="00C12F3C" w:rsidRPr="005A4F9A" w:rsidRDefault="00700294" w:rsidP="00700294">
      <w:pPr>
        <w:tabs>
          <w:tab w:val="left" w:pos="1418"/>
          <w:tab w:val="left" w:pos="1702"/>
          <w:tab w:val="left" w:pos="2160"/>
        </w:tabs>
        <w:spacing w:before="480" w:after="120"/>
        <w:ind w:right="91"/>
        <w:jc w:val="center"/>
        <w:rPr>
          <w:b/>
          <w:bCs/>
          <w:szCs w:val="24"/>
        </w:rPr>
      </w:pPr>
      <w:r>
        <w:rPr>
          <w:b/>
          <w:bCs/>
          <w:szCs w:val="24"/>
        </w:rPr>
        <w:t>REGISTRATION</w:t>
      </w:r>
    </w:p>
    <w:p w:rsidR="00C12F3C" w:rsidRPr="005A4F9A" w:rsidRDefault="00C12F3C" w:rsidP="00912622">
      <w:pPr>
        <w:pStyle w:val="Normalaftertitle0"/>
        <w:jc w:val="both"/>
        <w:rPr>
          <w:szCs w:val="24"/>
        </w:rPr>
      </w:pPr>
      <w:r w:rsidRPr="005A4F9A">
        <w:rPr>
          <w:b/>
          <w:bCs/>
          <w:szCs w:val="24"/>
        </w:rPr>
        <w:t>REGISTRATION</w:t>
      </w:r>
      <w:r w:rsidRPr="005A4F9A">
        <w:rPr>
          <w:szCs w:val="24"/>
        </w:rPr>
        <w:tab/>
        <w:t>To enable TSB to make the necessary arrangements, please send by letter, fax (+41 22 730 5853) or e-mail (</w:t>
      </w:r>
      <w:hyperlink r:id="rId13" w:history="1">
        <w:r w:rsidRPr="005A4F9A">
          <w:rPr>
            <w:rStyle w:val="Hyperlink"/>
            <w:szCs w:val="24"/>
          </w:rPr>
          <w:t>tsbreg@itu.int</w:t>
        </w:r>
      </w:hyperlink>
      <w:r w:rsidRPr="005A4F9A">
        <w:rPr>
          <w:szCs w:val="24"/>
        </w:rPr>
        <w:t xml:space="preserve">) </w:t>
      </w:r>
      <w:r w:rsidRPr="005A4F9A">
        <w:rPr>
          <w:b/>
          <w:szCs w:val="24"/>
        </w:rPr>
        <w:t>not later than 1 September 2014</w:t>
      </w:r>
      <w:r w:rsidRPr="005A4F9A">
        <w:rPr>
          <w:szCs w:val="24"/>
        </w:rPr>
        <w:t xml:space="preserve"> , the list of people who will be representing your Administration, </w:t>
      </w:r>
      <w:r w:rsidRPr="005A4F9A">
        <w:rPr>
          <w:bCs/>
          <w:szCs w:val="24"/>
        </w:rPr>
        <w:t xml:space="preserve">Sector Member, Associate, Academic Institution, regional and/or international organization or other entity. </w:t>
      </w:r>
      <w:r w:rsidRPr="005A4F9A">
        <w:rPr>
          <w:szCs w:val="24"/>
        </w:rPr>
        <w:t>Administrations are requested also to indicate the name of their head of delegation (and deputy head, if applicable).</w:t>
      </w:r>
    </w:p>
    <w:p w:rsidR="00C12F3C" w:rsidRPr="00700294" w:rsidRDefault="00C12F3C" w:rsidP="00700294">
      <w:pPr>
        <w:rPr>
          <w:b/>
          <w:bCs/>
          <w:szCs w:val="24"/>
        </w:rPr>
      </w:pPr>
      <w:r w:rsidRPr="005A4F9A">
        <w:rPr>
          <w:b/>
          <w:bCs/>
          <w:szCs w:val="24"/>
        </w:rPr>
        <w:t xml:space="preserve">Please note that pre-registration of participants to ITU-T meetings is carried out </w:t>
      </w:r>
      <w:r w:rsidRPr="005A4F9A">
        <w:rPr>
          <w:b/>
          <w:bCs/>
          <w:i/>
          <w:iCs/>
          <w:szCs w:val="24"/>
        </w:rPr>
        <w:t>online</w:t>
      </w:r>
      <w:r w:rsidR="00700294">
        <w:rPr>
          <w:b/>
          <w:bCs/>
          <w:szCs w:val="24"/>
        </w:rPr>
        <w:t xml:space="preserve"> at the</w:t>
      </w:r>
      <w:r w:rsidR="00700294">
        <w:rPr>
          <w:b/>
          <w:bCs/>
          <w:szCs w:val="24"/>
        </w:rPr>
        <w:br/>
      </w:r>
      <w:r w:rsidRPr="00700294">
        <w:rPr>
          <w:b/>
          <w:bCs/>
          <w:szCs w:val="24"/>
          <w:lang w:val="en-US"/>
        </w:rPr>
        <w:t xml:space="preserve">ITU-T website </w:t>
      </w:r>
      <w:r w:rsidRPr="00700294">
        <w:rPr>
          <w:szCs w:val="24"/>
          <w:lang w:val="en-US"/>
        </w:rPr>
        <w:t>(</w:t>
      </w:r>
      <w:hyperlink r:id="rId14" w:history="1">
        <w:r w:rsidR="00464FC8" w:rsidRPr="0014594C">
          <w:rPr>
            <w:rStyle w:val="Hyperlink"/>
            <w:szCs w:val="24"/>
            <w:lang w:val="en-US"/>
          </w:rPr>
          <w:t>http://itu.int/en/ITU-T/studygroups/2013-2016/05/sg5rgamr/Pages/default.aspx</w:t>
        </w:r>
      </w:hyperlink>
      <w:r w:rsidRPr="00700294">
        <w:rPr>
          <w:szCs w:val="24"/>
          <w:lang w:val="en-US"/>
        </w:rPr>
        <w:t>).</w:t>
      </w:r>
    </w:p>
    <w:p w:rsidR="00C12F3C" w:rsidRPr="00700294" w:rsidRDefault="00C12F3C" w:rsidP="00384E5D">
      <w:pPr>
        <w:spacing w:after="120"/>
        <w:rPr>
          <w:b/>
          <w:bCs/>
          <w:szCs w:val="24"/>
          <w:lang w:val="en-US"/>
        </w:rPr>
      </w:pPr>
    </w:p>
    <w:p w:rsidR="00C12F3C" w:rsidRPr="005A4F9A" w:rsidRDefault="00C12F3C" w:rsidP="00384E5D">
      <w:pPr>
        <w:spacing w:after="120"/>
        <w:rPr>
          <w:b/>
          <w:bCs/>
          <w:szCs w:val="24"/>
        </w:rPr>
      </w:pPr>
      <w:r w:rsidRPr="005A4F9A">
        <w:rPr>
          <w:b/>
          <w:bCs/>
          <w:szCs w:val="24"/>
        </w:rPr>
        <w:t>KEY DEADLINES (before meeting)</w:t>
      </w:r>
    </w:p>
    <w:p w:rsidR="00C12F3C" w:rsidRPr="005A4F9A" w:rsidRDefault="00C12F3C" w:rsidP="007030B4">
      <w:pPr>
        <w:tabs>
          <w:tab w:val="clear" w:pos="794"/>
          <w:tab w:val="clear" w:pos="1191"/>
          <w:tab w:val="clear" w:pos="1588"/>
          <w:tab w:val="clear" w:pos="1985"/>
        </w:tabs>
        <w:spacing w:after="120"/>
        <w:rPr>
          <w:szCs w:val="24"/>
        </w:rPr>
      </w:pPr>
      <w:r w:rsidRPr="005A4F9A">
        <w:rPr>
          <w:i/>
          <w:iCs/>
          <w:szCs w:val="24"/>
        </w:rPr>
        <w:t>1 September 2014:</w:t>
      </w:r>
      <w:r w:rsidRPr="005A4F9A">
        <w:rPr>
          <w:i/>
          <w:iCs/>
          <w:szCs w:val="24"/>
        </w:rPr>
        <w:tab/>
      </w:r>
      <w:r w:rsidRPr="005A4F9A">
        <w:rPr>
          <w:szCs w:val="24"/>
        </w:rPr>
        <w:tab/>
      </w:r>
      <w:r w:rsidRPr="005A4F9A">
        <w:rPr>
          <w:szCs w:val="24"/>
        </w:rPr>
        <w:tab/>
        <w:t>- pre-registration</w:t>
      </w:r>
    </w:p>
    <w:p w:rsidR="00C12F3C" w:rsidRPr="005A4F9A" w:rsidRDefault="00C12F3C" w:rsidP="00F54DF5">
      <w:pPr>
        <w:spacing w:after="120"/>
        <w:rPr>
          <w:szCs w:val="24"/>
        </w:rPr>
      </w:pPr>
      <w:r w:rsidRPr="005A4F9A">
        <w:rPr>
          <w:i/>
          <w:iCs/>
          <w:szCs w:val="24"/>
        </w:rPr>
        <w:t xml:space="preserve">18 September 2014: </w:t>
      </w:r>
      <w:r w:rsidRPr="005A4F9A">
        <w:rPr>
          <w:i/>
          <w:iCs/>
          <w:szCs w:val="24"/>
        </w:rPr>
        <w:tab/>
      </w:r>
      <w:r w:rsidRPr="005A4F9A">
        <w:rPr>
          <w:i/>
          <w:iCs/>
          <w:szCs w:val="24"/>
        </w:rPr>
        <w:tab/>
      </w:r>
      <w:r w:rsidRPr="005A4F9A">
        <w:rPr>
          <w:i/>
          <w:iCs/>
          <w:szCs w:val="24"/>
        </w:rPr>
        <w:tab/>
      </w:r>
      <w:r w:rsidRPr="005A4F9A">
        <w:rPr>
          <w:szCs w:val="24"/>
        </w:rPr>
        <w:t>-</w:t>
      </w:r>
      <w:r w:rsidRPr="005A4F9A">
        <w:rPr>
          <w:i/>
          <w:iCs/>
          <w:szCs w:val="24"/>
        </w:rPr>
        <w:t xml:space="preserve"> </w:t>
      </w:r>
      <w:r w:rsidRPr="005A4F9A">
        <w:rPr>
          <w:szCs w:val="24"/>
        </w:rPr>
        <w:t>final deadline for contributions</w:t>
      </w:r>
    </w:p>
    <w:p w:rsidR="00C12F3C" w:rsidRPr="005A4F9A" w:rsidRDefault="00C12F3C" w:rsidP="003B362E">
      <w:pPr>
        <w:tabs>
          <w:tab w:val="left" w:pos="1418"/>
          <w:tab w:val="left" w:pos="1702"/>
          <w:tab w:val="left" w:pos="2160"/>
        </w:tabs>
        <w:spacing w:after="120"/>
        <w:ind w:right="92"/>
        <w:rPr>
          <w:szCs w:val="24"/>
        </w:rPr>
      </w:pPr>
    </w:p>
    <w:p w:rsidR="00C12F3C" w:rsidRPr="005A4F9A" w:rsidRDefault="00C12F3C" w:rsidP="00384E5D">
      <w:pPr>
        <w:ind w:right="-194"/>
        <w:jc w:val="center"/>
        <w:rPr>
          <w:b/>
          <w:bCs/>
          <w:szCs w:val="24"/>
        </w:rPr>
      </w:pPr>
    </w:p>
    <w:p w:rsidR="00C12F3C" w:rsidRPr="005A4F9A" w:rsidRDefault="00C12F3C" w:rsidP="00384E5D">
      <w:pPr>
        <w:ind w:right="-194"/>
        <w:jc w:val="center"/>
        <w:rPr>
          <w:b/>
          <w:bCs/>
          <w:szCs w:val="24"/>
        </w:rPr>
      </w:pPr>
    </w:p>
    <w:p w:rsidR="00C12F3C" w:rsidRPr="005A4F9A" w:rsidRDefault="00C12F3C" w:rsidP="00384E5D">
      <w:pPr>
        <w:ind w:right="-194"/>
        <w:jc w:val="center"/>
        <w:rPr>
          <w:b/>
          <w:bCs/>
          <w:szCs w:val="24"/>
        </w:rPr>
      </w:pPr>
    </w:p>
    <w:p w:rsidR="00C12F3C" w:rsidRPr="005A4F9A" w:rsidRDefault="00C12F3C" w:rsidP="00384E5D">
      <w:pPr>
        <w:ind w:right="-194"/>
        <w:jc w:val="center"/>
        <w:rPr>
          <w:b/>
          <w:bCs/>
          <w:szCs w:val="24"/>
        </w:rPr>
      </w:pPr>
    </w:p>
    <w:p w:rsidR="00C12F3C" w:rsidRPr="005A4F9A" w:rsidRDefault="00C12F3C" w:rsidP="00384E5D">
      <w:pPr>
        <w:ind w:right="-194"/>
        <w:jc w:val="center"/>
        <w:rPr>
          <w:b/>
          <w:bCs/>
          <w:szCs w:val="24"/>
        </w:rPr>
      </w:pPr>
    </w:p>
    <w:p w:rsidR="00C12F3C" w:rsidRPr="005A4F9A" w:rsidRDefault="00C12F3C" w:rsidP="00384E5D">
      <w:pPr>
        <w:ind w:right="-194"/>
        <w:jc w:val="center"/>
        <w:rPr>
          <w:bCs/>
          <w:szCs w:val="24"/>
        </w:rPr>
      </w:pPr>
      <w:r w:rsidRPr="005A4F9A">
        <w:rPr>
          <w:b/>
          <w:bCs/>
          <w:szCs w:val="24"/>
        </w:rPr>
        <w:lastRenderedPageBreak/>
        <w:t>ANNEX B</w:t>
      </w:r>
      <w:r w:rsidRPr="005A4F9A">
        <w:rPr>
          <w:b/>
          <w:bCs/>
          <w:szCs w:val="24"/>
        </w:rPr>
        <w:br/>
      </w:r>
      <w:r w:rsidRPr="005A4F9A">
        <w:rPr>
          <w:bCs/>
          <w:szCs w:val="24"/>
        </w:rPr>
        <w:t>(to TSB Collective letter 2/SG5 RG-AMR)</w:t>
      </w:r>
    </w:p>
    <w:p w:rsidR="00C12F3C" w:rsidRPr="005A4F9A" w:rsidRDefault="00C12F3C" w:rsidP="00384E5D">
      <w:pPr>
        <w:ind w:right="-194"/>
        <w:jc w:val="center"/>
        <w:rPr>
          <w:szCs w:val="24"/>
        </w:rPr>
      </w:pPr>
    </w:p>
    <w:p w:rsidR="00C12F3C" w:rsidRPr="005A4F9A" w:rsidRDefault="00C12F3C" w:rsidP="00384E5D">
      <w:pPr>
        <w:ind w:right="-194"/>
        <w:jc w:val="center"/>
        <w:rPr>
          <w:b/>
          <w:bCs/>
          <w:szCs w:val="24"/>
        </w:rPr>
      </w:pPr>
      <w:r w:rsidRPr="005A4F9A">
        <w:rPr>
          <w:b/>
          <w:bCs/>
          <w:szCs w:val="24"/>
        </w:rPr>
        <w:t>Draft Agenda</w:t>
      </w:r>
    </w:p>
    <w:p w:rsidR="00C12F3C" w:rsidRDefault="00C12F3C" w:rsidP="00464FC8">
      <w:pPr>
        <w:pStyle w:val="Normalaftertitle0"/>
        <w:rPr>
          <w:szCs w:val="24"/>
        </w:rPr>
      </w:pP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 xml:space="preserve">Opening of the meeting </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Adoption of the agenda</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Results of the Working Party 1/5 and Working Party 2/5 meetings held in Geneva (July 2014)</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Results of the Working Party 3/5 meeting held in Geneva (May 2014)</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Results of the last ITU-T SG5 meeting held in Lima (December 2013)</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 xml:space="preserve">Focus Group on Smart Sustainable Cities (FG SSC) </w:t>
      </w:r>
    </w:p>
    <w:p w:rsidR="00464FC8" w:rsidRPr="00464FC8" w:rsidRDefault="00464FC8" w:rsidP="00464FC8">
      <w:pPr>
        <w:numPr>
          <w:ilvl w:val="1"/>
          <w:numId w:val="18"/>
        </w:numPr>
        <w:tabs>
          <w:tab w:val="clear" w:pos="794"/>
          <w:tab w:val="clear" w:pos="1191"/>
          <w:tab w:val="clear" w:pos="1588"/>
          <w:tab w:val="clear" w:pos="1985"/>
        </w:tabs>
        <w:overflowPunct/>
        <w:autoSpaceDE/>
        <w:autoSpaceDN/>
        <w:adjustRightInd/>
        <w:spacing w:before="0" w:after="120" w:line="480" w:lineRule="auto"/>
        <w:contextualSpacing/>
        <w:textAlignment w:val="auto"/>
        <w:rPr>
          <w:rFonts w:eastAsia="Calibri" w:cs="Arial"/>
          <w:szCs w:val="24"/>
          <w:lang w:val="en-US"/>
        </w:rPr>
      </w:pPr>
      <w:r w:rsidRPr="00464FC8">
        <w:rPr>
          <w:rFonts w:eastAsia="Calibri" w:cs="Arial"/>
          <w:szCs w:val="24"/>
          <w:lang w:val="en-US"/>
        </w:rPr>
        <w:t xml:space="preserve">Technical report on EMF considerations </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 xml:space="preserve">ITU-T’s activities on human exposure to electromagnetic fields in the Americas </w:t>
      </w:r>
    </w:p>
    <w:p w:rsidR="00464FC8" w:rsidRPr="00464FC8" w:rsidRDefault="00464FC8" w:rsidP="00464FC8">
      <w:pPr>
        <w:numPr>
          <w:ilvl w:val="1"/>
          <w:numId w:val="18"/>
        </w:numPr>
        <w:tabs>
          <w:tab w:val="clear" w:pos="794"/>
          <w:tab w:val="clear" w:pos="1191"/>
          <w:tab w:val="clear" w:pos="1588"/>
          <w:tab w:val="clear" w:pos="1985"/>
        </w:tabs>
        <w:overflowPunct/>
        <w:autoSpaceDE/>
        <w:autoSpaceDN/>
        <w:adjustRightInd/>
        <w:spacing w:before="0" w:after="120" w:line="480" w:lineRule="auto"/>
        <w:contextualSpacing/>
        <w:textAlignment w:val="auto"/>
        <w:rPr>
          <w:rFonts w:eastAsia="Calibri" w:cs="Arial"/>
          <w:szCs w:val="24"/>
          <w:lang w:val="en-US"/>
        </w:rPr>
      </w:pPr>
      <w:r w:rsidRPr="00464FC8">
        <w:rPr>
          <w:rFonts w:eastAsia="Calibri" w:cs="Arial"/>
          <w:szCs w:val="24"/>
          <w:lang w:val="en-US"/>
        </w:rPr>
        <w:t>Conclusions of the Forum on “EMF - What does it really mean?”, 4 September 2014, Santo Domingo, Dominican Republic</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Organization of the work of SG5 RG-AMR</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Discussion on ITU-T SG5 RG-AMR priorities</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Work program and schedule</w:t>
      </w:r>
    </w:p>
    <w:p w:rsidR="00464FC8" w:rsidRPr="00464FC8" w:rsidRDefault="00464FC8" w:rsidP="00464FC8">
      <w:pPr>
        <w:numPr>
          <w:ilvl w:val="0"/>
          <w:numId w:val="18"/>
        </w:numPr>
        <w:tabs>
          <w:tab w:val="clear" w:pos="794"/>
          <w:tab w:val="clear" w:pos="1191"/>
          <w:tab w:val="clear" w:pos="1588"/>
          <w:tab w:val="clear" w:pos="1985"/>
        </w:tabs>
        <w:overflowPunct/>
        <w:autoSpaceDE/>
        <w:autoSpaceDN/>
        <w:adjustRightInd/>
        <w:spacing w:before="0" w:after="120" w:line="480" w:lineRule="auto"/>
        <w:ind w:left="714" w:hanging="357"/>
        <w:contextualSpacing/>
        <w:textAlignment w:val="auto"/>
        <w:rPr>
          <w:rFonts w:eastAsia="Calibri" w:cs="Arial"/>
          <w:szCs w:val="24"/>
          <w:lang w:val="en-US"/>
        </w:rPr>
      </w:pPr>
      <w:r w:rsidRPr="00464FC8">
        <w:rPr>
          <w:rFonts w:eastAsia="Calibri" w:cs="Arial"/>
          <w:szCs w:val="24"/>
          <w:lang w:val="en-US"/>
        </w:rPr>
        <w:t>Other business</w:t>
      </w:r>
    </w:p>
    <w:p w:rsidR="00C12F3C" w:rsidRPr="003B362E" w:rsidRDefault="00464FC8" w:rsidP="00464FC8">
      <w:pPr>
        <w:pStyle w:val="Normalaftertitle0"/>
        <w:jc w:val="center"/>
      </w:pPr>
      <w:r>
        <w:t>_____________</w:t>
      </w:r>
    </w:p>
    <w:sectPr w:rsidR="00C12F3C" w:rsidRPr="003B362E" w:rsidSect="002F6530">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3C" w:rsidRDefault="00C12F3C">
      <w:r>
        <w:separator/>
      </w:r>
    </w:p>
  </w:endnote>
  <w:endnote w:type="continuationSeparator" w:id="0">
    <w:p w:rsidR="00C12F3C" w:rsidRDefault="00C1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3C" w:rsidRPr="00196AB1" w:rsidRDefault="00C12F3C" w:rsidP="002959D4">
    <w:pPr>
      <w:pStyle w:val="Footer"/>
      <w:tabs>
        <w:tab w:val="clear" w:pos="794"/>
        <w:tab w:val="clear" w:pos="1191"/>
        <w:tab w:val="clear" w:pos="1588"/>
        <w:tab w:val="clear" w:pos="1985"/>
      </w:tabs>
      <w:rPr>
        <w:lang w:val="fr-CH"/>
      </w:rPr>
    </w:pPr>
    <w:r>
      <w:rPr>
        <w:lang w:val="fr-FR"/>
      </w:rPr>
      <w:t>ITU-T\COM-T\COM5rg-amr\COLL\002</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3C" w:rsidRPr="004E3CF9" w:rsidRDefault="00C12F3C"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3C" w:rsidRDefault="00C12F3C">
      <w:r>
        <w:t>____________________</w:t>
      </w:r>
    </w:p>
  </w:footnote>
  <w:footnote w:type="continuationSeparator" w:id="0">
    <w:p w:rsidR="00C12F3C" w:rsidRDefault="00C1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F3C" w:rsidRDefault="00C12F3C">
    <w:pPr>
      <w:pStyle w:val="Header"/>
    </w:pPr>
    <w:r>
      <w:t xml:space="preserve">- </w:t>
    </w:r>
    <w:r w:rsidR="00C67258">
      <w:fldChar w:fldCharType="begin"/>
    </w:r>
    <w:r w:rsidR="00C67258">
      <w:instrText xml:space="preserve"> PAGE   \* MERGEFORMAT </w:instrText>
    </w:r>
    <w:r w:rsidR="00C67258">
      <w:fldChar w:fldCharType="separate"/>
    </w:r>
    <w:r w:rsidR="00D27F83">
      <w:rPr>
        <w:noProof/>
      </w:rPr>
      <w:t>2</w:t>
    </w:r>
    <w:r w:rsidR="00C67258">
      <w:rPr>
        <w:noProof/>
      </w:rPr>
      <w:fldChar w:fldCharType="end"/>
    </w:r>
    <w:r>
      <w:rPr>
        <w:noProof/>
      </w:rPr>
      <w:t xml:space="preserve"> -</w:t>
    </w:r>
  </w:p>
  <w:p w:rsidR="00C12F3C" w:rsidRPr="00C740E1" w:rsidRDefault="00C12F3C"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91A46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B49E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541F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1">
    <w:nsid w:val="134451B2"/>
    <w:multiLevelType w:val="hybridMultilevel"/>
    <w:tmpl w:val="B6964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E42C2"/>
    <w:multiLevelType w:val="hybridMultilevel"/>
    <w:tmpl w:val="9670DE0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35F1C"/>
    <w:multiLevelType w:val="hybridMultilevel"/>
    <w:tmpl w:val="230A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DB22076"/>
    <w:multiLevelType w:val="hybridMultilevel"/>
    <w:tmpl w:val="F4D06434"/>
    <w:lvl w:ilvl="0" w:tplc="FAB241B2">
      <w:start w:val="1"/>
      <w:numFmt w:val="decimal"/>
      <w:lvlText w:val="%1."/>
      <w:lvlJc w:val="left"/>
      <w:pPr>
        <w:ind w:left="1077" w:hanging="360"/>
      </w:pPr>
      <w:rPr>
        <w:rFonts w:ascii="Calibri" w:hAnsi="Calibri"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6">
    <w:nsid w:val="6FE57E10"/>
    <w:multiLevelType w:val="hybridMultilevel"/>
    <w:tmpl w:val="3F4E20C8"/>
    <w:lvl w:ilvl="0" w:tplc="9BD247BA">
      <w:numFmt w:val="bullet"/>
      <w:lvlText w:val="-"/>
      <w:lvlJc w:val="left"/>
      <w:pPr>
        <w:ind w:left="636" w:hanging="360"/>
      </w:pPr>
      <w:rPr>
        <w:rFonts w:ascii="Times New Roman" w:eastAsia="Times New Roman" w:hAnsi="Times New Roman" w:hint="default"/>
      </w:rPr>
    </w:lvl>
    <w:lvl w:ilvl="1" w:tplc="04090003" w:tentative="1">
      <w:start w:val="1"/>
      <w:numFmt w:val="bullet"/>
      <w:lvlText w:val="o"/>
      <w:lvlJc w:val="left"/>
      <w:pPr>
        <w:ind w:left="1356" w:hanging="360"/>
      </w:pPr>
      <w:rPr>
        <w:rFonts w:ascii="Courier New" w:hAnsi="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nsid w:val="71587FBA"/>
    <w:multiLevelType w:val="hybridMultilevel"/>
    <w:tmpl w:val="A8F09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3"/>
  </w:num>
  <w:num w:numId="16">
    <w:abstractNumId w:val="11"/>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40"/>
    <w:rsid w:val="000069D4"/>
    <w:rsid w:val="000174AD"/>
    <w:rsid w:val="00026CF8"/>
    <w:rsid w:val="000305E1"/>
    <w:rsid w:val="00053AD3"/>
    <w:rsid w:val="000944BB"/>
    <w:rsid w:val="000A7D55"/>
    <w:rsid w:val="000B46FB"/>
    <w:rsid w:val="000C2E8E"/>
    <w:rsid w:val="000D49FB"/>
    <w:rsid w:val="000D6BF0"/>
    <w:rsid w:val="000E0E7C"/>
    <w:rsid w:val="000F1B4B"/>
    <w:rsid w:val="00100BF0"/>
    <w:rsid w:val="001156FE"/>
    <w:rsid w:val="00126E71"/>
    <w:rsid w:val="0012744F"/>
    <w:rsid w:val="00156DFF"/>
    <w:rsid w:val="00156F66"/>
    <w:rsid w:val="001809AC"/>
    <w:rsid w:val="00182528"/>
    <w:rsid w:val="0018500B"/>
    <w:rsid w:val="00196A19"/>
    <w:rsid w:val="00196AB1"/>
    <w:rsid w:val="001C0948"/>
    <w:rsid w:val="001C3CDB"/>
    <w:rsid w:val="00202DC1"/>
    <w:rsid w:val="002116EE"/>
    <w:rsid w:val="0021644B"/>
    <w:rsid w:val="002309D8"/>
    <w:rsid w:val="00246D3B"/>
    <w:rsid w:val="00263CE7"/>
    <w:rsid w:val="00272E91"/>
    <w:rsid w:val="00287BF1"/>
    <w:rsid w:val="002959D4"/>
    <w:rsid w:val="00296C52"/>
    <w:rsid w:val="002A7FE2"/>
    <w:rsid w:val="002B711C"/>
    <w:rsid w:val="002C0244"/>
    <w:rsid w:val="002E1B4F"/>
    <w:rsid w:val="002E66CE"/>
    <w:rsid w:val="002F2E67"/>
    <w:rsid w:val="002F57CB"/>
    <w:rsid w:val="002F6530"/>
    <w:rsid w:val="00301488"/>
    <w:rsid w:val="00315546"/>
    <w:rsid w:val="0031577B"/>
    <w:rsid w:val="00322BD9"/>
    <w:rsid w:val="00330567"/>
    <w:rsid w:val="00351DA5"/>
    <w:rsid w:val="00383598"/>
    <w:rsid w:val="00384E5D"/>
    <w:rsid w:val="00386A9D"/>
    <w:rsid w:val="00391081"/>
    <w:rsid w:val="003B2789"/>
    <w:rsid w:val="003B362E"/>
    <w:rsid w:val="003C13CE"/>
    <w:rsid w:val="003C3521"/>
    <w:rsid w:val="003C7907"/>
    <w:rsid w:val="003E2518"/>
    <w:rsid w:val="003F0DED"/>
    <w:rsid w:val="003F40CC"/>
    <w:rsid w:val="004314A2"/>
    <w:rsid w:val="00442EB1"/>
    <w:rsid w:val="0044413B"/>
    <w:rsid w:val="00464FC8"/>
    <w:rsid w:val="004748F4"/>
    <w:rsid w:val="004B1EF7"/>
    <w:rsid w:val="004B3FAD"/>
    <w:rsid w:val="004B69EC"/>
    <w:rsid w:val="004E1A8E"/>
    <w:rsid w:val="004E3CF9"/>
    <w:rsid w:val="00501DCA"/>
    <w:rsid w:val="00501F4A"/>
    <w:rsid w:val="00513A47"/>
    <w:rsid w:val="005408DF"/>
    <w:rsid w:val="0055318D"/>
    <w:rsid w:val="00573344"/>
    <w:rsid w:val="00575E43"/>
    <w:rsid w:val="00583F9B"/>
    <w:rsid w:val="00584AFA"/>
    <w:rsid w:val="005A4F9A"/>
    <w:rsid w:val="005D71A2"/>
    <w:rsid w:val="005E1223"/>
    <w:rsid w:val="005E5C10"/>
    <w:rsid w:val="005E70E3"/>
    <w:rsid w:val="005F2C78"/>
    <w:rsid w:val="006144E4"/>
    <w:rsid w:val="006153C2"/>
    <w:rsid w:val="00624555"/>
    <w:rsid w:val="006336CF"/>
    <w:rsid w:val="00643AE8"/>
    <w:rsid w:val="00650299"/>
    <w:rsid w:val="006550C0"/>
    <w:rsid w:val="00655FC5"/>
    <w:rsid w:val="00687BD5"/>
    <w:rsid w:val="006B43D3"/>
    <w:rsid w:val="006D6AF4"/>
    <w:rsid w:val="00700294"/>
    <w:rsid w:val="007030B4"/>
    <w:rsid w:val="007D2F64"/>
    <w:rsid w:val="007E51DC"/>
    <w:rsid w:val="00801031"/>
    <w:rsid w:val="00801170"/>
    <w:rsid w:val="00802953"/>
    <w:rsid w:val="00807FF1"/>
    <w:rsid w:val="00820EF5"/>
    <w:rsid w:val="00822581"/>
    <w:rsid w:val="008309DD"/>
    <w:rsid w:val="0083227A"/>
    <w:rsid w:val="00857C67"/>
    <w:rsid w:val="00862CC9"/>
    <w:rsid w:val="00866900"/>
    <w:rsid w:val="00870336"/>
    <w:rsid w:val="0087300D"/>
    <w:rsid w:val="0087539F"/>
    <w:rsid w:val="00881BA1"/>
    <w:rsid w:val="008A0A55"/>
    <w:rsid w:val="008B0087"/>
    <w:rsid w:val="008C26B8"/>
    <w:rsid w:val="00912622"/>
    <w:rsid w:val="00912A9F"/>
    <w:rsid w:val="009273EC"/>
    <w:rsid w:val="00932E45"/>
    <w:rsid w:val="00951309"/>
    <w:rsid w:val="00964CF0"/>
    <w:rsid w:val="00971C6F"/>
    <w:rsid w:val="00982084"/>
    <w:rsid w:val="00991A72"/>
    <w:rsid w:val="00995963"/>
    <w:rsid w:val="009A54D9"/>
    <w:rsid w:val="009B61EB"/>
    <w:rsid w:val="009B6449"/>
    <w:rsid w:val="009C2064"/>
    <w:rsid w:val="009D1697"/>
    <w:rsid w:val="009D1DF9"/>
    <w:rsid w:val="009E13BC"/>
    <w:rsid w:val="009E4F80"/>
    <w:rsid w:val="00A014F8"/>
    <w:rsid w:val="00A11DCA"/>
    <w:rsid w:val="00A264D6"/>
    <w:rsid w:val="00A5173C"/>
    <w:rsid w:val="00A57624"/>
    <w:rsid w:val="00A60FE3"/>
    <w:rsid w:val="00A61AEF"/>
    <w:rsid w:val="00A9652E"/>
    <w:rsid w:val="00AA1543"/>
    <w:rsid w:val="00AB0FFD"/>
    <w:rsid w:val="00AD7192"/>
    <w:rsid w:val="00AF10F1"/>
    <w:rsid w:val="00AF173A"/>
    <w:rsid w:val="00B03C52"/>
    <w:rsid w:val="00B066A4"/>
    <w:rsid w:val="00B07A13"/>
    <w:rsid w:val="00B143E2"/>
    <w:rsid w:val="00B15FBF"/>
    <w:rsid w:val="00B3304F"/>
    <w:rsid w:val="00B4279B"/>
    <w:rsid w:val="00B45FC9"/>
    <w:rsid w:val="00B66EA0"/>
    <w:rsid w:val="00B83461"/>
    <w:rsid w:val="00BC7CCF"/>
    <w:rsid w:val="00BE470B"/>
    <w:rsid w:val="00C018E7"/>
    <w:rsid w:val="00C12F3C"/>
    <w:rsid w:val="00C43C48"/>
    <w:rsid w:val="00C57A91"/>
    <w:rsid w:val="00C638F7"/>
    <w:rsid w:val="00C67258"/>
    <w:rsid w:val="00C740E1"/>
    <w:rsid w:val="00CA2AA1"/>
    <w:rsid w:val="00CA4D9F"/>
    <w:rsid w:val="00CB43AF"/>
    <w:rsid w:val="00CC01C2"/>
    <w:rsid w:val="00CF141F"/>
    <w:rsid w:val="00CF21F2"/>
    <w:rsid w:val="00D02712"/>
    <w:rsid w:val="00D214D0"/>
    <w:rsid w:val="00D2182B"/>
    <w:rsid w:val="00D27F83"/>
    <w:rsid w:val="00D6546B"/>
    <w:rsid w:val="00D81564"/>
    <w:rsid w:val="00DC36AC"/>
    <w:rsid w:val="00DC4133"/>
    <w:rsid w:val="00DD4BED"/>
    <w:rsid w:val="00DE39F0"/>
    <w:rsid w:val="00DF0AF3"/>
    <w:rsid w:val="00E06CA9"/>
    <w:rsid w:val="00E15606"/>
    <w:rsid w:val="00E17CCC"/>
    <w:rsid w:val="00E21FE2"/>
    <w:rsid w:val="00E27D7E"/>
    <w:rsid w:val="00E34935"/>
    <w:rsid w:val="00E42E13"/>
    <w:rsid w:val="00E508D8"/>
    <w:rsid w:val="00E6257C"/>
    <w:rsid w:val="00E63C59"/>
    <w:rsid w:val="00E773E0"/>
    <w:rsid w:val="00EC14C0"/>
    <w:rsid w:val="00EC2E5F"/>
    <w:rsid w:val="00EC4DED"/>
    <w:rsid w:val="00EE32F5"/>
    <w:rsid w:val="00F2130E"/>
    <w:rsid w:val="00F36AC4"/>
    <w:rsid w:val="00F37DFF"/>
    <w:rsid w:val="00F50108"/>
    <w:rsid w:val="00F54DF5"/>
    <w:rsid w:val="00F70E04"/>
    <w:rsid w:val="00F83140"/>
    <w:rsid w:val="00F85826"/>
    <w:rsid w:val="00FA124A"/>
    <w:rsid w:val="00FA21D2"/>
    <w:rsid w:val="00FC08DD"/>
    <w:rsid w:val="00FC2316"/>
    <w:rsid w:val="00FC2CFD"/>
    <w:rsid w:val="00FC7504"/>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4E75716-0724-4DA0-9548-DC8D88D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szCs w:val="20"/>
      <w:lang w:val="en-GB"/>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A6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962A6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962A6E"/>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962A6E"/>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962A6E"/>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962A6E"/>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962A6E"/>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962A6E"/>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962A6E"/>
    <w:rPr>
      <w:rFonts w:asciiTheme="majorHAnsi" w:eastAsiaTheme="majorEastAsia" w:hAnsiTheme="majorHAnsi" w:cstheme="majorBidi"/>
      <w:lang w:val="en-GB"/>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FD06C7"/>
    <w:pPr>
      <w:spacing w:before="480"/>
      <w:jc w:val="center"/>
    </w:pPr>
    <w:rPr>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FD06C7"/>
    <w:rPr>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964CF0"/>
    <w:pPr>
      <w:spacing w:before="80"/>
      <w:ind w:left="1134" w:hanging="1134"/>
    </w:pPr>
  </w:style>
  <w:style w:type="paragraph" w:customStyle="1" w:styleId="enumlev2">
    <w:name w:val="enumlev2"/>
    <w:basedOn w:val="enumlev1"/>
    <w:uiPriority w:val="99"/>
    <w:rsid w:val="00964CF0"/>
    <w:pPr>
      <w:ind w:left="1021" w:hanging="227"/>
    </w:pPr>
  </w:style>
  <w:style w:type="paragraph" w:customStyle="1" w:styleId="enumlev3">
    <w:name w:val="enumlev3"/>
    <w:basedOn w:val="enumlev2"/>
    <w:uiPriority w:val="99"/>
    <w:rsid w:val="00964CF0"/>
    <w:pPr>
      <w:ind w:left="1588" w:hanging="397"/>
    </w:pPr>
  </w:style>
  <w:style w:type="paragraph" w:customStyle="1" w:styleId="Equation">
    <w:name w:val="Equation"/>
    <w:basedOn w:val="Normal"/>
    <w:uiPriority w:val="99"/>
    <w:rsid w:val="00E63C59"/>
    <w:pPr>
      <w:tabs>
        <w:tab w:val="center" w:pos="4820"/>
        <w:tab w:val="right" w:pos="9639"/>
      </w:tabs>
    </w:pPr>
  </w:style>
  <w:style w:type="paragraph" w:customStyle="1" w:styleId="Equationlegend">
    <w:name w:val="Equation_legend"/>
    <w:basedOn w:val="NormalIndent"/>
    <w:uiPriority w:val="99"/>
    <w:rsid w:val="00E63C59"/>
    <w:pPr>
      <w:tabs>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962A6E"/>
    <w:rPr>
      <w:rFonts w:ascii="Calibri" w:hAnsi="Calibri"/>
      <w:sz w:val="24"/>
      <w:szCs w:val="20"/>
      <w:lang w:val="en-GB"/>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Calibri" w:hAnsi="Calibri"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962A6E"/>
    <w:rPr>
      <w:rFonts w:ascii="Calibri" w:hAnsi="Calibri"/>
      <w:sz w:val="20"/>
      <w:szCs w:val="20"/>
      <w:lang w:val="en-GB"/>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C740E1"/>
    <w:rPr>
      <w:rFonts w:ascii="Calibri" w:hAnsi="Calibri"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FD06C7"/>
    <w:pPr>
      <w:spacing w:before="240"/>
    </w:pPr>
    <w:rPr>
      <w:b/>
      <w:caps w:val="0"/>
    </w:rPr>
  </w:style>
  <w:style w:type="paragraph" w:customStyle="1" w:styleId="Recref">
    <w:name w:val="Rec_ref"/>
    <w:basedOn w:val="Rectitle"/>
    <w:next w:val="Recdate"/>
    <w:uiPriority w:val="99"/>
    <w:rsid w:val="00802953"/>
    <w:pPr>
      <w:spacing w:before="120"/>
    </w:pPr>
    <w:rPr>
      <w:b w:val="0"/>
      <w:sz w:val="22"/>
    </w:rPr>
  </w:style>
  <w:style w:type="paragraph" w:customStyle="1" w:styleId="Recdate">
    <w:name w:val="Rec_date"/>
    <w:basedOn w:val="Recref"/>
    <w:next w:val="Normalaftertitle0"/>
    <w:uiPriority w:val="99"/>
    <w:rsid w:val="00964CF0"/>
    <w:pPr>
      <w:jc w:val="right"/>
    </w:p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FD06C7"/>
  </w:style>
  <w:style w:type="paragraph" w:customStyle="1" w:styleId="Questionref">
    <w:name w:val="Question_ref"/>
    <w:basedOn w:val="Recref"/>
    <w:next w:val="Questiondate"/>
    <w:uiPriority w:val="99"/>
    <w:rsid w:val="00964CF0"/>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964CF0"/>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964CF0"/>
    <w:pPr>
      <w:keepNext/>
      <w:spacing w:before="80" w:after="80"/>
      <w:jc w:val="center"/>
    </w:pPr>
    <w:rPr>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964CF0"/>
    <w:pPr>
      <w:keepNext/>
      <w:keepLines/>
      <w:spacing w:before="0" w:after="120"/>
      <w:jc w:val="center"/>
    </w:pPr>
    <w:rPr>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right" w:pos="9781"/>
      </w:tabs>
    </w:pPr>
    <w:rPr>
      <w:b/>
    </w:rPr>
  </w:style>
  <w:style w:type="paragraph" w:styleId="TOC1">
    <w:name w:val="toc 1"/>
    <w:basedOn w:val="Normal"/>
    <w:uiPriority w:val="99"/>
    <w:rsid w:val="00E63C59"/>
    <w:pPr>
      <w:keepLines/>
      <w:tabs>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FD06C7"/>
    <w:rPr>
      <w:rFonts w:ascii="Calibri" w:hAnsi="Calibri" w:cs="Times New Roman"/>
      <w:b/>
      <w:sz w:val="28"/>
    </w:rPr>
  </w:style>
  <w:style w:type="character" w:customStyle="1" w:styleId="Appref">
    <w:name w:val="App_ref"/>
    <w:basedOn w:val="DefaultParagraphFont"/>
    <w:uiPriority w:val="99"/>
    <w:rsid w:val="00FD06C7"/>
    <w:rPr>
      <w:rFonts w:ascii="Calibri" w:hAnsi="Calibri" w:cs="Times New Roman"/>
      <w:sz w:val="28"/>
    </w:rPr>
  </w:style>
  <w:style w:type="character" w:customStyle="1" w:styleId="Artdef">
    <w:name w:val="Art_def"/>
    <w:basedOn w:val="DefaultParagraphFont"/>
    <w:uiPriority w:val="99"/>
    <w:rsid w:val="00802953"/>
    <w:rPr>
      <w:rFonts w:ascii="Calibri" w:hAnsi="Calibri"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964CF0"/>
    <w:rPr>
      <w:rFonts w:ascii="Calibri" w:hAnsi="Calibri" w:cs="Times New Roman"/>
      <w:b/>
      <w:sz w:val="22"/>
    </w:rPr>
  </w:style>
  <w:style w:type="character" w:customStyle="1" w:styleId="Resdef">
    <w:name w:val="Res_def"/>
    <w:basedOn w:val="DefaultParagraphFont"/>
    <w:uiPriority w:val="99"/>
    <w:rsid w:val="00964CF0"/>
    <w:rPr>
      <w:rFonts w:ascii="Calibri" w:hAnsi="Calibri" w:cs="Times New Roman"/>
      <w:b/>
      <w:sz w:val="22"/>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964CF0"/>
    <w:pPr>
      <w:keepNext/>
      <w:spacing w:before="160"/>
    </w:pPr>
    <w:rPr>
      <w:i/>
    </w:rPr>
  </w:style>
  <w:style w:type="paragraph" w:customStyle="1" w:styleId="Headingb">
    <w:name w:val="Heading_b"/>
    <w:basedOn w:val="Normal"/>
    <w:next w:val="Normal"/>
    <w:uiPriority w:val="99"/>
    <w:rsid w:val="00964CF0"/>
    <w:pPr>
      <w:keepNext/>
      <w:spacing w:before="160"/>
    </w:pPr>
    <w:rPr>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FD06C7"/>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FD06C7"/>
    <w:pPr>
      <w:keepNext/>
      <w:keepLines/>
      <w:spacing w:before="240" w:after="280"/>
      <w:jc w:val="center"/>
    </w:pPr>
    <w:rPr>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FD06C7"/>
  </w:style>
  <w:style w:type="paragraph" w:customStyle="1" w:styleId="Border">
    <w:name w:val="Border"/>
    <w:basedOn w:val="Tabletext"/>
    <w:uiPriority w:val="99"/>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uiPriority w:val="99"/>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u w:val="single"/>
    </w:rPr>
  </w:style>
  <w:style w:type="paragraph" w:styleId="ListParagraph">
    <w:name w:val="List Paragraph"/>
    <w:basedOn w:val="Normal"/>
    <w:uiPriority w:val="99"/>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1"/>
      <w:szCs w:val="21"/>
      <w:lang w:val="en-US" w:eastAsia="zh-CN"/>
    </w:rPr>
  </w:style>
  <w:style w:type="character" w:customStyle="1" w:styleId="PlainTextChar">
    <w:name w:val="Plain Text Char"/>
    <w:basedOn w:val="DefaultParagraphFont"/>
    <w:link w:val="PlainText"/>
    <w:uiPriority w:val="99"/>
    <w:locked/>
    <w:rsid w:val="00384E5D"/>
    <w:rPr>
      <w:rFonts w:ascii="Times New Roman" w:eastAsia="SimSu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6262">
      <w:marLeft w:val="0"/>
      <w:marRight w:val="0"/>
      <w:marTop w:val="0"/>
      <w:marBottom w:val="0"/>
      <w:divBdr>
        <w:top w:val="none" w:sz="0" w:space="0" w:color="auto"/>
        <w:left w:val="none" w:sz="0" w:space="0" w:color="auto"/>
        <w:bottom w:val="none" w:sz="0" w:space="0" w:color="auto"/>
        <w:right w:val="none" w:sz="0" w:space="0" w:color="auto"/>
      </w:divBdr>
    </w:div>
    <w:div w:id="12782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tu.int/ITU-T/studygroups/templat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5@itu.i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studygroups/2013-2016/05/sg5rgamr/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itel@oas.org" TargetMode="External"/><Relationship Id="rId14" Type="http://schemas.openxmlformats.org/officeDocument/2006/relationships/hyperlink" Target="http://itu.int/en/ITU-T/studygroups/2013-2016/05/sg5rgamr/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COLL-E.dotx</Template>
  <TotalTime>1</TotalTime>
  <Pages>4</Pages>
  <Words>797</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Telecommunication Standardization</vt:lpstr>
    </vt:vector>
  </TitlesOfParts>
  <Manager>ITU-T</Manager>
  <Company>International Telecommunication Union (ITU)</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Standardization</dc:title>
  <dc:subject/>
  <dc:creator>Lacombe, Odile</dc:creator>
  <cp:keywords/>
  <dc:description>Collective_letter2-SG5-AMR.docx  For: Document date: Saved by ITU51009145 at 18:23:47 on 23.07.2014</dc:description>
  <cp:lastModifiedBy>Bettini, Nadine</cp:lastModifiedBy>
  <cp:revision>2</cp:revision>
  <cp:lastPrinted>2014-07-23T16:05:00Z</cp:lastPrinted>
  <dcterms:created xsi:type="dcterms:W3CDTF">2014-08-19T13:50:00Z</dcterms:created>
  <dcterms:modified xsi:type="dcterms:W3CDTF">2014-08-19T13:50:00Z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Collective_letter2-SG5-AMR.docx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