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708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620"/>
      </w:tblGrid>
      <w:tr w:rsidR="00F628AA" w:rsidRPr="00C56944" w:rsidTr="00E06FCE">
        <w:trPr>
          <w:cantSplit/>
        </w:trPr>
        <w:tc>
          <w:tcPr>
            <w:tcW w:w="1560" w:type="dxa"/>
            <w:vAlign w:val="center"/>
          </w:tcPr>
          <w:p w:rsidR="00F628AA" w:rsidRPr="00617BE4" w:rsidRDefault="00F628AA" w:rsidP="00E06FCE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8C4002C" wp14:editId="0247603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F628AA" w:rsidRPr="00617BE4" w:rsidRDefault="006D5047" w:rsidP="00E06FCE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6D5047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اد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6D5047">
              <w:rPr>
                <w:b/>
                <w:bCs/>
                <w:sz w:val="36"/>
                <w:szCs w:val="44"/>
                <w:rtl/>
              </w:rPr>
              <w:t>ال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دول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6D5047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ـ</w:t>
            </w:r>
            <w:r w:rsidR="0069077E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="00F628AA"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2620" w:type="dxa"/>
            <w:vAlign w:val="center"/>
          </w:tcPr>
          <w:p w:rsidR="00F628AA" w:rsidRPr="00C56944" w:rsidRDefault="00F628AA" w:rsidP="00E06FC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259AD9" wp14:editId="49B27C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585" w:rsidRDefault="00C7458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9"/>
        <w:gridCol w:w="3331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  <w:gridSpan w:val="2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Default="00B73D95" w:rsidP="0095782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95782D">
              <w:t>29</w:t>
            </w:r>
            <w:r w:rsidR="0069077E">
              <w:rPr>
                <w:rFonts w:hint="cs"/>
                <w:rtl/>
              </w:rPr>
              <w:t xml:space="preserve"> </w:t>
            </w:r>
            <w:r w:rsidR="0095782D">
              <w:rPr>
                <w:rFonts w:hint="cs"/>
                <w:rtl/>
              </w:rPr>
              <w:t>يناير</w:t>
            </w:r>
            <w:r w:rsidR="0069077E">
              <w:rPr>
                <w:rFonts w:hint="cs"/>
                <w:rtl/>
              </w:rPr>
              <w:t xml:space="preserve"> </w:t>
            </w:r>
            <w:r w:rsidR="0069077E">
              <w:t>2015</w:t>
            </w:r>
          </w:p>
          <w:p w:rsidR="00C74585" w:rsidRPr="005463F4" w:rsidRDefault="00C74585" w:rsidP="00C74585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rtl/>
                <w:lang w:bidi="ar-EG"/>
              </w:rPr>
            </w:pP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1F71FD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  <w:gridSpan w:val="2"/>
          </w:tcPr>
          <w:p w:rsidR="0069077E" w:rsidRPr="005463F4" w:rsidRDefault="0095782D" w:rsidP="0095782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95782D">
              <w:rPr>
                <w:rFonts w:hint="cs"/>
                <w:b/>
                <w:bCs/>
                <w:rtl/>
              </w:rPr>
              <w:t xml:space="preserve">الإضافة </w:t>
            </w:r>
            <w:r w:rsidRPr="0095782D">
              <w:rPr>
                <w:b/>
                <w:bCs/>
              </w:rPr>
              <w:t>1</w:t>
            </w:r>
            <w:r w:rsidRPr="0095782D">
              <w:rPr>
                <w:rFonts w:hint="cs"/>
                <w:b/>
                <w:bCs/>
                <w:rtl/>
                <w:lang w:bidi="ar-SY"/>
              </w:rPr>
              <w:t xml:space="preserve"> إلى الرسالة الجماعية</w:t>
            </w:r>
            <w:r w:rsidRPr="0095782D">
              <w:rPr>
                <w:b/>
                <w:rtl/>
              </w:rPr>
              <w:br/>
            </w:r>
            <w:r w:rsidRPr="0095782D">
              <w:rPr>
                <w:b/>
              </w:rPr>
              <w:t>TSB Collective letter </w:t>
            </w:r>
            <w:r>
              <w:rPr>
                <w:b/>
              </w:rPr>
              <w:t>5</w:t>
            </w:r>
            <w:r w:rsidRPr="0095782D">
              <w:rPr>
                <w:b/>
              </w:rPr>
              <w:t>/</w:t>
            </w:r>
            <w:r>
              <w:rPr>
                <w:b/>
              </w:rPr>
              <w:t>17</w:t>
            </w:r>
          </w:p>
        </w:tc>
        <w:tc>
          <w:tcPr>
            <w:tcW w:w="4760" w:type="dxa"/>
            <w:vMerge w:val="restart"/>
          </w:tcPr>
          <w:p w:rsidR="00CE25AB" w:rsidRDefault="00CE25AB" w:rsidP="00E93F3A">
            <w:pPr>
              <w:tabs>
                <w:tab w:val="left" w:pos="284"/>
                <w:tab w:val="left" w:pos="4111"/>
              </w:tabs>
              <w:spacing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CE25AB" w:rsidRDefault="00CE25AB" w:rsidP="00D373F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rtl/>
              </w:rPr>
              <w:t>إدارات الدول الأعضاء في الات‍حاد</w:t>
            </w:r>
            <w:r w:rsidR="00D373FB">
              <w:rPr>
                <w:rFonts w:hint="cs"/>
                <w:rtl/>
              </w:rPr>
              <w:t>؛</w:t>
            </w:r>
          </w:p>
          <w:p w:rsidR="00CE25AB" w:rsidRDefault="00CE25AB" w:rsidP="00D373F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rtl/>
              </w:rPr>
              <w:t>أعضاء قطاع تقييس الاتصالات بالات‍حاد</w:t>
            </w:r>
            <w:r w:rsidR="00D373FB">
              <w:rPr>
                <w:rFonts w:hint="cs"/>
                <w:rtl/>
              </w:rPr>
              <w:t>؛</w:t>
            </w:r>
          </w:p>
          <w:p w:rsidR="00CE25AB" w:rsidRPr="003D2E68" w:rsidRDefault="00CE25AB" w:rsidP="00D373F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2E68">
              <w:rPr>
                <w:rFonts w:hint="cs"/>
                <w:spacing w:val="-4"/>
                <w:rtl/>
              </w:rPr>
              <w:t>ال‍منتسبين إلى قطاع تقييس الاتصالات ال‍مشاركين في</w:t>
            </w:r>
            <w:r w:rsidRPr="003D2E68">
              <w:rPr>
                <w:rFonts w:hint="eastAsia"/>
                <w:spacing w:val="-4"/>
                <w:rtl/>
              </w:rPr>
              <w:t> </w:t>
            </w:r>
            <w:r w:rsidRPr="003D2E68">
              <w:rPr>
                <w:rFonts w:hint="cs"/>
                <w:spacing w:val="-4"/>
                <w:rtl/>
              </w:rPr>
              <w:t>أعمال ل‍جنة الدراسات</w:t>
            </w:r>
            <w:r w:rsidRPr="003D2E68">
              <w:rPr>
                <w:rFonts w:hint="eastAsia"/>
                <w:spacing w:val="-4"/>
                <w:rtl/>
              </w:rPr>
              <w:t> </w:t>
            </w:r>
            <w:r w:rsidR="0095782D">
              <w:rPr>
                <w:spacing w:val="-4"/>
              </w:rPr>
              <w:t>17</w:t>
            </w:r>
            <w:r w:rsidR="00D373FB">
              <w:rPr>
                <w:rFonts w:hint="cs"/>
                <w:spacing w:val="-4"/>
                <w:rtl/>
                <w:lang w:bidi="ar-SY"/>
              </w:rPr>
              <w:t>؛</w:t>
            </w:r>
          </w:p>
          <w:p w:rsidR="0069077E" w:rsidRPr="005463F4" w:rsidRDefault="00CE25AB" w:rsidP="00CE25A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05DA">
              <w:rPr>
                <w:rFonts w:hint="cs"/>
                <w:spacing w:val="-6"/>
                <w:rtl/>
              </w:rPr>
              <w:t>الهيئات الأكادي‍مية ال‍منضمة إلى قطاع تقييس الاتصالات</w:t>
            </w: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69077E">
            <w:pPr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  <w:gridSpan w:val="2"/>
          </w:tcPr>
          <w:p w:rsidR="0069077E" w:rsidRPr="005463F4" w:rsidRDefault="00D27A1C" w:rsidP="001404C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F36AC4">
              <w:t>+41</w:t>
            </w:r>
            <w:r w:rsidR="001404C2">
              <w:t> </w:t>
            </w:r>
            <w:r w:rsidRPr="00F36AC4">
              <w:t>22</w:t>
            </w:r>
            <w:r w:rsidR="001404C2">
              <w:t> </w:t>
            </w:r>
            <w:r w:rsidRPr="00F36AC4">
              <w:t>730</w:t>
            </w:r>
            <w:r w:rsidR="001404C2">
              <w:t> 5866</w:t>
            </w:r>
          </w:p>
        </w:tc>
        <w:tc>
          <w:tcPr>
            <w:tcW w:w="4760" w:type="dxa"/>
            <w:vMerge/>
          </w:tcPr>
          <w:p w:rsidR="0069077E" w:rsidRPr="006D1882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69077E" w:rsidRPr="005463F4" w:rsidTr="0069077E">
        <w:trPr>
          <w:cantSplit/>
          <w:trHeight w:val="663"/>
        </w:trPr>
        <w:tc>
          <w:tcPr>
            <w:tcW w:w="1542" w:type="dxa"/>
            <w:gridSpan w:val="2"/>
          </w:tcPr>
          <w:p w:rsidR="0069077E" w:rsidRDefault="0069077E" w:rsidP="0069077E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</w:p>
        </w:tc>
        <w:tc>
          <w:tcPr>
            <w:tcW w:w="3331" w:type="dxa"/>
          </w:tcPr>
          <w:p w:rsidR="0069077E" w:rsidRPr="005463F4" w:rsidRDefault="00D27A1C" w:rsidP="001404C2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  <w:r w:rsidRPr="00F36AC4">
              <w:t>+41</w:t>
            </w:r>
            <w:r w:rsidR="001404C2">
              <w:t> </w:t>
            </w:r>
            <w:r w:rsidRPr="00F36AC4">
              <w:t>22</w:t>
            </w:r>
            <w:r w:rsidR="001404C2">
              <w:t> </w:t>
            </w:r>
            <w:r w:rsidRPr="00F36AC4">
              <w:t>730</w:t>
            </w:r>
            <w:r w:rsidR="001404C2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69077E" w:rsidRPr="005463F4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69077E" w:rsidRPr="005463F4" w:rsidTr="0069077E">
        <w:trPr>
          <w:cantSplit/>
          <w:trHeight w:val="355"/>
        </w:trPr>
        <w:tc>
          <w:tcPr>
            <w:tcW w:w="1542" w:type="dxa"/>
            <w:gridSpan w:val="2"/>
          </w:tcPr>
          <w:p w:rsidR="0069077E" w:rsidRPr="005463F4" w:rsidRDefault="0069077E" w:rsidP="00B95E9C">
            <w:pPr>
              <w:spacing w:before="60" w:after="60" w:line="300" w:lineRule="exact"/>
              <w:ind w:left="57"/>
              <w:jc w:val="left"/>
            </w:pP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31" w:type="dxa"/>
          </w:tcPr>
          <w:p w:rsidR="0069077E" w:rsidRPr="005463F4" w:rsidRDefault="008C7268" w:rsidP="00B95E9C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1404C2" w:rsidRPr="00823EA8">
                <w:rPr>
                  <w:rStyle w:val="Hyperlink"/>
                  <w:szCs w:val="22"/>
                </w:rPr>
                <w:t>tsbsg17@itu.int</w:t>
              </w:r>
            </w:hyperlink>
          </w:p>
        </w:tc>
        <w:tc>
          <w:tcPr>
            <w:tcW w:w="4760" w:type="dxa"/>
          </w:tcPr>
          <w:p w:rsidR="0069077E" w:rsidRPr="005463F4" w:rsidRDefault="0069077E" w:rsidP="00B95E9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69077E" w:rsidRPr="00455D62" w:rsidTr="00CF1B69">
        <w:trPr>
          <w:cantSplit/>
        </w:trPr>
        <w:tc>
          <w:tcPr>
            <w:tcW w:w="1533" w:type="dxa"/>
          </w:tcPr>
          <w:p w:rsidR="0069077E" w:rsidRPr="00455D62" w:rsidRDefault="0069077E" w:rsidP="00B95E9C">
            <w:pPr>
              <w:spacing w:before="240" w:after="60"/>
              <w:ind w:left="57"/>
              <w:jc w:val="left"/>
              <w:rPr>
                <w:rFonts w:ascii="Calibri" w:hAnsi="Calibri"/>
                <w:b/>
                <w:rtl/>
                <w:lang w:bidi="ar-EG"/>
              </w:rPr>
            </w:pPr>
            <w:r w:rsidRPr="00455D62">
              <w:rPr>
                <w:rFonts w:ascii="Calibri" w:hAnsi="Calibri" w:hint="cs"/>
                <w:b/>
                <w:rtl/>
              </w:rPr>
              <w:t>الموضوع:</w:t>
            </w:r>
          </w:p>
        </w:tc>
        <w:tc>
          <w:tcPr>
            <w:tcW w:w="8100" w:type="dxa"/>
            <w:gridSpan w:val="3"/>
          </w:tcPr>
          <w:p w:rsidR="0069077E" w:rsidRPr="00455D62" w:rsidRDefault="0069077E" w:rsidP="00B95E9C">
            <w:pPr>
              <w:tabs>
                <w:tab w:val="left" w:pos="284"/>
                <w:tab w:val="left" w:pos="4111"/>
              </w:tabs>
              <w:spacing w:before="240" w:after="60"/>
              <w:ind w:left="57"/>
              <w:jc w:val="left"/>
              <w:rPr>
                <w:rFonts w:ascii="Calibri" w:hAnsi="Calibri"/>
                <w:b/>
                <w:rtl/>
                <w:lang w:bidi="ar-EG"/>
              </w:rPr>
            </w:pPr>
            <w:r w:rsidRPr="00455D62">
              <w:rPr>
                <w:rFonts w:ascii="Calibri" w:hAnsi="Calibri" w:hint="cs"/>
                <w:b/>
                <w:bCs/>
                <w:rtl/>
              </w:rPr>
              <w:t xml:space="preserve">اجتماع لجنة الدراسات </w:t>
            </w:r>
            <w:r w:rsidR="00840C2A">
              <w:rPr>
                <w:rFonts w:ascii="Calibri" w:hAnsi="Calibri"/>
                <w:b/>
                <w:bCs/>
                <w:lang w:bidi="ar-EG"/>
              </w:rPr>
              <w:t>17</w:t>
            </w:r>
            <w:r w:rsidR="00AF0EFB">
              <w:rPr>
                <w:rFonts w:ascii="Calibri" w:hAnsi="Calibri" w:hint="cs"/>
                <w:b/>
                <w:bCs/>
                <w:rtl/>
              </w:rPr>
              <w:t>؛</w:t>
            </w:r>
            <w:r w:rsidRPr="00455D62">
              <w:rPr>
                <w:rFonts w:ascii="Calibri" w:hAnsi="Calibri" w:hint="cs"/>
                <w:b/>
                <w:bCs/>
                <w:rtl/>
              </w:rPr>
              <w:t xml:space="preserve"> جنيف، </w:t>
            </w:r>
            <w:r w:rsidR="00840C2A">
              <w:rPr>
                <w:rFonts w:ascii="Calibri" w:hAnsi="Calibri"/>
                <w:b/>
                <w:bCs/>
              </w:rPr>
              <w:t>17-8</w:t>
            </w:r>
            <w:r w:rsidR="00CE25AB" w:rsidRPr="00455D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="00840C2A">
              <w:rPr>
                <w:rFonts w:ascii="Calibri" w:hAnsi="Calibri" w:hint="cs"/>
                <w:b/>
                <w:bCs/>
                <w:rtl/>
                <w:lang w:bidi="ar-SY"/>
              </w:rPr>
              <w:t>أبريل</w:t>
            </w:r>
            <w:r w:rsidR="00CE25AB" w:rsidRPr="00455D62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Pr="00455D62">
              <w:rPr>
                <w:rFonts w:ascii="Calibri" w:hAnsi="Calibri"/>
                <w:b/>
                <w:bCs/>
              </w:rPr>
              <w:t>2015</w:t>
            </w:r>
          </w:p>
        </w:tc>
      </w:tr>
    </w:tbl>
    <w:p w:rsidR="00B73D95" w:rsidRPr="00BB3950" w:rsidRDefault="00B73D95" w:rsidP="00BB3950">
      <w:pPr>
        <w:spacing w:before="600"/>
        <w:rPr>
          <w:rFonts w:ascii="Calibri" w:hAnsi="Calibri"/>
          <w:rtl/>
          <w:lang w:bidi="ar-EG"/>
        </w:rPr>
      </w:pPr>
      <w:r w:rsidRPr="00BB3950">
        <w:rPr>
          <w:rFonts w:ascii="Calibri" w:hAnsi="Calibri" w:hint="cs"/>
          <w:rtl/>
        </w:rPr>
        <w:t>حضرات السادة والسيدات،</w:t>
      </w:r>
    </w:p>
    <w:p w:rsidR="00B73D95" w:rsidRPr="00BB3950" w:rsidRDefault="00B73D95" w:rsidP="003D19CD">
      <w:pPr>
        <w:rPr>
          <w:rFonts w:ascii="Calibri" w:hAnsi="Calibri"/>
          <w:rtl/>
        </w:rPr>
      </w:pPr>
      <w:r w:rsidRPr="00BB3950">
        <w:rPr>
          <w:rFonts w:ascii="Calibri" w:hAnsi="Calibri" w:hint="cs"/>
          <w:rtl/>
        </w:rPr>
        <w:t>ت</w:t>
      </w:r>
      <w:r w:rsidR="00455D62" w:rsidRPr="00BB3950">
        <w:rPr>
          <w:rFonts w:ascii="Calibri" w:hAnsi="Calibri" w:hint="cs"/>
          <w:rtl/>
        </w:rPr>
        <w:t>‍</w:t>
      </w:r>
      <w:r w:rsidRPr="00BB3950">
        <w:rPr>
          <w:rFonts w:ascii="Calibri" w:hAnsi="Calibri" w:hint="cs"/>
          <w:rtl/>
        </w:rPr>
        <w:t>حية طيبة وبعد،</w:t>
      </w:r>
    </w:p>
    <w:p w:rsidR="001404C2" w:rsidRPr="00BB3950" w:rsidRDefault="001404C2" w:rsidP="005B659E">
      <w:pPr>
        <w:rPr>
          <w:rFonts w:ascii="Calibri" w:hAnsi="Calibri"/>
          <w:rtl/>
          <w:lang w:bidi="ar-SY"/>
        </w:rPr>
      </w:pPr>
      <w:r w:rsidRPr="00BB3950">
        <w:rPr>
          <w:rFonts w:ascii="Calibri" w:hAnsi="Calibri" w:hint="cs"/>
          <w:rtl/>
          <w:lang w:bidi="ar-SY"/>
        </w:rPr>
        <w:t xml:space="preserve">وردت تعليقات بشأن بندَي العمل التاليين في إطار عملية ال‍موافقة البديلة </w:t>
      </w:r>
      <w:r w:rsidRPr="00BB3950">
        <w:rPr>
          <w:rFonts w:ascii="Calibri" w:hAnsi="Calibri"/>
          <w:lang w:bidi="ar-SY"/>
        </w:rPr>
        <w:t>(AAP)</w:t>
      </w:r>
      <w:r w:rsidRPr="00BB3950">
        <w:rPr>
          <w:rFonts w:ascii="Calibri" w:hAnsi="Calibri" w:hint="cs"/>
          <w:rtl/>
          <w:lang w:bidi="ar-EG"/>
        </w:rPr>
        <w:t xml:space="preserve"> خلال فترة النداء الأخير، وسيُقدّمان للنظر فيهما في</w:t>
      </w:r>
      <w:r w:rsidR="005B659E">
        <w:rPr>
          <w:rFonts w:ascii="Calibri" w:hAnsi="Calibri" w:hint="eastAsia"/>
          <w:rtl/>
          <w:lang w:bidi="ar-EG"/>
        </w:rPr>
        <w:t> </w:t>
      </w:r>
      <w:r w:rsidRPr="00BB3950">
        <w:rPr>
          <w:rFonts w:ascii="Calibri" w:hAnsi="Calibri" w:hint="cs"/>
          <w:rtl/>
          <w:lang w:bidi="ar-EG"/>
        </w:rPr>
        <w:t xml:space="preserve">اجتماع </w:t>
      </w:r>
      <w:r w:rsidRPr="00BB3950">
        <w:rPr>
          <w:rFonts w:ascii="Calibri" w:hAnsi="Calibri" w:hint="cs"/>
          <w:rtl/>
          <w:lang w:bidi="ar-SY"/>
        </w:rPr>
        <w:t>ل‍جنة الدراسات</w:t>
      </w:r>
      <w:r w:rsidRPr="00BB3950">
        <w:rPr>
          <w:rFonts w:ascii="Calibri" w:hAnsi="Calibri" w:hint="eastAsia"/>
          <w:rtl/>
          <w:lang w:bidi="ar-SY"/>
        </w:rPr>
        <w:t> </w:t>
      </w:r>
      <w:r w:rsidRPr="00BB3950">
        <w:rPr>
          <w:rFonts w:ascii="Calibri" w:hAnsi="Calibri"/>
          <w:lang w:bidi="ar-SY"/>
        </w:rPr>
        <w:t>17</w:t>
      </w:r>
      <w:r w:rsidRPr="00BB3950">
        <w:rPr>
          <w:rFonts w:ascii="Calibri" w:hAnsi="Calibri" w:hint="cs"/>
          <w:rtl/>
        </w:rPr>
        <w:t xml:space="preserve"> في</w:t>
      </w:r>
      <w:r w:rsidRPr="00BB3950">
        <w:rPr>
          <w:rFonts w:ascii="Calibri" w:hAnsi="Calibri" w:hint="cs"/>
          <w:rtl/>
          <w:lang w:bidi="ar-SY"/>
        </w:rPr>
        <w:t xml:space="preserve"> جنيف، في الفترة </w:t>
      </w:r>
      <w:r w:rsidRPr="00BB3950">
        <w:rPr>
          <w:rFonts w:ascii="Calibri" w:hAnsi="Calibri"/>
          <w:lang w:bidi="ar-SY"/>
        </w:rPr>
        <w:t>17-8</w:t>
      </w:r>
      <w:r w:rsidRPr="00BB3950">
        <w:rPr>
          <w:rFonts w:ascii="Calibri" w:hAnsi="Calibri" w:hint="cs"/>
          <w:rtl/>
          <w:lang w:bidi="ar-SY"/>
        </w:rPr>
        <w:t xml:space="preserve"> أبريل </w:t>
      </w:r>
      <w:r w:rsidRPr="00BB3950">
        <w:rPr>
          <w:rFonts w:ascii="Calibri" w:hAnsi="Calibri"/>
          <w:lang w:bidi="ar-SY"/>
        </w:rPr>
        <w:t>2015</w:t>
      </w:r>
      <w:r w:rsidRPr="00BB3950">
        <w:rPr>
          <w:rFonts w:ascii="Calibri" w:hAnsi="Calibri" w:hint="cs"/>
          <w:rtl/>
          <w:lang w:bidi="ar-SY"/>
        </w:rPr>
        <w:t>:</w:t>
      </w:r>
    </w:p>
    <w:p w:rsidR="001404C2" w:rsidRPr="00663032" w:rsidRDefault="001404C2" w:rsidP="00EE1866">
      <w:pPr>
        <w:pStyle w:val="enumlev1"/>
        <w:spacing w:before="120"/>
        <w:rPr>
          <w:spacing w:val="-2"/>
          <w:rtl/>
          <w:lang w:val="en-US"/>
        </w:rPr>
      </w:pPr>
      <w:r w:rsidRPr="00663032">
        <w:rPr>
          <w:b/>
          <w:bCs/>
          <w:spacing w:val="-2"/>
          <w:lang w:bidi="ar-SY"/>
        </w:rPr>
        <w:t>(1</w:t>
      </w:r>
      <w:r w:rsidRPr="00663032">
        <w:rPr>
          <w:b/>
          <w:bCs/>
          <w:spacing w:val="-2"/>
          <w:lang w:bidi="ar-SY"/>
        </w:rPr>
        <w:tab/>
      </w:r>
      <w:r w:rsidRPr="00663032">
        <w:rPr>
          <w:rFonts w:hint="cs"/>
          <w:b/>
          <w:bCs/>
          <w:spacing w:val="-2"/>
          <w:rtl/>
          <w:lang w:bidi="ar-SY"/>
        </w:rPr>
        <w:t xml:space="preserve">مشروع </w:t>
      </w:r>
      <w:r w:rsidRPr="00663032">
        <w:rPr>
          <w:b/>
          <w:bCs/>
          <w:spacing w:val="-2"/>
          <w:rtl/>
          <w:lang w:bidi="ar-SY"/>
        </w:rPr>
        <w:t>التوصية</w:t>
      </w:r>
      <w:r w:rsidRPr="00663032">
        <w:rPr>
          <w:rFonts w:hint="cs"/>
          <w:b/>
          <w:bCs/>
          <w:spacing w:val="-2"/>
          <w:rtl/>
          <w:lang w:bidi="ar-SY"/>
        </w:rPr>
        <w:t xml:space="preserve"> الجديدة </w:t>
      </w:r>
      <w:r w:rsidRPr="00663032">
        <w:rPr>
          <w:b/>
          <w:bCs/>
          <w:spacing w:val="-2"/>
          <w:lang w:bidi="ar-SY"/>
        </w:rPr>
        <w:t>ITU-T X.1341</w:t>
      </w:r>
      <w:r w:rsidRPr="00663032">
        <w:rPr>
          <w:rFonts w:hint="cs"/>
          <w:b/>
          <w:bCs/>
          <w:spacing w:val="-2"/>
          <w:rtl/>
          <w:lang w:bidi="ar-SY"/>
        </w:rPr>
        <w:t xml:space="preserve"> </w:t>
      </w:r>
      <w:r w:rsidRPr="00663032">
        <w:rPr>
          <w:b/>
          <w:bCs/>
          <w:spacing w:val="-2"/>
        </w:rPr>
        <w:t>(</w:t>
      </w:r>
      <w:proofErr w:type="spellStart"/>
      <w:r w:rsidRPr="00663032">
        <w:rPr>
          <w:b/>
          <w:bCs/>
          <w:spacing w:val="-2"/>
        </w:rPr>
        <w:t>X.cmail</w:t>
      </w:r>
      <w:proofErr w:type="spellEnd"/>
      <w:proofErr w:type="gramStart"/>
      <w:r w:rsidRPr="00663032">
        <w:rPr>
          <w:b/>
          <w:bCs/>
          <w:spacing w:val="-2"/>
        </w:rPr>
        <w:t>)</w:t>
      </w:r>
      <w:r w:rsidRPr="00663032">
        <w:rPr>
          <w:rFonts w:hint="cs"/>
          <w:b/>
          <w:bCs/>
          <w:spacing w:val="-2"/>
          <w:rtl/>
          <w:lang w:bidi="ar-SY"/>
        </w:rPr>
        <w:t>،</w:t>
      </w:r>
      <w:proofErr w:type="gramEnd"/>
      <w:r w:rsidRPr="00663032">
        <w:rPr>
          <w:rFonts w:hint="cs"/>
          <w:spacing w:val="-2"/>
          <w:rtl/>
          <w:lang w:bidi="ar-SY"/>
        </w:rPr>
        <w:t xml:space="preserve"> </w:t>
      </w:r>
      <w:r w:rsidR="00A4131F" w:rsidRPr="00663032">
        <w:rPr>
          <w:rFonts w:hint="cs"/>
          <w:i/>
          <w:iCs/>
          <w:spacing w:val="-2"/>
          <w:rtl/>
          <w:lang w:bidi="ar-EG"/>
        </w:rPr>
        <w:t>بروتوكول نقل البريد ال</w:t>
      </w:r>
      <w:r w:rsidR="00901C65" w:rsidRPr="00663032">
        <w:rPr>
          <w:rFonts w:hint="cs"/>
          <w:i/>
          <w:iCs/>
          <w:spacing w:val="-2"/>
          <w:rtl/>
          <w:lang w:bidi="ar-EG"/>
        </w:rPr>
        <w:t>‍</w:t>
      </w:r>
      <w:r w:rsidR="00A4131F" w:rsidRPr="00663032">
        <w:rPr>
          <w:rFonts w:hint="cs"/>
          <w:i/>
          <w:iCs/>
          <w:spacing w:val="-2"/>
          <w:rtl/>
          <w:lang w:bidi="ar-EG"/>
        </w:rPr>
        <w:t>معتمد وبروتوكول نقل مكتب البريد ال</w:t>
      </w:r>
      <w:r w:rsidR="00901C65" w:rsidRPr="00663032">
        <w:rPr>
          <w:rFonts w:hint="cs"/>
          <w:i/>
          <w:iCs/>
          <w:spacing w:val="-2"/>
          <w:rtl/>
          <w:lang w:bidi="ar-EG"/>
        </w:rPr>
        <w:t>‍</w:t>
      </w:r>
      <w:r w:rsidR="00A4131F" w:rsidRPr="00663032">
        <w:rPr>
          <w:rFonts w:hint="cs"/>
          <w:i/>
          <w:iCs/>
          <w:spacing w:val="-2"/>
          <w:rtl/>
          <w:lang w:bidi="ar-EG"/>
        </w:rPr>
        <w:t>معتمد</w:t>
      </w:r>
    </w:p>
    <w:p w:rsidR="001404C2" w:rsidRPr="00BB3950" w:rsidRDefault="000C1AFD" w:rsidP="001404C2">
      <w:pPr>
        <w:rPr>
          <w:rFonts w:ascii="Calibri" w:hAnsi="Calibri"/>
          <w:rtl/>
          <w:lang w:bidi="ar-EG"/>
        </w:rPr>
      </w:pPr>
      <w:r>
        <w:rPr>
          <w:rFonts w:ascii="Calibri" w:hAnsi="Calibri"/>
          <w:b/>
          <w:bCs/>
          <w:rtl/>
          <w:lang w:bidi="ar-EG"/>
        </w:rPr>
        <w:tab/>
      </w:r>
      <w:r w:rsidR="00FF2BD5">
        <w:rPr>
          <w:rFonts w:ascii="Calibri" w:hAnsi="Calibri" w:hint="cs"/>
          <w:b/>
          <w:bCs/>
          <w:rtl/>
          <w:lang w:bidi="ar-EG"/>
        </w:rPr>
        <w:t>موض</w:t>
      </w:r>
      <w:r w:rsidR="00BB3950" w:rsidRPr="00BB3950">
        <w:rPr>
          <w:rFonts w:ascii="Calibri" w:hAnsi="Calibri" w:hint="cs"/>
          <w:b/>
          <w:bCs/>
          <w:rtl/>
          <w:lang w:bidi="ar-EG"/>
        </w:rPr>
        <w:t>ع</w:t>
      </w:r>
      <w:r w:rsidR="001404C2" w:rsidRPr="00BB3950">
        <w:rPr>
          <w:rFonts w:ascii="Calibri" w:hAnsi="Calibri" w:hint="cs"/>
          <w:b/>
          <w:bCs/>
          <w:rtl/>
          <w:lang w:bidi="ar-EG"/>
        </w:rPr>
        <w:t xml:space="preserve"> </w:t>
      </w:r>
      <w:r w:rsidR="00BB3950" w:rsidRPr="00BB3950">
        <w:rPr>
          <w:rFonts w:ascii="Calibri" w:hAnsi="Calibri" w:hint="cs"/>
          <w:b/>
          <w:bCs/>
          <w:rtl/>
          <w:lang w:bidi="ar-EG"/>
        </w:rPr>
        <w:t>ال</w:t>
      </w:r>
      <w:r w:rsidR="001404C2" w:rsidRPr="00BB3950">
        <w:rPr>
          <w:rFonts w:ascii="Calibri" w:hAnsi="Calibri" w:hint="cs"/>
          <w:b/>
          <w:bCs/>
          <w:rtl/>
          <w:lang w:bidi="ar-EG"/>
        </w:rPr>
        <w:t>تعليقات</w:t>
      </w:r>
      <w:r w:rsidR="00BB3950" w:rsidRPr="00BB3950">
        <w:rPr>
          <w:rFonts w:ascii="Calibri" w:hAnsi="Calibri" w:hint="cs"/>
          <w:b/>
          <w:bCs/>
          <w:rtl/>
          <w:lang w:bidi="ar-EG"/>
        </w:rPr>
        <w:t xml:space="preserve"> الواردة خلال فترة</w:t>
      </w:r>
      <w:r w:rsidR="001404C2" w:rsidRPr="00BB3950">
        <w:rPr>
          <w:rFonts w:ascii="Calibri" w:hAnsi="Calibri" w:hint="cs"/>
          <w:b/>
          <w:bCs/>
          <w:rtl/>
          <w:lang w:bidi="ar-EG"/>
        </w:rPr>
        <w:t xml:space="preserve"> النداء الأخير ومشروع النص</w:t>
      </w:r>
      <w:r w:rsidR="001404C2" w:rsidRPr="00BB3950">
        <w:rPr>
          <w:rFonts w:ascii="Calibri" w:hAnsi="Calibri" w:hint="cs"/>
          <w:rtl/>
          <w:lang w:bidi="ar-EG"/>
        </w:rPr>
        <w:t xml:space="preserve">: </w:t>
      </w:r>
      <w:hyperlink r:id="rId11" w:history="1">
        <w:r w:rsidR="001404C2" w:rsidRPr="00BB3950">
          <w:rPr>
            <w:rStyle w:val="Hyperlink"/>
            <w:rFonts w:ascii="Calibri" w:hAnsi="Calibri"/>
          </w:rPr>
          <w:t>COM 17 – TD 1634 Rev.1</w:t>
        </w:r>
      </w:hyperlink>
      <w:r w:rsidR="00DE5098">
        <w:rPr>
          <w:rFonts w:ascii="Calibri" w:hAnsi="Calibri" w:hint="cs"/>
          <w:rtl/>
          <w:lang w:bidi="ar-EG"/>
        </w:rPr>
        <w:t>.</w:t>
      </w:r>
    </w:p>
    <w:p w:rsidR="001404C2" w:rsidRPr="00BB3950" w:rsidRDefault="000C1AFD" w:rsidP="001404C2">
      <w:pPr>
        <w:rPr>
          <w:rFonts w:ascii="Calibri" w:hAnsi="Calibri"/>
          <w:b/>
          <w:bCs/>
          <w:rtl/>
          <w:lang w:bidi="ar-EG"/>
        </w:rPr>
      </w:pPr>
      <w:r>
        <w:rPr>
          <w:rFonts w:ascii="Calibri" w:hAnsi="Calibri"/>
          <w:b/>
          <w:bCs/>
          <w:rtl/>
          <w:lang w:bidi="ar-EG"/>
        </w:rPr>
        <w:tab/>
      </w:r>
      <w:r w:rsidR="001404C2" w:rsidRPr="00BB3950">
        <w:rPr>
          <w:rFonts w:ascii="Calibri" w:hAnsi="Calibri" w:hint="cs"/>
          <w:b/>
          <w:bCs/>
          <w:rtl/>
          <w:lang w:bidi="ar-EG"/>
        </w:rPr>
        <w:t>ملخص</w:t>
      </w:r>
    </w:p>
    <w:p w:rsidR="001404C2" w:rsidRPr="00BB3950" w:rsidRDefault="000C1AFD" w:rsidP="00F909E2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1404C2" w:rsidRPr="00BB3950">
        <w:rPr>
          <w:rFonts w:hint="cs"/>
          <w:rtl/>
          <w:lang w:bidi="ar-EG"/>
        </w:rPr>
        <w:t>الغرض من هذه التوصية تعريف بروتوكول نقل البريد ال</w:t>
      </w:r>
      <w:r w:rsidR="00F30A70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 xml:space="preserve">معتمد </w:t>
      </w:r>
      <w:r w:rsidR="001404C2" w:rsidRPr="00BB3950">
        <w:rPr>
          <w:lang w:bidi="ar-EG"/>
        </w:rPr>
        <w:t>(CMTP)</w:t>
      </w:r>
      <w:r w:rsidR="001404C2" w:rsidRPr="00BB3950">
        <w:rPr>
          <w:rFonts w:hint="cs"/>
          <w:rtl/>
          <w:lang w:bidi="ar-EG"/>
        </w:rPr>
        <w:t xml:space="preserve"> وبروتوكول نقل مكتب البريد ال</w:t>
      </w:r>
      <w:r w:rsidR="00EE79DA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معتمد</w:t>
      </w:r>
      <w:r w:rsidR="00F909E2">
        <w:rPr>
          <w:rFonts w:hint="eastAsia"/>
          <w:rtl/>
          <w:lang w:bidi="ar-EG"/>
        </w:rPr>
        <w:t> </w:t>
      </w:r>
      <w:r w:rsidR="001404C2" w:rsidRPr="00BB3950">
        <w:rPr>
          <w:lang w:bidi="ar-EG"/>
        </w:rPr>
        <w:t>(CPOP)</w:t>
      </w:r>
      <w:r w:rsidR="001404C2" w:rsidRPr="00BB3950">
        <w:rPr>
          <w:rFonts w:hint="cs"/>
          <w:rtl/>
          <w:lang w:bidi="ar-EG"/>
        </w:rPr>
        <w:t xml:space="preserve"> من أجل تعزيز تبادل رسائل البريد الإلكتروني ال</w:t>
      </w:r>
      <w:r w:rsidR="00EE79DA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معتمد في العالم بطريقة آمنة من خلال توفير السرية وت</w:t>
      </w:r>
      <w:r w:rsidR="00F30A70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حديد هوية ال</w:t>
      </w:r>
      <w:r w:rsidR="00F30A70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مراسلين و</w:t>
      </w:r>
      <w:r w:rsidR="00306C3A">
        <w:rPr>
          <w:rFonts w:hint="cs"/>
          <w:rtl/>
          <w:lang w:bidi="ar-EG"/>
        </w:rPr>
        <w:t xml:space="preserve">ضمان </w:t>
      </w:r>
      <w:r w:rsidR="001404C2" w:rsidRPr="00BB3950">
        <w:rPr>
          <w:rFonts w:hint="cs"/>
          <w:rtl/>
          <w:lang w:bidi="ar-EG"/>
        </w:rPr>
        <w:t>السلامة وعدم</w:t>
      </w:r>
      <w:r w:rsidR="00306C3A">
        <w:rPr>
          <w:rFonts w:hint="eastAsia"/>
          <w:rtl/>
          <w:lang w:bidi="ar-EG"/>
        </w:rPr>
        <w:t> </w:t>
      </w:r>
      <w:r w:rsidR="001404C2" w:rsidRPr="00BB3950">
        <w:rPr>
          <w:rFonts w:hint="cs"/>
          <w:rtl/>
          <w:lang w:bidi="ar-EG"/>
        </w:rPr>
        <w:t>الرفض.</w:t>
      </w:r>
    </w:p>
    <w:p w:rsidR="001404C2" w:rsidRPr="00BB3950" w:rsidRDefault="001404C2" w:rsidP="00EE1866">
      <w:pPr>
        <w:pStyle w:val="enumlev1"/>
        <w:spacing w:before="120"/>
        <w:rPr>
          <w:rtl/>
          <w:lang w:bidi="ar-SY"/>
        </w:rPr>
      </w:pPr>
      <w:r w:rsidRPr="00BB3950">
        <w:rPr>
          <w:b/>
          <w:bCs/>
          <w:lang w:bidi="ar-EG"/>
        </w:rPr>
        <w:lastRenderedPageBreak/>
        <w:t>(2</w:t>
      </w:r>
      <w:r w:rsidRPr="00BB3950">
        <w:rPr>
          <w:rtl/>
          <w:lang w:bidi="ar-EG"/>
        </w:rPr>
        <w:tab/>
      </w:r>
      <w:r w:rsidRPr="00BB3950">
        <w:rPr>
          <w:rFonts w:hint="cs"/>
          <w:b/>
          <w:bCs/>
          <w:rtl/>
          <w:lang w:bidi="ar-SY"/>
        </w:rPr>
        <w:t xml:space="preserve">مشروع </w:t>
      </w:r>
      <w:r w:rsidRPr="00BB3950">
        <w:rPr>
          <w:b/>
          <w:bCs/>
          <w:rtl/>
          <w:lang w:bidi="ar-SY"/>
        </w:rPr>
        <w:t>التوصية</w:t>
      </w:r>
      <w:r w:rsidRPr="00BB3950">
        <w:rPr>
          <w:rFonts w:hint="cs"/>
          <w:b/>
          <w:bCs/>
          <w:rtl/>
          <w:lang w:bidi="ar-SY"/>
        </w:rPr>
        <w:t xml:space="preserve"> الجديدة </w:t>
      </w:r>
      <w:r w:rsidRPr="00BB3950">
        <w:rPr>
          <w:b/>
          <w:bCs/>
          <w:lang w:bidi="ar-SY"/>
        </w:rPr>
        <w:t>ITU-T X.1157</w:t>
      </w:r>
      <w:r w:rsidRPr="00BB3950">
        <w:rPr>
          <w:rFonts w:hint="cs"/>
          <w:b/>
          <w:bCs/>
          <w:rtl/>
          <w:lang w:bidi="ar-SY"/>
        </w:rPr>
        <w:t xml:space="preserve"> </w:t>
      </w:r>
      <w:r w:rsidRPr="00BB3950">
        <w:rPr>
          <w:b/>
          <w:bCs/>
        </w:rPr>
        <w:t>(X.sap-7</w:t>
      </w:r>
      <w:proofErr w:type="gramStart"/>
      <w:r w:rsidRPr="00BB3950">
        <w:rPr>
          <w:b/>
          <w:bCs/>
        </w:rPr>
        <w:t>)</w:t>
      </w:r>
      <w:r w:rsidRPr="00BB3950">
        <w:rPr>
          <w:rFonts w:hint="cs"/>
          <w:b/>
          <w:bCs/>
          <w:rtl/>
          <w:lang w:bidi="ar-SY"/>
        </w:rPr>
        <w:t>،</w:t>
      </w:r>
      <w:proofErr w:type="gramEnd"/>
      <w:r w:rsidRPr="00BB3950">
        <w:rPr>
          <w:rFonts w:hint="cs"/>
          <w:rtl/>
          <w:lang w:bidi="ar-SY"/>
        </w:rPr>
        <w:t xml:space="preserve"> </w:t>
      </w:r>
      <w:r w:rsidRPr="0078650A">
        <w:rPr>
          <w:rFonts w:hint="cs"/>
          <w:i/>
          <w:iCs/>
          <w:rtl/>
          <w:lang w:bidi="ar-SY"/>
        </w:rPr>
        <w:t>القدرات التقنية لكشف الاحتيال والاستجابة للخدمات ذات ال</w:t>
      </w:r>
      <w:r w:rsidR="008636AE">
        <w:rPr>
          <w:rFonts w:hint="cs"/>
          <w:i/>
          <w:iCs/>
          <w:rtl/>
          <w:lang w:bidi="ar-SY"/>
        </w:rPr>
        <w:t>‍</w:t>
      </w:r>
      <w:r w:rsidRPr="0078650A">
        <w:rPr>
          <w:rFonts w:hint="cs"/>
          <w:i/>
          <w:iCs/>
          <w:rtl/>
          <w:lang w:bidi="ar-SY"/>
        </w:rPr>
        <w:t>متطلبات العالية من مستوى الضمان</w:t>
      </w:r>
    </w:p>
    <w:p w:rsidR="001404C2" w:rsidRPr="00BB3950" w:rsidRDefault="000C1AFD" w:rsidP="000C1AFD">
      <w:pPr>
        <w:pStyle w:val="enumlev1"/>
        <w:rPr>
          <w:rtl/>
          <w:lang w:bidi="ar-EG"/>
        </w:rPr>
      </w:pPr>
      <w:r>
        <w:rPr>
          <w:b/>
          <w:bCs/>
          <w:rtl/>
          <w:lang w:bidi="ar-EG"/>
        </w:rPr>
        <w:tab/>
      </w:r>
      <w:r w:rsidR="00FF2BD5">
        <w:rPr>
          <w:rFonts w:hint="cs"/>
          <w:b/>
          <w:bCs/>
          <w:rtl/>
          <w:lang w:bidi="ar-EG"/>
        </w:rPr>
        <w:t>موض</w:t>
      </w:r>
      <w:r w:rsidR="002F3BA2">
        <w:rPr>
          <w:rFonts w:hint="cs"/>
          <w:b/>
          <w:bCs/>
          <w:rtl/>
          <w:lang w:bidi="ar-EG"/>
        </w:rPr>
        <w:t>ع</w:t>
      </w:r>
      <w:r w:rsidR="001404C2" w:rsidRPr="00BB3950">
        <w:rPr>
          <w:rFonts w:hint="cs"/>
          <w:b/>
          <w:bCs/>
          <w:rtl/>
          <w:lang w:bidi="ar-EG"/>
        </w:rPr>
        <w:t xml:space="preserve"> </w:t>
      </w:r>
      <w:r w:rsidR="002F3BA2">
        <w:rPr>
          <w:rFonts w:hint="cs"/>
          <w:b/>
          <w:bCs/>
          <w:rtl/>
          <w:lang w:bidi="ar-EG"/>
        </w:rPr>
        <w:t>ال</w:t>
      </w:r>
      <w:r w:rsidR="001404C2" w:rsidRPr="00BB3950">
        <w:rPr>
          <w:rFonts w:hint="cs"/>
          <w:b/>
          <w:bCs/>
          <w:rtl/>
          <w:lang w:bidi="ar-EG"/>
        </w:rPr>
        <w:t>تعليقات</w:t>
      </w:r>
      <w:r w:rsidR="002F3BA2">
        <w:rPr>
          <w:rFonts w:hint="cs"/>
          <w:b/>
          <w:bCs/>
          <w:rtl/>
          <w:lang w:bidi="ar-EG"/>
        </w:rPr>
        <w:t xml:space="preserve"> الواردة خلال فترة</w:t>
      </w:r>
      <w:r w:rsidR="001404C2" w:rsidRPr="00BB3950">
        <w:rPr>
          <w:rFonts w:hint="cs"/>
          <w:b/>
          <w:bCs/>
          <w:rtl/>
          <w:lang w:bidi="ar-EG"/>
        </w:rPr>
        <w:t xml:space="preserve"> النداء الأخير ومشروع النص</w:t>
      </w:r>
      <w:r w:rsidR="001404C2" w:rsidRPr="00BB3950">
        <w:rPr>
          <w:rFonts w:hint="cs"/>
          <w:rtl/>
          <w:lang w:bidi="ar-EG"/>
        </w:rPr>
        <w:t xml:space="preserve">: </w:t>
      </w:r>
      <w:hyperlink r:id="rId12" w:history="1">
        <w:r w:rsidR="001404C2" w:rsidRPr="00BB3950">
          <w:rPr>
            <w:rStyle w:val="Hyperlink"/>
          </w:rPr>
          <w:t>COM 17</w:t>
        </w:r>
        <w:bookmarkStart w:id="1" w:name="_GoBack"/>
        <w:bookmarkEnd w:id="1"/>
        <w:r w:rsidR="001404C2" w:rsidRPr="00BB3950">
          <w:rPr>
            <w:rStyle w:val="Hyperlink"/>
          </w:rPr>
          <w:t xml:space="preserve"> – TD 1638</w:t>
        </w:r>
      </w:hyperlink>
      <w:r w:rsidR="00DE5098">
        <w:rPr>
          <w:rFonts w:hint="cs"/>
          <w:rtl/>
          <w:lang w:bidi="ar-EG"/>
        </w:rPr>
        <w:t>.</w:t>
      </w:r>
    </w:p>
    <w:p w:rsidR="001404C2" w:rsidRPr="000C1AFD" w:rsidRDefault="000C1AFD" w:rsidP="000C1AFD">
      <w:pPr>
        <w:pStyle w:val="enumlev1"/>
        <w:rPr>
          <w:b/>
          <w:bCs/>
          <w:rtl/>
          <w:lang w:bidi="ar-EG"/>
        </w:rPr>
      </w:pPr>
      <w:r w:rsidRPr="000C1AFD">
        <w:rPr>
          <w:b/>
          <w:bCs/>
          <w:rtl/>
          <w:lang w:bidi="ar-EG"/>
        </w:rPr>
        <w:tab/>
      </w:r>
      <w:r w:rsidR="001404C2" w:rsidRPr="000C1AFD">
        <w:rPr>
          <w:rFonts w:hint="cs"/>
          <w:b/>
          <w:bCs/>
          <w:rtl/>
          <w:lang w:bidi="ar-EG"/>
        </w:rPr>
        <w:t>ملخص</w:t>
      </w:r>
    </w:p>
    <w:p w:rsidR="001404C2" w:rsidRPr="00BB3950" w:rsidRDefault="000C1AFD" w:rsidP="000A756B">
      <w:pPr>
        <w:pStyle w:val="enumlev1"/>
        <w:rPr>
          <w:rtl/>
          <w:lang w:bidi="ar-EG"/>
        </w:rPr>
      </w:pPr>
      <w:r>
        <w:rPr>
          <w:rtl/>
          <w:lang w:bidi="ar-EG"/>
        </w:rPr>
        <w:tab/>
      </w:r>
      <w:r w:rsidR="001404C2" w:rsidRPr="00BB3950">
        <w:rPr>
          <w:rFonts w:hint="cs"/>
          <w:rtl/>
          <w:lang w:bidi="ar-EG"/>
        </w:rPr>
        <w:t xml:space="preserve">تقدم التوصية </w:t>
      </w:r>
      <w:r w:rsidR="001404C2" w:rsidRPr="00BB3950">
        <w:rPr>
          <w:lang w:bidi="ar-EG"/>
        </w:rPr>
        <w:t>ITU-T X.1157</w:t>
      </w:r>
      <w:r w:rsidR="001404C2" w:rsidRPr="00BB3950">
        <w:rPr>
          <w:rFonts w:hint="cs"/>
          <w:rtl/>
          <w:lang w:bidi="ar-EG"/>
        </w:rPr>
        <w:t xml:space="preserve"> القدرات اللازمة لدعم خدمة كشف الاحتيال والاستجابة في خدمات </w:t>
      </w:r>
      <w:r w:rsidR="002F3BA2">
        <w:rPr>
          <w:rFonts w:hint="cs"/>
          <w:rtl/>
          <w:lang w:bidi="ar-EG"/>
        </w:rPr>
        <w:t>تطبيقات تكنولوجيا</w:t>
      </w:r>
      <w:r w:rsidR="001404C2" w:rsidRPr="00BB3950">
        <w:rPr>
          <w:rFonts w:hint="cs"/>
          <w:rtl/>
          <w:lang w:bidi="ar-EG"/>
        </w:rPr>
        <w:t xml:space="preserve">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معلومات والاتصالات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حساسة</w:t>
      </w:r>
      <w:r w:rsidR="002F3BA2">
        <w:rPr>
          <w:rFonts w:hint="cs"/>
          <w:rtl/>
          <w:lang w:bidi="ar-EG"/>
        </w:rPr>
        <w:t xml:space="preserve"> من حيث ال</w:t>
      </w:r>
      <w:r w:rsidR="000A756B">
        <w:rPr>
          <w:rFonts w:hint="cs"/>
          <w:rtl/>
          <w:lang w:bidi="ar-EG"/>
        </w:rPr>
        <w:t>‍</w:t>
      </w:r>
      <w:r w:rsidR="002F3BA2">
        <w:rPr>
          <w:rFonts w:hint="cs"/>
          <w:rtl/>
          <w:lang w:bidi="ar-EG"/>
        </w:rPr>
        <w:t>متطلبات الأمنية</w:t>
      </w:r>
      <w:r w:rsidR="001404C2" w:rsidRPr="00BB3950">
        <w:rPr>
          <w:rFonts w:hint="cs"/>
          <w:rtl/>
          <w:lang w:bidi="ar-EG"/>
        </w:rPr>
        <w:t>. وتدعم خدمات كشف الاحتيال والاستجابة، كشف الاحتيال وت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حليله وإدارته عبر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مستعملين وال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حسابات وال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منتجات والعمليات والقنوات. وتقوم برصد وت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حليل نشاط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مستعمل وسلوكه على مستوى التطبيق (بدلاً</w:t>
      </w:r>
      <w:r w:rsidR="00703F8B">
        <w:rPr>
          <w:rFonts w:hint="eastAsia"/>
          <w:rtl/>
          <w:lang w:bidi="ar-EG"/>
        </w:rPr>
        <w:t> </w:t>
      </w:r>
      <w:r w:rsidR="001404C2" w:rsidRPr="00BB3950">
        <w:rPr>
          <w:rFonts w:hint="cs"/>
          <w:rtl/>
          <w:lang w:bidi="ar-EG"/>
        </w:rPr>
        <w:t xml:space="preserve">من مستوى النظام أو قاعدة البيانات أو الشبكة) ومراقبة ما </w:t>
      </w:r>
      <w:r w:rsidR="00703F8B">
        <w:rPr>
          <w:rFonts w:hint="cs"/>
          <w:rtl/>
          <w:lang w:bidi="ar-EG"/>
        </w:rPr>
        <w:t>ي</w:t>
      </w:r>
      <w:r w:rsidR="000A756B">
        <w:rPr>
          <w:rFonts w:hint="cs"/>
          <w:rtl/>
          <w:lang w:bidi="ar-EG"/>
        </w:rPr>
        <w:t>‍</w:t>
      </w:r>
      <w:r w:rsidR="00703F8B">
        <w:rPr>
          <w:rFonts w:hint="cs"/>
          <w:rtl/>
          <w:lang w:bidi="ar-EG"/>
        </w:rPr>
        <w:t>جري</w:t>
      </w:r>
      <w:r w:rsidR="001404C2" w:rsidRPr="00BB3950">
        <w:rPr>
          <w:rFonts w:hint="cs"/>
          <w:rtl/>
          <w:lang w:bidi="ar-EG"/>
        </w:rPr>
        <w:t xml:space="preserve"> داخل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حسابات وعبرها باستخدام أي قناة متاحة لدى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مستعمل. وتقوم أيضاً بتحليل السلوك بين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مستعملين وال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حسابات والكيانات الأخرى ذات الصلة، مع البحث عن النشاط غير العادي و</w:t>
      </w:r>
      <w:r w:rsidR="00703F8B">
        <w:rPr>
          <w:rFonts w:hint="cs"/>
          <w:rtl/>
          <w:lang w:bidi="ar-EG"/>
        </w:rPr>
        <w:t xml:space="preserve">جوانب </w:t>
      </w:r>
      <w:r w:rsidR="001404C2" w:rsidRPr="00BB3950">
        <w:rPr>
          <w:rFonts w:hint="cs"/>
          <w:rtl/>
          <w:lang w:bidi="ar-EG"/>
        </w:rPr>
        <w:t>الفساد وسوء الاستعمال. وتُستخدم بشكل عام في</w:t>
      </w:r>
      <w:r w:rsidR="003727D3">
        <w:rPr>
          <w:rFonts w:hint="eastAsia"/>
          <w:rtl/>
          <w:lang w:bidi="ar-EG"/>
        </w:rPr>
        <w:t> </w:t>
      </w:r>
      <w:r w:rsidR="001404C2" w:rsidRPr="00BB3950">
        <w:rPr>
          <w:rFonts w:hint="cs"/>
          <w:rtl/>
          <w:lang w:bidi="ar-EG"/>
        </w:rPr>
        <w:t>قطاعات إدارة أموال العملاء مثل التمويل الإلكتروني والنفاذ عن ب</w:t>
      </w:r>
      <w:r w:rsidR="003433E7">
        <w:rPr>
          <w:rFonts w:hint="cs"/>
          <w:rtl/>
          <w:lang w:bidi="ar-EG"/>
        </w:rPr>
        <w:t>ُ</w:t>
      </w:r>
      <w:r w:rsidR="001404C2" w:rsidRPr="00BB3950">
        <w:rPr>
          <w:rFonts w:hint="cs"/>
          <w:rtl/>
          <w:lang w:bidi="ar-EG"/>
        </w:rPr>
        <w:t>عد إلى ال</w:t>
      </w:r>
      <w:r w:rsidR="000A756B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مؤسسات وما إلى ذلك، ولكن</w:t>
      </w:r>
      <w:r w:rsidR="000A756B">
        <w:rPr>
          <w:rFonts w:hint="eastAsia"/>
          <w:rtl/>
          <w:lang w:bidi="ar-EG"/>
        </w:rPr>
        <w:t> </w:t>
      </w:r>
      <w:r w:rsidR="001404C2" w:rsidRPr="00BB3950">
        <w:rPr>
          <w:rFonts w:hint="cs"/>
          <w:rtl/>
          <w:lang w:bidi="ar-EG"/>
        </w:rPr>
        <w:t>يشيع استخدامها أيضاً للكشف عن الاحتيال الداخلي وأنواع أخرى من الأنشطة غير</w:t>
      </w:r>
      <w:r w:rsidR="00703F8B">
        <w:rPr>
          <w:rFonts w:hint="eastAsia"/>
          <w:rtl/>
          <w:lang w:bidi="ar-EG"/>
        </w:rPr>
        <w:t> </w:t>
      </w:r>
      <w:r w:rsidR="001404C2" w:rsidRPr="00BB3950">
        <w:rPr>
          <w:rFonts w:hint="cs"/>
          <w:rtl/>
          <w:lang w:bidi="ar-EG"/>
        </w:rPr>
        <w:t>ال</w:t>
      </w:r>
      <w:r w:rsidR="00627D26">
        <w:rPr>
          <w:rFonts w:hint="cs"/>
          <w:rtl/>
          <w:lang w:bidi="ar-EG"/>
        </w:rPr>
        <w:t>‍</w:t>
      </w:r>
      <w:r w:rsidR="001404C2" w:rsidRPr="00BB3950">
        <w:rPr>
          <w:rFonts w:hint="cs"/>
          <w:rtl/>
          <w:lang w:bidi="ar-EG"/>
        </w:rPr>
        <w:t>مرخصة.</w:t>
      </w:r>
    </w:p>
    <w:p w:rsidR="00B73D95" w:rsidRPr="00BB3950" w:rsidRDefault="00B73D95" w:rsidP="00D2111F">
      <w:pPr>
        <w:spacing w:before="240"/>
        <w:rPr>
          <w:rFonts w:ascii="Calibri" w:hAnsi="Calibri"/>
          <w:rtl/>
          <w:lang w:bidi="ar-EG"/>
        </w:rPr>
      </w:pPr>
      <w:r w:rsidRPr="00BB3950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B73D95" w:rsidRPr="00BB3950" w:rsidRDefault="00E543EB" w:rsidP="003D19CD">
      <w:pPr>
        <w:spacing w:before="1440"/>
        <w:jc w:val="left"/>
        <w:rPr>
          <w:rFonts w:ascii="Calibri" w:hAnsi="Calibri"/>
          <w:rtl/>
          <w:lang w:bidi="ar-EG"/>
        </w:rPr>
      </w:pPr>
      <w:r w:rsidRPr="00BB3950">
        <w:rPr>
          <w:rFonts w:ascii="Calibri" w:hAnsi="Calibri" w:hint="cs"/>
          <w:rtl/>
        </w:rPr>
        <w:t xml:space="preserve">تشيساب </w:t>
      </w:r>
      <w:r w:rsidR="005D5934" w:rsidRPr="00BB3950">
        <w:rPr>
          <w:rFonts w:ascii="Calibri" w:hAnsi="Calibri"/>
          <w:rtl/>
          <w:lang w:bidi="ar-EG"/>
        </w:rPr>
        <w:t>لي</w:t>
      </w:r>
      <w:r w:rsidR="00B73D95" w:rsidRPr="00BB3950">
        <w:rPr>
          <w:rFonts w:ascii="Calibri" w:hAnsi="Calibri"/>
          <w:rtl/>
          <w:lang w:bidi="ar-EG"/>
        </w:rPr>
        <w:br/>
      </w:r>
      <w:r w:rsidR="00B73D95" w:rsidRPr="00BB3950">
        <w:rPr>
          <w:rFonts w:ascii="Calibri" w:hAnsi="Calibri" w:hint="cs"/>
          <w:rtl/>
          <w:lang w:bidi="ar-EG"/>
        </w:rPr>
        <w:t>مدير مكتب تقييس الاتصالات</w:t>
      </w:r>
    </w:p>
    <w:sectPr w:rsidR="00B73D95" w:rsidRPr="00BB3950" w:rsidSect="00C74585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AB" w:rsidRDefault="00CE25AB">
      <w:r>
        <w:separator/>
      </w:r>
    </w:p>
  </w:endnote>
  <w:endnote w:type="continuationSeparator" w:id="0">
    <w:p w:rsidR="00CE25AB" w:rsidRDefault="00CE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2C" w:rsidRPr="00C22A2C" w:rsidRDefault="00C22A2C" w:rsidP="00C22A2C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rPr>
        <w:rFonts w:ascii="Calibri" w:hAnsi="Calibri" w:cs="Times New Roman"/>
        <w:caps/>
        <w:noProof/>
        <w:sz w:val="16"/>
        <w:szCs w:val="20"/>
        <w:lang w:val="fr-CH"/>
      </w:rPr>
    </w:pPr>
    <w:r w:rsidRPr="00C22A2C">
      <w:rPr>
        <w:rFonts w:ascii="Calibri" w:hAnsi="Calibri" w:cs="Times New Roman"/>
        <w:caps/>
        <w:noProof/>
        <w:sz w:val="16"/>
        <w:szCs w:val="20"/>
        <w:lang w:val="fr-FR"/>
      </w:rPr>
      <w:t>I</w:t>
    </w:r>
    <w:r>
      <w:rPr>
        <w:rFonts w:ascii="Calibri" w:hAnsi="Calibri" w:cs="Times New Roman"/>
        <w:caps/>
        <w:noProof/>
        <w:sz w:val="16"/>
        <w:szCs w:val="20"/>
        <w:lang w:val="fr-FR"/>
      </w:rPr>
      <w:t>TU-T\COM-T\COM17\COLL\5Add1A</w:t>
    </w:r>
    <w:r w:rsidRPr="00C22A2C">
      <w:rPr>
        <w:rFonts w:ascii="Calibri" w:hAnsi="Calibri" w:cs="Times New Roman"/>
        <w:caps/>
        <w:noProof/>
        <w:sz w:val="16"/>
        <w:szCs w:val="20"/>
        <w:lang w:val="fr-FR"/>
      </w:rPr>
      <w:t>.DOC</w:t>
    </w:r>
  </w:p>
  <w:p w:rsidR="00960048" w:rsidRPr="00C22A2C" w:rsidRDefault="00960048" w:rsidP="00C22A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C2" w:rsidRPr="00D5403D" w:rsidRDefault="001404C2" w:rsidP="001404C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AB" w:rsidRDefault="00CE25AB">
      <w:r>
        <w:separator/>
      </w:r>
    </w:p>
  </w:footnote>
  <w:footnote w:type="continuationSeparator" w:id="0">
    <w:p w:rsidR="00CE25AB" w:rsidRDefault="00CE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18" w:rsidRDefault="00C66018" w:rsidP="00851AB9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C7268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1286"/>
    <w:rsid w:val="00073E7E"/>
    <w:rsid w:val="00076A45"/>
    <w:rsid w:val="00081D8A"/>
    <w:rsid w:val="00092FE1"/>
    <w:rsid w:val="00095416"/>
    <w:rsid w:val="000A3EFF"/>
    <w:rsid w:val="000A756B"/>
    <w:rsid w:val="000A7621"/>
    <w:rsid w:val="000C1AFD"/>
    <w:rsid w:val="000C28CF"/>
    <w:rsid w:val="000C2FB2"/>
    <w:rsid w:val="000D2685"/>
    <w:rsid w:val="000D3455"/>
    <w:rsid w:val="000D3F69"/>
    <w:rsid w:val="000D6000"/>
    <w:rsid w:val="0010144A"/>
    <w:rsid w:val="001014A9"/>
    <w:rsid w:val="00101C07"/>
    <w:rsid w:val="0010230C"/>
    <w:rsid w:val="001062BE"/>
    <w:rsid w:val="00106425"/>
    <w:rsid w:val="0011044A"/>
    <w:rsid w:val="00112386"/>
    <w:rsid w:val="001132C8"/>
    <w:rsid w:val="00116D62"/>
    <w:rsid w:val="001174A2"/>
    <w:rsid w:val="0012172B"/>
    <w:rsid w:val="00127FFE"/>
    <w:rsid w:val="00133BF7"/>
    <w:rsid w:val="001401E7"/>
    <w:rsid w:val="001404C2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408E"/>
    <w:rsid w:val="0018419C"/>
    <w:rsid w:val="001911F1"/>
    <w:rsid w:val="001919D1"/>
    <w:rsid w:val="00193279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11D"/>
    <w:rsid w:val="00270797"/>
    <w:rsid w:val="00274B47"/>
    <w:rsid w:val="002833BA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3BA2"/>
    <w:rsid w:val="002F5035"/>
    <w:rsid w:val="00301350"/>
    <w:rsid w:val="00306C3A"/>
    <w:rsid w:val="003070C1"/>
    <w:rsid w:val="00310129"/>
    <w:rsid w:val="00311F91"/>
    <w:rsid w:val="0031346F"/>
    <w:rsid w:val="00313593"/>
    <w:rsid w:val="0031633A"/>
    <w:rsid w:val="00324F4B"/>
    <w:rsid w:val="00327CD4"/>
    <w:rsid w:val="003310D2"/>
    <w:rsid w:val="00335239"/>
    <w:rsid w:val="003433E7"/>
    <w:rsid w:val="00343BDE"/>
    <w:rsid w:val="00350939"/>
    <w:rsid w:val="00352925"/>
    <w:rsid w:val="00356441"/>
    <w:rsid w:val="00363805"/>
    <w:rsid w:val="00363E8E"/>
    <w:rsid w:val="003727D3"/>
    <w:rsid w:val="0038178F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5D62"/>
    <w:rsid w:val="004579B5"/>
    <w:rsid w:val="004603FF"/>
    <w:rsid w:val="00460C4B"/>
    <w:rsid w:val="00461C8D"/>
    <w:rsid w:val="004635BD"/>
    <w:rsid w:val="00471EC0"/>
    <w:rsid w:val="00473BE2"/>
    <w:rsid w:val="00474AAB"/>
    <w:rsid w:val="00492FAD"/>
    <w:rsid w:val="0049418C"/>
    <w:rsid w:val="00496580"/>
    <w:rsid w:val="004A0F33"/>
    <w:rsid w:val="004A510C"/>
    <w:rsid w:val="004A5299"/>
    <w:rsid w:val="004A52B4"/>
    <w:rsid w:val="004A792E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114D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2809"/>
    <w:rsid w:val="005B659E"/>
    <w:rsid w:val="005C447D"/>
    <w:rsid w:val="005D467E"/>
    <w:rsid w:val="005D488B"/>
    <w:rsid w:val="005D5934"/>
    <w:rsid w:val="005E007E"/>
    <w:rsid w:val="005E266F"/>
    <w:rsid w:val="005E2C08"/>
    <w:rsid w:val="005E41A9"/>
    <w:rsid w:val="005F33FD"/>
    <w:rsid w:val="005F354D"/>
    <w:rsid w:val="006011E0"/>
    <w:rsid w:val="0060203A"/>
    <w:rsid w:val="00605E96"/>
    <w:rsid w:val="00614F3F"/>
    <w:rsid w:val="00621FD0"/>
    <w:rsid w:val="00627D26"/>
    <w:rsid w:val="00633EB6"/>
    <w:rsid w:val="006344E2"/>
    <w:rsid w:val="00637FB5"/>
    <w:rsid w:val="006408E1"/>
    <w:rsid w:val="00642F8E"/>
    <w:rsid w:val="0064388F"/>
    <w:rsid w:val="00655E5A"/>
    <w:rsid w:val="00663032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077E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C63D3"/>
    <w:rsid w:val="006D291B"/>
    <w:rsid w:val="006D415E"/>
    <w:rsid w:val="006D49AD"/>
    <w:rsid w:val="006D5047"/>
    <w:rsid w:val="006E7035"/>
    <w:rsid w:val="006E73B1"/>
    <w:rsid w:val="006E76FE"/>
    <w:rsid w:val="007000B8"/>
    <w:rsid w:val="00702B0B"/>
    <w:rsid w:val="00703F8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09E1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50A"/>
    <w:rsid w:val="00786D4D"/>
    <w:rsid w:val="00795FF6"/>
    <w:rsid w:val="007A3265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C6"/>
    <w:rsid w:val="008000E9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40C2A"/>
    <w:rsid w:val="00851AB9"/>
    <w:rsid w:val="00852573"/>
    <w:rsid w:val="008617DF"/>
    <w:rsid w:val="008636AE"/>
    <w:rsid w:val="00865FAD"/>
    <w:rsid w:val="00866CFB"/>
    <w:rsid w:val="0087077B"/>
    <w:rsid w:val="0087227E"/>
    <w:rsid w:val="00875D9E"/>
    <w:rsid w:val="00876CC0"/>
    <w:rsid w:val="00882CF5"/>
    <w:rsid w:val="008830C9"/>
    <w:rsid w:val="00883E59"/>
    <w:rsid w:val="00886A0C"/>
    <w:rsid w:val="00891876"/>
    <w:rsid w:val="008918FE"/>
    <w:rsid w:val="008A1B2A"/>
    <w:rsid w:val="008B61CA"/>
    <w:rsid w:val="008B6CA5"/>
    <w:rsid w:val="008C2633"/>
    <w:rsid w:val="008C3899"/>
    <w:rsid w:val="008C4385"/>
    <w:rsid w:val="008C7268"/>
    <w:rsid w:val="008C7D86"/>
    <w:rsid w:val="008D1863"/>
    <w:rsid w:val="008D27E0"/>
    <w:rsid w:val="008D2E33"/>
    <w:rsid w:val="008D3838"/>
    <w:rsid w:val="008F4C50"/>
    <w:rsid w:val="008F55E3"/>
    <w:rsid w:val="008F7B1F"/>
    <w:rsid w:val="009015FD"/>
    <w:rsid w:val="00901C65"/>
    <w:rsid w:val="009041F1"/>
    <w:rsid w:val="009048A4"/>
    <w:rsid w:val="00904BF4"/>
    <w:rsid w:val="0090750F"/>
    <w:rsid w:val="00911629"/>
    <w:rsid w:val="00914455"/>
    <w:rsid w:val="00920A44"/>
    <w:rsid w:val="0092374C"/>
    <w:rsid w:val="00924059"/>
    <w:rsid w:val="009257DF"/>
    <w:rsid w:val="0093223D"/>
    <w:rsid w:val="0093679C"/>
    <w:rsid w:val="009411B7"/>
    <w:rsid w:val="00944B37"/>
    <w:rsid w:val="0095782D"/>
    <w:rsid w:val="00960048"/>
    <w:rsid w:val="00965582"/>
    <w:rsid w:val="00965680"/>
    <w:rsid w:val="009719D1"/>
    <w:rsid w:val="00973BE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398E"/>
    <w:rsid w:val="009A61F8"/>
    <w:rsid w:val="009A68A6"/>
    <w:rsid w:val="009B0414"/>
    <w:rsid w:val="009B5009"/>
    <w:rsid w:val="009C1BC8"/>
    <w:rsid w:val="009C4656"/>
    <w:rsid w:val="009C4ADE"/>
    <w:rsid w:val="009C4EEF"/>
    <w:rsid w:val="009C7DC6"/>
    <w:rsid w:val="009D2DD2"/>
    <w:rsid w:val="009E21AD"/>
    <w:rsid w:val="009E747D"/>
    <w:rsid w:val="009F227F"/>
    <w:rsid w:val="009F4B09"/>
    <w:rsid w:val="009F55EF"/>
    <w:rsid w:val="00A00DC3"/>
    <w:rsid w:val="00A10892"/>
    <w:rsid w:val="00A10AA6"/>
    <w:rsid w:val="00A14ADB"/>
    <w:rsid w:val="00A17A7E"/>
    <w:rsid w:val="00A22222"/>
    <w:rsid w:val="00A26EA0"/>
    <w:rsid w:val="00A4022E"/>
    <w:rsid w:val="00A4131F"/>
    <w:rsid w:val="00A55013"/>
    <w:rsid w:val="00A578F5"/>
    <w:rsid w:val="00A62555"/>
    <w:rsid w:val="00A6296D"/>
    <w:rsid w:val="00A655AC"/>
    <w:rsid w:val="00A73943"/>
    <w:rsid w:val="00A74F58"/>
    <w:rsid w:val="00A77701"/>
    <w:rsid w:val="00A82313"/>
    <w:rsid w:val="00A83A6D"/>
    <w:rsid w:val="00A87B12"/>
    <w:rsid w:val="00A90460"/>
    <w:rsid w:val="00A95BF9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0EFB"/>
    <w:rsid w:val="00AF25F4"/>
    <w:rsid w:val="00B06EFE"/>
    <w:rsid w:val="00B07E28"/>
    <w:rsid w:val="00B10464"/>
    <w:rsid w:val="00B10E76"/>
    <w:rsid w:val="00B12C4E"/>
    <w:rsid w:val="00B1524E"/>
    <w:rsid w:val="00B20239"/>
    <w:rsid w:val="00B204CB"/>
    <w:rsid w:val="00B22847"/>
    <w:rsid w:val="00B232BD"/>
    <w:rsid w:val="00B23654"/>
    <w:rsid w:val="00B269E5"/>
    <w:rsid w:val="00B34997"/>
    <w:rsid w:val="00B353FF"/>
    <w:rsid w:val="00B40910"/>
    <w:rsid w:val="00B429DD"/>
    <w:rsid w:val="00B46312"/>
    <w:rsid w:val="00B46E61"/>
    <w:rsid w:val="00B51184"/>
    <w:rsid w:val="00B52DD0"/>
    <w:rsid w:val="00B57268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13A7"/>
    <w:rsid w:val="00B85152"/>
    <w:rsid w:val="00B8523C"/>
    <w:rsid w:val="00B95E9C"/>
    <w:rsid w:val="00BA2244"/>
    <w:rsid w:val="00BB15EF"/>
    <w:rsid w:val="00BB2862"/>
    <w:rsid w:val="00BB3950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22A2C"/>
    <w:rsid w:val="00C335A4"/>
    <w:rsid w:val="00C33D50"/>
    <w:rsid w:val="00C41735"/>
    <w:rsid w:val="00C42FC9"/>
    <w:rsid w:val="00C47940"/>
    <w:rsid w:val="00C51771"/>
    <w:rsid w:val="00C5202C"/>
    <w:rsid w:val="00C5355E"/>
    <w:rsid w:val="00C53A1D"/>
    <w:rsid w:val="00C5483C"/>
    <w:rsid w:val="00C55EE0"/>
    <w:rsid w:val="00C56944"/>
    <w:rsid w:val="00C63B87"/>
    <w:rsid w:val="00C66018"/>
    <w:rsid w:val="00C66212"/>
    <w:rsid w:val="00C67A47"/>
    <w:rsid w:val="00C714FF"/>
    <w:rsid w:val="00C74585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25AB"/>
    <w:rsid w:val="00CE54AF"/>
    <w:rsid w:val="00CE69FB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11F"/>
    <w:rsid w:val="00D212C6"/>
    <w:rsid w:val="00D27A1C"/>
    <w:rsid w:val="00D32283"/>
    <w:rsid w:val="00D34A31"/>
    <w:rsid w:val="00D36DE5"/>
    <w:rsid w:val="00D373FB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D2947"/>
    <w:rsid w:val="00DE2038"/>
    <w:rsid w:val="00DE3A97"/>
    <w:rsid w:val="00DE4D41"/>
    <w:rsid w:val="00DE5098"/>
    <w:rsid w:val="00DE76C6"/>
    <w:rsid w:val="00DE7845"/>
    <w:rsid w:val="00DF0B2F"/>
    <w:rsid w:val="00DF1C01"/>
    <w:rsid w:val="00DF401E"/>
    <w:rsid w:val="00DF58EB"/>
    <w:rsid w:val="00E06FCE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464CE"/>
    <w:rsid w:val="00E507D1"/>
    <w:rsid w:val="00E529E7"/>
    <w:rsid w:val="00E543EB"/>
    <w:rsid w:val="00E61E5B"/>
    <w:rsid w:val="00E65A50"/>
    <w:rsid w:val="00E6631E"/>
    <w:rsid w:val="00E75D1C"/>
    <w:rsid w:val="00E76382"/>
    <w:rsid w:val="00E7666B"/>
    <w:rsid w:val="00E80F95"/>
    <w:rsid w:val="00E938AA"/>
    <w:rsid w:val="00E93F3A"/>
    <w:rsid w:val="00E96B35"/>
    <w:rsid w:val="00EA5B6B"/>
    <w:rsid w:val="00EA722D"/>
    <w:rsid w:val="00EB3442"/>
    <w:rsid w:val="00EB5991"/>
    <w:rsid w:val="00EB661D"/>
    <w:rsid w:val="00EC0515"/>
    <w:rsid w:val="00EC38BA"/>
    <w:rsid w:val="00EC74B4"/>
    <w:rsid w:val="00ED2532"/>
    <w:rsid w:val="00ED30C0"/>
    <w:rsid w:val="00ED3E50"/>
    <w:rsid w:val="00ED5E55"/>
    <w:rsid w:val="00ED6CD3"/>
    <w:rsid w:val="00EE1866"/>
    <w:rsid w:val="00EE6B3C"/>
    <w:rsid w:val="00EE79DA"/>
    <w:rsid w:val="00EF1382"/>
    <w:rsid w:val="00EF1712"/>
    <w:rsid w:val="00EF5BAB"/>
    <w:rsid w:val="00EF7A65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0A70"/>
    <w:rsid w:val="00F318DD"/>
    <w:rsid w:val="00F40785"/>
    <w:rsid w:val="00F43260"/>
    <w:rsid w:val="00F4556D"/>
    <w:rsid w:val="00F5162F"/>
    <w:rsid w:val="00F53552"/>
    <w:rsid w:val="00F57C00"/>
    <w:rsid w:val="00F61ED6"/>
    <w:rsid w:val="00F628AA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09E2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2BD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1B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  <w:style w:type="paragraph" w:customStyle="1" w:styleId="enumlev1">
    <w:name w:val="enumlev1"/>
    <w:basedOn w:val="Normal"/>
    <w:rsid w:val="000C1A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lang w:val="en-GB"/>
    </w:rPr>
  </w:style>
  <w:style w:type="paragraph" w:customStyle="1" w:styleId="NormalafterTitel">
    <w:name w:val="Normal after Titel"/>
    <w:basedOn w:val="Normal"/>
    <w:link w:val="NormalafterTitelChar"/>
    <w:rsid w:val="00E543EB"/>
    <w:pPr>
      <w:tabs>
        <w:tab w:val="left" w:pos="1134"/>
        <w:tab w:val="left" w:pos="1928"/>
        <w:tab w:val="left" w:pos="2495"/>
      </w:tabs>
      <w:spacing w:before="360"/>
    </w:pPr>
    <w:rPr>
      <w:rFonts w:ascii="Calibri" w:hAnsi="Calibri"/>
      <w:lang w:bidi="ar-EG"/>
    </w:rPr>
  </w:style>
  <w:style w:type="character" w:customStyle="1" w:styleId="NormalafterTitelChar">
    <w:name w:val="Normal after Titel Char"/>
    <w:link w:val="NormalafterTitel"/>
    <w:rsid w:val="00E543EB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AnnexNotitle">
    <w:name w:val="Annex_No &amp; title"/>
    <w:basedOn w:val="Normal"/>
    <w:next w:val="Normal"/>
    <w:rsid w:val="00E543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b/>
      <w:bCs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meetingdoc.asp?lang=en&amp;parent=T13-SG17-150408-TD-PLEN-16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13-SG17-150408-TD-PLEN-16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CB1C-839B-444B-A077-67408BA5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2538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Al-Midani, Mohammad Haitham</dc:creator>
  <cp:keywords/>
  <dc:description>SG17Coll5Add1A.DOCX  For: _x000d_Document date: _x000d_Saved by ITU51006837 at 16:28:52 on 05/03/15</dc:description>
  <cp:lastModifiedBy>Bettini, Nadine</cp:lastModifiedBy>
  <cp:revision>2</cp:revision>
  <cp:lastPrinted>2012-02-21T10:05:00Z</cp:lastPrinted>
  <dcterms:created xsi:type="dcterms:W3CDTF">2015-03-06T13:11:00Z</dcterms:created>
  <dcterms:modified xsi:type="dcterms:W3CDTF">2015-03-06T13:11:00Z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SG17Coll5Add1A.DOCX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