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31BBDA0" wp14:editId="1A468B3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9756AC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9756AC">
        <w:rPr>
          <w:rFonts w:hint="eastAsia"/>
          <w:sz w:val="23"/>
          <w:szCs w:val="23"/>
          <w:lang w:eastAsia="zh-CN"/>
        </w:rPr>
        <w:t>2013</w:t>
      </w:r>
      <w:r w:rsidRPr="0033229B">
        <w:rPr>
          <w:rFonts w:hint="eastAsia"/>
          <w:szCs w:val="24"/>
          <w:lang w:eastAsia="zh-CN"/>
        </w:rPr>
        <w:t>年</w:t>
      </w:r>
      <w:r w:rsidR="004706D0">
        <w:rPr>
          <w:rFonts w:hint="eastAsia"/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月</w:t>
      </w:r>
      <w:r w:rsidR="009756AC">
        <w:rPr>
          <w:rFonts w:hint="eastAsia"/>
          <w:szCs w:val="24"/>
          <w:lang w:eastAsia="zh-CN"/>
        </w:rPr>
        <w:t>8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4706D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4706D0">
              <w:rPr>
                <w:rFonts w:hint="eastAsia"/>
                <w:b/>
                <w:szCs w:val="24"/>
                <w:lang w:eastAsia="zh-CN"/>
              </w:rPr>
              <w:t>1/13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9756AC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1A0BBB">
              <w:rPr>
                <w:rFonts w:hint="eastAsia"/>
                <w:szCs w:val="24"/>
                <w:lang w:eastAsia="zh-CN"/>
              </w:rPr>
              <w:t xml:space="preserve">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8B287E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4706D0" w:rsidRPr="00C5011D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F92AE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</w:p>
          <w:p w:rsidR="00746E31" w:rsidRPr="008D71FB" w:rsidRDefault="00746E31" w:rsidP="00F92AE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</w:p>
          <w:p w:rsidR="00746E31" w:rsidRPr="008D71FB" w:rsidRDefault="00746E31" w:rsidP="001A0BBB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1A0BBB">
              <w:rPr>
                <w:rFonts w:hint="eastAsia"/>
                <w:lang w:eastAsia="zh-CN"/>
              </w:rPr>
              <w:t>13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746E31" w:rsidP="001A0BB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1A0BBB">
              <w:rPr>
                <w:rFonts w:hint="eastAsia"/>
                <w:b/>
                <w:lang w:eastAsia="zh-CN"/>
              </w:rPr>
              <w:t>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1A0BBB">
              <w:rPr>
                <w:rFonts w:hint="eastAsia"/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1A0BBB">
              <w:rPr>
                <w:rFonts w:hint="eastAsia"/>
                <w:b/>
                <w:szCs w:val="24"/>
                <w:lang w:eastAsia="zh-CN"/>
              </w:rPr>
              <w:t>2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1A0BBB">
              <w:rPr>
                <w:rFonts w:hint="eastAsia"/>
                <w:b/>
                <w:szCs w:val="24"/>
                <w:lang w:eastAsia="zh-CN"/>
              </w:rPr>
              <w:t>18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</w:t>
            </w:r>
            <w:r w:rsidR="00BE08F0">
              <w:rPr>
                <w:rFonts w:hint="eastAsia"/>
                <w:b/>
                <w:szCs w:val="24"/>
                <w:lang w:eastAsia="zh-CN"/>
              </w:rPr>
              <w:t>-3</w:t>
            </w:r>
            <w:r w:rsidR="00BE08F0">
              <w:rPr>
                <w:rFonts w:hint="eastAsia"/>
                <w:b/>
                <w:szCs w:val="24"/>
                <w:lang w:eastAsia="zh-CN"/>
              </w:rPr>
              <w:t>月</w:t>
            </w:r>
            <w:r w:rsidR="00BE08F0">
              <w:rPr>
                <w:rFonts w:hint="eastAsia"/>
                <w:b/>
                <w:szCs w:val="24"/>
                <w:lang w:eastAsia="zh-CN"/>
              </w:rPr>
              <w:t>1</w:t>
            </w:r>
            <w:r w:rsidR="00BE08F0">
              <w:rPr>
                <w:rFonts w:hint="eastAsia"/>
                <w:b/>
                <w:szCs w:val="24"/>
                <w:lang w:eastAsia="zh-CN"/>
              </w:rPr>
              <w:t>日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D45897" w:rsidRDefault="00D45897" w:rsidP="001A0BBB">
      <w:pPr>
        <w:spacing w:before="100" w:after="20"/>
        <w:rPr>
          <w:szCs w:val="24"/>
          <w:lang w:eastAsia="zh-CN"/>
        </w:rPr>
      </w:pPr>
      <w:bookmarkStart w:id="3" w:name="StartTyping_E"/>
      <w:bookmarkEnd w:id="3"/>
    </w:p>
    <w:p w:rsidR="001A0BBB" w:rsidRDefault="001A0BBB" w:rsidP="001A0BBB">
      <w:pPr>
        <w:spacing w:before="100" w:after="20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1A0BBB" w:rsidRPr="00C868BD" w:rsidRDefault="001A0BBB" w:rsidP="009756A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研究组主席商定</w:t>
      </w:r>
      <w:r w:rsidRPr="00C868BD">
        <w:rPr>
          <w:rFonts w:hint="eastAsia"/>
          <w:lang w:eastAsia="zh-CN"/>
        </w:rPr>
        <w:t>起草的</w:t>
      </w:r>
      <w:r w:rsidR="009756AC" w:rsidRPr="009756AC">
        <w:rPr>
          <w:rFonts w:hint="eastAsia"/>
          <w:lang w:eastAsia="zh-CN"/>
        </w:rPr>
        <w:t>详尽工作计划</w:t>
      </w:r>
      <w:r w:rsidRPr="00C868BD">
        <w:rPr>
          <w:rFonts w:hint="eastAsia"/>
          <w:lang w:eastAsia="zh-CN"/>
        </w:rPr>
        <w:t>见</w:t>
      </w:r>
      <w:r>
        <w:rPr>
          <w:rFonts w:hint="eastAsia"/>
          <w:lang w:eastAsia="zh-CN"/>
        </w:rPr>
        <w:t>本函</w:t>
      </w:r>
      <w:r w:rsidRPr="001E490E">
        <w:rPr>
          <w:rFonts w:hint="eastAsia"/>
          <w:b/>
          <w:bCs/>
          <w:lang w:eastAsia="zh-CN"/>
        </w:rPr>
        <w:t>附件</w:t>
      </w:r>
      <w:r w:rsidR="009756AC">
        <w:rPr>
          <w:rFonts w:hint="eastAsia"/>
          <w:b/>
          <w:bCs/>
          <w:lang w:eastAsia="zh-CN"/>
        </w:rPr>
        <w:t>1</w:t>
      </w:r>
      <w:r w:rsidRPr="00C868BD">
        <w:rPr>
          <w:rFonts w:hint="eastAsia"/>
          <w:lang w:eastAsia="zh-CN"/>
        </w:rPr>
        <w:t>。</w:t>
      </w:r>
      <w:r w:rsidR="009756AC">
        <w:rPr>
          <w:rFonts w:hint="eastAsia"/>
          <w:lang w:eastAsia="zh-CN"/>
        </w:rPr>
        <w:t>进一步充实的工作计划</w:t>
      </w:r>
      <w:r>
        <w:rPr>
          <w:rFonts w:hint="eastAsia"/>
          <w:lang w:eastAsia="zh-CN"/>
        </w:rPr>
        <w:t>将在第</w:t>
      </w:r>
      <w:r>
        <w:rPr>
          <w:rFonts w:hint="eastAsia"/>
          <w:lang w:eastAsia="zh-CN"/>
        </w:rPr>
        <w:t>13</w:t>
      </w:r>
      <w:r w:rsidR="009756AC">
        <w:rPr>
          <w:rFonts w:hint="eastAsia"/>
          <w:lang w:eastAsia="zh-CN"/>
        </w:rPr>
        <w:t>研究组网页上公布</w:t>
      </w:r>
      <w:r>
        <w:rPr>
          <w:rFonts w:hint="eastAsia"/>
          <w:lang w:eastAsia="zh-CN"/>
        </w:rPr>
        <w:t>。</w:t>
      </w:r>
    </w:p>
    <w:p w:rsidR="00746E31" w:rsidRDefault="00746E31" w:rsidP="00281589">
      <w:pPr>
        <w:rPr>
          <w:lang w:eastAsia="zh-CN"/>
        </w:rPr>
      </w:pPr>
    </w:p>
    <w:p w:rsidR="00746E31" w:rsidRPr="008E4D7B" w:rsidRDefault="00746E31" w:rsidP="00281589">
      <w:pPr>
        <w:rPr>
          <w:lang w:eastAsia="zh-CN"/>
        </w:rPr>
      </w:pPr>
    </w:p>
    <w:p w:rsidR="00746E31" w:rsidRDefault="00746E31" w:rsidP="00281589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281589">
      <w:pPr>
        <w:rPr>
          <w:lang w:eastAsia="zh-CN"/>
        </w:rPr>
      </w:pPr>
    </w:p>
    <w:p w:rsidR="00461D0E" w:rsidRDefault="00461D0E" w:rsidP="00281589">
      <w:pPr>
        <w:rPr>
          <w:lang w:eastAsia="zh-CN"/>
        </w:rPr>
      </w:pPr>
    </w:p>
    <w:p w:rsidR="00461D0E" w:rsidRDefault="00461D0E" w:rsidP="00281589">
      <w:pPr>
        <w:rPr>
          <w:lang w:eastAsia="zh-CN"/>
        </w:rPr>
      </w:pPr>
    </w:p>
    <w:p w:rsidR="00746E31" w:rsidRDefault="00746E31" w:rsidP="00281589">
      <w:pPr>
        <w:rPr>
          <w:lang w:eastAsia="zh-CN"/>
        </w:rPr>
      </w:pPr>
    </w:p>
    <w:p w:rsidR="00746E31" w:rsidRPr="00C868BD" w:rsidRDefault="00746E31" w:rsidP="00281589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746E31" w:rsidRDefault="00746E31" w:rsidP="00281589">
      <w:pPr>
        <w:rPr>
          <w:lang w:eastAsia="zh-CN"/>
        </w:rPr>
      </w:pPr>
    </w:p>
    <w:p w:rsidR="00746E31" w:rsidRPr="00C868BD" w:rsidRDefault="00746E31" w:rsidP="00281589">
      <w:pPr>
        <w:rPr>
          <w:lang w:eastAsia="zh-CN"/>
        </w:rPr>
      </w:pPr>
    </w:p>
    <w:p w:rsidR="00D45897" w:rsidRDefault="00746E31" w:rsidP="00D45897">
      <w:pPr>
        <w:tabs>
          <w:tab w:val="clear" w:pos="794"/>
          <w:tab w:val="left" w:pos="210"/>
        </w:tabs>
        <w:rPr>
          <w:bCs/>
          <w:szCs w:val="24"/>
          <w:lang w:val="en-US" w:eastAsia="zh-CN"/>
        </w:rPr>
        <w:sectPr w:rsidR="00D45897" w:rsidSect="00D45897">
          <w:headerReference w:type="default" r:id="rId10"/>
          <w:footerReference w:type="first" r:id="rId11"/>
          <w:type w:val="oddPage"/>
          <w:pgSz w:w="11907" w:h="16727" w:code="9"/>
          <w:pgMar w:top="992" w:right="1089" w:bottom="567" w:left="1089" w:header="567" w:footer="567" w:gutter="0"/>
          <w:paperSrc w:first="15" w:other="15"/>
          <w:cols w:space="720"/>
          <w:titlePg/>
          <w:docGrid w:linePitch="326"/>
        </w:sect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9756AC">
        <w:rPr>
          <w:rFonts w:hint="eastAsia"/>
          <w:bCs/>
          <w:szCs w:val="24"/>
          <w:lang w:val="en-US" w:eastAsia="zh-CN"/>
        </w:rPr>
        <w:t>1</w:t>
      </w:r>
      <w:r w:rsidRPr="00FA0268">
        <w:rPr>
          <w:rFonts w:hint="eastAsia"/>
          <w:bCs/>
          <w:szCs w:val="24"/>
          <w:lang w:val="en-US" w:eastAsia="zh-CN"/>
        </w:rPr>
        <w:t>件</w:t>
      </w:r>
    </w:p>
    <w:p w:rsidR="007B3D68" w:rsidRDefault="007B3D68" w:rsidP="00D45897">
      <w:pPr>
        <w:tabs>
          <w:tab w:val="clear" w:pos="794"/>
          <w:tab w:val="left" w:pos="210"/>
        </w:tabs>
        <w:jc w:val="center"/>
        <w:rPr>
          <w:rFonts w:eastAsia="Malgun Gothic"/>
        </w:rPr>
      </w:pPr>
      <w:r>
        <w:rPr>
          <w:rFonts w:eastAsia="Malgun Gothic"/>
          <w:bCs/>
          <w:caps/>
        </w:rPr>
        <w:lastRenderedPageBreak/>
        <w:t>ANNEX 1</w:t>
      </w:r>
      <w:r>
        <w:rPr>
          <w:rFonts w:eastAsia="Malgun Gothic"/>
          <w:bCs/>
          <w:caps/>
        </w:rPr>
        <w:br/>
      </w:r>
      <w:r>
        <w:rPr>
          <w:rFonts w:eastAsia="Malgun Gothic"/>
        </w:rPr>
        <w:t>(to TSB Collective letter 1/13 - Addendum 1)</w:t>
      </w:r>
    </w:p>
    <w:p w:rsidR="007B3D68" w:rsidRDefault="007B3D68" w:rsidP="007B3D68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after="60" w:line="240" w:lineRule="atLeast"/>
        <w:jc w:val="center"/>
        <w:rPr>
          <w:rFonts w:eastAsia="Times New Roman"/>
          <w:b/>
          <w:bCs/>
          <w:i/>
          <w:iCs/>
          <w:szCs w:val="24"/>
        </w:rPr>
      </w:pPr>
      <w:r>
        <w:rPr>
          <w:b/>
          <w:bCs/>
          <w:sz w:val="28"/>
          <w:szCs w:val="28"/>
        </w:rPr>
        <w:t>Study Group 13 draft workplan</w:t>
      </w:r>
      <w:r>
        <w:rPr>
          <w:rFonts w:ascii="Times New Roman Bold" w:hAnsi="Times New Roman Bold" w:cs="Times New Roman Bold"/>
          <w:b/>
          <w:bCs/>
          <w:szCs w:val="24"/>
          <w:vertAlign w:val="superscript"/>
        </w:rPr>
        <w:t>1</w:t>
      </w:r>
      <w:proofErr w:type="gramStart"/>
      <w:r>
        <w:rPr>
          <w:rFonts w:ascii="Times New Roman Bold" w:hAnsi="Times New Roman Bold" w:cs="Times New Roman Bold"/>
          <w:b/>
          <w:bCs/>
          <w:szCs w:val="24"/>
          <w:vertAlign w:val="superscript"/>
        </w:rPr>
        <w:t>)</w:t>
      </w:r>
      <w:proofErr w:type="gramEnd"/>
      <w:r>
        <w:rPr>
          <w:b/>
          <w:bCs/>
          <w:i/>
          <w:iCs/>
          <w:szCs w:val="24"/>
        </w:rPr>
        <w:br/>
        <w:t>Geneva, Switzerland, 18 February -1 March 2013</w:t>
      </w:r>
    </w:p>
    <w:p w:rsidR="007B3D68" w:rsidRDefault="007B3D68" w:rsidP="007B3D68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(</w:t>
      </w:r>
      <w:proofErr w:type="gramStart"/>
      <w:r>
        <w:rPr>
          <w:b/>
          <w:bCs/>
          <w:szCs w:val="24"/>
        </w:rPr>
        <w:t>includes</w:t>
      </w:r>
      <w:proofErr w:type="gramEnd"/>
      <w:r>
        <w:rPr>
          <w:b/>
          <w:bCs/>
          <w:szCs w:val="24"/>
        </w:rPr>
        <w:t xml:space="preserve"> co-located activities)</w:t>
      </w:r>
    </w:p>
    <w:tbl>
      <w:tblPr>
        <w:tblW w:w="1616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25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7B3D68" w:rsidTr="0028025F">
        <w:trPr>
          <w:tblHeader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jc w:val="right"/>
              <w:outlineLvl w:val="2"/>
              <w:rPr>
                <w:b/>
                <w:color w:val="FF0000"/>
                <w:sz w:val="20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7"/>
                <w:lang w:eastAsia="ja-JP"/>
              </w:rPr>
            </w:pPr>
            <w:r>
              <w:rPr>
                <w:sz w:val="18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25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26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fr-CH"/>
              </w:rPr>
              <w:t xml:space="preserve">27 </w:t>
            </w:r>
            <w:proofErr w:type="spellStart"/>
            <w:r>
              <w:rPr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28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>1 Mar</w:t>
            </w:r>
          </w:p>
        </w:tc>
      </w:tr>
      <w:tr w:rsidR="007B3D68" w:rsidTr="0028025F">
        <w:trPr>
          <w:tblHeader/>
        </w:trPr>
        <w:tc>
          <w:tcPr>
            <w:tcW w:w="84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23 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7B3D68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7B3D68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WPs</w:t>
            </w:r>
            <w:proofErr w:type="spellEnd"/>
            <w:r>
              <w:rPr>
                <w:sz w:val="14"/>
                <w:lang w:val="fr-CH"/>
              </w:rPr>
              <w:t>/13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tcFitText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tcFitText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>
              <w:rPr>
                <w:sz w:val="14"/>
                <w:lang w:val="pt-BR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</w:pPr>
            <w:r>
              <w:rPr>
                <w:sz w:val="14"/>
              </w:rPr>
              <w:t>Q13/13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tcFitText/>
          </w:tcPr>
          <w:p w:rsidR="007B3D68" w:rsidRDefault="007B3D68">
            <w:pPr>
              <w:spacing w:before="0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</w:pPr>
            <w:r>
              <w:rPr>
                <w:sz w:val="14"/>
              </w:rPr>
              <w:t>Q14/13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Q15/13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cFitText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B287E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8B287E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8B287E" w:rsidTr="0028025F">
        <w:trPr>
          <w:trHeight w:val="82"/>
        </w:trPr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B3D68" w:rsidTr="0028025F">
        <w:trPr>
          <w:cantSplit/>
        </w:trPr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JCA-Cloud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B3D68" w:rsidTr="0028025F">
        <w:trPr>
          <w:cantSplit/>
        </w:trPr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TSR </w:t>
            </w:r>
            <w:proofErr w:type="spellStart"/>
            <w:r>
              <w:rPr>
                <w:sz w:val="16"/>
                <w:szCs w:val="16"/>
              </w:rPr>
              <w:t>IoT</w:t>
            </w:r>
            <w:proofErr w:type="spellEnd"/>
            <w:r>
              <w:rPr>
                <w:sz w:val="16"/>
                <w:szCs w:val="16"/>
              </w:rPr>
              <w:t xml:space="preserve"> GSI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B3D68" w:rsidTr="0028025F">
        <w:trPr>
          <w:cantSplit/>
        </w:trPr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JCA-</w:t>
            </w:r>
            <w:proofErr w:type="spellStart"/>
            <w:r>
              <w:rPr>
                <w:sz w:val="18"/>
                <w:szCs w:val="18"/>
              </w:rPr>
              <w:t>IoT</w:t>
            </w:r>
            <w:proofErr w:type="spellEnd"/>
          </w:p>
        </w:tc>
        <w:tc>
          <w:tcPr>
            <w:tcW w:w="6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B3D68" w:rsidTr="0028025F">
        <w:trPr>
          <w:cantSplit/>
        </w:trPr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CT-CCVOCAB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B3D68" w:rsidTr="0028025F">
        <w:trPr>
          <w:cantSplit/>
        </w:trPr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CT-CCRA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3D68" w:rsidRDefault="007B3D6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7B3D68" w:rsidRDefault="007B3D68" w:rsidP="007B3D68">
      <w:pPr>
        <w:tabs>
          <w:tab w:val="left" w:pos="567"/>
        </w:tabs>
        <w:spacing w:before="40" w:after="40"/>
        <w:rPr>
          <w:sz w:val="20"/>
          <w:lang w:eastAsia="ja-JP"/>
        </w:rPr>
      </w:pPr>
      <w:r>
        <w:rPr>
          <w:sz w:val="20"/>
          <w:lang w:eastAsia="ja-JP"/>
        </w:rPr>
        <w:t>Session 1:  09h30 - 11h00</w:t>
      </w:r>
      <w:proofErr w:type="gramStart"/>
      <w:r>
        <w:rPr>
          <w:sz w:val="20"/>
          <w:lang w:eastAsia="ja-JP"/>
        </w:rPr>
        <w:t>;  Session</w:t>
      </w:r>
      <w:proofErr w:type="gramEnd"/>
      <w:r>
        <w:rPr>
          <w:sz w:val="20"/>
          <w:lang w:eastAsia="ja-JP"/>
        </w:rPr>
        <w:t xml:space="preserve"> 2:  11h30 - 13h00;  Session 3:  14h30 - 16h00;  Session 4:  16h30 - 18h00</w:t>
      </w:r>
    </w:p>
    <w:tbl>
      <w:tblPr>
        <w:tblW w:w="148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3"/>
      </w:tblGrid>
      <w:tr w:rsidR="007B3D68" w:rsidTr="007B3D68">
        <w:trPr>
          <w:cantSplit/>
        </w:trPr>
        <w:tc>
          <w:tcPr>
            <w:tcW w:w="360" w:type="dxa"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Study Group plenary</w:t>
            </w:r>
          </w:p>
        </w:tc>
      </w:tr>
      <w:tr w:rsidR="007B3D68" w:rsidTr="007B3D68">
        <w:trPr>
          <w:cantSplit/>
        </w:trPr>
        <w:tc>
          <w:tcPr>
            <w:tcW w:w="360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Working Party x</w:t>
            </w:r>
          </w:p>
        </w:tc>
      </w:tr>
      <w:tr w:rsidR="007B3D68" w:rsidTr="007B3D68">
        <w:trPr>
          <w:cantSplit/>
        </w:trPr>
        <w:tc>
          <w:tcPr>
            <w:tcW w:w="360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Coordination Activity on Cloud Computing </w:t>
            </w:r>
          </w:p>
        </w:tc>
      </w:tr>
      <w:tr w:rsidR="007B3D68" w:rsidTr="007B3D68">
        <w:trPr>
          <w:cantSplit/>
        </w:trPr>
        <w:tc>
          <w:tcPr>
            <w:tcW w:w="360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Represents a meeting session</w:t>
            </w:r>
          </w:p>
        </w:tc>
      </w:tr>
      <w:tr w:rsidR="007B3D68" w:rsidTr="007B3D68">
        <w:trPr>
          <w:cantSplit/>
        </w:trPr>
        <w:tc>
          <w:tcPr>
            <w:tcW w:w="360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>
              <w:rPr>
                <w:sz w:val="20"/>
              </w:rPr>
              <w:t>:</w:t>
            </w:r>
          </w:p>
        </w:tc>
        <w:tc>
          <w:tcPr>
            <w:tcW w:w="1275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Represents a lunch/evening session</w:t>
            </w:r>
          </w:p>
        </w:tc>
      </w:tr>
      <w:tr w:rsidR="007B3D68" w:rsidTr="007B3D68">
        <w:trPr>
          <w:cantSplit/>
        </w:trPr>
        <w:tc>
          <w:tcPr>
            <w:tcW w:w="360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  <w:hideMark/>
          </w:tcPr>
          <w:p w:rsidR="007B3D68" w:rsidRDefault="007B3D68">
            <w:pPr>
              <w:keepNext/>
              <w:spacing w:before="20" w:after="20"/>
              <w:rPr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2757" w:type="dxa"/>
            <w:hideMark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Represents an early morning session</w:t>
            </w:r>
          </w:p>
        </w:tc>
      </w:tr>
      <w:tr w:rsidR="007B3D68" w:rsidTr="007B3D68">
        <w:trPr>
          <w:cantSplit/>
        </w:trPr>
        <w:tc>
          <w:tcPr>
            <w:tcW w:w="360" w:type="dxa"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1: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2: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3: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4: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6: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7: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8: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9: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10: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Tracks: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color w:val="FF0000"/>
                <w:sz w:val="20"/>
                <w:lang w:eastAsia="ja-JP"/>
              </w:rPr>
              <w:t>*</w:t>
            </w:r>
            <w:r>
              <w:rPr>
                <w:sz w:val="20"/>
                <w:lang w:eastAsia="ja-JP"/>
              </w:rPr>
              <w:t>:</w:t>
            </w:r>
          </w:p>
          <w:p w:rsidR="007B3D68" w:rsidRDefault="007B3D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color w:val="FF0000"/>
                <w:sz w:val="20"/>
                <w:lang w:eastAsia="ja-JP"/>
              </w:rPr>
              <w:t>**</w:t>
            </w:r>
            <w:r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Updates to this plan will be posted on the ITU-T SG 13 web page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meeting of  Qs 8/13, 17/13, 18/13, 19/13 and 8/17 on cloud security, 17:30 – 19:00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Qs 11/13, 14/13, 15/13, 16/13 brainstorming on future networks and SDN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Final review of Y.e2ccrmr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>
              <w:rPr>
                <w:sz w:val="20"/>
                <w:lang w:val="en-US" w:eastAsia="ja-JP"/>
              </w:rPr>
              <w:t>Y.CCInfra</w:t>
            </w:r>
            <w:proofErr w:type="spellEnd"/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>
              <w:rPr>
                <w:sz w:val="20"/>
                <w:lang w:val="en-US" w:eastAsia="ja-JP"/>
              </w:rPr>
              <w:t>Y.ccf</w:t>
            </w:r>
            <w:proofErr w:type="spellEnd"/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Editing session on Mobility Management handbook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Editing session on NGN migration handbook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Editing session on </w:t>
            </w:r>
            <w:proofErr w:type="spellStart"/>
            <w:r>
              <w:rPr>
                <w:sz w:val="20"/>
                <w:lang w:val="en-US" w:eastAsia="ja-JP"/>
              </w:rPr>
              <w:t>QoE</w:t>
            </w:r>
            <w:proofErr w:type="spellEnd"/>
            <w:r>
              <w:rPr>
                <w:sz w:val="20"/>
                <w:lang w:val="en-US" w:eastAsia="ja-JP"/>
              </w:rPr>
              <w:t xml:space="preserve"> handbook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meeting of Qs 14/13, 15/13 and 16/13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 – NGN evolution - Qs 2/13 and 3/13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2 – IMT and scenarios - Qs 1/13, 4/13 and 5/13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>
              <w:rPr>
                <w:sz w:val="20"/>
                <w:lang w:val="en-US" w:eastAsia="ja-JP"/>
              </w:rPr>
              <w:t>QoS</w:t>
            </w:r>
            <w:proofErr w:type="spellEnd"/>
            <w:r>
              <w:rPr>
                <w:sz w:val="20"/>
                <w:lang w:val="en-US" w:eastAsia="ja-JP"/>
              </w:rPr>
              <w:t xml:space="preserve"> – Qs 6/13, 7/13 and  8/13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 – Mobility –Qs 9/13 and 10/13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 – DSN – Q12/13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 – PTDN – Q13/13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 – Cloud Computing – Qs 17/13, 18/13, 19/13 and part of  8/13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Not part of SG13 meeting</w:t>
            </w:r>
          </w:p>
          <w:p w:rsidR="007B3D68" w:rsidRDefault="007B3D6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Session is supported by Adobe connect</w:t>
            </w:r>
          </w:p>
        </w:tc>
      </w:tr>
    </w:tbl>
    <w:p w:rsidR="00746E31" w:rsidRPr="0028025F" w:rsidRDefault="00746E31" w:rsidP="0028025F">
      <w:pPr>
        <w:spacing w:before="0"/>
        <w:rPr>
          <w:sz w:val="10"/>
          <w:szCs w:val="10"/>
          <w:lang w:eastAsia="zh-CN"/>
        </w:rPr>
      </w:pPr>
    </w:p>
    <w:sectPr w:rsidR="00746E31" w:rsidRPr="0028025F" w:rsidSect="00D45897">
      <w:headerReference w:type="first" r:id="rId12"/>
      <w:footerReference w:type="first" r:id="rId13"/>
      <w:pgSz w:w="16840" w:h="11907" w:orient="landscape" w:code="9"/>
      <w:pgMar w:top="567" w:right="992" w:bottom="1089" w:left="56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7" w:rsidRDefault="00D45897">
      <w:r>
        <w:separator/>
      </w:r>
    </w:p>
  </w:endnote>
  <w:endnote w:type="continuationSeparator" w:id="0">
    <w:p w:rsidR="00D45897" w:rsidRDefault="00D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97" w:rsidRDefault="00D45897" w:rsidP="00D45897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D45897" w:rsidRDefault="00D45897" w:rsidP="00D4589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D45897" w:rsidRPr="00A51E89" w:rsidRDefault="00D45897" w:rsidP="00D4589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97" w:rsidRPr="00461D0E" w:rsidRDefault="00D45897" w:rsidP="00461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7" w:rsidRDefault="00D45897">
      <w:r>
        <w:t>____________________</w:t>
      </w:r>
    </w:p>
  </w:footnote>
  <w:footnote w:type="continuationSeparator" w:id="0">
    <w:p w:rsidR="00D45897" w:rsidRDefault="00D4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095059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5897" w:rsidRPr="00D518FF" w:rsidRDefault="00D45897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8B287E">
          <w:rPr>
            <w:noProof/>
            <w:szCs w:val="18"/>
          </w:rPr>
          <w:t>3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578935637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65545252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45897" w:rsidRPr="00D518FF" w:rsidRDefault="00D45897" w:rsidP="00D518FF">
            <w:pPr>
              <w:pStyle w:val="Header"/>
              <w:rPr>
                <w:b/>
                <w:noProof/>
                <w:szCs w:val="18"/>
              </w:rPr>
            </w:pPr>
            <w:r w:rsidRPr="003222B0">
              <w:rPr>
                <w:noProof/>
                <w:szCs w:val="18"/>
              </w:rPr>
              <w:t>-</w:t>
            </w:r>
            <w:r w:rsidRPr="003222B0">
              <w:rPr>
                <w:szCs w:val="18"/>
              </w:rPr>
              <w:t xml:space="preserve"> </w:t>
            </w:r>
            <w:r w:rsidRPr="003222B0">
              <w:rPr>
                <w:szCs w:val="18"/>
              </w:rPr>
              <w:fldChar w:fldCharType="begin"/>
            </w:r>
            <w:r w:rsidRPr="003222B0">
              <w:rPr>
                <w:szCs w:val="18"/>
              </w:rPr>
              <w:instrText xml:space="preserve"> PAGE   \* MERGEFORMAT </w:instrText>
            </w:r>
            <w:r w:rsidRPr="003222B0">
              <w:rPr>
                <w:szCs w:val="18"/>
              </w:rPr>
              <w:fldChar w:fldCharType="separate"/>
            </w:r>
            <w:r w:rsidR="008B287E">
              <w:rPr>
                <w:noProof/>
                <w:szCs w:val="18"/>
              </w:rPr>
              <w:t>2</w:t>
            </w:r>
            <w:r w:rsidRPr="003222B0">
              <w:rPr>
                <w:noProof/>
                <w:szCs w:val="18"/>
              </w:rPr>
              <w:fldChar w:fldCharType="end"/>
            </w:r>
            <w:r w:rsidRPr="003222B0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50C5C"/>
    <w:rsid w:val="000702BB"/>
    <w:rsid w:val="00095181"/>
    <w:rsid w:val="000E4C84"/>
    <w:rsid w:val="000E5D32"/>
    <w:rsid w:val="00140132"/>
    <w:rsid w:val="001A0BBB"/>
    <w:rsid w:val="001B529A"/>
    <w:rsid w:val="001C21C8"/>
    <w:rsid w:val="001C6E36"/>
    <w:rsid w:val="001E3508"/>
    <w:rsid w:val="001F0657"/>
    <w:rsid w:val="002045B8"/>
    <w:rsid w:val="00266255"/>
    <w:rsid w:val="0028025F"/>
    <w:rsid w:val="00281589"/>
    <w:rsid w:val="002C1710"/>
    <w:rsid w:val="002F1315"/>
    <w:rsid w:val="00317A4D"/>
    <w:rsid w:val="00341C67"/>
    <w:rsid w:val="003625BB"/>
    <w:rsid w:val="003A6EEC"/>
    <w:rsid w:val="003B4218"/>
    <w:rsid w:val="003F0063"/>
    <w:rsid w:val="00461D0E"/>
    <w:rsid w:val="004706D0"/>
    <w:rsid w:val="004854EC"/>
    <w:rsid w:val="004932FF"/>
    <w:rsid w:val="005365E4"/>
    <w:rsid w:val="00572454"/>
    <w:rsid w:val="00574C43"/>
    <w:rsid w:val="00591B08"/>
    <w:rsid w:val="0059425B"/>
    <w:rsid w:val="005A0956"/>
    <w:rsid w:val="00624CB1"/>
    <w:rsid w:val="006C08CA"/>
    <w:rsid w:val="006D4F29"/>
    <w:rsid w:val="006E5598"/>
    <w:rsid w:val="006E6A13"/>
    <w:rsid w:val="006F7DA1"/>
    <w:rsid w:val="00703CBA"/>
    <w:rsid w:val="00743D83"/>
    <w:rsid w:val="00746E31"/>
    <w:rsid w:val="007626DE"/>
    <w:rsid w:val="00762E1B"/>
    <w:rsid w:val="007814B1"/>
    <w:rsid w:val="00795532"/>
    <w:rsid w:val="007B3D68"/>
    <w:rsid w:val="00841B06"/>
    <w:rsid w:val="008847B5"/>
    <w:rsid w:val="00892E83"/>
    <w:rsid w:val="008A0ED4"/>
    <w:rsid w:val="008B287E"/>
    <w:rsid w:val="008D26A4"/>
    <w:rsid w:val="009704E7"/>
    <w:rsid w:val="009756AC"/>
    <w:rsid w:val="0098410B"/>
    <w:rsid w:val="009C749B"/>
    <w:rsid w:val="00A047CF"/>
    <w:rsid w:val="00A23824"/>
    <w:rsid w:val="00A36E53"/>
    <w:rsid w:val="00AF2746"/>
    <w:rsid w:val="00B01F6A"/>
    <w:rsid w:val="00B45CFA"/>
    <w:rsid w:val="00B50E4F"/>
    <w:rsid w:val="00B65A28"/>
    <w:rsid w:val="00B67F39"/>
    <w:rsid w:val="00BA55A0"/>
    <w:rsid w:val="00BA5BFF"/>
    <w:rsid w:val="00BB7187"/>
    <w:rsid w:val="00BE08F0"/>
    <w:rsid w:val="00BE0D94"/>
    <w:rsid w:val="00C115D3"/>
    <w:rsid w:val="00C51914"/>
    <w:rsid w:val="00C75269"/>
    <w:rsid w:val="00C925C9"/>
    <w:rsid w:val="00D2432E"/>
    <w:rsid w:val="00D45897"/>
    <w:rsid w:val="00D518FF"/>
    <w:rsid w:val="00D6135E"/>
    <w:rsid w:val="00D91AAD"/>
    <w:rsid w:val="00DE65BB"/>
    <w:rsid w:val="00E3619F"/>
    <w:rsid w:val="00E36387"/>
    <w:rsid w:val="00E73313"/>
    <w:rsid w:val="00EE2A77"/>
    <w:rsid w:val="00EE59AB"/>
    <w:rsid w:val="00F230B7"/>
    <w:rsid w:val="00F2511E"/>
    <w:rsid w:val="00F27D94"/>
    <w:rsid w:val="00F33A3F"/>
    <w:rsid w:val="00F33DC1"/>
    <w:rsid w:val="00F50ABD"/>
    <w:rsid w:val="00F92AE8"/>
    <w:rsid w:val="00F965B4"/>
    <w:rsid w:val="00FA0268"/>
    <w:rsid w:val="00FD66A1"/>
    <w:rsid w:val="00FE0A1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B3D68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B3D68"/>
    <w:rPr>
      <w:rFonts w:ascii="Times New Roman" w:hAnsi="Times New Roman"/>
      <w:sz w:val="24"/>
      <w:lang w:val="en-GB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B3D68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B3D68"/>
    <w:rPr>
      <w:rFonts w:ascii="Times New Roman" w:hAnsi="Times New Roman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rsid w:val="007B3D68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3D68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B01F6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TitleChar">
    <w:name w:val="Title Char"/>
    <w:basedOn w:val="DefaultParagraphFont"/>
    <w:link w:val="Title"/>
    <w:rsid w:val="007B3D68"/>
    <w:rPr>
      <w:rFonts w:ascii="Times New Roman" w:eastAsia="Malgun Gothic" w:hAnsi="Times New Roman"/>
      <w:b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7B3D68"/>
    <w:pPr>
      <w:overflowPunct w:val="0"/>
      <w:autoSpaceDE w:val="0"/>
      <w:autoSpaceDN w:val="0"/>
      <w:adjustRightInd w:val="0"/>
      <w:spacing w:before="0" w:after="120"/>
    </w:pPr>
    <w:rPr>
      <w:rFonts w:eastAsia="Malgun Gothic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7B3D68"/>
    <w:rPr>
      <w:rFonts w:ascii="Times New Roman" w:eastAsia="Times New Roman" w:hAnsi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unhideWhenUsed/>
    <w:rsid w:val="007B3D68"/>
    <w:pPr>
      <w:tabs>
        <w:tab w:val="left" w:pos="1418"/>
        <w:tab w:val="left" w:pos="1702"/>
        <w:tab w:val="left" w:pos="2160"/>
      </w:tabs>
      <w:spacing w:before="0"/>
      <w:ind w:right="92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7B3D68"/>
    <w:rPr>
      <w:rFonts w:ascii="Times New Roman" w:eastAsia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nhideWhenUsed/>
    <w:rsid w:val="007B3D68"/>
    <w:pPr>
      <w:spacing w:before="1701"/>
      <w:ind w:right="9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7B3D68"/>
    <w:rPr>
      <w:rFonts w:ascii="Times New Roman" w:eastAsia="Batang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7B3D68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B3D68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7B3D68"/>
    <w:pPr>
      <w:shd w:val="clear" w:color="auto" w:fill="000080"/>
      <w:spacing w:before="0"/>
    </w:pPr>
    <w:rPr>
      <w:rFonts w:ascii="Tahoma" w:eastAsia="Times New Roman" w:hAnsi="Tahoma" w:cs="Tahoma"/>
    </w:rPr>
  </w:style>
  <w:style w:type="character" w:customStyle="1" w:styleId="PlainTextChar">
    <w:name w:val="Plain Text Char"/>
    <w:basedOn w:val="DefaultParagraphFont"/>
    <w:link w:val="PlainText"/>
    <w:rsid w:val="007B3D68"/>
    <w:rPr>
      <w:rFonts w:ascii="Times New Roman" w:eastAsiaTheme="minorEastAsia" w:hAnsi="Times New Roman"/>
      <w:sz w:val="21"/>
      <w:szCs w:val="21"/>
    </w:rPr>
  </w:style>
  <w:style w:type="paragraph" w:styleId="PlainText">
    <w:name w:val="Plain Text"/>
    <w:basedOn w:val="Normal"/>
    <w:link w:val="PlainTextChar"/>
    <w:unhideWhenUsed/>
    <w:rsid w:val="007B3D6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B3D6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B3D68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B3D68"/>
    <w:rPr>
      <w:rFonts w:ascii="Times New Roman" w:hAnsi="Times New Roman"/>
      <w:sz w:val="24"/>
      <w:lang w:val="en-GB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B3D68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B3D68"/>
    <w:rPr>
      <w:rFonts w:ascii="Times New Roman" w:hAnsi="Times New Roman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rsid w:val="007B3D68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3D68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B01F6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TitleChar">
    <w:name w:val="Title Char"/>
    <w:basedOn w:val="DefaultParagraphFont"/>
    <w:link w:val="Title"/>
    <w:rsid w:val="007B3D68"/>
    <w:rPr>
      <w:rFonts w:ascii="Times New Roman" w:eastAsia="Malgun Gothic" w:hAnsi="Times New Roman"/>
      <w:b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7B3D68"/>
    <w:pPr>
      <w:overflowPunct w:val="0"/>
      <w:autoSpaceDE w:val="0"/>
      <w:autoSpaceDN w:val="0"/>
      <w:adjustRightInd w:val="0"/>
      <w:spacing w:before="0" w:after="120"/>
    </w:pPr>
    <w:rPr>
      <w:rFonts w:eastAsia="Malgun Gothic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7B3D68"/>
    <w:rPr>
      <w:rFonts w:ascii="Times New Roman" w:eastAsia="Times New Roman" w:hAnsi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unhideWhenUsed/>
    <w:rsid w:val="007B3D68"/>
    <w:pPr>
      <w:tabs>
        <w:tab w:val="left" w:pos="1418"/>
        <w:tab w:val="left" w:pos="1702"/>
        <w:tab w:val="left" w:pos="2160"/>
      </w:tabs>
      <w:spacing w:before="0"/>
      <w:ind w:right="92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7B3D68"/>
    <w:rPr>
      <w:rFonts w:ascii="Times New Roman" w:eastAsia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nhideWhenUsed/>
    <w:rsid w:val="007B3D68"/>
    <w:pPr>
      <w:spacing w:before="1701"/>
      <w:ind w:right="9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7B3D68"/>
    <w:rPr>
      <w:rFonts w:ascii="Times New Roman" w:eastAsia="Batang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7B3D68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B3D68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7B3D68"/>
    <w:pPr>
      <w:shd w:val="clear" w:color="auto" w:fill="000080"/>
      <w:spacing w:before="0"/>
    </w:pPr>
    <w:rPr>
      <w:rFonts w:ascii="Tahoma" w:eastAsia="Times New Roman" w:hAnsi="Tahoma" w:cs="Tahoma"/>
    </w:rPr>
  </w:style>
  <w:style w:type="character" w:customStyle="1" w:styleId="PlainTextChar">
    <w:name w:val="Plain Text Char"/>
    <w:basedOn w:val="DefaultParagraphFont"/>
    <w:link w:val="PlainText"/>
    <w:rsid w:val="007B3D68"/>
    <w:rPr>
      <w:rFonts w:ascii="Times New Roman" w:eastAsiaTheme="minorEastAsia" w:hAnsi="Times New Roman"/>
      <w:sz w:val="21"/>
      <w:szCs w:val="21"/>
    </w:rPr>
  </w:style>
  <w:style w:type="paragraph" w:styleId="PlainText">
    <w:name w:val="Plain Text"/>
    <w:basedOn w:val="Normal"/>
    <w:link w:val="PlainTextChar"/>
    <w:unhideWhenUsed/>
    <w:rsid w:val="007B3D6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3</Pages>
  <Words>639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Bettini, Nadine</cp:lastModifiedBy>
  <cp:revision>2</cp:revision>
  <cp:lastPrinted>2013-02-18T13:03:00Z</cp:lastPrinted>
  <dcterms:created xsi:type="dcterms:W3CDTF">2013-02-18T15:15:00Z</dcterms:created>
  <dcterms:modified xsi:type="dcterms:W3CDTF">2013-02-18T15:15:00Z</dcterms:modified>
</cp:coreProperties>
</file>